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Lin Elizabeth Yeu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379</w:t>
            </w:r>
          </w:p>
        </w:tc>
        <w:tc>
          <w:tcPr>
            <w:tcW w:w="1377" w:type="dxa"/>
            <w:tcBorders/>
            <w:vAlign w:val="center"/>
          </w:tcPr>
          <w:p>
            <w:pPr>
              <w:pStyle w:val="TableContents"/>
              <w:bidi w:val="0"/>
              <w:spacing w:before="0" w:after="283"/>
              <w:jc w:val="left"/>
              <w:rPr/>
            </w:pPr>
            <w:r>
              <w:rPr/>
              <w:t>26041.01</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379</w:t>
            </w:r>
          </w:p>
        </w:tc>
        <w:tc>
          <w:tcPr>
            <w:tcW w:w="1046" w:type="dxa"/>
            <w:tcBorders/>
            <w:vAlign w:val="center"/>
          </w:tcPr>
          <w:p>
            <w:pPr>
              <w:pStyle w:val="TableContents"/>
              <w:bidi w:val="0"/>
              <w:spacing w:before="0" w:after="283"/>
              <w:jc w:val="left"/>
              <w:rPr/>
            </w:pPr>
            <w:r>
              <w:rPr/>
              <w:t>03/17/2026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Elizabeth Yeu-Lin</w:t>
              <w:br/>
              <w:t>15440 Laguna Canyon Road</w:t>
              <w:br/>
              <w:t>Suite 160</w:t>
              <w:br/>
              <w:t>Irvine   CA   92618</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03/17/2026</w:t>
            </w:r>
          </w:p>
        </w:tc>
        <w:tc>
          <w:tcPr>
            <w:tcW w:w="1579" w:type="dxa"/>
            <w:tcBorders/>
            <w:vAlign w:val="center"/>
          </w:tcPr>
          <w:p>
            <w:pPr>
              <w:pStyle w:val="TableContents"/>
              <w:bidi w:val="0"/>
              <w:spacing w:before="0" w:after="283"/>
              <w:jc w:val="left"/>
              <w:rPr/>
            </w:pPr>
            <w:r>
              <w:rPr/>
              <w:t>375</w:t>
            </w:r>
          </w:p>
        </w:tc>
        <w:tc>
          <w:tcPr>
            <w:tcW w:w="1706" w:type="dxa"/>
            <w:tcBorders/>
            <w:vAlign w:val="center"/>
          </w:tcPr>
          <w:p>
            <w:pPr>
              <w:pStyle w:val="TableContents"/>
              <w:bidi w:val="0"/>
              <w:spacing w:before="0" w:after="283"/>
              <w:jc w:val="left"/>
              <w:rPr/>
            </w:pPr>
            <w:r>
              <w:rPr/>
              <w:t>26030.51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4"/>
        <w:gridCol w:w="8451"/>
      </w:tblGrid>
      <w:tr>
        <w:trPr/>
        <w:tc>
          <w:tcPr>
            <w:tcW w:w="1754" w:type="dxa"/>
            <w:tcBorders/>
            <w:vAlign w:val="center"/>
          </w:tcPr>
          <w:p>
            <w:pPr>
              <w:pStyle w:val="TableContents"/>
              <w:bidi w:val="0"/>
              <w:spacing w:before="0" w:after="283"/>
              <w:jc w:val="left"/>
              <w:rPr/>
            </w:pPr>
            <w:r>
              <w:rPr/>
              <w:t>Remarks</w:t>
            </w:r>
          </w:p>
        </w:tc>
        <w:tc>
          <w:tcPr>
            <w:tcW w:w="845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4" w:type="dxa"/>
            <w:tcBorders/>
            <w:vAlign w:val="center"/>
          </w:tcPr>
          <w:p>
            <w:pPr>
              <w:pStyle w:val="TableContents"/>
              <w:bidi w:val="0"/>
              <w:spacing w:before="0" w:after="283"/>
              <w:jc w:val="left"/>
              <w:rPr/>
            </w:pPr>
            <w:r>
              <w:rPr/>
              <w:t>Date of Notice</w:t>
            </w:r>
          </w:p>
        </w:tc>
        <w:tc>
          <w:tcPr>
            <w:tcW w:w="8451"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4" w:type="dxa"/>
            <w:tcBorders/>
            <w:vAlign w:val="center"/>
          </w:tcPr>
          <w:p>
            <w:pPr>
              <w:pStyle w:val="TableContents"/>
              <w:bidi w:val="0"/>
              <w:spacing w:before="0" w:after="283"/>
              <w:jc w:val="left"/>
              <w:rPr/>
            </w:pPr>
            <w:r>
              <w:rPr/>
              <w:t>Signature</w:t>
            </w:r>
          </w:p>
        </w:tc>
        <w:tc>
          <w:tcPr>
            <w:tcW w:w="8451" w:type="dxa"/>
            <w:tcBorders/>
            <w:vAlign w:val="center"/>
          </w:tcPr>
          <w:p>
            <w:pPr>
              <w:pStyle w:val="TableContents"/>
              <w:bidi w:val="0"/>
              <w:spacing w:before="0" w:after="0"/>
              <w:jc w:val="left"/>
              <w:rPr/>
            </w:pPr>
            <w:r>
              <w:rPr/>
              <w:t>/s/Wade Moss, as a duly authorized representative of Fidelity Brokerage Services LLC, as attorney-in-fact for Elizabeth Yeu-Lin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3256</Characters>
  <CharactersWithSpaces>3831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