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13, 2024</w:t>
      </w:r>
    </w:p>
    <w:p>
      <w:pPr>
        <w:spacing w:after="0" w:line="21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TARSUS PHARMACEUTICALS,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3060" w:type="dxa"/>
            <w:vAlign w:val="bottom"/>
          </w:tcPr>
          <w:p>
            <w:pPr>
              <w:jc w:val="center"/>
              <w:ind w:right="58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20" w:type="dxa"/>
            <w:vAlign w:val="bottom"/>
            <w:vMerge w:val="restart"/>
          </w:tcPr>
          <w:p>
            <w:pPr>
              <w:jc w:val="right"/>
              <w:ind w:right="1088"/>
              <w:spacing w:after="0"/>
              <w:rPr>
                <w:sz w:val="20"/>
                <w:szCs w:val="20"/>
                <w:color w:val="auto"/>
              </w:rPr>
            </w:pPr>
            <w:r>
              <w:rPr>
                <w:rFonts w:ascii="Times New Roman" w:cs="Times New Roman" w:eastAsia="Times New Roman" w:hAnsi="Times New Roman"/>
                <w:sz w:val="16"/>
                <w:szCs w:val="16"/>
                <w:b w:val="1"/>
                <w:bCs w:val="1"/>
                <w:color w:val="auto"/>
              </w:rPr>
              <w:t>001-39614</w:t>
            </w:r>
          </w:p>
        </w:tc>
        <w:tc>
          <w:tcPr>
            <w:tcW w:w="2720" w:type="dxa"/>
            <w:vAlign w:val="bottom"/>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81-4717861</w:t>
            </w: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292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060" w:type="dxa"/>
            <w:vAlign w:val="bottom"/>
          </w:tcPr>
          <w:p>
            <w:pPr>
              <w:jc w:val="center"/>
              <w:ind w:right="588"/>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w:t>
            </w:r>
          </w:p>
        </w:tc>
        <w:tc>
          <w:tcPr>
            <w:tcW w:w="29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2720" w:type="dxa"/>
            <w:vAlign w:val="bottom"/>
          </w:tcPr>
          <w:p>
            <w:pPr>
              <w:jc w:val="center"/>
              <w:ind w:left="728"/>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bl>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15440 Laguna Canyon Road, Suite 160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Irvine, CA 92618</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(Address of principal executive offices, including Zip Code)</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418-1801</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9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Soliciting material pursuant to Rule 14a-12 under the Exchange Act (17 CFR 240.14a-12)</w:t>
      </w:r>
    </w:p>
    <w:p>
      <w:pPr>
        <w:spacing w:after="0" w:line="15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231F20"/>
        </w:rPr>
        <w:t>Pre-commencement communications pursuant to Rule 14d-2(b) under the Exchange Act (17 CFR 240.14d-2(b))</w:t>
      </w:r>
    </w:p>
    <w:p>
      <w:pPr>
        <w:spacing w:after="0" w:line="235" w:lineRule="exact"/>
        <w:rPr>
          <w:rFonts w:ascii="MS PGothic" w:cs="MS PGothic" w:eastAsia="MS PGothic" w:hAnsi="MS PGothic"/>
          <w:sz w:val="32"/>
          <w:szCs w:val="32"/>
          <w:color w:val="auto"/>
          <w:vertAlign w:val="superscript"/>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Pre-commencement communications pursuant to Rule 13e-4(c) under the Exchange Act (17 CFR 240.13e-4(c))</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5"/>
        </w:trPr>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$0.0001 par value per share</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TARS</w:t>
            </w: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r>
        <w:trPr>
          <w:trHeight w:val="212"/>
        </w:trPr>
        <w:tc>
          <w:tcPr>
            <w:tcW w:w="47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r>
        <w:trPr>
          <w:trHeight w:val="33"/>
        </w:trPr>
        <w:tc>
          <w:tcPr>
            <w:tcW w:w="476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4580" w:type="dxa"/>
            <w:vAlign w:val="bottom"/>
          </w:tcPr>
          <w:p>
            <w:pPr>
              <w:spacing w:after="0"/>
              <w:rPr>
                <w:sz w:val="2"/>
                <w:szCs w:val="2"/>
                <w:color w:val="auto"/>
              </w:rPr>
            </w:pPr>
          </w:p>
        </w:tc>
      </w:tr>
    </w:tbl>
    <w:p>
      <w:pPr>
        <w:spacing w:after="0" w:line="297" w:lineRule="exact"/>
        <w:rPr>
          <w:sz w:val="24"/>
          <w:szCs w:val="24"/>
          <w:color w:val="auto"/>
        </w:rPr>
      </w:pPr>
    </w:p>
    <w:p>
      <w:pPr>
        <w:ind w:right="6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 w:cs="Times New Roman" w:eastAsia="Times New Roman" w:hAnsi="Times New Roman"/>
          <w:sz w:val="16"/>
          <w:szCs w:val="16"/>
          <w:color w:val="231F20"/>
        </w:rPr>
        <w:t>Emerging growth company</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231F20"/>
        </w:rPr>
        <w:t>☒</w:t>
      </w:r>
    </w:p>
    <w:p>
      <w:pPr>
        <w:spacing w:after="0" w:line="169"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00" w:lineRule="exact"/>
        <w:rPr>
          <w:sz w:val="20"/>
          <w:szCs w:val="20"/>
          <w:color w:val="auto"/>
        </w:rPr>
      </w:pPr>
    </w:p>
    <w:p>
      <w:pPr>
        <w:spacing w:after="0" w:line="27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On June 13, 2024, Tarsus Pharmaceuticals, Inc. (the “Company”) held its Annual Meeting of Stockholders (the “Annual Meeting”). The Company filed its definitive proxy statement for the proposals voted upon at the Annual Meeting with the Securities and Exchange Commission on April 26, 2024 (the “Proxy Statement”).</w:t>
      </w:r>
    </w:p>
    <w:p>
      <w:pPr>
        <w:spacing w:after="0" w:line="204"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At the close of business on April 15, 2024, the record date of the Annual Meeting, the Company had 37,776,665 shares of common stock outstanding and entitled to vote. The holders of a total of 31,978,938 shares of common stock were present at the Annual Meeting, either in person or by proxy, which total constituted a quorum of the issued and outstanding shares on the record date of the Annual Meeting.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proposals were submitted to the Company’s stockholders at the Annual Meeting:</w:t>
      </w:r>
    </w:p>
    <w:p>
      <w:pPr>
        <w:spacing w:after="0" w:line="239" w:lineRule="exact"/>
        <w:rPr>
          <w:sz w:val="20"/>
          <w:szCs w:val="20"/>
          <w:color w:val="auto"/>
        </w:rPr>
      </w:pPr>
    </w:p>
    <w:p>
      <w:pPr>
        <w:ind w:left="180" w:hanging="172"/>
        <w:spacing w:after="0"/>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two nominees as Class I directors to serve until the Company’s 2027 annual meeting of stockholders.</w:t>
      </w:r>
    </w:p>
    <w:p>
      <w:pPr>
        <w:spacing w:after="0" w:line="238" w:lineRule="exact"/>
        <w:rPr>
          <w:rFonts w:ascii="Times New Roman" w:cs="Times New Roman" w:eastAsia="Times New Roman" w:hAnsi="Times New Roman"/>
          <w:sz w:val="18"/>
          <w:szCs w:val="18"/>
          <w:color w:val="auto"/>
        </w:rPr>
      </w:pPr>
    </w:p>
    <w:p>
      <w:pPr>
        <w:ind w:right="320" w:firstLine="8"/>
        <w:spacing w:after="0" w:line="266"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Ernst &amp; Young LLP as the Company’s independent registered public accounting firm for the fiscal year ending December 31, 2024.</w:t>
      </w:r>
    </w:p>
    <w:p>
      <w:pPr>
        <w:spacing w:after="0" w:line="189" w:lineRule="exact"/>
        <w:rPr>
          <w:sz w:val="20"/>
          <w:szCs w:val="20"/>
          <w:color w:val="auto"/>
        </w:rPr>
      </w:pPr>
    </w:p>
    <w:p>
      <w:pPr>
        <w:ind w:right="560"/>
        <w:spacing w:after="0" w:line="250" w:lineRule="auto"/>
        <w:rPr>
          <w:sz w:val="20"/>
          <w:szCs w:val="20"/>
          <w:color w:val="auto"/>
        </w:rPr>
      </w:pPr>
      <w:r>
        <w:rPr>
          <w:rFonts w:ascii="Times New Roman" w:cs="Times New Roman" w:eastAsia="Times New Roman" w:hAnsi="Times New Roman"/>
          <w:sz w:val="18"/>
          <w:szCs w:val="18"/>
          <w:color w:val="auto"/>
        </w:rPr>
        <w:t>The number of votes cast for and against or withheld and the number of abstentions and broker non-votes with respect to each matter voted upon, as applicable, are set forth below:</w:t>
      </w:r>
    </w:p>
    <w:p>
      <w:pPr>
        <w:spacing w:after="0" w:line="199" w:lineRule="exact"/>
        <w:rPr>
          <w:sz w:val="20"/>
          <w:szCs w:val="20"/>
          <w:color w:val="auto"/>
        </w:rPr>
      </w:pPr>
    </w:p>
    <w:p>
      <w:pPr>
        <w:ind w:left="420" w:hanging="187"/>
        <w:spacing w:after="0"/>
        <w:tabs>
          <w:tab w:leader="none" w:pos="4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Board of Directors Election Results</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following nominees were elected to serve as Class I directors for a term that will continue until the 2027 annual meeting of stockholders or until their respective successors have been duly elected and qualified. The number of votes cast for and withheld and the number broker non-votes for each nominee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Director Name</w:t>
            </w: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
        </w:trPr>
        <w:tc>
          <w:tcPr>
            <w:tcW w:w="4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0"/>
        </w:trPr>
        <w:tc>
          <w:tcPr>
            <w:tcW w:w="5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Bhaskar Chaudhuri, Ph.D.</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21,766,101</w:t>
            </w:r>
          </w:p>
        </w:tc>
        <w:tc>
          <w:tcPr>
            <w:tcW w:w="240" w:type="dxa"/>
            <w:vAlign w:val="bottom"/>
            <w:shd w:val="clear" w:color="auto" w:fill="CCEEFF"/>
          </w:tcPr>
          <w:p>
            <w:pPr>
              <w:spacing w:after="0"/>
              <w:rPr>
                <w:sz w:val="21"/>
                <w:szCs w:val="21"/>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2,941,857</w:t>
            </w: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7,270,980</w:t>
            </w:r>
          </w:p>
        </w:tc>
      </w:tr>
      <w:tr>
        <w:trPr>
          <w:trHeight w:val="243"/>
        </w:trPr>
        <w:tc>
          <w:tcPr>
            <w:tcW w:w="5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William J. Link, Ph.D.</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20,817,032</w:t>
            </w:r>
          </w:p>
        </w:tc>
        <w:tc>
          <w:tcPr>
            <w:tcW w:w="24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3,890,926</w:t>
            </w:r>
          </w:p>
        </w:tc>
        <w:tc>
          <w:tcPr>
            <w:tcW w:w="26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7,270,980</w:t>
            </w:r>
          </w:p>
        </w:tc>
      </w:tr>
    </w:tbl>
    <w:p>
      <w:pPr>
        <w:spacing w:after="0" w:line="19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following directors, in addition to Dr. Chaudhuri and Dr. Link, will continue to serve as members of our Board of Directors until the expiration of their respective terms or until their respective successors have been duly elected and qualified: Bobak Azamian, M.D., Ph.D., Rosemary Crane, MBA, Elizabeth Yeu-Lin, M.D., Andrew Goldberg, M.D., Scott Morrison, and Wendy Yarno, MBA.</w:t>
      </w:r>
    </w:p>
    <w:p>
      <w:pPr>
        <w:spacing w:after="0" w:line="293" w:lineRule="exact"/>
        <w:rPr>
          <w:sz w:val="20"/>
          <w:szCs w:val="20"/>
          <w:color w:val="auto"/>
        </w:rPr>
      </w:pPr>
    </w:p>
    <w:p>
      <w:pPr>
        <w:ind w:left="420" w:hanging="187"/>
        <w:spacing w:after="0"/>
        <w:tabs>
          <w:tab w:leader="none" w:pos="4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Ratification of Ernst &amp; Young LLP as our independent registered public accounting firm</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stockholders approved the ratification of the appointment of Ernst &amp; Young LLP as our independent registered public accounting firm for the fiscal year ending December 31, 2024. The number of votes cast for and against and the number of abstentions for this proposal were as follows (there were no broker non-votes for this proposal):</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60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3"/>
        </w:trPr>
        <w:tc>
          <w:tcPr>
            <w:tcW w:w="35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50"/>
        </w:trPr>
        <w:tc>
          <w:tcPr>
            <w:tcW w:w="3580" w:type="dxa"/>
            <w:vAlign w:val="bottom"/>
            <w:shd w:val="clear" w:color="auto" w:fill="CCEEFF"/>
          </w:tcPr>
          <w:p>
            <w:pPr>
              <w:jc w:val="right"/>
              <w:ind w:right="1279"/>
              <w:spacing w:after="0"/>
              <w:rPr>
                <w:sz w:val="20"/>
                <w:szCs w:val="20"/>
                <w:color w:val="auto"/>
              </w:rPr>
            </w:pPr>
            <w:r>
              <w:rPr>
                <w:rFonts w:ascii="Times New Roman" w:cs="Times New Roman" w:eastAsia="Times New Roman" w:hAnsi="Times New Roman"/>
                <w:sz w:val="18"/>
                <w:szCs w:val="18"/>
                <w:color w:val="auto"/>
              </w:rPr>
              <w:t>31,896,705</w:t>
            </w:r>
          </w:p>
        </w:tc>
        <w:tc>
          <w:tcPr>
            <w:tcW w:w="240" w:type="dxa"/>
            <w:vAlign w:val="bottom"/>
            <w:shd w:val="clear" w:color="auto" w:fill="CCEEFF"/>
          </w:tcPr>
          <w:p>
            <w:pPr>
              <w:spacing w:after="0"/>
              <w:rPr>
                <w:sz w:val="21"/>
                <w:szCs w:val="21"/>
                <w:color w:val="auto"/>
              </w:rPr>
            </w:pPr>
          </w:p>
        </w:tc>
        <w:tc>
          <w:tcPr>
            <w:tcW w:w="3580" w:type="dxa"/>
            <w:vAlign w:val="bottom"/>
            <w:shd w:val="clear" w:color="auto" w:fill="CCEEFF"/>
          </w:tcPr>
          <w:p>
            <w:pPr>
              <w:jc w:val="right"/>
              <w:ind w:right="1439"/>
              <w:spacing w:after="0"/>
              <w:rPr>
                <w:sz w:val="20"/>
                <w:szCs w:val="20"/>
                <w:color w:val="auto"/>
              </w:rPr>
            </w:pPr>
            <w:r>
              <w:rPr>
                <w:rFonts w:ascii="Times New Roman" w:cs="Times New Roman" w:eastAsia="Times New Roman" w:hAnsi="Times New Roman"/>
                <w:sz w:val="18"/>
                <w:szCs w:val="18"/>
                <w:color w:val="auto"/>
              </w:rPr>
              <w:t>24,949</w:t>
            </w:r>
          </w:p>
        </w:tc>
        <w:tc>
          <w:tcPr>
            <w:tcW w:w="240" w:type="dxa"/>
            <w:vAlign w:val="bottom"/>
            <w:shd w:val="clear" w:color="auto" w:fill="CCEEFF"/>
          </w:tcPr>
          <w:p>
            <w:pPr>
              <w:spacing w:after="0"/>
              <w:rPr>
                <w:sz w:val="21"/>
                <w:szCs w:val="21"/>
                <w:color w:val="auto"/>
              </w:rPr>
            </w:pPr>
          </w:p>
        </w:tc>
        <w:tc>
          <w:tcPr>
            <w:tcW w:w="360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57,284</w:t>
            </w:r>
          </w:p>
        </w:tc>
      </w:tr>
      <w:tr>
        <w:trPr>
          <w:trHeight w:val="1749"/>
        </w:trPr>
        <w:tc>
          <w:tcPr>
            <w:tcW w:w="3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310" w:lineRule="exact"/>
        <w:rPr>
          <w:sz w:val="20"/>
          <w:szCs w:val="20"/>
          <w:color w:val="auto"/>
        </w:rPr>
      </w:pPr>
    </w:p>
    <w:p>
      <w:pPr>
        <w:ind w:left="40"/>
        <w:spacing w:after="0"/>
        <w:tabs>
          <w:tab w:leader="none" w:pos="680" w:val="left"/>
          <w:tab w:leader="none" w:pos="3560" w:val="left"/>
        </w:tabs>
        <w:rPr>
          <w:sz w:val="20"/>
          <w:szCs w:val="20"/>
          <w:color w:val="auto"/>
        </w:rPr>
      </w:pPr>
      <w:r>
        <w:rPr>
          <w:rFonts w:ascii="Times New Roman" w:cs="Times New Roman" w:eastAsia="Times New Roman" w:hAnsi="Times New Roman"/>
          <w:sz w:val="18"/>
          <w:szCs w:val="18"/>
          <w:color w:val="auto"/>
        </w:rPr>
        <w:t>Date:</w:t>
        <w:tab/>
        <w:t>June 18, 2024</w:t>
      </w:r>
      <w:r>
        <w:rPr>
          <w:sz w:val="20"/>
          <w:szCs w:val="20"/>
          <w:color w:val="auto"/>
        </w:rPr>
        <w:tab/>
      </w:r>
      <w:r>
        <w:rPr>
          <w:rFonts w:ascii="Times New Roman" w:cs="Times New Roman" w:eastAsia="Times New Roman" w:hAnsi="Times New Roman"/>
          <w:sz w:val="17"/>
          <w:szCs w:val="17"/>
          <w:color w:val="auto"/>
        </w:rPr>
        <w:t>/s/ Bryan Wahl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26035</wp:posOffset>
            </wp:positionV>
            <wp:extent cx="4886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4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Bryan Wahl</w:t>
      </w:r>
    </w:p>
    <w:p>
      <w:pPr>
        <w:spacing w:after="0" w:line="5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General Counsel and Secretary</w:t>
      </w:r>
    </w:p>
    <w:sectPr>
      <w:pgSz w:w="11900" w:h="16838" w:orient="portrait"/>
      <w:cols w:equalWidth="0" w:num="1">
        <w:col w:w="11240"/>
      </w:cols>
      <w:pgMar w:left="320" w:top="11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2024-06-18T15:38:21Z</dcterms:created>
  <dcterms:modified xsi:type="dcterms:W3CDTF">2024-06-18T15:38:21Z</dcterms:modified>
</cp:coreProperties>
</file>