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749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4929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Ackermann Michael</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10"/>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Tarsus Pharmaceuticals,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TARS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TARSUS PHARMACEUTICALS,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15440 LAGUNA CANYON ROAD, SUITE 160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10"/>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7"/>
                <w:szCs w:val="17"/>
                <w:color w:val="0000FF"/>
              </w:rPr>
              <w:t>IRVINE</w:t>
            </w:r>
          </w:p>
        </w:tc>
        <w:tc>
          <w:tcPr>
            <w:tcW w:w="1840" w:type="dxa"/>
            <w:vAlign w:val="bottom"/>
            <w:gridSpan w:val="3"/>
          </w:tcPr>
          <w:p>
            <w:pPr>
              <w:ind w:left="620"/>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4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7"/>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06/15/2021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0000FF"/>
                <w:w w:val="83"/>
              </w:rPr>
              <w:t>4,257</w:t>
            </w:r>
            <w:r>
              <w:rPr>
                <w:rFonts w:ascii="Arial" w:cs="Arial" w:eastAsia="Arial" w:hAnsi="Arial"/>
                <w:sz w:val="21"/>
                <w:szCs w:val="21"/>
                <w:color w:val="008000"/>
                <w:w w:val="83"/>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1,233,181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92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8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35.26</w:t>
            </w: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06/15/2021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ind w:left="21"/>
              <w:spacing w:after="0"/>
              <w:rPr>
                <w:sz w:val="20"/>
                <w:szCs w:val="20"/>
                <w:color w:val="auto"/>
              </w:rPr>
            </w:pPr>
            <w:r>
              <w:rPr>
                <w:rFonts w:ascii="Arial" w:cs="Arial" w:eastAsia="Arial" w:hAnsi="Arial"/>
                <w:sz w:val="13"/>
                <w:szCs w:val="13"/>
                <w:color w:val="0000FF"/>
                <w:w w:val="85"/>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3"/>
          </w:tcPr>
          <w:p>
            <w:pPr>
              <w:jc w:val="center"/>
              <w:ind w:right="20"/>
              <w:spacing w:after="0"/>
              <w:rPr>
                <w:sz w:val="20"/>
                <w:szCs w:val="20"/>
                <w:color w:val="auto"/>
              </w:rPr>
            </w:pPr>
            <w:r>
              <w:rPr>
                <w:rFonts w:ascii="Arial" w:cs="Arial" w:eastAsia="Arial" w:hAnsi="Arial"/>
                <w:sz w:val="13"/>
                <w:szCs w:val="13"/>
                <w:color w:val="0000FF"/>
                <w:w w:val="92"/>
              </w:rPr>
              <w:t>06/15/2031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35.26</w:t>
            </w: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06/15/2021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ind w:left="21"/>
              <w:spacing w:after="0"/>
              <w:rPr>
                <w:sz w:val="20"/>
                <w:szCs w:val="20"/>
                <w:color w:val="auto"/>
              </w:rPr>
            </w:pPr>
            <w:r>
              <w:rPr>
                <w:rFonts w:ascii="Arial" w:cs="Arial" w:eastAsia="Arial" w:hAnsi="Arial"/>
                <w:sz w:val="13"/>
                <w:szCs w:val="13"/>
                <w:color w:val="0000FF"/>
                <w:w w:val="85"/>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3"/>
          </w:tcPr>
          <w:p>
            <w:pPr>
              <w:jc w:val="center"/>
              <w:ind w:right="20"/>
              <w:spacing w:after="0"/>
              <w:rPr>
                <w:sz w:val="20"/>
                <w:szCs w:val="20"/>
                <w:color w:val="auto"/>
              </w:rPr>
            </w:pPr>
            <w:r>
              <w:rPr>
                <w:rFonts w:ascii="Arial" w:cs="Arial" w:eastAsia="Arial" w:hAnsi="Arial"/>
                <w:sz w:val="13"/>
                <w:szCs w:val="13"/>
                <w:color w:val="0000FF"/>
                <w:w w:val="92"/>
              </w:rPr>
              <w:t>06/15/2031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4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008000"/>
                <w:w w:val="88"/>
              </w:rPr>
              <w:t>(5)</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4,257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9"/>
              </w:rPr>
              <w:t>06/15/2021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line="142" w:lineRule="exact"/>
              <w:rPr>
                <w:sz w:val="20"/>
                <w:szCs w:val="20"/>
                <w:color w:val="auto"/>
              </w:rPr>
            </w:pPr>
            <w:r>
              <w:rPr>
                <w:rFonts w:ascii="Arial" w:cs="Arial" w:eastAsia="Arial" w:hAnsi="Arial"/>
                <w:sz w:val="13"/>
                <w:szCs w:val="13"/>
                <w:color w:val="0000FF"/>
                <w:w w:val="92"/>
              </w:rPr>
              <w:t>4,257</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restart"/>
          </w:tcPr>
          <w:p>
            <w:pPr>
              <w:jc w:val="center"/>
              <w:ind w:left="160"/>
              <w:spacing w:after="0" w:line="142" w:lineRule="exact"/>
              <w:rPr>
                <w:sz w:val="20"/>
                <w:szCs w:val="20"/>
                <w:color w:val="auto"/>
              </w:rPr>
            </w:pPr>
            <w:r>
              <w:rPr>
                <w:rFonts w:ascii="Arial" w:cs="Arial" w:eastAsia="Arial" w:hAnsi="Arial"/>
                <w:sz w:val="13"/>
                <w:szCs w:val="13"/>
                <w:color w:val="0000FF"/>
                <w:w w:val="92"/>
              </w:rPr>
              <w:t>4,257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-2894330</wp:posOffset>
            </wp:positionV>
            <wp:extent cx="29210" cy="2899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994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was granted restricted stock units ("RSUs") in connection with the Reporting Person's service as a non-employee director as of the closing of the Company's initial public offering and continued service as of the Company's 2021 annual meeting of stockholders. The RSUs are fully vested as of the date of grant.</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option granted in connection with the Reporting Person's service as a non-employee director as of the Company's 2021 annual meeting of stockholders. The option will vest in full on the one-year anniversary of the date of grant, subject to the non-employee director's continuous service.</w:t>
      </w:r>
    </w:p>
    <w:p>
      <w:pPr>
        <w:spacing w:after="0" w:line="25" w:lineRule="exact"/>
        <w:rPr>
          <w:rFonts w:ascii="Arial" w:cs="Arial" w:eastAsia="Arial" w:hAnsi="Arial"/>
          <w:sz w:val="13"/>
          <w:szCs w:val="13"/>
          <w:color w:val="008000"/>
        </w:rPr>
      </w:pPr>
    </w:p>
    <w:p>
      <w:pPr>
        <w:ind w:left="40" w:right="2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 granted in connection with the Reporting Person's service as a non-employee director as of the closing of the Company's initial public offering and continued service as of the Company's 2021 annual meeting of stockholders. The option is fully vested.</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Company's common stock.</w:t>
      </w:r>
    </w:p>
    <w:p>
      <w:pPr>
        <w:spacing w:after="0" w:line="43" w:lineRule="exact"/>
        <w:rPr>
          <w:rFonts w:ascii="Arial" w:cs="Arial" w:eastAsia="Arial" w:hAnsi="Arial"/>
          <w:sz w:val="13"/>
          <w:szCs w:val="13"/>
          <w:color w:val="008000"/>
        </w:rPr>
      </w:pPr>
    </w:p>
    <w:p>
      <w:pPr>
        <w:ind w:left="40" w:right="2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RSUs granted in connection with the Reporting Person's service as a non-employee director as of the Company's 2021 annual meeting of stockholders. The RSUs will vest in full on the one-year anniversary of the date of grant, subject to the non-employee director's continuous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Leo Greenstein</w:t>
            </w:r>
          </w:p>
        </w:tc>
        <w:tc>
          <w:tcPr>
            <w:tcW w:w="760" w:type="dxa"/>
            <w:vAlign w:val="bottom"/>
          </w:tcPr>
          <w:p>
            <w:pPr>
              <w:spacing w:after="0"/>
              <w:rPr>
                <w:sz w:val="20"/>
                <w:szCs w:val="20"/>
                <w:color w:val="auto"/>
              </w:rPr>
            </w:pPr>
            <w:r>
              <w:rPr>
                <w:rFonts w:ascii="Arial" w:cs="Arial" w:eastAsia="Arial" w:hAnsi="Arial"/>
                <w:sz w:val="17"/>
                <w:szCs w:val="17"/>
                <w:color w:val="0000FF"/>
                <w:w w:val="86"/>
              </w:rPr>
              <w:t>06/17/2021</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24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2021-06-17T18:20:19Z</dcterms:created>
  <dcterms:modified xsi:type="dcterms:W3CDTF">2021-06-17T18:20:19Z</dcterms:modified>
</cp:coreProperties>
</file>