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Vivo Capital IX, LLC</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VIVO CAPITAL LLC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192 LYTTON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129"/>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Tarsus Pharmaceuticals,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TARS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10/20/2020</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31" w:lineRule="exact"/>
        <w:rPr>
          <w:sz w:val="24"/>
          <w:szCs w:val="24"/>
          <w:color w:val="auto"/>
        </w:rPr>
      </w:pPr>
    </w:p>
    <w:p>
      <w:pPr>
        <w:sectPr>
          <w:pgSz w:w="11900" w:h="16838" w:orient="portrait"/>
          <w:cols w:equalWidth="0" w:num="3">
            <w:col w:w="3180" w:space="720"/>
            <w:col w:w="3109" w:space="720"/>
            <w:col w:w="3351"/>
          </w:cols>
          <w:pgMar w:left="460" w:top="218"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320" w:type="dxa"/>
            <w:vAlign w:val="bottom"/>
            <w:gridSpan w:val="8"/>
          </w:tcPr>
          <w:p>
            <w:pPr>
              <w:jc w:val="center"/>
              <w:ind w:left="77"/>
              <w:spacing w:after="0"/>
              <w:rPr>
                <w:sz w:val="20"/>
                <w:szCs w:val="20"/>
                <w:color w:val="auto"/>
              </w:rPr>
            </w:pPr>
            <w:r>
              <w:rPr>
                <w:rFonts w:ascii="Arial" w:cs="Arial" w:eastAsia="Arial" w:hAnsi="Arial"/>
                <w:sz w:val="13"/>
                <w:szCs w:val="13"/>
                <w:color w:val="auto"/>
                <w:w w:val="96"/>
              </w:rPr>
              <w:t>4. If Amendment, Date of Original Filed (Month/Day/Year)</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PALO ALTO</w:t>
            </w: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CA</w:t>
            </w:r>
          </w:p>
        </w:tc>
        <w:tc>
          <w:tcPr>
            <w:tcW w:w="1020" w:type="dxa"/>
            <w:vAlign w:val="bottom"/>
            <w:vMerge w:val="restart"/>
          </w:tcPr>
          <w:p>
            <w:pPr>
              <w:ind w:left="40"/>
              <w:spacing w:after="0"/>
              <w:rPr>
                <w:sz w:val="20"/>
                <w:szCs w:val="20"/>
                <w:color w:val="auto"/>
              </w:rPr>
            </w:pPr>
            <w:r>
              <w:rPr>
                <w:rFonts w:ascii="Arial" w:cs="Arial" w:eastAsia="Arial" w:hAnsi="Arial"/>
                <w:sz w:val="16"/>
                <w:szCs w:val="16"/>
                <w:color w:val="0000FF"/>
              </w:rPr>
              <w:t>94301</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gridSpan w:val="2"/>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68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7"/>
          </w:tcPr>
          <w:p>
            <w:pPr>
              <w:jc w:val="center"/>
              <w:ind w:left="67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94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8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380" w:type="dxa"/>
            <w:vAlign w:val="bottom"/>
          </w:tcPr>
          <w:p>
            <w:pPr>
              <w:spacing w:after="0"/>
              <w:rPr>
                <w:sz w:val="10"/>
                <w:szCs w:val="10"/>
                <w:color w:val="auto"/>
              </w:rPr>
            </w:pPr>
          </w:p>
        </w:tc>
        <w:tc>
          <w:tcPr>
            <w:tcW w:w="3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920"/>
              <w:spacing w:after="0"/>
              <w:rPr>
                <w:sz w:val="20"/>
                <w:szCs w:val="20"/>
                <w:color w:val="auto"/>
              </w:rPr>
            </w:pPr>
            <w:r>
              <w:rPr>
                <w:rFonts w:ascii="Arial" w:cs="Arial" w:eastAsia="Arial" w:hAnsi="Arial"/>
                <w:sz w:val="16"/>
                <w:szCs w:val="16"/>
                <w:color w:val="0000FF"/>
              </w:rPr>
              <w:t>10/20/2020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41"/>
              <w:spacing w:after="0"/>
              <w:rPr>
                <w:sz w:val="20"/>
                <w:szCs w:val="20"/>
                <w:color w:val="auto"/>
              </w:rPr>
            </w:pPr>
            <w:r>
              <w:rPr>
                <w:rFonts w:ascii="Arial" w:cs="Arial" w:eastAsia="Arial" w:hAnsi="Arial"/>
                <w:sz w:val="16"/>
                <w:szCs w:val="16"/>
                <w:color w:val="0000FF"/>
                <w:w w:val="89"/>
              </w:rPr>
              <w:t>2,780,754</w:t>
            </w:r>
          </w:p>
        </w:tc>
        <w:tc>
          <w:tcPr>
            <w:tcW w:w="2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4"/>
              <w:spacing w:after="0"/>
              <w:rPr>
                <w:sz w:val="20"/>
                <w:szCs w:val="20"/>
                <w:color w:val="auto"/>
              </w:rPr>
            </w:pPr>
            <w:r>
              <w:rPr>
                <w:rFonts w:ascii="Arial" w:cs="Arial" w:eastAsia="Arial" w:hAnsi="Arial"/>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2,780,754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3"/>
              <w:spacing w:after="0" w:line="299" w:lineRule="exact"/>
              <w:rPr>
                <w:sz w:val="20"/>
                <w:szCs w:val="20"/>
                <w:color w:val="auto"/>
              </w:rPr>
            </w:pPr>
            <w:r>
              <w:rPr>
                <w:rFonts w:ascii="Arial" w:cs="Arial" w:eastAsia="Arial" w:hAnsi="Arial"/>
                <w:sz w:val="32"/>
                <w:szCs w:val="32"/>
                <w:color w:val="0000FF"/>
                <w:w w:val="79"/>
                <w:vertAlign w:val="subscript"/>
              </w:rPr>
              <w:t>D</w:t>
            </w:r>
            <w:r>
              <w:rPr>
                <w:rFonts w:ascii="Arial" w:cs="Arial" w:eastAsia="Arial" w:hAnsi="Arial"/>
                <w:sz w:val="10"/>
                <w:szCs w:val="10"/>
                <w:color w:val="008000"/>
                <w:w w:val="79"/>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920"/>
              <w:spacing w:after="0"/>
              <w:rPr>
                <w:sz w:val="20"/>
                <w:szCs w:val="20"/>
                <w:color w:val="auto"/>
              </w:rPr>
            </w:pPr>
            <w:r>
              <w:rPr>
                <w:rFonts w:ascii="Arial" w:cs="Arial" w:eastAsia="Arial" w:hAnsi="Arial"/>
                <w:sz w:val="16"/>
                <w:szCs w:val="16"/>
                <w:color w:val="0000FF"/>
              </w:rPr>
              <w:t>10/20/2020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41"/>
              <w:spacing w:after="0"/>
              <w:rPr>
                <w:sz w:val="20"/>
                <w:szCs w:val="20"/>
                <w:color w:val="auto"/>
              </w:rPr>
            </w:pPr>
            <w:r>
              <w:rPr>
                <w:rFonts w:ascii="Arial" w:cs="Arial" w:eastAsia="Arial" w:hAnsi="Arial"/>
                <w:sz w:val="16"/>
                <w:szCs w:val="16"/>
                <w:color w:val="0000FF"/>
                <w:w w:val="89"/>
              </w:rPr>
              <w:t>214,281</w:t>
            </w:r>
          </w:p>
        </w:tc>
        <w:tc>
          <w:tcPr>
            <w:tcW w:w="2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4"/>
              <w:spacing w:after="0"/>
              <w:rPr>
                <w:sz w:val="20"/>
                <w:szCs w:val="20"/>
                <w:color w:val="auto"/>
              </w:rPr>
            </w:pPr>
            <w:r>
              <w:rPr>
                <w:rFonts w:ascii="Arial" w:cs="Arial" w:eastAsia="Arial" w:hAnsi="Arial"/>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2,995,035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3"/>
              <w:spacing w:after="0" w:line="299" w:lineRule="exact"/>
              <w:rPr>
                <w:sz w:val="20"/>
                <w:szCs w:val="20"/>
                <w:color w:val="auto"/>
              </w:rPr>
            </w:pPr>
            <w:r>
              <w:rPr>
                <w:rFonts w:ascii="Arial" w:cs="Arial" w:eastAsia="Arial" w:hAnsi="Arial"/>
                <w:sz w:val="32"/>
                <w:szCs w:val="32"/>
                <w:color w:val="0000FF"/>
                <w:w w:val="79"/>
                <w:vertAlign w:val="subscript"/>
              </w:rPr>
              <w:t>D</w:t>
            </w:r>
            <w:r>
              <w:rPr>
                <w:rFonts w:ascii="Arial" w:cs="Arial" w:eastAsia="Arial" w:hAnsi="Arial"/>
                <w:sz w:val="10"/>
                <w:szCs w:val="10"/>
                <w:color w:val="008000"/>
                <w:w w:val="79"/>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60" w:type="dxa"/>
            <w:vAlign w:val="bottom"/>
            <w:gridSpan w:val="4"/>
          </w:tcPr>
          <w:p>
            <w:pPr>
              <w:ind w:left="920"/>
              <w:spacing w:after="0"/>
              <w:rPr>
                <w:sz w:val="20"/>
                <w:szCs w:val="20"/>
                <w:color w:val="auto"/>
              </w:rPr>
            </w:pPr>
            <w:r>
              <w:rPr>
                <w:rFonts w:ascii="Arial" w:cs="Arial" w:eastAsia="Arial" w:hAnsi="Arial"/>
                <w:sz w:val="16"/>
                <w:szCs w:val="16"/>
                <w:color w:val="0000FF"/>
              </w:rPr>
              <w:t>10/20/2020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0000FF"/>
              </w:rPr>
              <w:t>P</w:t>
            </w:r>
          </w:p>
        </w:tc>
        <w:tc>
          <w:tcPr>
            <w:tcW w:w="160" w:type="dxa"/>
            <w:vAlign w:val="bottom"/>
          </w:tcPr>
          <w:p>
            <w:pPr>
              <w:spacing w:after="0"/>
              <w:rPr>
                <w:sz w:val="21"/>
                <w:szCs w:val="21"/>
                <w:color w:val="auto"/>
              </w:rPr>
            </w:pPr>
          </w:p>
        </w:tc>
        <w:tc>
          <w:tcPr>
            <w:tcW w:w="900" w:type="dxa"/>
            <w:vAlign w:val="bottom"/>
            <w:gridSpan w:val="2"/>
          </w:tcPr>
          <w:p>
            <w:pPr>
              <w:jc w:val="center"/>
              <w:ind w:right="41"/>
              <w:spacing w:after="0"/>
              <w:rPr>
                <w:sz w:val="20"/>
                <w:szCs w:val="20"/>
                <w:color w:val="auto"/>
              </w:rPr>
            </w:pPr>
            <w:r>
              <w:rPr>
                <w:rFonts w:ascii="Arial" w:cs="Arial" w:eastAsia="Arial" w:hAnsi="Arial"/>
                <w:sz w:val="16"/>
                <w:szCs w:val="16"/>
                <w:color w:val="0000FF"/>
                <w:w w:val="89"/>
              </w:rPr>
              <w:t>250,000</w:t>
            </w:r>
          </w:p>
        </w:tc>
        <w:tc>
          <w:tcPr>
            <w:tcW w:w="260" w:type="dxa"/>
            <w:vAlign w:val="bottom"/>
          </w:tcPr>
          <w:p>
            <w:pPr>
              <w:ind w:left="120"/>
              <w:spacing w:after="0"/>
              <w:rPr>
                <w:sz w:val="20"/>
                <w:szCs w:val="20"/>
                <w:color w:val="auto"/>
              </w:rPr>
            </w:pPr>
            <w:r>
              <w:rPr>
                <w:rFonts w:ascii="Arial" w:cs="Arial" w:eastAsia="Arial" w:hAnsi="Arial"/>
                <w:sz w:val="16"/>
                <w:szCs w:val="16"/>
                <w:color w:val="0000FF"/>
              </w:rPr>
              <w:t>A</w:t>
            </w:r>
          </w:p>
        </w:tc>
        <w:tc>
          <w:tcPr>
            <w:tcW w:w="60" w:type="dxa"/>
            <w:vAlign w:val="bottom"/>
          </w:tcPr>
          <w:p>
            <w:pPr>
              <w:spacing w:after="0"/>
              <w:rPr>
                <w:sz w:val="21"/>
                <w:szCs w:val="21"/>
                <w:color w:val="auto"/>
              </w:rPr>
            </w:pPr>
          </w:p>
        </w:tc>
        <w:tc>
          <w:tcPr>
            <w:tcW w:w="660" w:type="dxa"/>
            <w:vAlign w:val="bottom"/>
          </w:tcPr>
          <w:p>
            <w:pPr>
              <w:jc w:val="center"/>
              <w:ind w:left="94"/>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16</w:t>
            </w:r>
          </w:p>
        </w:tc>
        <w:tc>
          <w:tcPr>
            <w:tcW w:w="6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color w:val="0000FF"/>
              </w:rPr>
              <w:t>3,245,035</w:t>
            </w:r>
          </w:p>
        </w:tc>
        <w:tc>
          <w:tcPr>
            <w:tcW w:w="280" w:type="dxa"/>
            <w:vAlign w:val="bottom"/>
          </w:tcPr>
          <w:p>
            <w:pPr>
              <w:spacing w:after="0"/>
              <w:rPr>
                <w:sz w:val="21"/>
                <w:szCs w:val="21"/>
                <w:color w:val="auto"/>
              </w:rPr>
            </w:pPr>
          </w:p>
        </w:tc>
        <w:tc>
          <w:tcPr>
            <w:tcW w:w="660" w:type="dxa"/>
            <w:vAlign w:val="bottom"/>
          </w:tcPr>
          <w:p>
            <w:pPr>
              <w:jc w:val="center"/>
              <w:ind w:right="343"/>
              <w:spacing w:after="0"/>
              <w:rPr>
                <w:sz w:val="20"/>
                <w:szCs w:val="20"/>
                <w:color w:val="auto"/>
              </w:rPr>
            </w:pPr>
            <w:r>
              <w:rPr>
                <w:rFonts w:ascii="Arial" w:cs="Arial" w:eastAsia="Arial" w:hAnsi="Arial"/>
                <w:sz w:val="16"/>
                <w:szCs w:val="16"/>
                <w:color w:val="0000FF"/>
                <w:w w:val="86"/>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jc w:val="right"/>
              <w:ind w:right="27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gridSpan w:val="15"/>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148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148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5"/>
              <w:spacing w:after="0"/>
              <w:rPr>
                <w:sz w:val="20"/>
                <w:szCs w:val="20"/>
                <w:color w:val="auto"/>
              </w:rPr>
            </w:pPr>
            <w:r>
              <w:rPr>
                <w:rFonts w:ascii="Arial" w:cs="Arial" w:eastAsia="Arial" w:hAnsi="Arial"/>
                <w:sz w:val="10"/>
                <w:szCs w:val="10"/>
                <w:color w:val="008000"/>
                <w:w w:val="97"/>
              </w:rPr>
              <w:t>(1)</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0000FF"/>
                <w:w w:val="89"/>
              </w:rPr>
              <w:t>2,780,754</w:t>
            </w:r>
          </w:p>
        </w:tc>
        <w:tc>
          <w:tcPr>
            <w:tcW w:w="60" w:type="dxa"/>
            <w:vAlign w:val="bottom"/>
          </w:tcPr>
          <w:p>
            <w:pPr>
              <w:spacing w:after="0"/>
              <w:rPr>
                <w:sz w:val="15"/>
                <w:szCs w:val="15"/>
                <w:color w:val="auto"/>
              </w:rPr>
            </w:pPr>
          </w:p>
        </w:tc>
        <w:tc>
          <w:tcPr>
            <w:tcW w:w="680" w:type="dxa"/>
            <w:vAlign w:val="bottom"/>
            <w:vMerge w:val="restart"/>
          </w:tcPr>
          <w:p>
            <w:pPr>
              <w:jc w:val="right"/>
              <w:ind w:right="279"/>
              <w:spacing w:after="0"/>
              <w:rPr>
                <w:sz w:val="20"/>
                <w:szCs w:val="20"/>
                <w:color w:val="auto"/>
              </w:rPr>
            </w:pPr>
            <w:r>
              <w:rPr>
                <w:rFonts w:ascii="Arial" w:cs="Arial" w:eastAsia="Arial" w:hAnsi="Arial"/>
                <w:sz w:val="10"/>
                <w:szCs w:val="10"/>
                <w:color w:val="008000"/>
              </w:rPr>
              <w:t>(1)</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ind w:left="240"/>
              <w:spacing w:after="0" w:line="121" w:lineRule="exact"/>
              <w:rPr>
                <w:sz w:val="20"/>
                <w:szCs w:val="20"/>
                <w:color w:val="auto"/>
              </w:rPr>
            </w:pPr>
            <w:r>
              <w:rPr>
                <w:rFonts w:ascii="Arial" w:cs="Arial" w:eastAsia="Arial" w:hAnsi="Arial"/>
                <w:sz w:val="13"/>
                <w:szCs w:val="13"/>
                <w:color w:val="0000FF"/>
              </w:rPr>
              <w:t>10/20/2020</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ind w:left="100"/>
              <w:spacing w:after="0" w:line="121" w:lineRule="exact"/>
              <w:rPr>
                <w:sz w:val="20"/>
                <w:szCs w:val="20"/>
                <w:color w:val="auto"/>
              </w:rPr>
            </w:pPr>
            <w:r>
              <w:rPr>
                <w:rFonts w:ascii="Arial" w:cs="Arial" w:eastAsia="Arial" w:hAnsi="Arial"/>
                <w:sz w:val="13"/>
                <w:szCs w:val="13"/>
                <w:color w:val="0000FF"/>
              </w:rPr>
              <w:t>C</w:t>
            </w:r>
          </w:p>
        </w:tc>
        <w:tc>
          <w:tcPr>
            <w:tcW w:w="900" w:type="dxa"/>
            <w:vAlign w:val="bottom"/>
          </w:tcPr>
          <w:p>
            <w:pPr>
              <w:jc w:val="right"/>
              <w:ind w:right="43"/>
              <w:spacing w:after="0" w:line="121" w:lineRule="exact"/>
              <w:rPr>
                <w:sz w:val="20"/>
                <w:szCs w:val="20"/>
                <w:color w:val="auto"/>
              </w:rPr>
            </w:pPr>
            <w:r>
              <w:rPr>
                <w:rFonts w:ascii="Arial" w:cs="Arial" w:eastAsia="Arial" w:hAnsi="Arial"/>
                <w:sz w:val="13"/>
                <w:szCs w:val="13"/>
                <w:color w:val="0000FF"/>
              </w:rPr>
              <w:t>2,780,754</w:t>
            </w: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ind w:left="360"/>
              <w:spacing w:after="0" w:line="12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140"/>
              <w:spacing w:after="0" w:line="138" w:lineRule="exact"/>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5"/>
              <w:spacing w:after="0"/>
              <w:rPr>
                <w:sz w:val="20"/>
                <w:szCs w:val="20"/>
                <w:color w:val="auto"/>
              </w:rPr>
            </w:pPr>
            <w:r>
              <w:rPr>
                <w:rFonts w:ascii="Arial" w:cs="Arial" w:eastAsia="Arial" w:hAnsi="Arial"/>
                <w:sz w:val="10"/>
                <w:szCs w:val="10"/>
                <w:color w:val="008000"/>
                <w:w w:val="97"/>
              </w:rPr>
              <w:t>(1)</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15"/>
                <w:szCs w:val="15"/>
                <w:color w:val="auto"/>
              </w:rPr>
            </w:pPr>
          </w:p>
        </w:tc>
        <w:tc>
          <w:tcPr>
            <w:tcW w:w="660" w:type="dxa"/>
            <w:vAlign w:val="bottom"/>
            <w:vMerge w:val="restart"/>
          </w:tcPr>
          <w:p>
            <w:pPr>
              <w:jc w:val="right"/>
              <w:ind w:right="54"/>
              <w:spacing w:after="0"/>
              <w:rPr>
                <w:sz w:val="20"/>
                <w:szCs w:val="20"/>
                <w:color w:val="auto"/>
              </w:rPr>
            </w:pPr>
            <w:r>
              <w:rPr>
                <w:rFonts w:ascii="Arial" w:cs="Arial" w:eastAsia="Arial" w:hAnsi="Arial"/>
                <w:sz w:val="16"/>
                <w:szCs w:val="16"/>
                <w:color w:val="0000FF"/>
                <w:w w:val="89"/>
              </w:rPr>
              <w:t>214,281</w:t>
            </w:r>
          </w:p>
        </w:tc>
        <w:tc>
          <w:tcPr>
            <w:tcW w:w="60" w:type="dxa"/>
            <w:vAlign w:val="bottom"/>
          </w:tcPr>
          <w:p>
            <w:pPr>
              <w:spacing w:after="0"/>
              <w:rPr>
                <w:sz w:val="15"/>
                <w:szCs w:val="15"/>
                <w:color w:val="auto"/>
              </w:rPr>
            </w:pPr>
          </w:p>
        </w:tc>
        <w:tc>
          <w:tcPr>
            <w:tcW w:w="680" w:type="dxa"/>
            <w:vAlign w:val="bottom"/>
            <w:vMerge w:val="restart"/>
          </w:tcPr>
          <w:p>
            <w:pPr>
              <w:jc w:val="right"/>
              <w:ind w:right="279"/>
              <w:spacing w:after="0"/>
              <w:rPr>
                <w:sz w:val="20"/>
                <w:szCs w:val="20"/>
                <w:color w:val="auto"/>
              </w:rPr>
            </w:pPr>
            <w:r>
              <w:rPr>
                <w:rFonts w:ascii="Arial" w:cs="Arial" w:eastAsia="Arial" w:hAnsi="Arial"/>
                <w:sz w:val="10"/>
                <w:szCs w:val="10"/>
                <w:color w:val="008000"/>
              </w:rPr>
              <w:t>(1)</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Arial" w:cs="Arial" w:eastAsia="Arial" w:hAnsi="Arial"/>
                <w:sz w:val="13"/>
                <w:szCs w:val="13"/>
                <w:color w:val="0000FF"/>
              </w:rPr>
              <w:t>10/20/2020</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vMerge w:val="restart"/>
          </w:tcPr>
          <w:p>
            <w:pPr>
              <w:ind w:left="100"/>
              <w:spacing w:after="0" w:line="138" w:lineRule="exact"/>
              <w:rPr>
                <w:sz w:val="20"/>
                <w:szCs w:val="20"/>
                <w:color w:val="auto"/>
              </w:rPr>
            </w:pPr>
            <w:r>
              <w:rPr>
                <w:rFonts w:ascii="Arial" w:cs="Arial" w:eastAsia="Arial" w:hAnsi="Arial"/>
                <w:sz w:val="13"/>
                <w:szCs w:val="13"/>
                <w:color w:val="0000FF"/>
              </w:rPr>
              <w:t>C</w:t>
            </w:r>
          </w:p>
        </w:tc>
        <w:tc>
          <w:tcPr>
            <w:tcW w:w="900" w:type="dxa"/>
            <w:vAlign w:val="bottom"/>
            <w:vMerge w:val="restart"/>
          </w:tcPr>
          <w:p>
            <w:pPr>
              <w:jc w:val="right"/>
              <w:ind w:right="83"/>
              <w:spacing w:after="0" w:line="138" w:lineRule="exact"/>
              <w:rPr>
                <w:sz w:val="20"/>
                <w:szCs w:val="20"/>
                <w:color w:val="auto"/>
              </w:rPr>
            </w:pPr>
            <w:r>
              <w:rPr>
                <w:rFonts w:ascii="Arial" w:cs="Arial" w:eastAsia="Arial" w:hAnsi="Arial"/>
                <w:sz w:val="13"/>
                <w:szCs w:val="13"/>
                <w:color w:val="0000FF"/>
              </w:rPr>
              <w:t>214,281</w:t>
            </w: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3"/>
                <w:szCs w:val="13"/>
                <w:color w:val="0000FF"/>
              </w:rPr>
              <w:t>Stock</w:t>
            </w: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Vivo Capital IX, LLC</w:t>
              </w:r>
            </w:hyperlink>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sz w:val="20"/>
                <w:szCs w:val="20"/>
                <w:color w:val="auto"/>
              </w:rPr>
            </w:pPr>
            <w:r>
              <w:rPr>
                <w:rFonts w:ascii="Arial" w:cs="Arial" w:eastAsia="Arial" w:hAnsi="Arial"/>
                <w:sz w:val="16"/>
                <w:szCs w:val="16"/>
                <w:color w:val="0000FF"/>
              </w:rPr>
              <w:t>C/O VIVO CAPITAL LLC</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4"/>
          </w:tcPr>
          <w:p>
            <w:pPr>
              <w:ind w:left="20"/>
              <w:spacing w:after="0"/>
              <w:rPr>
                <w:sz w:val="20"/>
                <w:szCs w:val="20"/>
                <w:color w:val="auto"/>
              </w:rPr>
            </w:pPr>
            <w:r>
              <w:rPr>
                <w:rFonts w:ascii="Arial" w:cs="Arial" w:eastAsia="Arial" w:hAnsi="Arial"/>
                <w:sz w:val="16"/>
                <w:szCs w:val="16"/>
                <w:color w:val="0000FF"/>
              </w:rPr>
              <w:t>192 LYTTON AVENUE</w:t>
            </w: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PALO ALTO</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0000FF"/>
              </w:rPr>
              <w:t>CA</w:t>
            </w:r>
          </w:p>
        </w:tc>
        <w:tc>
          <w:tcPr>
            <w:tcW w:w="1020" w:type="dxa"/>
            <w:vAlign w:val="bottom"/>
          </w:tcPr>
          <w:p>
            <w:pPr>
              <w:ind w:left="400"/>
              <w:spacing w:after="0"/>
              <w:rPr>
                <w:sz w:val="20"/>
                <w:szCs w:val="20"/>
                <w:color w:val="auto"/>
              </w:rPr>
            </w:pPr>
            <w:r>
              <w:rPr>
                <w:rFonts w:ascii="Arial" w:cs="Arial" w:eastAsia="Arial" w:hAnsi="Arial"/>
                <w:sz w:val="16"/>
                <w:szCs w:val="16"/>
                <w:color w:val="0000FF"/>
              </w:rPr>
              <w:t>94301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tcBorders>
              <w:bottom w:val="single" w:sz="8" w:color="2C2C2C"/>
            </w:tcBorders>
            <w:gridSpan w:val="5"/>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rFonts w:ascii="Arial" w:cs="Arial" w:eastAsia="Arial" w:hAnsi="Arial"/>
                <w:sz w:val="20"/>
                <w:szCs w:val="20"/>
                <w:u w:val="single" w:color="auto"/>
                <w:color w:val="0000EE"/>
              </w:rPr>
            </w:pPr>
            <w:hyperlink r:id="rId15">
              <w:r>
                <w:rPr>
                  <w:rFonts w:ascii="Arial" w:cs="Arial" w:eastAsia="Arial" w:hAnsi="Arial"/>
                  <w:sz w:val="20"/>
                  <w:szCs w:val="20"/>
                  <w:u w:val="single" w:color="auto"/>
                  <w:color w:val="0000EE"/>
                </w:rPr>
                <w:t>Vivo Capital Fund IX, L.P.</w:t>
              </w:r>
            </w:hyperlink>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4"/>
          </w:tcPr>
          <w:p>
            <w:pPr>
              <w:ind w:left="20"/>
              <w:spacing w:after="0"/>
              <w:rPr>
                <w:sz w:val="20"/>
                <w:szCs w:val="20"/>
                <w:color w:val="auto"/>
              </w:rPr>
            </w:pPr>
            <w:r>
              <w:rPr>
                <w:rFonts w:ascii="Arial" w:cs="Arial" w:eastAsia="Arial" w:hAnsi="Arial"/>
                <w:sz w:val="16"/>
                <w:szCs w:val="16"/>
                <w:color w:val="0000FF"/>
              </w:rPr>
              <w:t>C/O VIVO CAPITAL LLC</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4"/>
          </w:tcPr>
          <w:p>
            <w:pPr>
              <w:ind w:left="20"/>
              <w:spacing w:after="0"/>
              <w:rPr>
                <w:sz w:val="20"/>
                <w:szCs w:val="20"/>
                <w:color w:val="auto"/>
              </w:rPr>
            </w:pPr>
            <w:r>
              <w:rPr>
                <w:rFonts w:ascii="Arial" w:cs="Arial" w:eastAsia="Arial" w:hAnsi="Arial"/>
                <w:sz w:val="16"/>
                <w:szCs w:val="16"/>
                <w:color w:val="0000FF"/>
              </w:rPr>
              <w:t>192 LYTTON AVENUE</w:t>
            </w: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PALO ALTO</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0000FF"/>
              </w:rPr>
              <w:t>CA</w:t>
            </w:r>
          </w:p>
        </w:tc>
        <w:tc>
          <w:tcPr>
            <w:tcW w:w="1020" w:type="dxa"/>
            <w:vAlign w:val="bottom"/>
          </w:tcPr>
          <w:p>
            <w:pPr>
              <w:ind w:left="400"/>
              <w:spacing w:after="0"/>
              <w:rPr>
                <w:sz w:val="20"/>
                <w:szCs w:val="20"/>
                <w:color w:val="auto"/>
              </w:rPr>
            </w:pPr>
            <w:r>
              <w:rPr>
                <w:rFonts w:ascii="Arial" w:cs="Arial" w:eastAsia="Arial" w:hAnsi="Arial"/>
                <w:sz w:val="16"/>
                <w:szCs w:val="16"/>
                <w:color w:val="0000FF"/>
              </w:rPr>
              <w:t>94301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-6740525</wp:posOffset>
            </wp:positionV>
            <wp:extent cx="7035800" cy="6805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5800" cy="680529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26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Immediately prior to the closing of the Issuer's initial public offering, each share of Series B Preferred Stock and Series C Preferred Stock (collectively, the "Preferred Stock") automatically converted into shares of the Issuer's common stock, par value $0.0001 per share, on a one-for-one basis. The shares of Preferred Stock had no expiration date.</w:t>
      </w:r>
    </w:p>
    <w:p>
      <w:pPr>
        <w:spacing w:after="0" w:line="31" w:lineRule="exact"/>
        <w:rPr>
          <w:rFonts w:ascii="Arial" w:cs="Arial" w:eastAsia="Arial" w:hAnsi="Arial"/>
          <w:sz w:val="13"/>
          <w:szCs w:val="13"/>
          <w:color w:val="008000"/>
        </w:rPr>
      </w:pPr>
    </w:p>
    <w:p>
      <w:pPr>
        <w:ind w:left="40" w:right="20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directly by Vivo Capital Fund IX, L.P. Vivo Capital IX, LLC is the general partner of Vivo Capital Fund IX, L.P. As the managing members of Vivo Capital IX, LLC, Frank Kung, Edgar Engleman, Shan Fu, Jack Nielsen and Michael Chang share voting and dispositive power over the shares held by Vivo Capital Fund IX, L.P., but each disclaims beneficial ownership of such shares except to the extent of their individual pecuniary interest therein.</w:t>
      </w:r>
    </w:p>
    <w:p>
      <w:pPr>
        <w:sectPr>
          <w:pgSz w:w="11900" w:h="16838" w:orient="portrait"/>
          <w:cols w:equalWidth="0" w:num="1">
            <w:col w:w="11080"/>
          </w:cols>
          <w:pgMar w:left="460" w:top="218" w:right="359" w:bottom="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8" w:right="359" w:bottom="0" w:gutter="0" w:footer="0" w:header="0"/>
          <w:type w:val="continuous"/>
        </w:sectPr>
      </w:pPr>
    </w:p>
    <w:bookmarkStart w:id="1" w:name="page2"/>
    <w:bookmarkEnd w:id="1"/>
    <w:p>
      <w:pPr>
        <w:ind w:left="6562"/>
        <w:spacing w:after="0"/>
        <w:rPr>
          <w:sz w:val="20"/>
          <w:szCs w:val="20"/>
          <w:color w:val="auto"/>
        </w:rPr>
      </w:pPr>
      <w:r>
        <w:rPr>
          <w:rFonts w:ascii="Arial" w:cs="Arial" w:eastAsia="Arial" w:hAnsi="Arial"/>
          <w:sz w:val="15"/>
          <w:szCs w:val="15"/>
          <w:color w:val="0000FF"/>
        </w:rPr>
        <w:t>/s/ Frank Kung, as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0</wp:posOffset>
            </wp:positionV>
            <wp:extent cx="1261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4"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60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94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9494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/s/ Frank Kung, as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0</wp:posOffset>
            </wp:positionV>
            <wp:extent cx="1261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4"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60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4"/>
          <w:szCs w:val="14"/>
          <w:color w:val="0000FF"/>
        </w:rPr>
        <w:t>LLC, the general partner of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58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1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Capital Fund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832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000FF"/>
        </w:rPr>
        <w:t>10/20/2020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0000FF"/>
        </w:rPr>
        <w:t>10/20/2020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396" w:lineRule="exact"/>
        <w:rPr>
          <w:sz w:val="20"/>
          <w:szCs w:val="20"/>
          <w:color w:val="auto"/>
        </w:rPr>
      </w:pPr>
    </w:p>
    <w:p>
      <w:pPr>
        <w:sectPr>
          <w:pgSz w:w="11900" w:h="16838" w:orient="portrait"/>
          <w:cols w:equalWidth="0" w:num="2">
            <w:col w:w="8682" w:space="80"/>
            <w:col w:w="1199"/>
          </w:cols>
          <w:pgMar w:left="498" w:top="131" w:right="1440" w:bottom="1440" w:gutter="0" w:footer="0" w:header="0"/>
        </w:sect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2"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8"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3" Type="http://schemas.openxmlformats.org/officeDocument/2006/relationships/hyperlink" Target="http://www.sec.gov/cgi-bin/browse-edgar?action=getcompany&amp;CIK=0001750698" TargetMode="External"/><Relationship Id="rId14" Type="http://schemas.openxmlformats.org/officeDocument/2006/relationships/hyperlink" Target="http://www.sec.gov/cgi-bin/browse-edgar?action=getcompany&amp;CIK=0001819790" TargetMode="External"/><Relationship Id="rId15" Type="http://schemas.openxmlformats.org/officeDocument/2006/relationships/hyperlink" Target="http://www.sec.gov/cgi-bin/browse-edgar?action=getcompany&amp;CIK=0001750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2020-10-20T19:00:05Z</dcterms:created>
  <dcterms:modified xsi:type="dcterms:W3CDTF">2020-10-20T19:00:05Z</dcterms:modified>
</cp:coreProperties>
</file>