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 xml:space="preserve">As confidentially submitted to the Securities and Exchange Commission on September 14, 2020 as Amendment No. 2 to the draft registration statement submitted on August 7, </w:t>
      </w:r>
      <w:r>
        <w:rPr>
          <w:rFonts w:ascii="Times New Roman" w:cs="Times New Roman" w:eastAsia="Times New Roman" w:hAnsi="Times New Roman"/>
          <w:sz w:val="12"/>
          <w:szCs w:val="12"/>
          <w:b w:val="1"/>
          <w:bCs w:val="1"/>
          <w:color w:val="auto"/>
        </w:rPr>
        <w:t>2020. This Amendment No. 2 to the draft registration</w:t>
      </w:r>
    </w:p>
    <w:p>
      <w:pPr>
        <w:jc w:val="center"/>
        <w:ind w:right="-99"/>
        <w:spacing w:after="0" w:line="237" w:lineRule="auto"/>
        <w:rPr>
          <w:sz w:val="20"/>
          <w:szCs w:val="20"/>
          <w:color w:val="auto"/>
        </w:rPr>
      </w:pPr>
      <w:r>
        <w:rPr>
          <w:rFonts w:ascii="Times New Roman" w:cs="Times New Roman" w:eastAsia="Times New Roman" w:hAnsi="Times New Roman"/>
          <w:sz w:val="13"/>
          <w:szCs w:val="13"/>
          <w:b w:val="1"/>
          <w:bCs w:val="1"/>
          <w:color w:val="auto"/>
        </w:rPr>
        <w:t>statement has not been publicly filed with the Securities and Exchange Commission and all information herein remains strictly confidential.</w:t>
      </w:r>
    </w:p>
    <w:p>
      <w:pPr>
        <w:ind w:left="956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147955</wp:posOffset>
            </wp:positionV>
            <wp:extent cx="11830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150495</wp:posOffset>
            </wp:positionV>
            <wp:extent cx="11830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ind w:right="-99"/>
        <w:spacing w:after="0" w:line="224" w:lineRule="auto"/>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150495</wp:posOffset>
            </wp:positionV>
            <wp:extent cx="1183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5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TARSUS PHARMACEUTICALS, INC.</w:t>
      </w:r>
    </w:p>
    <w:p>
      <w:pPr>
        <w:spacing w:after="0" w:line="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142240</wp:posOffset>
            </wp:positionV>
            <wp:extent cx="1183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23" w:lineRule="exact"/>
        <w:rPr>
          <w:sz w:val="24"/>
          <w:szCs w:val="24"/>
          <w:color w:val="auto"/>
        </w:rPr>
      </w:pPr>
    </w:p>
    <w:tbl>
      <w:tblPr>
        <w:tblLayout w:type="fixed"/>
        <w:tblInd w:w="1160" w:type="dxa"/>
        <w:tblCellMar>
          <w:top w:w="0" w:type="dxa"/>
          <w:left w:w="0" w:type="dxa"/>
          <w:bottom w:w="0" w:type="dxa"/>
          <w:right w:w="0" w:type="dxa"/>
        </w:tblCellMar>
      </w:tblPr>
      <w:tr>
        <w:trPr>
          <w:trHeight w:val="149"/>
        </w:trPr>
        <w:tc>
          <w:tcPr>
            <w:tcW w:w="2720" w:type="dxa"/>
            <w:vAlign w:val="bottom"/>
          </w:tcPr>
          <w:p>
            <w:pPr>
              <w:jc w:val="center"/>
              <w:ind w:right="9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2836</w:t>
            </w:r>
          </w:p>
        </w:tc>
        <w:tc>
          <w:tcPr>
            <w:tcW w:w="2420" w:type="dxa"/>
            <w:vAlign w:val="bottom"/>
          </w:tcPr>
          <w:p>
            <w:pPr>
              <w:jc w:val="center"/>
              <w:ind w:left="1097"/>
              <w:spacing w:after="0"/>
              <w:rPr>
                <w:sz w:val="20"/>
                <w:szCs w:val="20"/>
                <w:color w:val="auto"/>
              </w:rPr>
            </w:pPr>
            <w:r>
              <w:rPr>
                <w:rFonts w:ascii="Times New Roman" w:cs="Times New Roman" w:eastAsia="Times New Roman" w:hAnsi="Times New Roman"/>
                <w:sz w:val="13"/>
                <w:szCs w:val="13"/>
                <w:b w:val="1"/>
                <w:bCs w:val="1"/>
                <w:color w:val="auto"/>
                <w:w w:val="98"/>
              </w:rPr>
              <w:t>81-4717861</w:t>
            </w:r>
          </w:p>
        </w:tc>
      </w:tr>
      <w:tr>
        <w:trPr>
          <w:trHeight w:val="135"/>
        </w:trPr>
        <w:tc>
          <w:tcPr>
            <w:tcW w:w="2720" w:type="dxa"/>
            <w:vAlign w:val="bottom"/>
          </w:tcPr>
          <w:p>
            <w:pPr>
              <w:jc w:val="center"/>
              <w:ind w:right="9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420" w:type="dxa"/>
            <w:vAlign w:val="bottom"/>
          </w:tcPr>
          <w:p>
            <w:pPr>
              <w:jc w:val="center"/>
              <w:ind w:left="10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20" w:type="dxa"/>
            <w:vAlign w:val="bottom"/>
          </w:tcPr>
          <w:p>
            <w:pPr>
              <w:jc w:val="center"/>
              <w:ind w:right="101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420" w:type="dxa"/>
            <w:vAlign w:val="bottom"/>
          </w:tcPr>
          <w:p>
            <w:pPr>
              <w:jc w:val="center"/>
              <w:ind w:left="1097"/>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155575</wp:posOffset>
            </wp:positionV>
            <wp:extent cx="1183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15440 Laguna Canyon Road</w:t>
      </w:r>
    </w:p>
    <w:p>
      <w:pPr>
        <w:jc w:val="center"/>
        <w:ind w:right="-99"/>
        <w:spacing w:after="0" w:line="219" w:lineRule="auto"/>
        <w:rPr>
          <w:sz w:val="20"/>
          <w:szCs w:val="20"/>
          <w:color w:val="auto"/>
        </w:rPr>
      </w:pPr>
      <w:r>
        <w:rPr>
          <w:rFonts w:ascii="Times New Roman" w:cs="Times New Roman" w:eastAsia="Times New Roman" w:hAnsi="Times New Roman"/>
          <w:sz w:val="13"/>
          <w:szCs w:val="13"/>
          <w:b w:val="1"/>
          <w:bCs w:val="1"/>
          <w:color w:val="auto"/>
        </w:rPr>
        <w:t>Irvine, California 92618</w:t>
      </w:r>
    </w:p>
    <w:p>
      <w:pPr>
        <w:jc w:val="center"/>
        <w:ind w:right="-99"/>
        <w:spacing w:after="0" w:line="216" w:lineRule="auto"/>
        <w:rPr>
          <w:sz w:val="20"/>
          <w:szCs w:val="20"/>
          <w:color w:val="auto"/>
        </w:rPr>
      </w:pPr>
      <w:r>
        <w:rPr>
          <w:rFonts w:ascii="Times New Roman" w:cs="Times New Roman" w:eastAsia="Times New Roman" w:hAnsi="Times New Roman"/>
          <w:sz w:val="13"/>
          <w:szCs w:val="13"/>
          <w:b w:val="1"/>
          <w:bCs w:val="1"/>
          <w:color w:val="auto"/>
        </w:rPr>
        <w:t>(949) 409-9820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139065</wp:posOffset>
            </wp:positionV>
            <wp:extent cx="1183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Bobak Azamian, M.D., Ph.D.</w:t>
      </w:r>
    </w:p>
    <w:p>
      <w:pPr>
        <w:jc w:val="center"/>
        <w:ind w:right="-99"/>
        <w:spacing w:after="0" w:line="219" w:lineRule="auto"/>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jc w:val="center"/>
        <w:ind w:right="-99"/>
        <w:spacing w:after="0" w:line="216" w:lineRule="auto"/>
        <w:rPr>
          <w:sz w:val="20"/>
          <w:szCs w:val="20"/>
          <w:color w:val="auto"/>
        </w:rPr>
      </w:pPr>
      <w:r>
        <w:rPr>
          <w:rFonts w:ascii="Times New Roman" w:cs="Times New Roman" w:eastAsia="Times New Roman" w:hAnsi="Times New Roman"/>
          <w:sz w:val="13"/>
          <w:szCs w:val="13"/>
          <w:b w:val="1"/>
          <w:bCs w:val="1"/>
          <w:color w:val="auto"/>
        </w:rPr>
        <w:t>Tarsus Pharmaceuticals, Inc.</w:t>
      </w:r>
    </w:p>
    <w:p>
      <w:pPr>
        <w:jc w:val="center"/>
        <w:ind w:right="-99"/>
        <w:spacing w:after="0" w:line="217" w:lineRule="auto"/>
        <w:rPr>
          <w:sz w:val="20"/>
          <w:szCs w:val="20"/>
          <w:color w:val="auto"/>
        </w:rPr>
      </w:pPr>
      <w:r>
        <w:rPr>
          <w:rFonts w:ascii="Times New Roman" w:cs="Times New Roman" w:eastAsia="Times New Roman" w:hAnsi="Times New Roman"/>
          <w:sz w:val="13"/>
          <w:szCs w:val="13"/>
          <w:b w:val="1"/>
          <w:bCs w:val="1"/>
          <w:color w:val="auto"/>
        </w:rPr>
        <w:t>15440 Laguna Canyon Road</w:t>
      </w:r>
    </w:p>
    <w:p>
      <w:pPr>
        <w:jc w:val="center"/>
        <w:ind w:right="-99"/>
        <w:spacing w:after="0" w:line="217" w:lineRule="auto"/>
        <w:rPr>
          <w:sz w:val="20"/>
          <w:szCs w:val="20"/>
          <w:color w:val="auto"/>
        </w:rPr>
      </w:pPr>
      <w:r>
        <w:rPr>
          <w:rFonts w:ascii="Times New Roman" w:cs="Times New Roman" w:eastAsia="Times New Roman" w:hAnsi="Times New Roman"/>
          <w:sz w:val="13"/>
          <w:szCs w:val="13"/>
          <w:b w:val="1"/>
          <w:bCs w:val="1"/>
          <w:color w:val="auto"/>
        </w:rPr>
        <w:t>Irvine, California 92618</w:t>
      </w:r>
    </w:p>
    <w:p>
      <w:pPr>
        <w:jc w:val="center"/>
        <w:ind w:right="-99"/>
        <w:spacing w:after="0" w:line="217" w:lineRule="auto"/>
        <w:rPr>
          <w:sz w:val="20"/>
          <w:szCs w:val="20"/>
          <w:color w:val="auto"/>
        </w:rPr>
      </w:pPr>
      <w:r>
        <w:rPr>
          <w:rFonts w:ascii="Times New Roman" w:cs="Times New Roman" w:eastAsia="Times New Roman" w:hAnsi="Times New Roman"/>
          <w:sz w:val="13"/>
          <w:szCs w:val="13"/>
          <w:b w:val="1"/>
          <w:bCs w:val="1"/>
          <w:color w:val="auto"/>
        </w:rPr>
        <w:t>(949) 409-9820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147955</wp:posOffset>
            </wp:positionV>
            <wp:extent cx="1183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33" w:lineRule="exact"/>
        <w:rPr>
          <w:sz w:val="24"/>
          <w:szCs w:val="24"/>
          <w:color w:val="auto"/>
        </w:rPr>
      </w:pPr>
    </w:p>
    <w:tbl>
      <w:tblPr>
        <w:tblLayout w:type="fixed"/>
        <w:tblInd w:w="920" w:type="dxa"/>
        <w:tblCellMar>
          <w:top w:w="0" w:type="dxa"/>
          <w:left w:w="0" w:type="dxa"/>
          <w:bottom w:w="0" w:type="dxa"/>
          <w:right w:w="0" w:type="dxa"/>
        </w:tblCellMar>
      </w:tblPr>
      <w:tr>
        <w:trPr>
          <w:trHeight w:val="166"/>
        </w:trPr>
        <w:tc>
          <w:tcPr>
            <w:tcW w:w="3100" w:type="dxa"/>
            <w:vAlign w:val="bottom"/>
          </w:tcPr>
          <w:p>
            <w:pPr>
              <w:spacing w:after="0"/>
              <w:rPr>
                <w:sz w:val="14"/>
                <w:szCs w:val="14"/>
                <w:color w:val="auto"/>
              </w:rPr>
            </w:pPr>
          </w:p>
        </w:tc>
        <w:tc>
          <w:tcPr>
            <w:tcW w:w="3640" w:type="dxa"/>
            <w:vAlign w:val="bottom"/>
          </w:tcPr>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c>
          <w:tcPr>
            <w:tcW w:w="2600" w:type="dxa"/>
            <w:vAlign w:val="bottom"/>
          </w:tcPr>
          <w:p>
            <w:pPr>
              <w:spacing w:after="0"/>
              <w:rPr>
                <w:sz w:val="14"/>
                <w:szCs w:val="14"/>
                <w:color w:val="auto"/>
              </w:rPr>
            </w:pPr>
          </w:p>
        </w:tc>
      </w:tr>
      <w:tr>
        <w:trPr>
          <w:trHeight w:val="158"/>
        </w:trPr>
        <w:tc>
          <w:tcPr>
            <w:tcW w:w="3100" w:type="dxa"/>
            <w:vAlign w:val="bottom"/>
          </w:tcPr>
          <w:p>
            <w:pPr>
              <w:jc w:val="center"/>
              <w:ind w:right="897"/>
              <w:spacing w:after="0"/>
              <w:rPr>
                <w:sz w:val="20"/>
                <w:szCs w:val="20"/>
                <w:color w:val="auto"/>
              </w:rPr>
            </w:pPr>
            <w:r>
              <w:rPr>
                <w:rFonts w:ascii="Times New Roman" w:cs="Times New Roman" w:eastAsia="Times New Roman" w:hAnsi="Times New Roman"/>
                <w:sz w:val="13"/>
                <w:szCs w:val="13"/>
                <w:b w:val="1"/>
                <w:bCs w:val="1"/>
                <w:color w:val="auto"/>
                <w:w w:val="96"/>
              </w:rPr>
              <w:t>Ilan Lovinsky</w:t>
            </w:r>
          </w:p>
        </w:tc>
        <w:tc>
          <w:tcPr>
            <w:tcW w:w="36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Leo M. Greenstein</w:t>
            </w:r>
          </w:p>
        </w:tc>
        <w:tc>
          <w:tcPr>
            <w:tcW w:w="2600" w:type="dxa"/>
            <w:vAlign w:val="bottom"/>
          </w:tcPr>
          <w:p>
            <w:pPr>
              <w:jc w:val="center"/>
              <w:ind w:left="1037"/>
              <w:spacing w:after="0"/>
              <w:rPr>
                <w:sz w:val="20"/>
                <w:szCs w:val="20"/>
                <w:color w:val="auto"/>
              </w:rPr>
            </w:pPr>
            <w:r>
              <w:rPr>
                <w:rFonts w:ascii="Times New Roman" w:cs="Times New Roman" w:eastAsia="Times New Roman" w:hAnsi="Times New Roman"/>
                <w:sz w:val="13"/>
                <w:szCs w:val="13"/>
                <w:b w:val="1"/>
                <w:bCs w:val="1"/>
                <w:color w:val="auto"/>
                <w:w w:val="95"/>
              </w:rPr>
              <w:t>Ilir Mujalovic</w:t>
            </w:r>
          </w:p>
        </w:tc>
      </w:tr>
      <w:tr>
        <w:trPr>
          <w:trHeight w:val="135"/>
        </w:trPr>
        <w:tc>
          <w:tcPr>
            <w:tcW w:w="3100" w:type="dxa"/>
            <w:vAlign w:val="bottom"/>
          </w:tcPr>
          <w:p>
            <w:pPr>
              <w:jc w:val="center"/>
              <w:ind w:right="8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Jeffrey R. Vetter</w:t>
            </w:r>
          </w:p>
        </w:tc>
        <w:tc>
          <w:tcPr>
            <w:tcW w:w="3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Chief Financial Officer</w:t>
            </w:r>
          </w:p>
        </w:tc>
        <w:tc>
          <w:tcPr>
            <w:tcW w:w="2600" w:type="dxa"/>
            <w:vAlign w:val="bottom"/>
          </w:tcPr>
          <w:p>
            <w:pPr>
              <w:jc w:val="center"/>
              <w:ind w:left="10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Ana Aur</w:t>
            </w:r>
          </w:p>
        </w:tc>
      </w:tr>
      <w:tr>
        <w:trPr>
          <w:trHeight w:val="135"/>
        </w:trPr>
        <w:tc>
          <w:tcPr>
            <w:tcW w:w="3100" w:type="dxa"/>
            <w:vAlign w:val="bottom"/>
          </w:tcPr>
          <w:p>
            <w:pPr>
              <w:jc w:val="center"/>
              <w:ind w:right="9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Ryan J. Gunderson</w:t>
            </w:r>
          </w:p>
        </w:tc>
        <w:tc>
          <w:tcPr>
            <w:tcW w:w="3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Tarsus Pharmaceuticals, Inc.</w:t>
            </w:r>
          </w:p>
        </w:tc>
        <w:tc>
          <w:tcPr>
            <w:tcW w:w="2600" w:type="dxa"/>
            <w:vAlign w:val="bottom"/>
          </w:tcPr>
          <w:p>
            <w:pPr>
              <w:jc w:val="center"/>
              <w:ind w:left="10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Shearman &amp; Sterling LLP</w:t>
            </w:r>
          </w:p>
        </w:tc>
      </w:tr>
      <w:tr>
        <w:trPr>
          <w:trHeight w:val="135"/>
        </w:trPr>
        <w:tc>
          <w:tcPr>
            <w:tcW w:w="3100" w:type="dxa"/>
            <w:vAlign w:val="bottom"/>
          </w:tcPr>
          <w:p>
            <w:pPr>
              <w:jc w:val="center"/>
              <w:ind w:right="9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Gunderson Dettmer Stough Villeneuve</w:t>
            </w:r>
          </w:p>
        </w:tc>
        <w:tc>
          <w:tcPr>
            <w:tcW w:w="3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15440 Laguna Canyon Road</w:t>
            </w:r>
          </w:p>
        </w:tc>
        <w:tc>
          <w:tcPr>
            <w:tcW w:w="2600" w:type="dxa"/>
            <w:vAlign w:val="bottom"/>
          </w:tcPr>
          <w:p>
            <w:pPr>
              <w:jc w:val="center"/>
              <w:ind w:left="10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599 Lexington Avenue</w:t>
            </w:r>
          </w:p>
        </w:tc>
      </w:tr>
      <w:tr>
        <w:trPr>
          <w:trHeight w:val="135"/>
        </w:trPr>
        <w:tc>
          <w:tcPr>
            <w:tcW w:w="3100" w:type="dxa"/>
            <w:vAlign w:val="bottom"/>
          </w:tcPr>
          <w:p>
            <w:pPr>
              <w:jc w:val="center"/>
              <w:ind w:right="8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Franklin &amp; Hachigian, LLP</w:t>
            </w:r>
          </w:p>
        </w:tc>
        <w:tc>
          <w:tcPr>
            <w:tcW w:w="3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Irvine, California 92618</w:t>
            </w:r>
          </w:p>
        </w:tc>
        <w:tc>
          <w:tcPr>
            <w:tcW w:w="2600" w:type="dxa"/>
            <w:vAlign w:val="bottom"/>
          </w:tcPr>
          <w:p>
            <w:pPr>
              <w:jc w:val="center"/>
              <w:ind w:left="10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10022</w:t>
            </w:r>
          </w:p>
        </w:tc>
      </w:tr>
      <w:tr>
        <w:trPr>
          <w:trHeight w:val="135"/>
        </w:trPr>
        <w:tc>
          <w:tcPr>
            <w:tcW w:w="3100" w:type="dxa"/>
            <w:vAlign w:val="bottom"/>
          </w:tcPr>
          <w:p>
            <w:pPr>
              <w:jc w:val="center"/>
              <w:ind w:right="9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3570 Carmel Mountain Road, Suite 200</w:t>
            </w:r>
          </w:p>
        </w:tc>
        <w:tc>
          <w:tcPr>
            <w:tcW w:w="3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(949) 409-9820</w:t>
            </w:r>
          </w:p>
        </w:tc>
        <w:tc>
          <w:tcPr>
            <w:tcW w:w="2600" w:type="dxa"/>
            <w:vAlign w:val="bottom"/>
          </w:tcPr>
          <w:p>
            <w:pPr>
              <w:jc w:val="center"/>
              <w:ind w:left="10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(212) 848-4000</w:t>
            </w:r>
          </w:p>
        </w:tc>
      </w:tr>
      <w:tr>
        <w:trPr>
          <w:trHeight w:val="135"/>
        </w:trPr>
        <w:tc>
          <w:tcPr>
            <w:tcW w:w="3100" w:type="dxa"/>
            <w:vAlign w:val="bottom"/>
          </w:tcPr>
          <w:p>
            <w:pPr>
              <w:jc w:val="center"/>
              <w:ind w:right="8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San Diego, California 92130</w:t>
            </w:r>
          </w:p>
        </w:tc>
        <w:tc>
          <w:tcPr>
            <w:tcW w:w="364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166"/>
        </w:trPr>
        <w:tc>
          <w:tcPr>
            <w:tcW w:w="3100" w:type="dxa"/>
            <w:vAlign w:val="bottom"/>
          </w:tcPr>
          <w:p>
            <w:pPr>
              <w:jc w:val="center"/>
              <w:ind w:right="897"/>
              <w:spacing w:after="0"/>
              <w:rPr>
                <w:sz w:val="20"/>
                <w:szCs w:val="20"/>
                <w:color w:val="auto"/>
              </w:rPr>
            </w:pPr>
            <w:r>
              <w:rPr>
                <w:rFonts w:ascii="Times New Roman" w:cs="Times New Roman" w:eastAsia="Times New Roman" w:hAnsi="Times New Roman"/>
                <w:sz w:val="13"/>
                <w:szCs w:val="13"/>
                <w:b w:val="1"/>
                <w:bCs w:val="1"/>
                <w:color w:val="auto"/>
                <w:w w:val="95"/>
              </w:rPr>
              <w:t>(858) 436-8000</w:t>
            </w:r>
          </w:p>
        </w:tc>
        <w:tc>
          <w:tcPr>
            <w:tcW w:w="3640" w:type="dxa"/>
            <w:vAlign w:val="bottom"/>
          </w:tcPr>
          <w:p>
            <w:pPr>
              <w:spacing w:after="0"/>
              <w:rPr>
                <w:sz w:val="14"/>
                <w:szCs w:val="14"/>
                <w:color w:val="auto"/>
              </w:rPr>
            </w:pPr>
          </w:p>
        </w:tc>
        <w:tc>
          <w:tcPr>
            <w:tcW w:w="26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156210</wp:posOffset>
            </wp:positionV>
            <wp:extent cx="1183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46"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As soon as practicable after the effective date of this registration statement.</w:t>
      </w:r>
    </w:p>
    <w:p>
      <w:pPr>
        <w:spacing w:after="0" w:line="21" w:lineRule="exact"/>
        <w:rPr>
          <w:sz w:val="24"/>
          <w:szCs w:val="24"/>
          <w:color w:val="auto"/>
        </w:rPr>
      </w:pPr>
    </w:p>
    <w:p>
      <w:pPr>
        <w:ind w:left="112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00" w:right="360" w:firstLine="1018"/>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00" w:right="80" w:firstLine="1018"/>
        <w:spacing w:after="0" w:line="15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00" w:right="80" w:firstLine="1018"/>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00" w:right="140" w:firstLine="1018"/>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100" w:type="dxa"/>
        <w:tblCellMar>
          <w:top w:w="0" w:type="dxa"/>
          <w:left w:w="0" w:type="dxa"/>
          <w:bottom w:w="0" w:type="dxa"/>
          <w:right w:w="0" w:type="dxa"/>
        </w:tblCellMar>
      </w:tblPr>
      <w:tr>
        <w:trPr>
          <w:trHeight w:val="199"/>
        </w:trPr>
        <w:tc>
          <w:tcPr>
            <w:tcW w:w="13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40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740"/>
              <w:spacing w:after="0"/>
              <w:rPr>
                <w:sz w:val="20"/>
                <w:szCs w:val="20"/>
                <w:color w:val="auto"/>
              </w:rPr>
            </w:pPr>
            <w:r>
              <w:rPr>
                <w:rFonts w:ascii="Times New Roman" w:cs="Times New Roman" w:eastAsia="Times New Roman" w:hAnsi="Times New Roman"/>
                <w:sz w:val="13"/>
                <w:szCs w:val="13"/>
                <w:color w:val="auto"/>
              </w:rPr>
              <w:t>Accelerated filer</w:t>
            </w:r>
          </w:p>
        </w:tc>
        <w:tc>
          <w:tcPr>
            <w:tcW w:w="320" w:type="dxa"/>
            <w:vAlign w:val="bottom"/>
          </w:tcPr>
          <w:p>
            <w:pPr>
              <w:ind w:left="2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3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40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20" w:type="dxa"/>
            <w:vAlign w:val="bottom"/>
          </w:tcPr>
          <w:p>
            <w:pPr>
              <w:ind w:left="2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3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5340" w:type="dxa"/>
            <w:vAlign w:val="bottom"/>
          </w:tcPr>
          <w:p>
            <w:pPr>
              <w:ind w:left="3740"/>
              <w:spacing w:after="0"/>
              <w:rPr>
                <w:sz w:val="20"/>
                <w:szCs w:val="20"/>
                <w:color w:val="auto"/>
              </w:rPr>
            </w:pPr>
            <w:r>
              <w:rPr>
                <w:rFonts w:ascii="Times New Roman" w:cs="Times New Roman" w:eastAsia="Times New Roman" w:hAnsi="Times New Roman"/>
                <w:sz w:val="13"/>
                <w:szCs w:val="13"/>
                <w:color w:val="auto"/>
              </w:rPr>
              <w:t>Emerging growth company</w:t>
            </w:r>
          </w:p>
        </w:tc>
        <w:tc>
          <w:tcPr>
            <w:tcW w:w="320" w:type="dxa"/>
            <w:vAlign w:val="bottom"/>
          </w:tcPr>
          <w:p>
            <w:pPr>
              <w:ind w:left="220"/>
              <w:spacing w:after="0" w:line="101" w:lineRule="exact"/>
              <w:rPr>
                <w:sz w:val="20"/>
                <w:szCs w:val="20"/>
                <w:color w:val="auto"/>
              </w:rPr>
            </w:pPr>
            <w:r>
              <w:rPr>
                <w:rFonts w:ascii="MS PGothic" w:cs="MS PGothic" w:eastAsia="MS PGothic" w:hAnsi="MS PGothic"/>
                <w:sz w:val="10"/>
                <w:szCs w:val="10"/>
                <w:color w:val="auto"/>
                <w:w w:val="79"/>
              </w:rPr>
              <w:t>☒</w:t>
            </w:r>
          </w:p>
        </w:tc>
      </w:tr>
    </w:tbl>
    <w:p>
      <w:pPr>
        <w:ind w:left="100" w:right="380" w:firstLine="1018"/>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138430</wp:posOffset>
            </wp:positionV>
            <wp:extent cx="11830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200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0" cy="8255"/>
                    </a:xfrm>
                    <a:prstGeom prst="rect">
                      <a:avLst/>
                    </a:prstGeom>
                    <a:noFill/>
                  </pic:spPr>
                </pic:pic>
              </a:graphicData>
            </a:graphic>
          </wp:anchor>
        </w:drawing>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28"/>
        </w:trPr>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20" w:type="dxa"/>
            <w:vAlign w:val="bottom"/>
            <w:tcBorders>
              <w:top w:val="single" w:sz="8" w:color="auto"/>
              <w:right w:val="single" w:sz="8" w:color="auto"/>
            </w:tcBorders>
          </w:tcPr>
          <w:p>
            <w:pPr>
              <w:spacing w:after="0"/>
              <w:rPr>
                <w:sz w:val="11"/>
                <w:szCs w:val="11"/>
                <w:color w:val="auto"/>
              </w:rPr>
            </w:pPr>
          </w:p>
        </w:tc>
        <w:tc>
          <w:tcPr>
            <w:tcW w:w="1680" w:type="dxa"/>
            <w:vAlign w:val="bottom"/>
            <w:tcBorders>
              <w:top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Proposed Maximum</w:t>
            </w:r>
          </w:p>
        </w:tc>
        <w:tc>
          <w:tcPr>
            <w:tcW w:w="1660" w:type="dxa"/>
            <w:vAlign w:val="bottom"/>
            <w:tcBorders>
              <w:top w:val="single" w:sz="8" w:color="auto"/>
            </w:tcBorders>
          </w:tcPr>
          <w:p>
            <w:pPr>
              <w:spacing w:after="0"/>
              <w:rPr>
                <w:sz w:val="11"/>
                <w:szCs w:val="11"/>
                <w:color w:val="auto"/>
              </w:rPr>
            </w:pPr>
          </w:p>
        </w:tc>
      </w:tr>
      <w:tr>
        <w:trPr>
          <w:trHeight w:val="135"/>
        </w:trPr>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20" w:type="dxa"/>
            <w:vAlign w:val="bottom"/>
            <w:tcBorders>
              <w:right w:val="single" w:sz="8" w:color="auto"/>
            </w:tcBorders>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Title of Each Class of</w:t>
            </w:r>
          </w:p>
        </w:tc>
        <w:tc>
          <w:tcPr>
            <w:tcW w:w="1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55"/>
        </w:trPr>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20" w:type="dxa"/>
            <w:vAlign w:val="bottom"/>
            <w:tcBorders>
              <w:bottom w:val="single" w:sz="8" w:color="auto"/>
              <w:right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Securities to be Registered</w:t>
            </w:r>
          </w:p>
        </w:tc>
        <w:tc>
          <w:tcPr>
            <w:tcW w:w="1680" w:type="dxa"/>
            <w:vAlign w:val="bottom"/>
            <w:tcBorders>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8"/>
              </w:rPr>
              <w:t xml:space="preserve">Offering Price </w:t>
            </w:r>
            <w:r>
              <w:rPr>
                <w:rFonts w:ascii="Times New Roman" w:cs="Times New Roman" w:eastAsia="Times New Roman" w:hAnsi="Times New Roman"/>
                <w:sz w:val="17"/>
                <w:szCs w:val="17"/>
                <w:b w:val="1"/>
                <w:bCs w:val="1"/>
                <w:color w:val="auto"/>
                <w:w w:val="98"/>
                <w:vertAlign w:val="superscript"/>
              </w:rPr>
              <w:t>(1)(2)</w:t>
            </w:r>
          </w:p>
        </w:tc>
        <w:tc>
          <w:tcPr>
            <w:tcW w:w="16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Registration Fee </w:t>
            </w:r>
            <w:r>
              <w:rPr>
                <w:rFonts w:ascii="Times New Roman" w:cs="Times New Roman" w:eastAsia="Times New Roman" w:hAnsi="Times New Roman"/>
                <w:sz w:val="17"/>
                <w:szCs w:val="17"/>
                <w:b w:val="1"/>
                <w:bCs w:val="1"/>
                <w:color w:val="auto"/>
                <w:vertAlign w:val="superscript"/>
              </w:rPr>
              <w:t>(3)</w:t>
            </w:r>
          </w:p>
        </w:tc>
      </w:tr>
      <w:tr>
        <w:trPr>
          <w:trHeight w:val="128"/>
        </w:trPr>
        <w:tc>
          <w:tcPr>
            <w:tcW w:w="100" w:type="dxa"/>
            <w:vAlign w:val="bottom"/>
            <w:tcBorders>
              <w:bottom w:val="single" w:sz="8" w:color="auto"/>
            </w:tcBorders>
          </w:tcPr>
          <w:p>
            <w:pPr>
              <w:spacing w:after="0"/>
              <w:rPr>
                <w:sz w:val="11"/>
                <w:szCs w:val="11"/>
                <w:color w:val="auto"/>
              </w:rPr>
            </w:pPr>
          </w:p>
        </w:tc>
        <w:tc>
          <w:tcPr>
            <w:tcW w:w="7900" w:type="dxa"/>
            <w:vAlign w:val="bottom"/>
            <w:tcBorders>
              <w:bottom w:val="single" w:sz="8" w:color="auto"/>
              <w:right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Common Stock, $0.0001 par value per share</w:t>
            </w:r>
          </w:p>
        </w:tc>
        <w:tc>
          <w:tcPr>
            <w:tcW w:w="1680" w:type="dxa"/>
            <w:vAlign w:val="bottom"/>
            <w:tcBorders>
              <w:bottom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r>
      <w:tr>
        <w:trPr>
          <w:trHeight w:val="34"/>
        </w:trPr>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7"/>
        </w:trPr>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w:t>
            </w:r>
          </w:p>
        </w:tc>
        <w:tc>
          <w:tcPr>
            <w:tcW w:w="7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Estimated pursuant to Rule 457(o) under the Securities Act of 1933, as amended.</w:t>
            </w: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6"/>
        </w:trPr>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(2)</w:t>
            </w:r>
          </w:p>
        </w:tc>
        <w:tc>
          <w:tcPr>
            <w:tcW w:w="7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Includes the aggregate offering price of additional shares that the underwriters have the option to purchase.</w:t>
            </w: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(3)</w:t>
            </w:r>
          </w:p>
        </w:tc>
        <w:tc>
          <w:tcPr>
            <w:tcW w:w="7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Calculated pursuant to Rule 457(o) based on an estimate of the proposed maximum aggregate offering price.</w:t>
            </w: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3042920</wp:posOffset>
            </wp:positionH>
            <wp:positionV relativeFrom="paragraph">
              <wp:posOffset>104775</wp:posOffset>
            </wp:positionV>
            <wp:extent cx="1183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178" w:lineRule="exact"/>
        <w:rPr>
          <w:sz w:val="24"/>
          <w:szCs w:val="24"/>
          <w:color w:val="auto"/>
        </w:rPr>
      </w:pPr>
    </w:p>
    <w:p>
      <w:pPr>
        <w:ind w:left="100" w:right="200" w:firstLine="1018"/>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68580</wp:posOffset>
            </wp:positionH>
            <wp:positionV relativeFrom="paragraph">
              <wp:posOffset>139065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220" w:top="443" w:right="339" w:bottom="1440" w:gutter="0" w:footer="0" w:header="0"/>
        </w:sectPr>
      </w:pPr>
    </w:p>
    <w:bookmarkStart w:id="1" w:name="page2"/>
    <w:bookmarkEnd w:id="1"/>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Preliminary Prospectus dated September 14, 2020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163830</wp:posOffset>
            </wp:positionV>
            <wp:extent cx="180022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2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153035</wp:posOffset>
            </wp:positionV>
            <wp:extent cx="142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60"/>
          </w:cols>
          <w:pgMar w:left="320" w:top="482" w:right="319" w:bottom="1440" w:gutter="0" w:footer="0" w:header="0"/>
        </w:sectPr>
      </w:pPr>
    </w:p>
    <w:p>
      <w:pPr>
        <w:spacing w:after="0" w:line="3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This is Tarsus Pharmaceuticals, Inc.’s initial public offering. We are selling</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w:t>
      </w:r>
    </w:p>
    <w:p>
      <w:pPr>
        <w:spacing w:after="0" w:line="117" w:lineRule="exact"/>
        <w:rPr>
          <w:sz w:val="20"/>
          <w:szCs w:val="20"/>
          <w:color w:val="auto"/>
        </w:rPr>
      </w:pPr>
    </w:p>
    <w:p>
      <w:pPr>
        <w:sectPr>
          <w:pgSz w:w="11900" w:h="16838" w:orient="portrait"/>
          <w:cols w:equalWidth="0" w:num="2">
            <w:col w:w="6420" w:space="720"/>
            <w:col w:w="4120"/>
          </w:cols>
          <w:pgMar w:left="320" w:top="482" w:right="319" w:bottom="1440" w:gutter="0" w:footer="0" w:header="0"/>
          <w:type w:val="continuous"/>
        </w:sectPr>
      </w:pPr>
    </w:p>
    <w:p>
      <w:pPr>
        <w:ind w:left="1020"/>
        <w:spacing w:after="0"/>
        <w:tabs>
          <w:tab w:leader="none" w:pos="5300" w:val="left"/>
          <w:tab w:leader="none" w:pos="6280" w:val="left"/>
        </w:tabs>
        <w:rPr>
          <w:sz w:val="20"/>
          <w:szCs w:val="20"/>
          <w:color w:val="auto"/>
        </w:rPr>
      </w:pPr>
      <w:r>
        <w:rPr>
          <w:rFonts w:ascii="Times New Roman" w:cs="Times New Roman" w:eastAsia="Times New Roman" w:hAnsi="Times New Roman"/>
          <w:sz w:val="18"/>
          <w:szCs w:val="18"/>
          <w:color w:val="auto"/>
        </w:rPr>
        <w:t>We expect the public offering price to be between $</w:t>
      </w:r>
      <w:r>
        <w:rPr>
          <w:sz w:val="20"/>
          <w:szCs w:val="20"/>
          <w:color w:val="auto"/>
        </w:rPr>
        <w:tab/>
      </w:r>
      <w:r>
        <w:rPr>
          <w:rFonts w:ascii="Times New Roman" w:cs="Times New Roman" w:eastAsia="Times New Roman" w:hAnsi="Times New Roman"/>
          <w:sz w:val="18"/>
          <w:szCs w:val="18"/>
          <w:color w:val="auto"/>
        </w:rPr>
        <w:t>and $</w:t>
      </w:r>
      <w:r>
        <w:rPr>
          <w:sz w:val="20"/>
          <w:szCs w:val="20"/>
          <w:color w:val="auto"/>
        </w:rPr>
        <w:tab/>
      </w:r>
      <w:r>
        <w:rPr>
          <w:rFonts w:ascii="Times New Roman" w:cs="Times New Roman" w:eastAsia="Times New Roman" w:hAnsi="Times New Roman"/>
          <w:sz w:val="17"/>
          <w:szCs w:val="17"/>
          <w:color w:val="auto"/>
        </w:rPr>
        <w:t>per share. Currently, no public market exists for the shares of our</w:t>
      </w:r>
    </w:p>
    <w:p>
      <w:pPr>
        <w:sectPr>
          <w:pgSz w:w="11900" w:h="16838" w:orient="portrait"/>
          <w:cols w:equalWidth="0" w:num="1">
            <w:col w:w="11260"/>
          </w:cols>
          <w:pgMar w:left="320" w:top="482" w:right="31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We intend to apply to list our common stock on the Nasdaq Global Market under the symbol “TARS.”</w:t>
      </w:r>
    </w:p>
    <w:p>
      <w:pPr>
        <w:spacing w:after="0" w:line="86" w:lineRule="exact"/>
        <w:rPr>
          <w:sz w:val="20"/>
          <w:szCs w:val="20"/>
          <w:color w:val="auto"/>
        </w:rPr>
      </w:pPr>
    </w:p>
    <w:p>
      <w:pPr>
        <w:ind w:right="180" w:firstLine="1018"/>
        <w:spacing w:after="0" w:line="246" w:lineRule="auto"/>
        <w:rPr>
          <w:sz w:val="20"/>
          <w:szCs w:val="20"/>
          <w:color w:val="auto"/>
        </w:rPr>
      </w:pPr>
      <w:r>
        <w:rPr>
          <w:rFonts w:ascii="Times New Roman" w:cs="Times New Roman" w:eastAsia="Times New Roman" w:hAnsi="Times New Roman"/>
          <w:sz w:val="22"/>
          <w:szCs w:val="22"/>
          <w:b w:val="1"/>
          <w:bCs w:val="1"/>
          <w:color w:val="auto"/>
        </w:rPr>
        <w:t>We are an emerging growth company as defined under the U.S. federal securities laws and, as such, may elect to comply with certain reduced public company reporting requirements for this and future filings. See “Prospectus Summary—Implications of Being an Emerging Growth Company.”</w:t>
      </w:r>
    </w:p>
    <w:p>
      <w:pPr>
        <w:spacing w:after="0" w:line="59" w:lineRule="exact"/>
        <w:rPr>
          <w:sz w:val="20"/>
          <w:szCs w:val="20"/>
          <w:color w:val="auto"/>
        </w:rPr>
      </w:pPr>
    </w:p>
    <w:p>
      <w:pPr>
        <w:ind w:right="460" w:firstLine="1018"/>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common stock involves risks that are described in the “</w:t>
      </w:r>
      <w:hyperlink w:anchor="page1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section beginning on page 14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8"/>
        </w:trPr>
        <w:tc>
          <w:tcPr>
            <w:tcW w:w="6200" w:type="dxa"/>
            <w:vAlign w:val="bottom"/>
            <w:vMerge w:val="continue"/>
          </w:tcPr>
          <w:p>
            <w:pPr>
              <w:spacing w:after="0"/>
              <w:rPr>
                <w:sz w:val="18"/>
                <w:szCs w:val="18"/>
                <w:color w:val="auto"/>
              </w:rPr>
            </w:pPr>
          </w:p>
        </w:tc>
        <w:tc>
          <w:tcPr>
            <w:tcW w:w="122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Underwriting discounts and commissions </w:t>
            </w:r>
            <w:r>
              <w:rPr>
                <w:rFonts w:ascii="Times New Roman" w:cs="Times New Roman" w:eastAsia="Times New Roman" w:hAnsi="Times New Roman"/>
                <w:sz w:val="15"/>
                <w:szCs w:val="15"/>
                <w:color w:val="auto"/>
              </w:rPr>
              <w:t>(1)</w:t>
            </w: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0" w:right="940" w:hanging="380"/>
        <w:spacing w:after="0" w:line="282" w:lineRule="auto"/>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you to “Underwriting” beginning on page 164 of this prospectus for additional information regarding underwriting compensation.</w:t>
      </w:r>
    </w:p>
    <w:p>
      <w:pPr>
        <w:spacing w:after="0" w:line="54" w:lineRule="exact"/>
        <w:rPr>
          <w:sz w:val="20"/>
          <w:szCs w:val="20"/>
          <w:color w:val="auto"/>
        </w:rPr>
      </w:pPr>
    </w:p>
    <w:p>
      <w:pPr>
        <w:ind w:right="580" w:firstLine="1018"/>
        <w:spacing w:after="0" w:line="282" w:lineRule="auto"/>
        <w:rPr>
          <w:sz w:val="20"/>
          <w:szCs w:val="20"/>
          <w:color w:val="auto"/>
        </w:rPr>
      </w:pPr>
      <w:r>
        <w:rPr>
          <w:rFonts w:ascii="Times New Roman" w:cs="Times New Roman" w:eastAsia="Times New Roman" w:hAnsi="Times New Roman"/>
          <w:sz w:val="18"/>
          <w:szCs w:val="18"/>
          <w:color w:val="auto"/>
        </w:rPr>
        <w:t>The underwriters may also exercise their option to purchase up to an additional shares of common stock from us, at the public offering price, less the underwriting discounts and commissions, for 30 days after the date of this prospectus.</w:t>
      </w:r>
    </w:p>
    <w:p>
      <w:pPr>
        <w:spacing w:after="0" w:line="50" w:lineRule="exact"/>
        <w:rPr>
          <w:sz w:val="20"/>
          <w:szCs w:val="20"/>
          <w:color w:val="auto"/>
        </w:rPr>
      </w:pPr>
    </w:p>
    <w:p>
      <w:pPr>
        <w:ind w:right="20" w:firstLine="101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 shares of common stock will be ready for delivery on or about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96"/>
        </w:trPr>
        <w:tc>
          <w:tcPr>
            <w:tcW w:w="3260" w:type="dxa"/>
            <w:vAlign w:val="bottom"/>
          </w:tcPr>
          <w:p>
            <w:pPr>
              <w:ind w:left="760"/>
              <w:spacing w:after="0"/>
              <w:rPr>
                <w:sz w:val="20"/>
                <w:szCs w:val="20"/>
                <w:color w:val="auto"/>
              </w:rPr>
            </w:pPr>
            <w:r>
              <w:rPr>
                <w:rFonts w:ascii="Times New Roman" w:cs="Times New Roman" w:eastAsia="Times New Roman" w:hAnsi="Times New Roman"/>
                <w:sz w:val="29"/>
                <w:szCs w:val="29"/>
                <w:b w:val="1"/>
                <w:bCs w:val="1"/>
                <w:color w:val="auto"/>
              </w:rPr>
              <w:t>BofA Securities</w:t>
            </w:r>
          </w:p>
        </w:tc>
        <w:tc>
          <w:tcPr>
            <w:tcW w:w="124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Times New Roman" w:cs="Times New Roman" w:eastAsia="Times New Roman" w:hAnsi="Times New Roman"/>
                <w:sz w:val="29"/>
                <w:szCs w:val="29"/>
                <w:b w:val="1"/>
                <w:bCs w:val="1"/>
                <w:color w:val="auto"/>
              </w:rPr>
              <w:t>Jefferies</w:t>
            </w:r>
          </w:p>
        </w:tc>
        <w:tc>
          <w:tcPr>
            <w:tcW w:w="4520" w:type="dxa"/>
            <w:vAlign w:val="bottom"/>
          </w:tcPr>
          <w:p>
            <w:pPr>
              <w:ind w:left="1700"/>
              <w:spacing w:after="0"/>
              <w:rPr>
                <w:sz w:val="20"/>
                <w:szCs w:val="20"/>
                <w:color w:val="auto"/>
              </w:rPr>
            </w:pPr>
            <w:r>
              <w:rPr>
                <w:rFonts w:ascii="Times New Roman" w:cs="Times New Roman" w:eastAsia="Times New Roman" w:hAnsi="Times New Roman"/>
                <w:sz w:val="29"/>
                <w:szCs w:val="29"/>
                <w:b w:val="1"/>
                <w:bCs w:val="1"/>
                <w:color w:val="auto"/>
              </w:rPr>
              <w:t>Raymond James</w:t>
            </w:r>
          </w:p>
        </w:tc>
      </w:tr>
      <w:tr>
        <w:trPr>
          <w:trHeight w:val="420"/>
        </w:trPr>
        <w:tc>
          <w:tcPr>
            <w:tcW w:w="6740" w:type="dxa"/>
            <w:vAlign w:val="bottom"/>
            <w:gridSpan w:val="3"/>
          </w:tcPr>
          <w:p>
            <w:pPr>
              <w:ind w:left="2380"/>
              <w:spacing w:after="0"/>
              <w:rPr>
                <w:sz w:val="20"/>
                <w:szCs w:val="20"/>
                <w:color w:val="auto"/>
              </w:rPr>
            </w:pPr>
            <w:r>
              <w:rPr>
                <w:rFonts w:ascii="Times New Roman" w:cs="Times New Roman" w:eastAsia="Times New Roman" w:hAnsi="Times New Roman"/>
                <w:sz w:val="25"/>
                <w:szCs w:val="25"/>
                <w:b w:val="1"/>
                <w:bCs w:val="1"/>
                <w:color w:val="auto"/>
              </w:rPr>
              <w:t>LifeSci Capital</w:t>
            </w:r>
          </w:p>
        </w:tc>
        <w:tc>
          <w:tcPr>
            <w:tcW w:w="4520" w:type="dxa"/>
            <w:vAlign w:val="bottom"/>
          </w:tcPr>
          <w:p>
            <w:pPr>
              <w:ind w:left="120"/>
              <w:spacing w:after="0"/>
              <w:rPr>
                <w:sz w:val="20"/>
                <w:szCs w:val="20"/>
                <w:color w:val="auto"/>
              </w:rPr>
            </w:pPr>
            <w:r>
              <w:rPr>
                <w:rFonts w:ascii="Times New Roman" w:cs="Times New Roman" w:eastAsia="Times New Roman" w:hAnsi="Times New Roman"/>
                <w:sz w:val="25"/>
                <w:szCs w:val="25"/>
                <w:b w:val="1"/>
                <w:bCs w:val="1"/>
                <w:color w:val="auto"/>
              </w:rPr>
              <w:t>Ladenburg Thalmann</w:t>
            </w:r>
          </w:p>
        </w:tc>
      </w:tr>
      <w:tr>
        <w:trPr>
          <w:trHeight w:val="194"/>
        </w:trPr>
        <w:tc>
          <w:tcPr>
            <w:tcW w:w="3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4520" w:type="dxa"/>
            <w:vAlign w:val="bottom"/>
          </w:tcPr>
          <w:p>
            <w:pPr>
              <w:spacing w:after="0"/>
              <w:rPr>
                <w:sz w:val="16"/>
                <w:szCs w:val="16"/>
                <w:color w:val="auto"/>
              </w:rPr>
            </w:pPr>
          </w:p>
        </w:tc>
      </w:tr>
      <w:tr>
        <w:trPr>
          <w:trHeight w:val="318"/>
        </w:trPr>
        <w:tc>
          <w:tcPr>
            <w:tcW w:w="3260" w:type="dxa"/>
            <w:vAlign w:val="bottom"/>
          </w:tcPr>
          <w:p>
            <w:pPr>
              <w:spacing w:after="0"/>
              <w:rPr>
                <w:sz w:val="24"/>
                <w:szCs w:val="24"/>
                <w:color w:val="auto"/>
              </w:rPr>
            </w:pPr>
          </w:p>
        </w:tc>
        <w:tc>
          <w:tcPr>
            <w:tcW w:w="34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2020.</w:t>
            </w:r>
          </w:p>
        </w:tc>
      </w:tr>
      <w:tr>
        <w:trPr>
          <w:trHeight w:val="290"/>
        </w:trPr>
        <w:tc>
          <w:tcPr>
            <w:tcW w:w="3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82"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670"/>
        </w:trPr>
        <w:tc>
          <w:tcPr>
            <w:tcW w:w="100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PROSPECTUS SUMMARY</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RISK FACTORS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SPECIAL NOTE REGARDING FORWARD-LOOKING STATEMENTS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MARKET, INDUSTRY AND OTHER DATA</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USE OF PROCEEDS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DIVIDEND POLICY</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CAPITALIZATION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DILUTION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SELECTED FINANCIAL DATA</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BUSINESS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MANAGEMENT</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EXECUTIVE COMPENSATION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CERTAIN RELATIONSHIPS AND RELATED PARTY TRANSACTIONS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PRINCIPAL STOCKHOLDERS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DESCRIPTION OF CAPITAL STOCK</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SHARES ELIGIBLE FOR FUTURE SALE</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MATERIAL U.S. FEDERAL INCOME TAX CONSEQUENCES FOR NON-U.S. HOLDERS OF OUR COMMON STOCK</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UNDERWRITING</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LEGAL MATTERS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EXPERTS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WHERE YOU CAN FIND ADDITIONAL INFORMATION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4"/>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74">
              <w:r>
                <w:rPr>
                  <w:rFonts w:ascii="Times New Roman" w:cs="Times New Roman" w:eastAsia="Times New Roman" w:hAnsi="Times New Roman"/>
                  <w:sz w:val="18"/>
                  <w:szCs w:val="18"/>
                  <w:u w:val="single" w:color="auto"/>
                  <w:color w:val="0000EE"/>
                </w:rPr>
                <w:t>INDEX TO FINANCIAL STATEMENTS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pacing w:after="0" w:line="211"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or to make any representations other than those contained in this prospectus, any amendment or supplement to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200" w:lineRule="exact"/>
        <w:rPr>
          <w:sz w:val="20"/>
          <w:szCs w:val="20"/>
          <w:color w:val="auto"/>
        </w:rPr>
      </w:pPr>
    </w:p>
    <w:p>
      <w:pPr>
        <w:spacing w:after="0" w:line="203"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759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759960"/>
                    </a:xfrm>
                    <a:prstGeom prst="rect">
                      <a:avLst/>
                    </a:prstGeom>
                    <a:noFill/>
                  </pic:spPr>
                </pic:pic>
              </a:graphicData>
            </a:graphic>
          </wp:anchor>
        </w:drawing>
        <w:t>PROSPECTUS SUMMARY</w:t>
      </w:r>
    </w:p>
    <w:p>
      <w:pPr>
        <w:spacing w:after="0" w:line="227" w:lineRule="exact"/>
        <w:rPr>
          <w:sz w:val="20"/>
          <w:szCs w:val="20"/>
          <w:color w:val="auto"/>
        </w:rPr>
      </w:pPr>
    </w:p>
    <w:p>
      <w:pPr>
        <w:ind w:right="20" w:firstLine="978"/>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“Business,” “Management’s Discussion and Analysis of Financial Condition and Results of Operations” and our financial statements and related notes included elsewhere in this prospectus before making an investment decision. In this prospectus, unless context requires otherwise, references to “we,” “us,” “our,” “Tarsus,” or “the Company” refer to Tarsus Pharmaceuticals, Inc.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978"/>
        <w:spacing w:after="0" w:line="252"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To date, we have completed four Phase 2 trials for TP-03 in Demodex blepharitis,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 new drug application, or NDA, to the Food and Drug Administration, or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96" w:lineRule="exact"/>
        <w:rPr>
          <w:sz w:val="20"/>
          <w:szCs w:val="20"/>
          <w:color w:val="auto"/>
        </w:rPr>
      </w:pPr>
    </w:p>
    <w:p>
      <w:pPr>
        <w:ind w:right="80" w:firstLine="978"/>
        <w:spacing w:after="0" w:line="258"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γ-aminobutyric acid-gated chloride channels, or GABA-Cl channels. We are advancing our pipeline to address a number of diseases across therapeutic categories including eye care, dermatology and other diseases with high, unmet needs. These diseases include Demodex blepharitis, Meibomian Gland Disease, or MGD, rosacea, Lyme disease and malaria.</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1</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522" w:right="559" w:bottom="1440" w:gutter="0" w:footer="0" w:header="0"/>
        </w:sectPr>
      </w:pPr>
    </w:p>
    <w:bookmarkStart w:id="4" w:name="page5"/>
    <w:bookmarkEnd w:id="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339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7339965"/>
                    </a:xfrm>
                    <a:prstGeom prst="rect">
                      <a:avLst/>
                    </a:prstGeom>
                    <a:noFill/>
                  </pic:spPr>
                </pic:pic>
              </a:graphicData>
            </a:graphic>
          </wp:anchor>
        </w:drawing>
        <w:t>The following pipeline chart presents our wholly-owned product candidates and clinical development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0" w:hanging="358"/>
        <w:spacing w:after="0"/>
        <w:tabs>
          <w:tab w:leader="none" w:pos="3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milestones are subject to the impact of the ongoing COVID-19 pandemic on our business and those of our partners.</w:t>
      </w:r>
    </w:p>
    <w:p>
      <w:pPr>
        <w:spacing w:after="0" w:line="4" w:lineRule="exact"/>
        <w:rPr>
          <w:sz w:val="20"/>
          <w:szCs w:val="20"/>
          <w:color w:val="auto"/>
        </w:rPr>
      </w:pPr>
    </w:p>
    <w:p>
      <w:pPr>
        <w:ind w:left="360" w:right="80" w:hanging="358"/>
        <w:spacing w:after="0" w:line="221" w:lineRule="auto"/>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ind w:left="360" w:right="160" w:hanging="358"/>
        <w:spacing w:after="0" w:line="22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intend to leverage all preclinical, Phase 2 and Phase 3 data from TP-03 Demodex blepharitis program. We intend to conduct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bioequivalence studies with our preservative-free formulation to compare it to the current preserved formulation of TP-03 in Demodex blepharitis after NDA submission and file a supplement.</w:t>
      </w:r>
    </w:p>
    <w:p>
      <w:pPr>
        <w:spacing w:after="0" w:line="1" w:lineRule="exact"/>
        <w:rPr>
          <w:sz w:val="20"/>
          <w:szCs w:val="20"/>
          <w:color w:val="auto"/>
        </w:rPr>
      </w:pPr>
    </w:p>
    <w:p>
      <w:pPr>
        <w:ind w:left="360" w:right="440" w:hanging="358"/>
        <w:spacing w:after="0" w:line="221" w:lineRule="auto"/>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leverage data from TP-03 preclinical studies and augment with additional preclinical studies to select formulation in order to advance to Phase 1/2. We have not conducted any preclinical studies in rosacea with TP-04 to date.</w:t>
      </w:r>
    </w:p>
    <w:p>
      <w:pPr>
        <w:spacing w:after="0" w:line="1" w:lineRule="exact"/>
        <w:rPr>
          <w:sz w:val="20"/>
          <w:szCs w:val="20"/>
          <w:color w:val="auto"/>
        </w:rPr>
      </w:pPr>
    </w:p>
    <w:p>
      <w:pPr>
        <w:ind w:left="360" w:right="120" w:hanging="358"/>
        <w:spacing w:after="0" w:line="233"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Lyme disease and malaria, we intend to leverage data from our TP-03 preclinical studies for Demodex blepharitis as well as third-party preclinical studies for Lyme disease or malaria, respectively (and will not conduct our own preclinical studies for Lyme disease and malaria). Subject to FDA feedback, we intend to conduct Phase 1/2 trials in these indications based on these preclinical studies. In relation to malaria, we may conduct our Phase 1/2 trial outside the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Blepharitis: A Significant, Underserved and Underdiagnosed Market</w:t>
      </w:r>
    </w:p>
    <w:p>
      <w:pPr>
        <w:spacing w:after="0" w:line="229" w:lineRule="exact"/>
        <w:rPr>
          <w:sz w:val="20"/>
          <w:szCs w:val="20"/>
          <w:color w:val="auto"/>
        </w:rPr>
      </w:pPr>
    </w:p>
    <w:p>
      <w:pPr>
        <w:ind w:right="40" w:firstLine="978"/>
        <w:spacing w:after="0" w:line="253" w:lineRule="auto"/>
        <w:rPr>
          <w:sz w:val="20"/>
          <w:szCs w:val="20"/>
          <w:color w:val="auto"/>
        </w:rPr>
      </w:pPr>
      <w:r>
        <w:rPr>
          <w:rFonts w:ascii="Times New Roman" w:cs="Times New Roman" w:eastAsia="Times New Roman" w:hAnsi="Times New Roman"/>
          <w:sz w:val="18"/>
          <w:szCs w:val="18"/>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in the United States, and there is growing recognition within the ophthalmic community about Demodex mites as an underlying cause of blepharitis. Demodex mites are the most common ectoparasite found on humans. Demodex mites potentially cause approximately 45%, or approximately nine million, of blepharitis cases in the United States and we believe that the number of Demodex blepharitis patients in the United States may be higher. In addition, there is growing awareness among eye care professionals, or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aging patients commonly present to the offices of ECPs for other ophthalmic conditions besides blepharitis, such as 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87" w:lineRule="exact"/>
        <w:rPr>
          <w:sz w:val="20"/>
          <w:szCs w:val="20"/>
          <w:color w:val="auto"/>
        </w:rPr>
      </w:pPr>
    </w:p>
    <w:p>
      <w:pPr>
        <w:ind w:firstLine="978"/>
        <w:spacing w:after="0" w:line="255" w:lineRule="auto"/>
        <w:rPr>
          <w:sz w:val="20"/>
          <w:szCs w:val="20"/>
          <w:color w:val="auto"/>
        </w:rPr>
      </w:pPr>
      <w:r>
        <w:rPr>
          <w:rFonts w:ascii="Times New Roman" w:cs="Times New Roman" w:eastAsia="Times New Roman" w:hAnsi="Times New Roman"/>
          <w:sz w:val="18"/>
          <w:szCs w:val="18"/>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International Classification of Diseases, Tenth Revision, Clinical Modification, or ICD-10-CM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2</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742" w:right="559" w:bottom="1440" w:gutter="0" w:footer="0" w:header="0"/>
        </w:sectPr>
      </w:pPr>
    </w:p>
    <w:bookmarkStart w:id="5" w:name="page6"/>
    <w:bookmarkEnd w:id="5"/>
    <w:p>
      <w:pPr>
        <w:ind w:right="140" w:firstLine="97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8086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8086090"/>
                    </a:xfrm>
                    <a:prstGeom prst="rect">
                      <a:avLst/>
                    </a:prstGeom>
                    <a:noFill/>
                  </pic:spPr>
                </pic:pic>
              </a:graphicData>
            </a:graphic>
          </wp:anchor>
        </w:drawing>
        <w:t>Further, patients continue to have underlying risk of 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83" w:lineRule="exact"/>
        <w:rPr>
          <w:sz w:val="20"/>
          <w:szCs w:val="20"/>
          <w:color w:val="auto"/>
        </w:rPr>
      </w:pPr>
    </w:p>
    <w:p>
      <w:pPr>
        <w:ind w:firstLine="978"/>
        <w:spacing w:after="0" w:line="258" w:lineRule="auto"/>
        <w:rPr>
          <w:sz w:val="20"/>
          <w:szCs w:val="20"/>
          <w:color w:val="auto"/>
        </w:rPr>
      </w:pPr>
      <w:r>
        <w:rPr>
          <w:rFonts w:ascii="Times New Roman" w:cs="Times New Roman" w:eastAsia="Times New Roman" w:hAnsi="Times New Roman"/>
          <w:sz w:val="18"/>
          <w:szCs w:val="18"/>
          <w:color w:val="auto"/>
        </w:rPr>
        <w:t>We believe the blepharitis market has the potential to be analogous to other ophthalmic markets that grew significantly once there was a product to address the large, latent demand for an effective therapy, such as dry eye. Blepharitis already has 2.1 million diagnoses per year with blepharitis classified per the ICD-10-CM, despite no approved therapies to help with market awareness, but we believe there is potential for significant market expansion. 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TP-03</w:t>
      </w:r>
    </w:p>
    <w:p>
      <w:pPr>
        <w:spacing w:after="0" w:line="229" w:lineRule="exact"/>
        <w:rPr>
          <w:sz w:val="20"/>
          <w:szCs w:val="20"/>
          <w:color w:val="auto"/>
        </w:rPr>
      </w:pPr>
    </w:p>
    <w:p>
      <w:pPr>
        <w:ind w:right="200" w:firstLine="978"/>
        <w:spacing w:after="0" w:line="266" w:lineRule="auto"/>
        <w:rPr>
          <w:sz w:val="20"/>
          <w:szCs w:val="20"/>
          <w:color w:val="auto"/>
        </w:rPr>
      </w:pPr>
      <w:r>
        <w:rPr>
          <w:rFonts w:ascii="Times New Roman" w:cs="Times New Roman" w:eastAsia="Times New Roman" w:hAnsi="Times New Roman"/>
          <w:sz w:val="18"/>
          <w:szCs w:val="18"/>
          <w:color w:val="auto"/>
        </w:rPr>
        <w:t>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figure provides the characteristics of TP-03 in the Saturn-1 Phase 2b/3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978"/>
        <w:spacing w:after="0" w:line="253" w:lineRule="auto"/>
        <w:rPr>
          <w:sz w:val="20"/>
          <w:szCs w:val="20"/>
          <w:color w:val="auto"/>
        </w:rPr>
      </w:pPr>
      <w:r>
        <w:rPr>
          <w:rFonts w:ascii="Times New Roman" w:cs="Times New Roman" w:eastAsia="Times New Roman" w:hAnsi="Times New Roman"/>
          <w:sz w:val="18"/>
          <w:szCs w:val="18"/>
          <w:color w:val="auto"/>
        </w:rPr>
        <w:t xml:space="preserve">We have completed four Phase 2 clinical trials to date, along with one additional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TP-03 was generally well tolerated throughout these trials. The Phase 2a Mars trial was a smaller single arm trial evaluating the safety and efficacy of TP-03 with a 28-day twice per day, or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742" w:right="579" w:bottom="1440" w:gutter="0" w:footer="0" w:header="0"/>
        </w:sectPr>
      </w:pPr>
    </w:p>
    <w:bookmarkStart w:id="6" w:name="page7"/>
    <w:bookmarkEnd w:id="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957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7957185"/>
                    </a:xfrm>
                    <a:prstGeom prst="rect">
                      <a:avLst/>
                    </a:prstGeom>
                    <a:noFill/>
                  </pic:spPr>
                </pic:pic>
              </a:graphicData>
            </a:graphic>
          </wp:anchor>
        </w:drawing>
        <w:t>duration of 42 days. In the Io trial, we utilized for the first time in clinical trials the formulation of TP-03 that is expected to support our NDA submission for Demodex blepharitis. The change in formulation consisted of replacing laurolkonium chloride, or LAK, with sorbate as the preservative as well as adding a chelating agent. The key differences between the Io and Europa trials, were that Io was a smaller single-arm trial, while Europa was a slightly larger randomized vehicle-controlled trial. The observed efficacy in Io and Europa was consistent across both trials, with a collarette cure rate of 72% and 80% respectively, and a mite eradication rate of 78% and 73% respectively. The achievement of primary, secondary and/or exploratory endpoints, as applicable, in such trials, and safety results across our comprehensive Phase 2 program provided us with the basis to design and initiate our pivotal Phase 2b/3 and Phase 3 clinical trials for TP-03 for the treatment of Demodex blepharitis.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figure provides a summary of our completed and planned clinical investigations evaluating TP-03 for Demodex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blepharitis: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360" w:right="20" w:hanging="358"/>
        <w:spacing w:after="0" w:line="233" w:lineRule="auto"/>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w:t>
      </w:r>
    </w:p>
    <w:p>
      <w:pPr>
        <w:ind w:left="360"/>
        <w:spacing w:after="0" w:line="222" w:lineRule="auto"/>
        <w:rPr>
          <w:sz w:val="20"/>
          <w:szCs w:val="20"/>
          <w:color w:val="auto"/>
        </w:rPr>
      </w:pPr>
      <w:r>
        <w:rPr>
          <w:rFonts w:ascii="Times New Roman" w:cs="Times New Roman" w:eastAsia="Times New Roman" w:hAnsi="Times New Roman"/>
          <w:sz w:val="14"/>
          <w:szCs w:val="14"/>
          <w:color w:val="auto"/>
        </w:rPr>
        <w:t>from mite eradication. Mite density is translated into mite eradication, which is defined as zero mites per lash consistently throughout trials.</w:t>
      </w:r>
    </w:p>
    <w:p>
      <w:pPr>
        <w:ind w:left="360" w:hanging="358"/>
        <w:spacing w:after="0" w:line="221" w:lineRule="auto"/>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endpoint in Io, Europa, Saturn-1 and intended in Saturn-2 is collarette cure based on collarette grade.</w:t>
      </w:r>
    </w:p>
    <w:p>
      <w:pPr>
        <w:ind w:left="360" w:hanging="358"/>
        <w:spacing w:after="0" w:line="221"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IND application, a “no-objection” letter was received from the FDA regarding the trial design of the Saturn-1 trial.</w:t>
      </w:r>
    </w:p>
    <w:p>
      <w:pPr>
        <w:spacing w:after="0" w:line="1" w:lineRule="exact"/>
        <w:rPr>
          <w:sz w:val="20"/>
          <w:szCs w:val="20"/>
          <w:color w:val="auto"/>
        </w:rPr>
      </w:pPr>
    </w:p>
    <w:p>
      <w:pPr>
        <w:ind w:left="360" w:right="420" w:hanging="358"/>
        <w:spacing w:after="0" w:line="239" w:lineRule="auto"/>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Saturn-2 design is highly comparable to that of Saturn-1 with respect to which the FDA raised “no-objection” and we expect to update the IND protocol prior to commencing Saturn-2.</w:t>
      </w:r>
    </w:p>
    <w:p>
      <w:pPr>
        <w:spacing w:after="0" w:line="181" w:lineRule="exact"/>
        <w:rPr>
          <w:sz w:val="20"/>
          <w:szCs w:val="20"/>
          <w:color w:val="auto"/>
        </w:rPr>
      </w:pPr>
    </w:p>
    <w:p>
      <w:pPr>
        <w:ind w:firstLine="978"/>
        <w:spacing w:after="0" w:line="254" w:lineRule="auto"/>
        <w:rPr>
          <w:sz w:val="20"/>
          <w:szCs w:val="20"/>
          <w:color w:val="auto"/>
        </w:rPr>
      </w:pPr>
      <w:r>
        <w:rPr>
          <w:rFonts w:ascii="Times New Roman" w:cs="Times New Roman" w:eastAsia="Times New Roman" w:hAnsi="Times New Roman"/>
          <w:sz w:val="18"/>
          <w:szCs w:val="18"/>
          <w:color w:val="auto"/>
        </w:rPr>
        <w:t>We plan to evaluate TP-03 in two pivotal registration trials, referred to as Saturn-1 and Saturn-2. Saturn-1 is a Phase 2b/3, randomized, controlled, double-blind trial to evaluate the safety and efficacy of TP-03 that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trials to support the potential submission of an NDA for TP-03 for the treatment of Demodex blepharitis.</w:t>
      </w: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4</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526" w:right="559" w:bottom="1440" w:gutter="0" w:footer="0" w:header="0"/>
        </w:sectPr>
      </w:pPr>
    </w:p>
    <w:bookmarkStart w:id="7" w:name="page8"/>
    <w:bookmarkEnd w:id="7"/>
    <w:p>
      <w:pPr>
        <w:ind w:right="120" w:firstLine="97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366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7366000"/>
                    </a:xfrm>
                    <a:prstGeom prst="rect">
                      <a:avLst/>
                    </a:prstGeom>
                    <a:noFill/>
                  </pic:spPr>
                </pic:pic>
              </a:graphicData>
            </a:graphic>
          </wp:anchor>
        </w:drawing>
        <w:t xml:space="preserve">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 MGD. In the United States, MGD prevalence has been found to be approximately two-thirds of the estimated 34 million dry eye patient population. One species of Demodex mite,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is known to infest the meibomian gland, and clinical signs of MGD have been shown to be correlated with infestation of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While dry eye is a multi-factorial disease, TP-03 is designed to relieve some of the key elements of MGD by virtue of causing the death of the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mites.</w:t>
      </w:r>
    </w:p>
    <w:p>
      <w:pPr>
        <w:spacing w:after="0" w:line="187" w:lineRule="exact"/>
        <w:rPr>
          <w:sz w:val="20"/>
          <w:szCs w:val="20"/>
          <w:color w:val="auto"/>
        </w:rPr>
      </w:pPr>
    </w:p>
    <w:p>
      <w:pPr>
        <w:ind w:right="160" w:firstLine="978"/>
        <w:spacing w:after="0" w:line="266" w:lineRule="auto"/>
        <w:rPr>
          <w:sz w:val="20"/>
          <w:szCs w:val="20"/>
          <w:color w:val="auto"/>
        </w:rPr>
      </w:pPr>
      <w:r>
        <w:rPr>
          <w:rFonts w:ascii="Times New Roman" w:cs="Times New Roman" w:eastAsia="Times New Roman" w:hAnsi="Times New Roman"/>
          <w:sz w:val="18"/>
          <w:szCs w:val="18"/>
          <w:color w:val="auto"/>
        </w:rPr>
        <w:t>Beyond TP-03, we are developing additional clinical-stage product candidates focused on expanding into other therapeutic categories, including dermatology and other diseases with high, unmet needs. These include TP-04 for the potential treatment of rosacea as well as TP-05 for potential Lyme prophylaxis and community malaria reduction.</w:t>
      </w:r>
    </w:p>
    <w:p>
      <w:pPr>
        <w:spacing w:after="0" w:line="176" w:lineRule="exact"/>
        <w:rPr>
          <w:sz w:val="20"/>
          <w:szCs w:val="20"/>
          <w:color w:val="auto"/>
        </w:rPr>
      </w:pPr>
    </w:p>
    <w:p>
      <w:pPr>
        <w:ind w:right="220" w:firstLine="978"/>
        <w:spacing w:after="0" w:line="258" w:lineRule="auto"/>
        <w:rPr>
          <w:sz w:val="20"/>
          <w:szCs w:val="20"/>
          <w:color w:val="auto"/>
        </w:rPr>
      </w:pPr>
      <w:r>
        <w:rPr>
          <w:rFonts w:ascii="Times New Roman" w:cs="Times New Roman" w:eastAsia="Times New Roman" w:hAnsi="Times New Roman"/>
          <w:sz w:val="18"/>
          <w:szCs w:val="18"/>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We intend to develop TP-04 as a topical formulation, and we plan to submit an IND and initiate Phase 1/2 trial of TP-04 for the treatment of rosacea in 2021. In anticipation of such trial, we intend to initiate preclinical studies in 2020 to select Phase 1/2 formulation for TP-04.</w:t>
      </w:r>
    </w:p>
    <w:p>
      <w:pPr>
        <w:spacing w:after="0" w:line="183" w:lineRule="exact"/>
        <w:rPr>
          <w:sz w:val="20"/>
          <w:szCs w:val="20"/>
          <w:color w:val="auto"/>
        </w:rPr>
      </w:pPr>
    </w:p>
    <w:p>
      <w:pPr>
        <w:ind w:firstLine="978"/>
        <w:spacing w:after="0" w:line="256" w:lineRule="auto"/>
        <w:rPr>
          <w:sz w:val="20"/>
          <w:szCs w:val="20"/>
          <w:color w:val="auto"/>
        </w:rPr>
      </w:pPr>
      <w:r>
        <w:rPr>
          <w:rFonts w:ascii="Times New Roman" w:cs="Times New Roman" w:eastAsia="Times New Roman" w:hAnsi="Times New Roman"/>
          <w:sz w:val="18"/>
          <w:szCs w:val="18"/>
          <w:color w:val="auto"/>
        </w:rPr>
        <w:t>Lyme disease is the most common vector-borne disease in the United States, caused by infection of Borrelia bacteria following bite by a tick vector. Estimates of annual cases of Lyme disease in the United States range from approximately 300,000 to 400,000. Malaria is one of the world’s highest unmet public health needs, with approximately 228 million cases and more than 400,000 deaths caused by malaria worldwide. We are developing TP-05 as an oral formulation that is designed as a prophylactic drug against Lyme disease to eradicate the tick before it can transmit the Borrelia bacteria. Further, TP-05 also has the potential to cause the death of mosquitos that transmit malaria. We plan to submit an IND and initiate a Phase 1/2 trial of TP-05 for Lyme disease in 2021. For malaria we may conduct the Phase 1/2 trial outside of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ind w:right="100" w:firstLine="978"/>
        <w:spacing w:after="0" w:line="255" w:lineRule="auto"/>
        <w:rPr>
          <w:sz w:val="20"/>
          <w:szCs w:val="20"/>
          <w:color w:val="auto"/>
        </w:rPr>
      </w:pPr>
      <w:r>
        <w:rPr>
          <w:rFonts w:ascii="Times New Roman" w:cs="Times New Roman" w:eastAsia="Times New Roman" w:hAnsi="Times New Roman"/>
          <w:sz w:val="18"/>
          <w:szCs w:val="18"/>
          <w:color w:val="auto"/>
        </w:rPr>
        <w:t>We have assembled a team with extensive experience developing and commercializing leading ophthalmic products and therapies. Members of our management team and board of directors have founded and led several biopharmaceutical companies including those in the ophthalmic care space, such as Oyster Point Pharma, Inc., or Oyster Point Pharma (NASDAQ: OYST), and Oculeve Inc., or Oculeve, and have been pivotal in the development and commercialization of various leading ophthalmic products, including the dry eye therapy, Restasis. We intend to leverage this expertise and experience to rapidly pursue the development of TP-03 and any other future product candidates that we may identify and develop. We are supported by healthcare dedicated financial investors, which include Aperture Venture Partners, Flying L Ventures, Horowitz Limited Partnership, Frazier Life Sciences, Visionary Ventures and Vivo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 and Differentiation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believe our company and our product candidates have the following key distinguishing characteristics:</w:t>
      </w:r>
    </w:p>
    <w:p>
      <w:pPr>
        <w:spacing w:after="0" w:line="221" w:lineRule="exact"/>
        <w:rPr>
          <w:sz w:val="20"/>
          <w:szCs w:val="20"/>
          <w:color w:val="auto"/>
        </w:rPr>
      </w:pPr>
    </w:p>
    <w:p>
      <w:pPr>
        <w:ind w:left="1340" w:right="40" w:hanging="366"/>
        <w:spacing w:after="0" w:line="253"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TP-03 is currently in Phase 2b/3 and has met various endpoints for efficacy in Phase 2 trials. </w:t>
      </w:r>
      <w:r>
        <w:rPr>
          <w:rFonts w:ascii="Times New Roman" w:cs="Times New Roman" w:eastAsia="Times New Roman" w:hAnsi="Times New Roman"/>
          <w:sz w:val="18"/>
          <w:szCs w:val="18"/>
          <w:color w:val="auto"/>
        </w:rPr>
        <w:t>We have observed TP-03’s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results across our four Phase 2 clinical trials – Mars, Jupiter, Io and Europa – in which treatment with TP-03 resulted in the achievement of primary, secondary and/or exploratory endpoints, as applicable, in such trials, and we observed that TP-03 was well tolerated. Our Phase 2b/3 trial, Saturn-1, and our Phase 3 trial, Saturn-2, are utilizing or are expected to utilize trial designs that are comparable in many respects to those of the Phase 2 Io and Europa trials. The trial designs for Saturn-1 and Saturn-2 are, however, expected to be more stringent than those for Io and Europa. Saturn-1 is expected to enroll at least 350 patients and Saturn-2 is expected to enroll approximately 350 patients, which is substantially more patients compared to a maximum of 54 patients in the Europa trial, have a longer safety protocol (Saturn-1 only, which will follow subjects to safety for one year as opposed to 42 days) and enroll patients in multiple locations in the United States (as opposed to one location in Mexico). In connection with our IND application, we have received a “no-objection” letter from the FDA regarding the trial design for Saturn-</w:t>
      </w:r>
    </w:p>
    <w:p>
      <w:pPr>
        <w:ind w:left="1340" w:right="680" w:hanging="2"/>
        <w:spacing w:after="0" w:line="260" w:lineRule="auto"/>
        <w:tabs>
          <w:tab w:leader="none" w:pos="15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design for Saturn-2 is highly comparable to that of Saturn-1 and we expect to update the IND protocol prior to commencing Saturn-2. We commenced Saturn-1 in September 2020.</w:t>
      </w:r>
    </w:p>
    <w:p>
      <w:pPr>
        <w:spacing w:after="0" w:line="347" w:lineRule="exact"/>
        <w:rPr>
          <w:rFonts w:ascii="Times New Roman" w:cs="Times New Roman" w:eastAsia="Times New Roman" w:hAnsi="Times New Roman"/>
          <w:sz w:val="18"/>
          <w:szCs w:val="18"/>
          <w:color w:val="auto"/>
        </w:rPr>
      </w:pPr>
    </w:p>
    <w:p>
      <w:pPr>
        <w:ind w:left="5340" w:hanging="127"/>
        <w:spacing w:after="0"/>
        <w:tabs>
          <w:tab w:leader="none" w:pos="5340"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742" w:right="539" w:bottom="1440" w:gutter="0" w:footer="0" w:header="0"/>
        </w:sectPr>
      </w:pPr>
    </w:p>
    <w:bookmarkStart w:id="8" w:name="page9"/>
    <w:bookmarkEnd w:id="8"/>
    <w:p>
      <w:pPr>
        <w:ind w:left="1340" w:right="60" w:hanging="366"/>
        <w:spacing w:after="0" w:line="255"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680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6680200"/>
                    </a:xfrm>
                    <a:prstGeom prst="rect">
                      <a:avLst/>
                    </a:prstGeom>
                    <a:noFill/>
                  </pic:spPr>
                </pic:pic>
              </a:graphicData>
            </a:graphic>
          </wp:anchor>
        </w:drawing>
        <w:t xml:space="preserve">Large, underserved and underdiagnosed blepharitis market with a significant opportunity for growth. </w:t>
      </w:r>
      <w:r>
        <w:rPr>
          <w:rFonts w:ascii="Times New Roman" w:cs="Times New Roman" w:eastAsia="Times New Roman" w:hAnsi="Times New Roman"/>
          <w:sz w:val="18"/>
          <w:szCs w:val="18"/>
          <w:color w:val="auto"/>
        </w:rPr>
        <w:t>Although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blepharitis and Demodex blepharitis are significantly underdiagnosed conditions, with limited treatment alternatives, there are already an estimated 2.1 million annual blepharitis diagnoses in the United States with blepharitis classified per ICD-10-CM. However, we believe the market opportunity may be substantially larger. According to published studies, there are an estimated 20 million patients in the United States that suffer from blepharitis with approximately 45%, or approximately nine million, of cases caused by Demodex infestation and we believe the number of Demodex blepharitis cases may be higher. We believe the blepharitis market may be analogous to other ophthalmic markets where diagnoses grew significantly once there was a product to address the large, latent demand for an effective therapy.</w:t>
      </w:r>
    </w:p>
    <w:p>
      <w:pPr>
        <w:spacing w:after="0" w:line="184" w:lineRule="exact"/>
        <w:rPr>
          <w:rFonts w:ascii="Times New Roman" w:cs="Times New Roman" w:eastAsia="Times New Roman" w:hAnsi="Times New Roman"/>
          <w:sz w:val="18"/>
          <w:szCs w:val="18"/>
          <w:color w:val="auto"/>
        </w:rPr>
      </w:pPr>
    </w:p>
    <w:p>
      <w:pPr>
        <w:ind w:left="1340" w:right="160" w:hanging="366"/>
        <w:spacing w:after="0" w:line="262"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chemistry developed for the first time in human medicine. </w:t>
      </w:r>
      <w:r>
        <w:rPr>
          <w:rFonts w:ascii="Times New Roman" w:cs="Times New Roman" w:eastAsia="Times New Roman" w:hAnsi="Times New Roman"/>
          <w:sz w:val="18"/>
          <w:szCs w:val="18"/>
          <w:color w:val="auto"/>
        </w:rPr>
        <w:t>Our current therapeutic strategy is focused on the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eye care, dermatology and other diseases with high, unmet needs.</w:t>
      </w:r>
    </w:p>
    <w:p>
      <w:pPr>
        <w:spacing w:after="0" w:line="176" w:lineRule="exact"/>
        <w:rPr>
          <w:rFonts w:ascii="Times New Roman" w:cs="Times New Roman" w:eastAsia="Times New Roman" w:hAnsi="Times New Roman"/>
          <w:sz w:val="18"/>
          <w:szCs w:val="18"/>
          <w:color w:val="auto"/>
        </w:rPr>
      </w:pPr>
    </w:p>
    <w:p>
      <w:pPr>
        <w:ind w:left="1340" w:hanging="366"/>
        <w:spacing w:after="0" w:line="256"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opportunities beyond Demodex blepharitis. </w:t>
      </w:r>
      <w:r>
        <w:rPr>
          <w:rFonts w:ascii="Times New Roman" w:cs="Times New Roman" w:eastAsia="Times New Roman" w:hAnsi="Times New Roman"/>
          <w:sz w:val="18"/>
          <w:szCs w:val="18"/>
          <w:color w:val="auto"/>
        </w:rPr>
        <w:t>Like blepharitis, MGD may also be caused by Demodex infestation,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 and TP-05 for potential prophylaxis of Lyme and community malaria reduction. Annual estimates of Lyme disease in the United States range from approximately 300,000 to 400,000. Malaria is one of the world’s highest unmet public health needs, with approximately 228 million cases and more than 400,000 deaths due to malaria globally in 2018 alone.</w:t>
      </w:r>
    </w:p>
    <w:p>
      <w:pPr>
        <w:spacing w:after="0" w:line="182" w:lineRule="exact"/>
        <w:rPr>
          <w:rFonts w:ascii="Times New Roman" w:cs="Times New Roman" w:eastAsia="Times New Roman" w:hAnsi="Times New Roman"/>
          <w:sz w:val="18"/>
          <w:szCs w:val="18"/>
          <w:color w:val="auto"/>
        </w:rPr>
      </w:pPr>
    </w:p>
    <w:p>
      <w:pPr>
        <w:ind w:left="1340" w:right="160" w:hanging="366"/>
        <w:spacing w:after="0" w:line="259"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Experienced management team and board of directors supported by high quality investor base. </w:t>
      </w:r>
      <w:r>
        <w:rPr>
          <w:rFonts w:ascii="Times New Roman" w:cs="Times New Roman" w:eastAsia="Times New Roman" w:hAnsi="Times New Roman"/>
          <w:sz w:val="18"/>
          <w:szCs w:val="18"/>
          <w:color w:val="auto"/>
        </w:rPr>
        <w:t>We have built a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with significant experience in developing and commercializing therapeutic products for ophthalmic conditions. Our management team and board of directors have founded and led several companies in the ophthalmic care space, including Oyster Point Pharma and Oculeve, and have been pivotal in the development and commercialization of various leading ophthalmic products, including the dry eye therapy, Restasis.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firstLine="978"/>
        <w:spacing w:after="0" w:line="266" w:lineRule="auto"/>
        <w:rPr>
          <w:sz w:val="20"/>
          <w:szCs w:val="20"/>
          <w:color w:val="auto"/>
        </w:rPr>
      </w:pPr>
      <w:r>
        <w:rPr>
          <w:rFonts w:ascii="Times New Roman" w:cs="Times New Roman" w:eastAsia="Times New Roman" w:hAnsi="Times New Roman"/>
          <w:sz w:val="18"/>
          <w:szCs w:val="18"/>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172" w:lineRule="exact"/>
        <w:rPr>
          <w:sz w:val="20"/>
          <w:szCs w:val="20"/>
          <w:color w:val="auto"/>
        </w:rPr>
      </w:pPr>
    </w:p>
    <w:p>
      <w:pPr>
        <w:ind w:left="1340" w:right="80" w:hanging="366"/>
        <w:spacing w:after="0" w:line="257"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TP-03 through clinical development and eventual approval for the treatment of Demodex blepharitis.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in multiple Phase 2 trials across 147 patients that TP-03 results in the achievement of clinical endpoints, which are generally the same clinical endpoints that will be utilized in our pivotal Phase 2b/3 and Phase 3 trials. We have commenced our first pivotal trial, Saturn-1, a Phase 2b/3 trial, in September 2020, and we expect top-line data in 2021, subject to the impact of the ongoing COVID-19 pandemic. Enrollment of our second pivotal trial, Saturn-2, which will be a Phase 3 trial, is expected to begin in 2021, subject to the impact of the ongoing COVID-19 pandemic.</w:t>
      </w:r>
    </w:p>
    <w:p>
      <w:pPr>
        <w:spacing w:after="0" w:line="182" w:lineRule="exact"/>
        <w:rPr>
          <w:rFonts w:ascii="Times New Roman" w:cs="Times New Roman" w:eastAsia="Times New Roman" w:hAnsi="Times New Roman"/>
          <w:sz w:val="18"/>
          <w:szCs w:val="18"/>
          <w:color w:val="auto"/>
        </w:rPr>
      </w:pPr>
    </w:p>
    <w:p>
      <w:pPr>
        <w:ind w:left="1340" w:right="60" w:hanging="366"/>
        <w:spacing w:after="0" w:line="262"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Educate ECPs and establish our own specialty sales organization to commercialize TP-03 in the United States. </w:t>
      </w:r>
      <w:r>
        <w:rPr>
          <w:rFonts w:ascii="Times New Roman" w:cs="Times New Roman" w:eastAsia="Times New Roman" w:hAnsi="Times New Roman"/>
          <w:sz w:val="18"/>
          <w:szCs w:val="18"/>
          <w:color w:val="auto"/>
        </w:rPr>
        <w:t>If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standard eye examination.</w:t>
      </w:r>
    </w:p>
    <w:p>
      <w:pPr>
        <w:spacing w:after="0" w:line="346" w:lineRule="exact"/>
        <w:rPr>
          <w:rFonts w:ascii="Times New Roman" w:cs="Times New Roman" w:eastAsia="Times New Roman" w:hAnsi="Times New Roman"/>
          <w:sz w:val="18"/>
          <w:szCs w:val="18"/>
          <w:color w:val="auto"/>
        </w:rPr>
      </w:pPr>
    </w:p>
    <w:p>
      <w:pPr>
        <w:ind w:left="5340" w:hanging="127"/>
        <w:spacing w:after="0"/>
        <w:tabs>
          <w:tab w:leader="none" w:pos="53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738" w:right="559" w:bottom="1440" w:gutter="0" w:footer="0" w:header="0"/>
        </w:sectPr>
      </w:pPr>
    </w:p>
    <w:bookmarkStart w:id="9" w:name="page10"/>
    <w:bookmarkEnd w:id="9"/>
    <w:p>
      <w:pPr>
        <w:ind w:left="1340" w:right="380" w:hanging="366"/>
        <w:spacing w:after="0" w:line="286"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64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7640320"/>
                    </a:xfrm>
                    <a:prstGeom prst="rect">
                      <a:avLst/>
                    </a:prstGeom>
                    <a:noFill/>
                  </pic:spPr>
                </pic:pic>
              </a:graphicData>
            </a:graphic>
          </wp:anchor>
        </w:drawing>
        <w:t xml:space="preserve">Expand the label of TP-03 for other indications, including MGD. </w:t>
      </w:r>
      <w:r>
        <w:rPr>
          <w:rFonts w:ascii="Times New Roman" w:cs="Times New Roman" w:eastAsia="Times New Roman" w:hAnsi="Times New Roman"/>
          <w:sz w:val="18"/>
          <w:szCs w:val="18"/>
          <w:color w:val="auto"/>
        </w:rPr>
        <w:t>Like blepharitis, MGD may also be caused by Demodex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infestation, and we intend to explore the clinical potential for TP-03 in the indication.</w:t>
      </w:r>
    </w:p>
    <w:p>
      <w:pPr>
        <w:spacing w:after="0" w:line="154" w:lineRule="exact"/>
        <w:rPr>
          <w:rFonts w:ascii="Times New Roman" w:cs="Times New Roman" w:eastAsia="Times New Roman" w:hAnsi="Times New Roman"/>
          <w:sz w:val="18"/>
          <w:szCs w:val="18"/>
          <w:color w:val="auto"/>
        </w:rPr>
      </w:pPr>
    </w:p>
    <w:p>
      <w:pPr>
        <w:ind w:left="1340" w:right="20" w:hanging="366"/>
        <w:spacing w:after="0" w:line="275" w:lineRule="auto"/>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Develop our pipeline, bringing novel products utilizing lotilaner to unmet needs across human medicine, including rosacea, Lyme disease and malaria</w:t>
      </w:r>
      <w:r>
        <w:rPr>
          <w:rFonts w:ascii="Times New Roman" w:cs="Times New Roman" w:eastAsia="Times New Roman" w:hAnsi="Times New Roman"/>
          <w:sz w:val="17"/>
          <w:szCs w:val="17"/>
          <w:color w:val="auto"/>
        </w:rPr>
        <w:t>. We plan to expand our pipeline of novel, differentiated product candidates that target parasites to treat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prevent important diseases. The mechanism of lotilaner coupled with our insights into disease where it can demonstrate clinical benefit, provides an opportunity to expand into new indications for treatment or prevention. By utilizing new formulations of lotilaner, we intend to develop a topical formulation designed to treat rosacea, and oral formulations for the prophylaxis of Lyme and community malaria reduction. We intend to expand into Phase 1/2 clinical trials for these indications in 2021.</w:t>
      </w:r>
    </w:p>
    <w:p>
      <w:pPr>
        <w:spacing w:after="0" w:line="168" w:lineRule="exact"/>
        <w:rPr>
          <w:rFonts w:ascii="Times New Roman" w:cs="Times New Roman" w:eastAsia="Times New Roman" w:hAnsi="Times New Roman"/>
          <w:sz w:val="17"/>
          <w:szCs w:val="17"/>
          <w:color w:val="auto"/>
        </w:rPr>
      </w:pPr>
    </w:p>
    <w:p>
      <w:pPr>
        <w:ind w:left="1340" w:hanging="366"/>
        <w:spacing w:after="0" w:line="256"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and selectively enter into strategic partnerships to maximize the potential of our pipeline and the scope of our eye care product offerings. </w:t>
      </w:r>
      <w:r>
        <w:rPr>
          <w:rFonts w:ascii="Times New Roman" w:cs="Times New Roman" w:eastAsia="Times New Roman" w:hAnsi="Times New Roman"/>
          <w:sz w:val="18"/>
          <w:szCs w:val="18"/>
          <w:color w:val="auto"/>
        </w:rPr>
        <w:t>We have retained our rights globally to all of our indications for use in humans, including, our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candidate, TP-03, for the potential treatment of Demodex blepharitis and MGD, TP-04 for the potential treatment of rosacea and TP-05 for potential prophylaxis of Lyme and community malaria reduction. We are dependent on licenses from Elanco Tiergesundheit AG, or Elanco, for the development and commercialization of these products. Given the potential to treat patients worldwide we may opportunistically enter into strategic partnerships around certain product candidates, disease or geographic regions.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right="160" w:firstLine="978"/>
        <w:spacing w:after="0" w:line="282" w:lineRule="auto"/>
        <w:rPr>
          <w:sz w:val="20"/>
          <w:szCs w:val="20"/>
          <w:color w:val="auto"/>
        </w:rPr>
      </w:pPr>
      <w:r>
        <w:rPr>
          <w:rFonts w:ascii="Times New Roman" w:cs="Times New Roman" w:eastAsia="Times New Roman" w:hAnsi="Times New Roman"/>
          <w:sz w:val="18"/>
          <w:szCs w:val="18"/>
          <w:color w:val="auto"/>
        </w:rPr>
        <w:t>Our ability to execute our business strategy is subject to numerous risks, as more fully described in the section entitled “Risk Factors” immediately following this prospectus summary. These risks include, among others:</w:t>
      </w:r>
    </w:p>
    <w:p>
      <w:pPr>
        <w:spacing w:after="0" w:line="158" w:lineRule="exact"/>
        <w:rPr>
          <w:sz w:val="20"/>
          <w:szCs w:val="20"/>
          <w:color w:val="auto"/>
        </w:rPr>
      </w:pPr>
    </w:p>
    <w:p>
      <w:pPr>
        <w:ind w:left="1340" w:right="60" w:hanging="366"/>
        <w:spacing w:after="0" w:line="268" w:lineRule="auto"/>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are a late clinical-stage biopharmaceutical company with limited operating history. We have incurred significant losses and negative cash flows from operations since our inception and anticipate that we will continue to incur significant expenses and losses for the foreseeable future.</w:t>
      </w:r>
    </w:p>
    <w:p>
      <w:pPr>
        <w:spacing w:after="0" w:line="170" w:lineRule="exact"/>
        <w:rPr>
          <w:rFonts w:ascii="Times New Roman" w:cs="Times New Roman" w:eastAsia="Times New Roman" w:hAnsi="Times New Roman"/>
          <w:sz w:val="18"/>
          <w:szCs w:val="18"/>
          <w:b w:val="1"/>
          <w:bCs w:val="1"/>
          <w:color w:val="auto"/>
        </w:rPr>
      </w:pPr>
    </w:p>
    <w:p>
      <w:pPr>
        <w:ind w:left="1340" w:hanging="366"/>
        <w:spacing w:after="0" w:line="262" w:lineRule="auto"/>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176" w:lineRule="exact"/>
        <w:rPr>
          <w:rFonts w:ascii="Times New Roman" w:cs="Times New Roman" w:eastAsia="Times New Roman" w:hAnsi="Times New Roman"/>
          <w:sz w:val="18"/>
          <w:szCs w:val="18"/>
          <w:b w:val="1"/>
          <w:bCs w:val="1"/>
          <w:color w:val="auto"/>
        </w:rPr>
      </w:pPr>
    </w:p>
    <w:p>
      <w:pPr>
        <w:ind w:left="1340" w:hanging="366"/>
        <w:spacing w:after="0"/>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are heavily dependent on the success of our lead product candidate, TP-03 for the treatment of Demodex blepharitis.</w:t>
      </w:r>
    </w:p>
    <w:p>
      <w:pPr>
        <w:spacing w:after="0" w:line="225" w:lineRule="exact"/>
        <w:rPr>
          <w:rFonts w:ascii="Times New Roman" w:cs="Times New Roman" w:eastAsia="Times New Roman" w:hAnsi="Times New Roman"/>
          <w:sz w:val="18"/>
          <w:szCs w:val="18"/>
          <w:b w:val="1"/>
          <w:bCs w:val="1"/>
          <w:color w:val="auto"/>
        </w:rPr>
      </w:pPr>
    </w:p>
    <w:p>
      <w:pPr>
        <w:ind w:left="1340" w:hanging="366"/>
        <w:spacing w:after="0" w:line="268" w:lineRule="auto"/>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w:t>
      </w:r>
    </w:p>
    <w:p>
      <w:pPr>
        <w:spacing w:after="0" w:line="170" w:lineRule="exact"/>
        <w:rPr>
          <w:rFonts w:ascii="Times New Roman" w:cs="Times New Roman" w:eastAsia="Times New Roman" w:hAnsi="Times New Roman"/>
          <w:sz w:val="18"/>
          <w:szCs w:val="18"/>
          <w:b w:val="1"/>
          <w:bCs w:val="1"/>
          <w:color w:val="auto"/>
        </w:rPr>
      </w:pPr>
    </w:p>
    <w:p>
      <w:pPr>
        <w:ind w:left="1340" w:hanging="366"/>
        <w:spacing w:after="0" w:line="257" w:lineRule="auto"/>
        <w:tabs>
          <w:tab w:leader="none" w:pos="1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 if TP-03 or any other product candidate that we develop receives marketing approval, we may not be successful in educating ECPs and the market about the need for treatments specifically for Demodex blepharitis and or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182" w:lineRule="exact"/>
        <w:rPr>
          <w:rFonts w:ascii="Times New Roman" w:cs="Times New Roman" w:eastAsia="Times New Roman" w:hAnsi="Times New Roman"/>
          <w:sz w:val="18"/>
          <w:szCs w:val="18"/>
          <w:b w:val="1"/>
          <w:bCs w:val="1"/>
          <w:color w:val="auto"/>
        </w:rPr>
      </w:pPr>
    </w:p>
    <w:p>
      <w:pPr>
        <w:ind w:left="1340" w:right="160" w:hanging="366"/>
        <w:spacing w:after="0" w:line="291" w:lineRule="auto"/>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We are dependent on intellectual property we license from Elanco for the development and commercialization of our products, including our lead product candidate, TP-03 for the potential treatment of Demodex blepharitis and MGD, TP-04 for the potential treatment of rosacea and TP-05 for potential Lyme prophylaxis and community malaria reduction.</w:t>
      </w:r>
    </w:p>
    <w:p>
      <w:pPr>
        <w:spacing w:after="0" w:line="152" w:lineRule="exact"/>
        <w:rPr>
          <w:rFonts w:ascii="Times New Roman" w:cs="Times New Roman" w:eastAsia="Times New Roman" w:hAnsi="Times New Roman"/>
          <w:sz w:val="17"/>
          <w:szCs w:val="17"/>
          <w:color w:val="auto"/>
        </w:rPr>
      </w:pPr>
    </w:p>
    <w:p>
      <w:pPr>
        <w:ind w:left="1340" w:right="280" w:hanging="366"/>
        <w:spacing w:after="0" w:line="291" w:lineRule="auto"/>
        <w:tabs>
          <w:tab w:leader="none" w:pos="13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We will need to develop and expand our company in terms of operations and employees, which we expect to include our development, regulatory and operational capabilities and potentially implement sales, marketing and distribution capabilities and, as a result, we may encounter difficulties in managing our growth, which could disrupt our operations.</w:t>
      </w:r>
    </w:p>
    <w:p>
      <w:pPr>
        <w:spacing w:after="0" w:line="323" w:lineRule="exact"/>
        <w:rPr>
          <w:rFonts w:ascii="Times New Roman" w:cs="Times New Roman" w:eastAsia="Times New Roman" w:hAnsi="Times New Roman"/>
          <w:sz w:val="17"/>
          <w:szCs w:val="17"/>
          <w:b w:val="1"/>
          <w:bCs w:val="1"/>
          <w:color w:val="auto"/>
        </w:rPr>
      </w:pPr>
    </w:p>
    <w:p>
      <w:pPr>
        <w:ind w:left="5340" w:hanging="127"/>
        <w:spacing w:after="0"/>
        <w:tabs>
          <w:tab w:leader="none" w:pos="53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738" w:right="559" w:bottom="1440" w:gutter="0" w:footer="0" w:header="0"/>
        </w:sectPr>
      </w:pPr>
    </w:p>
    <w:bookmarkStart w:id="10" w:name="page11"/>
    <w:bookmarkEnd w:id="10"/>
    <w:p>
      <w:pPr>
        <w:ind w:left="1340" w:right="140" w:hanging="366"/>
        <w:spacing w:after="0" w:line="262" w:lineRule="auto"/>
        <w:tabs>
          <w:tab w:leader="none" w:pos="1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720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5720080"/>
                    </a:xfrm>
                    <a:prstGeom prst="rect">
                      <a:avLst/>
                    </a:prstGeom>
                    <a:noFill/>
                  </pic:spPr>
                </pic:pic>
              </a:graphicData>
            </a:graphic>
          </wp:anchor>
        </w:drawing>
        <w:t>The sizes of the market opportunity for our product candidates, particularly TP-03 for the treatment of Demodex blepharitis and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76" w:lineRule="exact"/>
        <w:rPr>
          <w:rFonts w:ascii="Times New Roman" w:cs="Times New Roman" w:eastAsia="Times New Roman" w:hAnsi="Times New Roman"/>
          <w:sz w:val="18"/>
          <w:szCs w:val="18"/>
          <w:b w:val="1"/>
          <w:bCs w:val="1"/>
          <w:color w:val="auto"/>
        </w:rPr>
      </w:pPr>
    </w:p>
    <w:p>
      <w:pPr>
        <w:ind w:left="1340" w:right="60" w:hanging="366"/>
        <w:spacing w:after="0" w:line="286" w:lineRule="auto"/>
        <w:tabs>
          <w:tab w:leader="none" w:pos="1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Clinical drug development involves a lengthy and expensive process with uncertain timelines and uncertain outcomes, and results of earlier studies and trials may not be predictive of future results.</w:t>
      </w:r>
    </w:p>
    <w:p>
      <w:pPr>
        <w:spacing w:after="0" w:line="154" w:lineRule="exact"/>
        <w:rPr>
          <w:rFonts w:ascii="Times New Roman" w:cs="Times New Roman" w:eastAsia="Times New Roman" w:hAnsi="Times New Roman"/>
          <w:sz w:val="18"/>
          <w:szCs w:val="18"/>
          <w:b w:val="1"/>
          <w:bCs w:val="1"/>
          <w:color w:val="auto"/>
        </w:rPr>
      </w:pPr>
    </w:p>
    <w:p>
      <w:pPr>
        <w:ind w:left="1340" w:right="40" w:hanging="366"/>
        <w:spacing w:after="0" w:line="317" w:lineRule="auto"/>
        <w:tabs>
          <w:tab w:leader="none" w:pos="13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31" w:lineRule="exact"/>
        <w:rPr>
          <w:rFonts w:ascii="Times New Roman" w:cs="Times New Roman" w:eastAsia="Times New Roman" w:hAnsi="Times New Roman"/>
          <w:sz w:val="17"/>
          <w:szCs w:val="17"/>
          <w:b w:val="1"/>
          <w:bCs w:val="1"/>
          <w:color w:val="auto"/>
        </w:rPr>
      </w:pPr>
    </w:p>
    <w:p>
      <w:pPr>
        <w:ind w:left="1340" w:hanging="366"/>
        <w:spacing w:after="0"/>
        <w:tabs>
          <w:tab w:leader="none" w:pos="1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rely on third parties to conduct our clinical trials and perform some of our research and preclinical studies.</w:t>
      </w:r>
    </w:p>
    <w:p>
      <w:pPr>
        <w:spacing w:after="0" w:line="225" w:lineRule="exact"/>
        <w:rPr>
          <w:rFonts w:ascii="Times New Roman" w:cs="Times New Roman" w:eastAsia="Times New Roman" w:hAnsi="Times New Roman"/>
          <w:sz w:val="18"/>
          <w:szCs w:val="18"/>
          <w:b w:val="1"/>
          <w:bCs w:val="1"/>
          <w:color w:val="auto"/>
        </w:rPr>
      </w:pPr>
    </w:p>
    <w:p>
      <w:pPr>
        <w:ind w:left="1340" w:right="40" w:hanging="366"/>
        <w:spacing w:after="0" w:line="291" w:lineRule="auto"/>
        <w:tabs>
          <w:tab w:leader="none" w:pos="13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52" w:lineRule="exact"/>
        <w:rPr>
          <w:rFonts w:ascii="Times New Roman" w:cs="Times New Roman" w:eastAsia="Times New Roman" w:hAnsi="Times New Roman"/>
          <w:sz w:val="17"/>
          <w:szCs w:val="17"/>
          <w:b w:val="1"/>
          <w:bCs w:val="1"/>
          <w:color w:val="auto"/>
        </w:rPr>
      </w:pPr>
    </w:p>
    <w:p>
      <w:pPr>
        <w:ind w:left="1340" w:right="200" w:hanging="366"/>
        <w:spacing w:after="0" w:line="286" w:lineRule="auto"/>
        <w:tabs>
          <w:tab w:leader="none" w:pos="1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terms may be inadequate to protect our competitive position on our product candidates and preclinical programs for an adequate amount of time.</w:t>
      </w:r>
    </w:p>
    <w:p>
      <w:pPr>
        <w:spacing w:after="0" w:line="154" w:lineRule="exact"/>
        <w:rPr>
          <w:rFonts w:ascii="Times New Roman" w:cs="Times New Roman" w:eastAsia="Times New Roman" w:hAnsi="Times New Roman"/>
          <w:sz w:val="18"/>
          <w:szCs w:val="18"/>
          <w:b w:val="1"/>
          <w:bCs w:val="1"/>
          <w:color w:val="auto"/>
        </w:rPr>
      </w:pPr>
    </w:p>
    <w:p>
      <w:pPr>
        <w:ind w:left="1340" w:right="80" w:hanging="366"/>
        <w:spacing w:after="0" w:line="286"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00" w:firstLine="978"/>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2016. Our principal executive offices are located at 15440 Laguna Canyon Road, Irvine, California 92618. Our telephone number is (949) 409-9820. Our website address is www.tarsusrx.com. Information contained on the website is not incorporated by reference into this prospectus.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have included our website address in this prospectus solely as an inactive textual reference.</w:t>
      </w:r>
    </w:p>
    <w:p>
      <w:pPr>
        <w:spacing w:after="0" w:line="225" w:lineRule="exact"/>
        <w:rPr>
          <w:sz w:val="20"/>
          <w:szCs w:val="20"/>
          <w:color w:val="auto"/>
        </w:rPr>
      </w:pPr>
    </w:p>
    <w:p>
      <w:pPr>
        <w:ind w:firstLine="978"/>
        <w:spacing w:after="0" w:line="255" w:lineRule="auto"/>
        <w:rPr>
          <w:sz w:val="20"/>
          <w:szCs w:val="20"/>
          <w:color w:val="auto"/>
        </w:rPr>
      </w:pPr>
      <w:r>
        <w:rPr>
          <w:rFonts w:ascii="Times New Roman" w:cs="Times New Roman" w:eastAsia="Times New Roman" w:hAnsi="Times New Roman"/>
          <w:sz w:val="18"/>
          <w:szCs w:val="18"/>
          <w:color w:val="auto"/>
        </w:rPr>
        <w:t xml:space="preserve">Tarsus Therapeutics, Tarsus, and Tarsus Pharmaceuticals, Inc., our logo and other registered or common law trade names, trademarks or service markets of Tarsus appearing in this prospectus are the property of Tarsus.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prospectus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 names, trademarks and service marks.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8</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738" w:right="57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582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5582920"/>
                    </a:xfrm>
                    <a:prstGeom prst="rect">
                      <a:avLst/>
                    </a:prstGeom>
                    <a:noFill/>
                  </pic:spPr>
                </pic:pic>
              </a:graphicData>
            </a:graphic>
          </wp:anchor>
        </w:drawing>
        <w:t>Implications of Being an Emerging Growth Company</w:t>
      </w:r>
    </w:p>
    <w:p>
      <w:pPr>
        <w:spacing w:after="0" w:line="229" w:lineRule="exact"/>
        <w:rPr>
          <w:sz w:val="20"/>
          <w:szCs w:val="20"/>
          <w:color w:val="auto"/>
        </w:rPr>
      </w:pPr>
    </w:p>
    <w:p>
      <w:pPr>
        <w:ind w:right="20" w:firstLine="978"/>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or the JOBS Act. We will remain an emerging growth company until the earliest to occur of: (i) the last day of the fiscal year in which we have more than $1.07 billion in annual gross revenue; (ii) the date we qualify as a “large accelerated filer” as defined in Rule 12b-2 under the Exchange Act, with at least</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$700 million of equity securities held by non-affiliates; (iii) the issuance, in any three-year period, by us of more than $1.0 billion in non-convertible debt securities; or (iv) the last day of the fiscal year ending after the fifth anniversary of our initial public offering. As a result of this status, we have taken advantage of certain exemptions from various reporting requirements in this prospectus that are applicable to other publicly-traded entities that are not emerging growth companies and may elect to take advantage of other exemptions from reporting requirements in our future filings with the SEC. In particular, in this prospectus, these exemptions include:</w:t>
      </w:r>
    </w:p>
    <w:p>
      <w:pPr>
        <w:spacing w:after="0" w:line="187" w:lineRule="exact"/>
        <w:rPr>
          <w:sz w:val="20"/>
          <w:szCs w:val="20"/>
          <w:color w:val="auto"/>
        </w:rPr>
      </w:pPr>
    </w:p>
    <w:p>
      <w:pPr>
        <w:ind w:left="1340" w:right="100" w:hanging="366"/>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Management’s Discussion and Analysis of Financial Condition and Results of Operations;</w:t>
      </w:r>
    </w:p>
    <w:p>
      <w:pPr>
        <w:spacing w:after="0" w:line="161" w:lineRule="exact"/>
        <w:rPr>
          <w:rFonts w:ascii="Times New Roman" w:cs="Times New Roman" w:eastAsia="Times New Roman" w:hAnsi="Times New Roman"/>
          <w:sz w:val="18"/>
          <w:szCs w:val="18"/>
          <w:color w:val="auto"/>
        </w:rPr>
      </w:pPr>
    </w:p>
    <w:p>
      <w:pPr>
        <w:ind w:left="1340" w:right="300" w:hanging="366"/>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404(b) of the Sarbanes-Oxley Act of 2002, as amended, or the Sarbanes Oxley Act;</w:t>
      </w:r>
    </w:p>
    <w:p>
      <w:pPr>
        <w:spacing w:after="0" w:line="161" w:lineRule="exact"/>
        <w:rPr>
          <w:rFonts w:ascii="Times New Roman" w:cs="Times New Roman" w:eastAsia="Times New Roman" w:hAnsi="Times New Roman"/>
          <w:sz w:val="18"/>
          <w:szCs w:val="18"/>
          <w:color w:val="auto"/>
        </w:rPr>
      </w:pPr>
    </w:p>
    <w:p>
      <w:pPr>
        <w:ind w:left="1340" w:right="40" w:hanging="366"/>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 parachutes;” and</w:t>
      </w:r>
    </w:p>
    <w:p>
      <w:pPr>
        <w:spacing w:after="0" w:line="161" w:lineRule="exact"/>
        <w:rPr>
          <w:rFonts w:ascii="Times New Roman" w:cs="Times New Roman" w:eastAsia="Times New Roman" w:hAnsi="Times New Roman"/>
          <w:sz w:val="18"/>
          <w:szCs w:val="18"/>
          <w:color w:val="auto"/>
        </w:rPr>
      </w:pPr>
    </w:p>
    <w:p>
      <w:pPr>
        <w:ind w:left="1340" w:right="40" w:hanging="366"/>
        <w:spacing w:after="0" w:line="312" w:lineRule="auto"/>
        <w:tabs>
          <w:tab w:leader="none" w:pos="1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disclose certain executive compensation-related items such as the correlation between executive compensation and performance and comparisons of the chief executive officer’s compensation to median employee compensation.</w:t>
      </w:r>
    </w:p>
    <w:p>
      <w:pPr>
        <w:spacing w:after="0" w:line="140" w:lineRule="exact"/>
        <w:rPr>
          <w:sz w:val="20"/>
          <w:szCs w:val="20"/>
          <w:color w:val="auto"/>
        </w:rPr>
      </w:pPr>
    </w:p>
    <w:p>
      <w:pPr>
        <w:ind w:right="40" w:firstLine="978"/>
        <w:spacing w:after="0" w:line="282" w:lineRule="auto"/>
        <w:rPr>
          <w:sz w:val="20"/>
          <w:szCs w:val="20"/>
          <w:color w:val="auto"/>
        </w:rPr>
      </w:pPr>
      <w:r>
        <w:rPr>
          <w:rFonts w:ascii="Times New Roman" w:cs="Times New Roman" w:eastAsia="Times New Roman" w:hAnsi="Times New Roman"/>
          <w:sz w:val="18"/>
          <w:szCs w:val="18"/>
          <w:color w:val="auto"/>
        </w:rPr>
        <w:t>As a result, we do not know if some investors will find our common stock less attractive. The result may be a less active trading market for our common stock, and the price of our common stock may become more volatile.</w:t>
      </w:r>
    </w:p>
    <w:p>
      <w:pPr>
        <w:spacing w:after="0" w:line="162" w:lineRule="exact"/>
        <w:rPr>
          <w:sz w:val="20"/>
          <w:szCs w:val="20"/>
          <w:color w:val="auto"/>
        </w:rPr>
      </w:pPr>
    </w:p>
    <w:p>
      <w:pPr>
        <w:ind w:firstLine="978"/>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upon completion of this offering, we will adopt new or revised accounting standards on the relevant dates on which adoption of such standards is required for other public companies that are not emerging growth companies. Even after we no longer qualify as an emerging growth company, we may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9</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738" w:right="5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4600" w:type="dxa"/>
            <w:vAlign w:val="bottom"/>
          </w:tcPr>
          <w:p>
            <w:pPr>
              <w:spacing w:after="0"/>
              <w:rPr>
                <w:sz w:val="20"/>
                <w:szCs w:val="20"/>
                <w:color w:val="auto"/>
              </w:rPr>
            </w:pP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Tarsus Pharmaceuticals, Inc.</w:t>
            </w: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offered by us</w:t>
            </w:r>
          </w:p>
        </w:tc>
        <w:tc>
          <w:tcPr>
            <w:tcW w:w="40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4600" w:type="dxa"/>
            <w:vAlign w:val="bottom"/>
          </w:tcPr>
          <w:p>
            <w:pPr>
              <w:spacing w:after="0"/>
              <w:rPr>
                <w:sz w:val="24"/>
                <w:szCs w:val="24"/>
                <w:color w:val="auto"/>
              </w:rPr>
            </w:pPr>
          </w:p>
        </w:tc>
      </w:tr>
      <w:tr>
        <w:trPr>
          <w:trHeight w:val="44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to be outstanding immediately</w:t>
            </w:r>
          </w:p>
        </w:tc>
        <w:tc>
          <w:tcPr>
            <w:tcW w:w="40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(or</w:t>
            </w:r>
          </w:p>
        </w:tc>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if the underwriters exercise their option to purchase</w:t>
            </w:r>
          </w:p>
        </w:tc>
      </w:tr>
      <w:tr>
        <w:trPr>
          <w:trHeight w:val="234"/>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after this offering</w:t>
            </w: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shares in full)</w:t>
            </w:r>
          </w:p>
        </w:tc>
        <w:tc>
          <w:tcPr>
            <w:tcW w:w="4600" w:type="dxa"/>
            <w:vAlign w:val="bottom"/>
          </w:tcPr>
          <w:p>
            <w:pPr>
              <w:spacing w:after="0"/>
              <w:rPr>
                <w:sz w:val="20"/>
                <w:szCs w:val="20"/>
                <w:color w:val="auto"/>
              </w:rPr>
            </w:pPr>
          </w:p>
        </w:tc>
      </w:tr>
      <w:tr>
        <w:trPr>
          <w:trHeight w:val="44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w:t>
            </w:r>
          </w:p>
        </w:tc>
      </w:tr>
      <w:tr>
        <w:trPr>
          <w:trHeight w:val="216"/>
        </w:trPr>
        <w:tc>
          <w:tcPr>
            <w:tcW w:w="4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additional shares of our common stock. The underwriters can exercise this option</w:t>
            </w:r>
          </w:p>
        </w:tc>
      </w:tr>
      <w:tr>
        <w:trPr>
          <w:trHeight w:val="234"/>
        </w:trPr>
        <w:tc>
          <w:tcPr>
            <w:tcW w:w="4160" w:type="dxa"/>
            <w:vAlign w:val="bottom"/>
          </w:tcPr>
          <w:p>
            <w:pPr>
              <w:spacing w:after="0"/>
              <w:rPr>
                <w:sz w:val="20"/>
                <w:szCs w:val="20"/>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at any time within 30 days after the date of this prospectus.</w:t>
            </w:r>
          </w:p>
        </w:tc>
      </w:tr>
      <w:tr>
        <w:trPr>
          <w:trHeight w:val="42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w:t>
            </w:r>
          </w:p>
        </w:tc>
      </w:tr>
      <w:tr>
        <w:trPr>
          <w:trHeight w:val="216"/>
        </w:trPr>
        <w:tc>
          <w:tcPr>
            <w:tcW w:w="416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million, or $</w:t>
            </w: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million if the underwriters exercise their option to purchase</w:t>
            </w:r>
          </w:p>
        </w:tc>
      </w:tr>
      <w:tr>
        <w:trPr>
          <w:trHeight w:val="216"/>
        </w:trPr>
        <w:tc>
          <w:tcPr>
            <w:tcW w:w="4160" w:type="dxa"/>
            <w:vAlign w:val="bottom"/>
          </w:tcPr>
          <w:p>
            <w:pPr>
              <w:spacing w:after="0"/>
              <w:rPr>
                <w:sz w:val="18"/>
                <w:szCs w:val="18"/>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additional shares in full, after deducting estimated underwriting discounts and</w:t>
            </w:r>
          </w:p>
        </w:tc>
      </w:tr>
      <w:tr>
        <w:trPr>
          <w:trHeight w:val="216"/>
        </w:trPr>
        <w:tc>
          <w:tcPr>
            <w:tcW w:w="4160" w:type="dxa"/>
            <w:vAlign w:val="bottom"/>
          </w:tcPr>
          <w:p>
            <w:pPr>
              <w:spacing w:after="0"/>
              <w:rPr>
                <w:sz w:val="18"/>
                <w:szCs w:val="18"/>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 assuming an initial public</w:t>
            </w:r>
          </w:p>
        </w:tc>
      </w:tr>
      <w:tr>
        <w:trPr>
          <w:trHeight w:val="216"/>
        </w:trPr>
        <w:tc>
          <w:tcPr>
            <w:tcW w:w="4160" w:type="dxa"/>
            <w:vAlign w:val="bottom"/>
          </w:tcPr>
          <w:p>
            <w:pPr>
              <w:spacing w:after="0"/>
              <w:rPr>
                <w:sz w:val="18"/>
                <w:szCs w:val="18"/>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offering price of $</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 share, which is the midpoint of the estimated price range</w:t>
            </w:r>
          </w:p>
        </w:tc>
      </w:tr>
      <w:tr>
        <w:trPr>
          <w:trHeight w:val="234"/>
        </w:trPr>
        <w:tc>
          <w:tcPr>
            <w:tcW w:w="4160" w:type="dxa"/>
            <w:vAlign w:val="bottom"/>
          </w:tcPr>
          <w:p>
            <w:pPr>
              <w:spacing w:after="0"/>
              <w:rPr>
                <w:sz w:val="20"/>
                <w:szCs w:val="20"/>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set forth on the cover page of this prospectus.</w:t>
            </w:r>
          </w:p>
        </w:tc>
      </w:tr>
      <w:tr>
        <w:trPr>
          <w:trHeight w:val="427"/>
        </w:trPr>
        <w:tc>
          <w:tcPr>
            <w:tcW w:w="4160" w:type="dxa"/>
            <w:vAlign w:val="bottom"/>
          </w:tcPr>
          <w:p>
            <w:pPr>
              <w:spacing w:after="0"/>
              <w:rPr>
                <w:sz w:val="24"/>
                <w:szCs w:val="24"/>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complete the development and</w:t>
            </w:r>
          </w:p>
        </w:tc>
      </w:tr>
      <w:tr>
        <w:trPr>
          <w:trHeight w:val="216"/>
        </w:trPr>
        <w:tc>
          <w:tcPr>
            <w:tcW w:w="4160" w:type="dxa"/>
            <w:vAlign w:val="bottom"/>
          </w:tcPr>
          <w:p>
            <w:pPr>
              <w:spacing w:after="0"/>
              <w:rPr>
                <w:sz w:val="18"/>
                <w:szCs w:val="18"/>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regulatory approval of TP-03 for the treatment Demodex blepharitis and the remaining</w:t>
            </w:r>
          </w:p>
        </w:tc>
      </w:tr>
      <w:tr>
        <w:trPr>
          <w:trHeight w:val="216"/>
        </w:trPr>
        <w:tc>
          <w:tcPr>
            <w:tcW w:w="4160" w:type="dxa"/>
            <w:vAlign w:val="bottom"/>
          </w:tcPr>
          <w:p>
            <w:pPr>
              <w:spacing w:after="0"/>
              <w:rPr>
                <w:sz w:val="18"/>
                <w:szCs w:val="18"/>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proceeds to fund the development of our product pipeline, as well as for other general</w:t>
            </w:r>
          </w:p>
        </w:tc>
      </w:tr>
      <w:tr>
        <w:trPr>
          <w:trHeight w:val="234"/>
        </w:trPr>
        <w:tc>
          <w:tcPr>
            <w:tcW w:w="4160" w:type="dxa"/>
            <w:vAlign w:val="bottom"/>
          </w:tcPr>
          <w:p>
            <w:pPr>
              <w:spacing w:after="0"/>
              <w:rPr>
                <w:sz w:val="20"/>
                <w:szCs w:val="20"/>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purposes. See “Use of Proceeds” on page 72 for additional information.</w:t>
            </w:r>
          </w:p>
        </w:tc>
      </w:tr>
      <w:tr>
        <w:trPr>
          <w:trHeight w:val="42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See “Risk Factors” beginning on page 14 and the other information included in this</w:t>
            </w:r>
          </w:p>
        </w:tc>
      </w:tr>
      <w:tr>
        <w:trPr>
          <w:trHeight w:val="216"/>
        </w:trPr>
        <w:tc>
          <w:tcPr>
            <w:tcW w:w="4160" w:type="dxa"/>
            <w:vAlign w:val="bottom"/>
          </w:tcPr>
          <w:p>
            <w:pPr>
              <w:spacing w:after="0"/>
              <w:rPr>
                <w:sz w:val="18"/>
                <w:szCs w:val="18"/>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prospectus for a discussion of factors you should consider carefully before deciding to</w:t>
            </w:r>
          </w:p>
        </w:tc>
      </w:tr>
      <w:tr>
        <w:trPr>
          <w:trHeight w:val="234"/>
        </w:trPr>
        <w:tc>
          <w:tcPr>
            <w:tcW w:w="4160" w:type="dxa"/>
            <w:vAlign w:val="bottom"/>
          </w:tcPr>
          <w:p>
            <w:pPr>
              <w:spacing w:after="0"/>
              <w:rPr>
                <w:sz w:val="20"/>
                <w:szCs w:val="20"/>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invest in our common stock.</w:t>
            </w:r>
          </w:p>
        </w:tc>
      </w:tr>
      <w:tr>
        <w:trPr>
          <w:trHeight w:val="42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Market trading symbol</w:t>
            </w: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We intend to apply to list our common stock on the Nasdaq Global Market under the</w:t>
            </w:r>
          </w:p>
        </w:tc>
      </w:tr>
      <w:tr>
        <w:trPr>
          <w:trHeight w:val="234"/>
        </w:trPr>
        <w:tc>
          <w:tcPr>
            <w:tcW w:w="416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symbol “TARS”.</w:t>
            </w:r>
          </w:p>
        </w:tc>
        <w:tc>
          <w:tcPr>
            <w:tcW w:w="460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588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7588885"/>
                    </a:xfrm>
                    <a:prstGeom prst="rect">
                      <a:avLst/>
                    </a:prstGeom>
                    <a:noFill/>
                  </pic:spPr>
                </pic:pic>
              </a:graphicData>
            </a:graphic>
          </wp:anchor>
        </w:drawing>
      </w:r>
    </w:p>
    <w:p>
      <w:pPr>
        <w:ind w:right="280" w:firstLine="97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81,475,339 shares of our common stock outstanding as of June 30, 2020 and excludes the following:</w:t>
      </w:r>
    </w:p>
    <w:p>
      <w:pPr>
        <w:spacing w:after="0" w:line="162" w:lineRule="exact"/>
        <w:rPr>
          <w:sz w:val="20"/>
          <w:szCs w:val="20"/>
          <w:color w:val="auto"/>
        </w:rPr>
      </w:pPr>
    </w:p>
    <w:p>
      <w:pPr>
        <w:ind w:left="1340" w:right="40" w:hanging="366"/>
        <w:spacing w:after="0" w:line="282"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9,141,330 shares of common stock issuable upon the exercise of options outstanding as of June 30, 2020, with a weighted-average exercise price of $ 0.22 per share;</w:t>
      </w:r>
    </w:p>
    <w:p>
      <w:pPr>
        <w:spacing w:after="0" w:line="161" w:lineRule="exact"/>
        <w:rPr>
          <w:rFonts w:ascii="Times New Roman" w:cs="Times New Roman" w:eastAsia="Times New Roman" w:hAnsi="Times New Roman"/>
          <w:sz w:val="18"/>
          <w:szCs w:val="18"/>
          <w:color w:val="auto"/>
        </w:rPr>
      </w:pPr>
    </w:p>
    <w:p>
      <w:pPr>
        <w:ind w:left="1960" w:hanging="986"/>
        <w:spacing w:after="0"/>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granted after June 30, 2020, at a weighted-average exercise</w:t>
      </w:r>
    </w:p>
    <w:p>
      <w:pPr>
        <w:spacing w:after="0" w:line="27"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18"/>
          <w:szCs w:val="18"/>
          <w:color w:val="auto"/>
        </w:rPr>
        <w:t>price of $</w:t>
      </w:r>
      <w:r>
        <w:rPr>
          <w:sz w:val="20"/>
          <w:szCs w:val="20"/>
          <w:color w:val="auto"/>
        </w:rPr>
        <w:tab/>
      </w:r>
      <w:r>
        <w:rPr>
          <w:rFonts w:ascii="Times New Roman" w:cs="Times New Roman" w:eastAsia="Times New Roman" w:hAnsi="Times New Roman"/>
          <w:sz w:val="17"/>
          <w:szCs w:val="17"/>
          <w:color w:val="auto"/>
        </w:rPr>
        <w:t>per share;</w:t>
      </w:r>
    </w:p>
    <w:p>
      <w:pPr>
        <w:spacing w:after="0" w:line="207" w:lineRule="exact"/>
        <w:rPr>
          <w:sz w:val="20"/>
          <w:szCs w:val="20"/>
          <w:color w:val="auto"/>
        </w:rPr>
      </w:pPr>
    </w:p>
    <w:p>
      <w:pPr>
        <w:ind w:left="1340" w:right="660" w:hanging="366"/>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legally issued upon the early exercise of certain stock options, but are subject to service conditions and the right of repurchase, that were outstanding as of June 30, 2020;</w:t>
      </w:r>
    </w:p>
    <w:p>
      <w:pPr>
        <w:spacing w:after="0" w:line="161" w:lineRule="exact"/>
        <w:rPr>
          <w:rFonts w:ascii="Times New Roman" w:cs="Times New Roman" w:eastAsia="Times New Roman" w:hAnsi="Times New Roman"/>
          <w:sz w:val="18"/>
          <w:szCs w:val="18"/>
          <w:color w:val="auto"/>
        </w:rPr>
      </w:pPr>
    </w:p>
    <w:p>
      <w:pPr>
        <w:jc w:val="both"/>
        <w:ind w:left="1340" w:right="260" w:hanging="366"/>
        <w:spacing w:after="0" w:line="266"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8,533,485 shares of common stock reserved for future issuance under our 2016 Stock Plan, as amended, or the 2016 Plan, as of June 30, 2020, which shares will be added to the shares to be reserved under our 2020 Equity Incentive Plan, or the 2020 Plan, upon its effectiveness; and</w:t>
      </w:r>
    </w:p>
    <w:p>
      <w:pPr>
        <w:spacing w:after="0" w:line="175" w:lineRule="exact"/>
        <w:rPr>
          <w:rFonts w:ascii="Times New Roman" w:cs="Times New Roman" w:eastAsia="Times New Roman" w:hAnsi="Times New Roman"/>
          <w:sz w:val="18"/>
          <w:szCs w:val="18"/>
          <w:color w:val="auto"/>
        </w:rPr>
      </w:pPr>
    </w:p>
    <w:p>
      <w:pPr>
        <w:ind w:left="1340" w:right="20" w:hanging="366"/>
        <w:spacing w:after="0" w:line="266" w:lineRule="auto"/>
        <w:tabs>
          <w:tab w:leader="none" w:pos="1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342" w:lineRule="exact"/>
        <w:rPr>
          <w:rFonts w:ascii="Times New Roman" w:cs="Times New Roman" w:eastAsia="Times New Roman" w:hAnsi="Times New Roman"/>
          <w:sz w:val="18"/>
          <w:szCs w:val="18"/>
          <w:color w:val="auto"/>
        </w:rPr>
      </w:pPr>
    </w:p>
    <w:p>
      <w:pPr>
        <w:ind w:left="5300" w:hanging="132"/>
        <w:spacing w:after="0"/>
        <w:tabs>
          <w:tab w:leader="none" w:pos="53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738" w:right="579" w:bottom="1440" w:gutter="0" w:footer="0" w:header="0"/>
        </w:sectPr>
      </w:pPr>
    </w:p>
    <w:bookmarkStart w:id="13" w:name="page14"/>
    <w:bookmarkEnd w:id="13"/>
    <w:p>
      <w:pPr>
        <w:ind w:left="460" w:right="40" w:hanging="366"/>
        <w:spacing w:after="0" w:line="261" w:lineRule="auto"/>
        <w:tabs>
          <w:tab w:leader="none" w:pos="10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976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976880"/>
                    </a:xfrm>
                    <a:prstGeom prst="rect">
                      <a:avLst/>
                    </a:prstGeom>
                    <a:noFill/>
                  </pic:spPr>
                </pic:pic>
              </a:graphicData>
            </a:graphic>
          </wp:anchor>
        </w:drawing>
        <w:t>shares of common stock reserved for issuance under our 2020 Employee Stock Purchase Plan, or the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assumes:</w:t>
      </w:r>
    </w:p>
    <w:p>
      <w:pPr>
        <w:sectPr>
          <w:pgSz w:w="11900" w:h="16838" w:orient="portrait"/>
          <w:cols w:equalWidth="0" w:num="1">
            <w:col w:w="9860"/>
          </w:cols>
          <w:pgMar w:left="1440" w:top="742" w:right="599" w:bottom="1440" w:gutter="0" w:footer="0" w:header="0"/>
        </w:sectPr>
      </w:pP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reverse stock split of our common stock to be effective 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2020;</w:t>
      </w:r>
    </w:p>
    <w:p>
      <w:pPr>
        <w:spacing w:after="0" w:line="211" w:lineRule="exact"/>
        <w:rPr>
          <w:sz w:val="20"/>
          <w:szCs w:val="20"/>
          <w:color w:val="auto"/>
        </w:rPr>
      </w:pPr>
    </w:p>
    <w:p>
      <w:pPr>
        <w:sectPr>
          <w:pgSz w:w="11900" w:h="16838" w:orient="portrait"/>
          <w:cols w:equalWidth="0" w:num="5">
            <w:col w:w="160" w:space="300"/>
            <w:col w:w="120" w:space="720"/>
            <w:col w:w="320" w:space="720"/>
            <w:col w:w="4180" w:space="720"/>
            <w:col w:w="2620"/>
          </w:cols>
          <w:pgMar w:left="1440" w:top="742" w:right="59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conversion of all outstanding shares of our preferred stock into an aggregate of prior to and in connection with the completion of this offering;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immediately</w:t>
      </w:r>
    </w:p>
    <w:p>
      <w:pPr>
        <w:spacing w:after="0" w:line="441" w:lineRule="exact"/>
        <w:rPr>
          <w:sz w:val="20"/>
          <w:szCs w:val="20"/>
          <w:color w:val="auto"/>
        </w:rPr>
      </w:pPr>
    </w:p>
    <w:p>
      <w:pPr>
        <w:sectPr>
          <w:pgSz w:w="11900" w:h="16838" w:orient="portrait"/>
          <w:cols w:equalWidth="0" w:num="3">
            <w:col w:w="160" w:space="300"/>
            <w:col w:w="5980" w:space="720"/>
            <w:col w:w="2700"/>
          </w:cols>
          <w:pgMar w:left="1440" w:top="742" w:right="599" w:bottom="1440" w:gutter="0" w:footer="0" w:header="0"/>
          <w:type w:val="continuous"/>
        </w:sectPr>
      </w:pPr>
    </w:p>
    <w:p>
      <w:pPr>
        <w:ind w:left="460" w:right="80" w:hanging="366"/>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61" w:lineRule="exact"/>
        <w:rPr>
          <w:rFonts w:ascii="Times New Roman" w:cs="Times New Roman" w:eastAsia="Times New Roman" w:hAnsi="Times New Roman"/>
          <w:sz w:val="18"/>
          <w:szCs w:val="18"/>
          <w:color w:val="auto"/>
        </w:rPr>
      </w:pPr>
    </w:p>
    <w:p>
      <w:pPr>
        <w:ind w:left="460" w:hanging="366"/>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225" w:lineRule="exact"/>
        <w:rPr>
          <w:rFonts w:ascii="Times New Roman" w:cs="Times New Roman" w:eastAsia="Times New Roman" w:hAnsi="Times New Roman"/>
          <w:sz w:val="18"/>
          <w:szCs w:val="18"/>
          <w:color w:val="auto"/>
        </w:rPr>
      </w:pPr>
    </w:p>
    <w:p>
      <w:pPr>
        <w:ind w:left="460" w:hanging="366"/>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described above after June 30, 2020.</w:t>
      </w:r>
    </w:p>
    <w:p>
      <w:pPr>
        <w:spacing w:after="0" w:line="391" w:lineRule="exact"/>
        <w:rPr>
          <w:rFonts w:ascii="Times New Roman" w:cs="Times New Roman" w:eastAsia="Times New Roman" w:hAnsi="Times New Roman"/>
          <w:sz w:val="18"/>
          <w:szCs w:val="18"/>
          <w:color w:val="auto"/>
        </w:rPr>
      </w:pPr>
    </w:p>
    <w:p>
      <w:pPr>
        <w:ind w:left="4420" w:hanging="129"/>
        <w:spacing w:after="0"/>
        <w:tabs>
          <w:tab w:leader="none" w:pos="442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860"/>
          </w:cols>
          <w:pgMar w:left="1440" w:top="742" w:right="59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739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6739890"/>
                    </a:xfrm>
                    <a:prstGeom prst="rect">
                      <a:avLst/>
                    </a:prstGeom>
                    <a:noFill/>
                  </pic:spPr>
                </pic:pic>
              </a:graphicData>
            </a:graphic>
          </wp:anchor>
        </w:drawing>
        <w:t>SUMMARY FINANCIAL DATA</w:t>
      </w:r>
    </w:p>
    <w:p>
      <w:pPr>
        <w:spacing w:after="0" w:line="229" w:lineRule="exact"/>
        <w:rPr>
          <w:sz w:val="20"/>
          <w:szCs w:val="20"/>
          <w:color w:val="auto"/>
        </w:rPr>
      </w:pPr>
    </w:p>
    <w:p>
      <w:pPr>
        <w:ind w:right="20" w:firstLine="978"/>
        <w:spacing w:after="0" w:line="253" w:lineRule="auto"/>
        <w:rPr>
          <w:sz w:val="20"/>
          <w:szCs w:val="20"/>
          <w:color w:val="auto"/>
        </w:rPr>
      </w:pPr>
      <w:r>
        <w:rPr>
          <w:rFonts w:ascii="Times New Roman" w:cs="Times New Roman" w:eastAsia="Times New Roman" w:hAnsi="Times New Roman"/>
          <w:sz w:val="18"/>
          <w:szCs w:val="18"/>
          <w:color w:val="auto"/>
        </w:rPr>
        <w:t>The summary statements of operations data for the years ended December 31, 2018 and 2019 are derived from our audited financial statements and related notes included elsewhere in this prospectus. We derived the statements of operations data for the six months ended June 30, 2019 and 2020 and the balance sheet data as of June 30, 2020 from the unaudited interim financial statements and related notes included elsewhere in this prospectus. The unaudited interim financial statements have been prepared in accordance with U.S. generally accepted accounting principles and, in the opinion of management, reflect all adjustments, which include only normal, recurring adjustments that are necessary to state fairly the unaudited interim financial statements. Our historical results are not necessarily indicative of results that may be expected in the future, and the results for the six months ended June 30, 2020, are not necessarily indicative of results that may be expected for the full year or any other period. You should read these summary financial data together with our financial statements and related notes appearing elsewhere in this prospectus and the information in the sections titled “Selected Financial Data” and “Management’s Discussion and Analysis of Financial Condition and Results of Operations.” The selected financial data in this section are not intended to replace our financial statements and the related notes and are qualified in their entirety by the financial statements and related notes included elsewhere in this prospectus.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214"/>
              <w:spacing w:after="0" w:line="14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232"/>
              <w:spacing w:after="0" w:line="14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gridSpan w:val="9"/>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901</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3,162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2,066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05"/>
        </w:trPr>
        <w:tc>
          <w:tcPr>
            <w:tcW w:w="51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 before other income (expense) and</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5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extinguishment of related party convertible notes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0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15"/>
                <w:szCs w:val="15"/>
                <w:color w:val="auto"/>
              </w:rPr>
              <w:t>(1)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tcBorders>
              <w:top w:val="single" w:sz="8" w:color="CFF0FC"/>
            </w:tcBorders>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in computing net</w:t>
            </w:r>
          </w:p>
        </w:tc>
        <w:tc>
          <w:tcPr>
            <w:tcW w:w="5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per share attributable to common stockholders, basic</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and diluted </w:t>
            </w:r>
            <w:r>
              <w:rPr>
                <w:rFonts w:ascii="Times New Roman" w:cs="Times New Roman" w:eastAsia="Times New Roman" w:hAnsi="Times New Roman"/>
                <w:sz w:val="15"/>
                <w:szCs w:val="15"/>
                <w:color w:val="auto"/>
              </w:rPr>
              <w:t>(1)</w:t>
            </w:r>
          </w:p>
        </w:tc>
        <w:tc>
          <w:tcPr>
            <w:tcW w:w="5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13,068,854</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17,728,991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16,580,269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19,689,426</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0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stockholders, basic and diluted (unaudited) </w:t>
            </w:r>
            <w:r>
              <w:rPr>
                <w:rFonts w:ascii="Times New Roman" w:cs="Times New Roman" w:eastAsia="Times New Roman" w:hAnsi="Times New Roman"/>
                <w:sz w:val="15"/>
                <w:szCs w:val="15"/>
                <w:color w:val="auto"/>
              </w:rPr>
              <w:t>(1)</w:t>
            </w: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tcBorders>
              <w:top w:val="single" w:sz="8" w:color="CFF0FC"/>
            </w:tcBorders>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in computing pro</w:t>
            </w:r>
          </w:p>
        </w:tc>
        <w:tc>
          <w:tcPr>
            <w:tcW w:w="5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forma net loss per share attributable to common stockholders,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basic and diluted (unaudited) </w:t>
            </w:r>
            <w:r>
              <w:rPr>
                <w:rFonts w:ascii="Times New Roman" w:cs="Times New Roman" w:eastAsia="Times New Roman" w:hAnsi="Times New Roman"/>
                <w:sz w:val="15"/>
                <w:szCs w:val="15"/>
                <w:color w:val="auto"/>
              </w:rPr>
              <w:t>(1)</w:t>
            </w:r>
          </w:p>
        </w:tc>
        <w:tc>
          <w:tcPr>
            <w:tcW w:w="5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32,008,512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80,966,765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60" w:right="200" w:hanging="358"/>
        <w:spacing w:after="0" w:line="261" w:lineRule="auto"/>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calculation of our basic and diluted net loss per share attributable to common stockholders, unaudited basic and diluted pro forma net loss per share and weighted-average number of shares used in the computation of the per share amounts, see Note 6 and Note 7 to our financial statements included elsewhere in this prospectus.</w:t>
      </w:r>
    </w:p>
    <w:p>
      <w:pPr>
        <w:spacing w:after="0" w:line="347" w:lineRule="exact"/>
        <w:rPr>
          <w:rFonts w:ascii="Times New Roman" w:cs="Times New Roman" w:eastAsia="Times New Roman" w:hAnsi="Times New Roman"/>
          <w:sz w:val="14"/>
          <w:szCs w:val="14"/>
          <w:color w:val="auto"/>
        </w:rPr>
      </w:pPr>
    </w:p>
    <w:p>
      <w:pPr>
        <w:ind w:left="5300" w:hanging="132"/>
        <w:spacing w:after="0"/>
        <w:tabs>
          <w:tab w:leader="none" w:pos="53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79375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522" w:right="539" w:bottom="1440" w:gutter="0" w:footer="0" w:header="0"/>
        </w:sectPr>
      </w:pPr>
    </w:p>
    <w:bookmarkStart w:id="15" w:name="page16"/>
    <w:bookmarkEnd w:id="15"/>
    <w:p>
      <w:pPr>
        <w:ind w:left="6978"/>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3328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3328035"/>
                    </a:xfrm>
                    <a:prstGeom prst="rect">
                      <a:avLst/>
                    </a:prstGeom>
                    <a:noFill/>
                  </pic:spPr>
                </pic:pic>
              </a:graphicData>
            </a:graphic>
          </wp:anchor>
        </w:drawing>
        <w:t>As of June 30, 2020 (unaudited)</w:t>
      </w:r>
    </w:p>
    <w:p>
      <w:pPr>
        <w:spacing w:after="0" w:line="12" w:lineRule="exact"/>
        <w:rPr>
          <w:sz w:val="20"/>
          <w:szCs w:val="20"/>
          <w:color w:val="auto"/>
        </w:rPr>
      </w:pPr>
    </w:p>
    <w:tbl>
      <w:tblPr>
        <w:tblLayout w:type="fixed"/>
        <w:tblInd w:w="1078"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16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8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2"/>
                <w:szCs w:val="12"/>
                <w:b w:val="1"/>
                <w:bCs w:val="1"/>
                <w:color w:val="auto"/>
              </w:rPr>
              <w:t>(1)</w:t>
            </w:r>
          </w:p>
        </w:tc>
        <w:tc>
          <w:tcPr>
            <w:tcW w:w="11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Adjusted </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53,135</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53,135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(3)</w:t>
            </w: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51,631</w:t>
            </w:r>
          </w:p>
        </w:tc>
        <w:tc>
          <w:tcPr>
            <w:tcW w:w="11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51,631</w:t>
            </w: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56,239</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56,239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63,402</w:t>
            </w:r>
          </w:p>
        </w:tc>
        <w:tc>
          <w:tcPr>
            <w:tcW w:w="11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(11,035)</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52,367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58" w:hanging="359"/>
        <w:spacing w:after="0" w:line="241" w:lineRule="auto"/>
        <w:tabs>
          <w:tab w:leader="none" w:pos="338" w:val="left"/>
        </w:tabs>
        <w:rPr>
          <w:sz w:val="20"/>
          <w:szCs w:val="20"/>
          <w:color w:val="auto"/>
        </w:rPr>
      </w:pPr>
      <w:r>
        <w:rPr>
          <w:rFonts w:ascii="Times New Roman" w:cs="Times New Roman" w:eastAsia="Times New Roman" w:hAnsi="Times New Roman"/>
          <w:sz w:val="14"/>
          <w:szCs w:val="14"/>
          <w:color w:val="auto"/>
        </w:rPr>
        <w:t>(1)</w:t>
        <w:tab/>
        <w:t>The pro forma balance sheet data gives effect to the automatic conversion of all outstanding shares of our Preferred Stock as of , 2020 into an aggregate of shares of common stock, which will occur immediately prior to the completion of this offering and the filing and effectiveness of our amended and restated certificate of incorporation, which will occur in connection with the closing of this offering.</w:t>
      </w:r>
    </w:p>
    <w:p>
      <w:pPr>
        <w:spacing w:after="0" w:line="177" w:lineRule="exact"/>
        <w:rPr>
          <w:sz w:val="20"/>
          <w:szCs w:val="20"/>
          <w:color w:val="auto"/>
        </w:rPr>
      </w:pPr>
    </w:p>
    <w:p>
      <w:pPr>
        <w:ind w:left="358" w:hanging="358"/>
        <w:spacing w:after="0"/>
        <w:tabs>
          <w:tab w:leader="none" w:pos="35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pro forma adjustments described in footnote (1) above and the issuance and sale of shares of common stock in this offering at the assumed initial public offering price</w:t>
      </w:r>
    </w:p>
    <w:p>
      <w:pPr>
        <w:spacing w:after="0" w:line="4" w:lineRule="exact"/>
        <w:rPr>
          <w:sz w:val="20"/>
          <w:szCs w:val="20"/>
          <w:color w:val="auto"/>
        </w:rPr>
      </w:pPr>
    </w:p>
    <w:p>
      <w:pPr>
        <w:ind w:left="358" w:right="460"/>
        <w:spacing w:after="0" w:line="239" w:lineRule="auto"/>
        <w:rPr>
          <w:sz w:val="20"/>
          <w:szCs w:val="20"/>
          <w:color w:val="auto"/>
        </w:rPr>
      </w:pPr>
      <w:r>
        <w:rPr>
          <w:rFonts w:ascii="Times New Roman" w:cs="Times New Roman" w:eastAsia="Times New Roman" w:hAnsi="Times New Roman"/>
          <w:sz w:val="14"/>
          <w:szCs w:val="14"/>
          <w:color w:val="auto"/>
        </w:rPr>
        <w:t>of $ per share, which is the midpoint of the estimated offering price range set forth on the cover page of this prospectus, after deducting the estimated underwriting discounts and commissions and estimated offering expenses payable by us.</w:t>
      </w:r>
    </w:p>
    <w:p>
      <w:pPr>
        <w:spacing w:after="0" w:line="174" w:lineRule="exact"/>
        <w:rPr>
          <w:sz w:val="20"/>
          <w:szCs w:val="20"/>
          <w:color w:val="auto"/>
        </w:rPr>
      </w:pPr>
    </w:p>
    <w:p>
      <w:pPr>
        <w:ind w:left="358" w:right="20" w:hanging="358"/>
        <w:spacing w:after="0" w:line="264" w:lineRule="auto"/>
        <w:tabs>
          <w:tab w:leader="none" w:pos="35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define working capital as current assets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current liabilities. See our unaudited financial statements and related notes appearing at the end of this prospectus for further details regarding our current assets and current liabilities.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90" w:lineRule="exact"/>
        <w:rPr>
          <w:rFonts w:ascii="Times New Roman" w:cs="Times New Roman" w:eastAsia="Times New Roman" w:hAnsi="Times New Roman"/>
          <w:sz w:val="14"/>
          <w:szCs w:val="14"/>
          <w:color w:val="auto"/>
        </w:rPr>
      </w:pPr>
    </w:p>
    <w:p>
      <w:pPr>
        <w:ind w:left="5298" w:hanging="132"/>
        <w:spacing w:after="0"/>
        <w:tabs>
          <w:tab w:leader="none" w:pos="529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79375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38"/>
          </w:cols>
          <w:pgMar w:left="562" w:top="830" w:right="5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is speculative and involves a high degree of risk. Before investing in our common stock, you should consider carefully the risks described below, together with the other information contained in this prospectus, including our financial statements and the related notes appearing at the end of this prospectus.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and anticipate that we will continue to incur significant expenses and losses for the foreseeable future.</w:t>
      </w:r>
    </w:p>
    <w:p>
      <w:pPr>
        <w:spacing w:after="0" w:line="15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We do not have any products approved for sale, we have not generated any revenue and have incurred net losses in each reporting period since our company’s formation in 2016. We have funded our operations primarily from the sale and issuance of redeemable convertible preferred stock and convertible promissory notes. For the years ended December 31, 2019 and 2018, our net losses were $4.7 million and $1.3 million, respectively. For the six months ended June 30, 2019 and 2020, our net losses were $2.6 million and $5.2 million, respectively. As of December 31, 2019 and June 30, 2020, we had an accumulated deficit of $6.0 million and $11.2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expect that it will be a few years, if ever, before we have a product candidate ready for commercialization. We expect to incur increasing levels of operating losses over the next several years and for the foreseeable future as we advance and commercialize, if approved, our product candidates. Our prior losses, combined with expected future losses, have had and will continue to have an adverse effect on our accumulated deficit and working capital.</w:t>
      </w:r>
    </w:p>
    <w:p>
      <w:pPr>
        <w:spacing w:after="0" w:line="194"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We expect to continue incurring significant expenses and increasing operating losses for the foreseeable future. We expect that our expenses will increase substantially if and as we:</w:t>
      </w:r>
    </w:p>
    <w:p>
      <w:pPr>
        <w:spacing w:after="0" w:line="162" w:lineRule="exact"/>
        <w:rPr>
          <w:sz w:val="20"/>
          <w:szCs w:val="20"/>
          <w:color w:val="auto"/>
        </w:rPr>
      </w:pPr>
    </w:p>
    <w:p>
      <w:pPr>
        <w:ind w:left="1520" w:hanging="378"/>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and initiate additional preclinical, clinical and other studies for our product candidates;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some of which may require additional permits or other governmental approvals;</w:t>
      </w:r>
    </w:p>
    <w:p>
      <w:pPr>
        <w:spacing w:after="0" w:line="225" w:lineRule="exact"/>
        <w:rPr>
          <w:rFonts w:ascii="Times New Roman" w:cs="Times New Roman" w:eastAsia="Times New Roman" w:hAnsi="Times New Roman"/>
          <w:sz w:val="18"/>
          <w:szCs w:val="18"/>
          <w:color w:val="auto"/>
        </w:rPr>
      </w:pPr>
    </w:p>
    <w:p>
      <w:pPr>
        <w:ind w:left="1520" w:hanging="378"/>
        <w:spacing w:after="0" w:line="282" w:lineRule="auto"/>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including adding operational, financial and management information systems and personnel;</w:t>
      </w:r>
    </w:p>
    <w:p>
      <w:pPr>
        <w:spacing w:after="0" w:line="161" w:lineRule="exact"/>
        <w:rPr>
          <w:rFonts w:ascii="Times New Roman" w:cs="Times New Roman" w:eastAsia="Times New Roman" w:hAnsi="Times New Roman"/>
          <w:sz w:val="18"/>
          <w:szCs w:val="18"/>
          <w:color w:val="auto"/>
        </w:rPr>
      </w:pPr>
    </w:p>
    <w:p>
      <w:pPr>
        <w:ind w:left="1520" w:right="760" w:hanging="378"/>
        <w:spacing w:after="0" w:line="282" w:lineRule="auto"/>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product development and planned future commercialization efforts, including through hiring additional clinical, regulatory, quality control and scientific personnel;</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and reimbursement for our product candidates;</w:t>
      </w:r>
    </w:p>
    <w:p>
      <w:pPr>
        <w:spacing w:after="0" w:line="225" w:lineRule="exact"/>
        <w:rPr>
          <w:rFonts w:ascii="Times New Roman" w:cs="Times New Roman" w:eastAsia="Times New Roman" w:hAnsi="Times New Roman"/>
          <w:sz w:val="18"/>
          <w:szCs w:val="18"/>
          <w:color w:val="auto"/>
        </w:rPr>
      </w:pPr>
    </w:p>
    <w:p>
      <w:pPr>
        <w:ind w:left="1520" w:right="640" w:hanging="378"/>
        <w:spacing w:after="0" w:line="282" w:lineRule="auto"/>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or develop additional product candidates;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or other payments in connection with the development or approval of our product candidates;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and expand our intellectual property portfolio;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7" w:name="page18"/>
    <w:bookmarkEnd w:id="17"/>
    <w:p>
      <w:pPr>
        <w:jc w:val="both"/>
        <w:ind w:right="40" w:firstLine="101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spacing w:after="0" w:line="176" w:lineRule="exact"/>
        <w:rPr>
          <w:sz w:val="20"/>
          <w:szCs w:val="20"/>
          <w:color w:val="auto"/>
        </w:rPr>
      </w:pPr>
    </w:p>
    <w:p>
      <w:pPr>
        <w:ind w:left="1520" w:hanging="378"/>
        <w:spacing w:after="0"/>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regulatory authorities to perform trials or studies in addition to, or different than, those that we currently expect;</w:t>
      </w:r>
    </w:p>
    <w:p>
      <w:pPr>
        <w:spacing w:after="0" w:line="225" w:lineRule="exact"/>
        <w:rPr>
          <w:rFonts w:ascii="Times New Roman" w:cs="Times New Roman" w:eastAsia="Times New Roman" w:hAnsi="Times New Roman"/>
          <w:sz w:val="18"/>
          <w:szCs w:val="18"/>
          <w:color w:val="auto"/>
        </w:rPr>
      </w:pPr>
    </w:p>
    <w:p>
      <w:pPr>
        <w:ind w:left="1520" w:right="80" w:hanging="378"/>
        <w:spacing w:after="0" w:line="282" w:lineRule="auto"/>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establishing appropriate manufacturing arrangements for or completing the development of any of our product candidates; or</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200" w:firstLine="1018"/>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product candidates and longer-term planning for potential commercialization. Our prospects must be considered in light of the uncertainties, risks, expenses and difficulties frequently encountered by companies in their early stages of operations. We have limited experience in and have not yet demonstrated our ability to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w:t>
      </w:r>
    </w:p>
    <w:p>
      <w:pPr>
        <w:spacing w:after="0" w:line="18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lead product candidate, TP-03, for the treatment of Demodex blepharitis. If we are unable to successfully complete the clinical development program, obtain regulatory approval for, or commercialize, TP-03, or experience significant delays in doing so, our business will be materially harmed.</w:t>
      </w:r>
    </w:p>
    <w:p>
      <w:pPr>
        <w:spacing w:after="0" w:line="175"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we have never had any products approved for sale or commercialized. To date, we have invested a substantial majority of our business efforts and financial resources to the preclinical and clinical development of TP-03 for the treatment of Demodex blepharitis. Our future success is dependent on our ability to successfully develop, obtain regulatory approval for, and commercialize TP-03 for the treatment of Demodex blepharitis, and we cannot accurately predict when or if TP-03 will be proven to be effective or safe in humans or whether it will receive regulatory approval. Before we can generate any revenue from sales of TP-03, we will be required to conduct additional clinical development, seek and obtain regulatory approval, secure adequate manufacturing supply to support commercial sales and build a commercial organization. We have not yet demonstrated our ability to complete pivotal clinical trials. Further, the commercial success of TP-03 will also depend on patent protection, successfully educating ECPs about Demodex blepharitis and related diagnosis, acceptance of TP-03 by patients, the medical community and third-party payors, TP-03’s ability to compete with other therapies, secure adequate healthcare coverage and reimbursement, and maintenance of an acceptable safety profile following approval, among other factors. If we do not achieve one or more of these factors in a timely manner or at all, we could experience significant delays or an inability to successfully commercialize TP-03, which would materially harm our business. If we were required to discontinue development of TP-03, or if TP-03 does not receive regulatory approval, fails to achieve significant market acceptance, or fails to receive adequate reimbursement, we would be delayed by many years in our ability to achieve profitability, if ever, and may not be able to generate sufficient revenue to continue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8" w:name="page19"/>
    <w:bookmarkEnd w:id="18"/>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175"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Since our inception, we have funded our operations through private placements of preferred stock and convertible promissory notes. Over the next few years, we expect our expenses to increase substantially and we will require a larger amount of capital to fund the development of our product candidates.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upon the completion of this offering, we expect to incur additional costs associated with operating as a public company.</w:t>
      </w:r>
    </w:p>
    <w:p>
      <w:pPr>
        <w:spacing w:after="0" w:line="187"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As of June 30, 2020, we had $53.1 million in cash and cash equivalents. Based on our current business plans, we believe that our existing cash and cash equivalents will be sufficient to fund our anticipated level of operations through at least the next 12 months without the proceeds from this offering. With the expected net proceeds from this offering, we believe that our cash and cash equivalents will be sufficient to fund our operating expenses and capital expenditure requirements into 20 . Accordingly, the expected net proceeds from this offering will be insufficient for us to concurrently fund our product candidates through regulatory approval and commercialization. We will need to raise substantial additional capital to complete the development and commercialization of our product candidates through equity offerings, debt financings, marketing and distribution arrangements and other collaborations, strategic alliances and licensing arrangements or other sources. We may also need to raise additional funds earlier than currently anticipated if we choose to pursue additional indications for our product candidates, acquire new product candidates or otherwise expand our business more rapidly than we presently planned.</w:t>
      </w:r>
    </w:p>
    <w:p>
      <w:pPr>
        <w:spacing w:after="0" w:line="188" w:lineRule="exact"/>
        <w:rPr>
          <w:sz w:val="20"/>
          <w:szCs w:val="20"/>
          <w:color w:val="auto"/>
        </w:rPr>
      </w:pPr>
    </w:p>
    <w:p>
      <w:pPr>
        <w:ind w:right="540" w:firstLine="1018"/>
        <w:spacing w:after="0" w:line="266"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spacing w:after="0" w:line="176" w:lineRule="exact"/>
        <w:rPr>
          <w:sz w:val="20"/>
          <w:szCs w:val="20"/>
          <w:color w:val="auto"/>
        </w:rPr>
      </w:pPr>
    </w:p>
    <w:p>
      <w:pPr>
        <w:ind w:left="1520" w:right="220" w:hanging="378"/>
        <w:spacing w:after="0" w:line="282" w:lineRule="auto"/>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costs and results of our drug discovery, preclinical development activities,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 and our ability to scale them up;</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520" w:right="160" w:hanging="378"/>
        <w:spacing w:after="0" w:line="266" w:lineRule="auto"/>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17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 and enforcement rules;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and marketing capabilities, if any of our product candidates receive marketing approval;</w:t>
      </w:r>
    </w:p>
    <w:p>
      <w:pPr>
        <w:spacing w:after="0" w:line="225" w:lineRule="exact"/>
        <w:rPr>
          <w:rFonts w:ascii="Times New Roman" w:cs="Times New Roman" w:eastAsia="Times New Roman" w:hAnsi="Times New Roman"/>
          <w:sz w:val="18"/>
          <w:szCs w:val="18"/>
          <w:color w:val="auto"/>
        </w:rPr>
      </w:pPr>
    </w:p>
    <w:p>
      <w:pPr>
        <w:ind w:left="1520" w:right="560" w:hanging="378"/>
        <w:spacing w:after="0" w:line="282" w:lineRule="auto"/>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1520" w:right="60" w:hanging="378"/>
        <w:spacing w:after="0" w:line="282" w:lineRule="auto"/>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pharmaceutical pricing and reimbursement infrastructure;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our product candidates, if they receive marketing approval.</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ind w:right="40" w:firstLine="1018"/>
        <w:spacing w:after="0" w:line="269" w:lineRule="auto"/>
        <w:rPr>
          <w:sz w:val="20"/>
          <w:szCs w:val="20"/>
          <w:color w:val="auto"/>
        </w:rPr>
      </w:pPr>
      <w:r>
        <w:rPr>
          <w:rFonts w:ascii="Times New Roman" w:cs="Times New Roman" w:eastAsia="Times New Roman" w:hAnsi="Times New Roman"/>
          <w:sz w:val="17"/>
          <w:szCs w:val="17"/>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adequate product sales or commercial success. We do not expect to have any products commercially available for sale for many years, if at all. Accordingly, we will need to obtain substantial additional funding in connection with our continuing operations. Adequate additional financing may not be available to us on acceptable terms, or at all, and may be impacted by the economic climate and market conditions. For example, market volatility resulting from the COVID-19 pandemic or any other future infectious diseases, epidemics or pandemics could also adversely impact our ability to access capital as and when needed.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generate no revenues from sales of any products and may never generate revenue or be profitable.</w:t>
      </w:r>
    </w:p>
    <w:p>
      <w:pPr>
        <w:spacing w:after="0" w:line="229" w:lineRule="exact"/>
        <w:rPr>
          <w:sz w:val="20"/>
          <w:szCs w:val="20"/>
          <w:color w:val="auto"/>
        </w:rPr>
      </w:pPr>
    </w:p>
    <w:p>
      <w:pPr>
        <w:ind w:right="340" w:firstLine="1018"/>
        <w:spacing w:after="0" w:line="289" w:lineRule="auto"/>
        <w:rPr>
          <w:sz w:val="20"/>
          <w:szCs w:val="20"/>
          <w:color w:val="auto"/>
        </w:rPr>
      </w:pPr>
      <w:r>
        <w:rPr>
          <w:rFonts w:ascii="Times New Roman" w:cs="Times New Roman" w:eastAsia="Times New Roman" w:hAnsi="Times New Roman"/>
          <w:sz w:val="17"/>
          <w:szCs w:val="17"/>
          <w:color w:val="auto"/>
        </w:rPr>
        <w:t>We have no products approved for commercial sale and do not anticipate generating any revenue unless and until either TP-03 or another product candidate receives the regulatory approvals necessary for commercialization in one or more jurisdictions. Our ability to generate revenue and achieve profitability depends significantly on our ability, or any future collaborator’s ability, to achieve a number of challenging objectives, including:</w:t>
      </w:r>
    </w:p>
    <w:p>
      <w:pPr>
        <w:spacing w:after="0" w:line="158" w:lineRule="exact"/>
        <w:rPr>
          <w:sz w:val="20"/>
          <w:szCs w:val="20"/>
          <w:color w:val="auto"/>
        </w:rPr>
      </w:pPr>
    </w:p>
    <w:p>
      <w:pPr>
        <w:ind w:left="1520" w:hanging="378"/>
        <w:spacing w:after="0" w:line="282" w:lineRule="auto"/>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our product candidates, including the clinical development of TP-03 for the treatment of Demodex blepharitis or other indications and any other future product candidates;</w:t>
      </w:r>
    </w:p>
    <w:p>
      <w:pPr>
        <w:spacing w:after="0" w:line="161" w:lineRule="exact"/>
        <w:rPr>
          <w:rFonts w:ascii="Times New Roman" w:cs="Times New Roman" w:eastAsia="Times New Roman" w:hAnsi="Times New Roman"/>
          <w:sz w:val="18"/>
          <w:szCs w:val="18"/>
          <w:color w:val="auto"/>
        </w:rPr>
      </w:pPr>
    </w:p>
    <w:p>
      <w:pPr>
        <w:ind w:left="1520" w:right="940" w:hanging="378"/>
        <w:spacing w:after="0" w:line="282" w:lineRule="auto"/>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both in the United States and internationally, of our product candidates;</w:t>
      </w:r>
    </w:p>
    <w:p>
      <w:pPr>
        <w:spacing w:after="0" w:line="161" w:lineRule="exact"/>
        <w:rPr>
          <w:rFonts w:ascii="Times New Roman" w:cs="Times New Roman" w:eastAsia="Times New Roman" w:hAnsi="Times New Roman"/>
          <w:sz w:val="18"/>
          <w:szCs w:val="18"/>
          <w:color w:val="auto"/>
        </w:rPr>
      </w:pPr>
    </w:p>
    <w:p>
      <w:pPr>
        <w:ind w:left="1520" w:right="180" w:hanging="378"/>
        <w:spacing w:after="0" w:line="282" w:lineRule="auto"/>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approvals from applicable regulatory authorities for TP-03 or any other product candidates for which we successfully complete clinical development;</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required post-marketing approval commitments to applicable regulatory authorities;</w:t>
      </w:r>
    </w:p>
    <w:p>
      <w:pPr>
        <w:spacing w:after="0" w:line="225" w:lineRule="exact"/>
        <w:rPr>
          <w:rFonts w:ascii="Times New Roman" w:cs="Times New Roman" w:eastAsia="Times New Roman" w:hAnsi="Times New Roman"/>
          <w:sz w:val="18"/>
          <w:szCs w:val="18"/>
          <w:color w:val="auto"/>
        </w:rPr>
      </w:pPr>
    </w:p>
    <w:p>
      <w:pPr>
        <w:jc w:val="both"/>
        <w:ind w:left="1520" w:right="40" w:hanging="378"/>
        <w:spacing w:after="0" w:line="266" w:lineRule="auto"/>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175" w:lineRule="exact"/>
        <w:rPr>
          <w:rFonts w:ascii="Times New Roman" w:cs="Times New Roman" w:eastAsia="Times New Roman" w:hAnsi="Times New Roman"/>
          <w:sz w:val="18"/>
          <w:szCs w:val="18"/>
          <w:color w:val="auto"/>
        </w:rPr>
      </w:pPr>
    </w:p>
    <w:p>
      <w:pPr>
        <w:ind w:left="1520" w:right="60" w:hanging="378"/>
        <w:spacing w:after="0" w:line="266" w:lineRule="auto"/>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IND prior to commencing clinical trials in the United States for a particular indication, such as TP-04 for the potential treatment of rosacea (although for TP-04 we first intend to conduct a Phase 1/2 trial outside the United States) and TP-05 for potential Lyme prophylaxis and community malaria reduction;</w:t>
      </w:r>
    </w:p>
    <w:p>
      <w:pPr>
        <w:spacing w:after="0" w:line="175" w:lineRule="exact"/>
        <w:rPr>
          <w:rFonts w:ascii="Times New Roman" w:cs="Times New Roman" w:eastAsia="Times New Roman" w:hAnsi="Times New Roman"/>
          <w:sz w:val="18"/>
          <w:szCs w:val="18"/>
          <w:color w:val="auto"/>
        </w:rPr>
      </w:pPr>
    </w:p>
    <w:p>
      <w:pPr>
        <w:ind w:left="1520" w:right="140" w:hanging="378"/>
        <w:spacing w:after="0" w:line="282" w:lineRule="auto"/>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regulatory approval, including the development of a commercial infrastructure, whether in-house or with one or more collaborators;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efficacy profile both prior to and following any marketing approval of our product candidates;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educating ECPs about Demodex blepharitis and related diagnosis;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TP-03 and any of our other product candidates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225" w:lineRule="exact"/>
        <w:rPr>
          <w:rFonts w:ascii="Times New Roman" w:cs="Times New Roman" w:eastAsia="Times New Roman" w:hAnsi="Times New Roman"/>
          <w:sz w:val="18"/>
          <w:szCs w:val="18"/>
          <w:color w:val="auto"/>
        </w:rPr>
      </w:pPr>
    </w:p>
    <w:p>
      <w:pPr>
        <w:ind w:left="1520" w:right="260" w:hanging="378"/>
        <w:spacing w:after="0" w:line="282" w:lineRule="auto"/>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left="1520" w:hanging="378"/>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225" w:lineRule="exact"/>
        <w:rPr>
          <w:rFonts w:ascii="Times New Roman" w:cs="Times New Roman" w:eastAsia="Times New Roman" w:hAnsi="Times New Roman"/>
          <w:sz w:val="18"/>
          <w:szCs w:val="18"/>
          <w:color w:val="auto"/>
        </w:rPr>
      </w:pPr>
    </w:p>
    <w:p>
      <w:pPr>
        <w:ind w:left="1520" w:right="640" w:hanging="378"/>
        <w:spacing w:after="0" w:line="282" w:lineRule="auto"/>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terms in any collaboration, licensing or other arrangements that may be necessary or desirable to develop, manufacture or commercialize our existing or acquired product candidates;</w:t>
      </w:r>
    </w:p>
    <w:p>
      <w:pPr>
        <w:spacing w:after="0" w:line="161" w:lineRule="exact"/>
        <w:rPr>
          <w:rFonts w:ascii="Times New Roman" w:cs="Times New Roman" w:eastAsia="Times New Roman" w:hAnsi="Times New Roman"/>
          <w:sz w:val="18"/>
          <w:szCs w:val="18"/>
          <w:color w:val="auto"/>
        </w:rPr>
      </w:pPr>
    </w:p>
    <w:p>
      <w:pPr>
        <w:ind w:left="1520" w:right="480" w:hanging="378"/>
        <w:spacing w:after="0" w:line="282" w:lineRule="auto"/>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for customers and patients from government and third-party payors for product candidates that we develop;</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183"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180"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The COVID-19 pandemic, which began in December 2019 and has spread worldwide,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87"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have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We have implemented a work-from-home policy for our employees and have also implemented enhanced travel-safe policies for our employees’ travel to our clinical sites. We may take further actions that alter our operations as may be required by federal, state or local authorities, or which we determine are in the best interests of our employees.</w:t>
      </w:r>
    </w:p>
    <w:p>
      <w:pPr>
        <w:spacing w:after="0" w:line="192"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189"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We may experience disruptions that could severely impact our business, preclinical studies, and clinical trials, including:</w:t>
      </w:r>
    </w:p>
    <w:p>
      <w:pPr>
        <w:spacing w:after="0" w:line="225" w:lineRule="exact"/>
        <w:rPr>
          <w:sz w:val="20"/>
          <w:szCs w:val="20"/>
          <w:color w:val="auto"/>
        </w:rPr>
      </w:pPr>
    </w:p>
    <w:p>
      <w:pPr>
        <w:ind w:left="500" w:right="200" w:hanging="378"/>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 including receiving any required investigational new drug applications, or INDs;</w:t>
      </w:r>
    </w:p>
    <w:p>
      <w:pPr>
        <w:spacing w:after="0" w:line="161" w:lineRule="exact"/>
        <w:rPr>
          <w:rFonts w:ascii="Times New Roman" w:cs="Times New Roman" w:eastAsia="Times New Roman" w:hAnsi="Times New Roman"/>
          <w:sz w:val="18"/>
          <w:szCs w:val="18"/>
          <w:color w:val="auto"/>
        </w:rPr>
      </w:pPr>
    </w:p>
    <w:p>
      <w:pPr>
        <w:ind w:left="500" w:hanging="378"/>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225" w:lineRule="exact"/>
        <w:rPr>
          <w:rFonts w:ascii="Times New Roman" w:cs="Times New Roman" w:eastAsia="Times New Roman" w:hAnsi="Times New Roman"/>
          <w:sz w:val="18"/>
          <w:szCs w:val="18"/>
          <w:color w:val="auto"/>
        </w:rPr>
      </w:pPr>
    </w:p>
    <w:p>
      <w:pPr>
        <w:ind w:left="500" w:hanging="378"/>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25" w:lineRule="exact"/>
        <w:rPr>
          <w:rFonts w:ascii="Times New Roman" w:cs="Times New Roman" w:eastAsia="Times New Roman" w:hAnsi="Times New Roman"/>
          <w:sz w:val="18"/>
          <w:szCs w:val="18"/>
          <w:color w:val="auto"/>
        </w:rPr>
      </w:pPr>
    </w:p>
    <w:p>
      <w:pPr>
        <w:ind w:left="500" w:hanging="378"/>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disruptions;</w:t>
      </w:r>
    </w:p>
    <w:p>
      <w:pPr>
        <w:spacing w:after="0" w:line="225" w:lineRule="exact"/>
        <w:rPr>
          <w:rFonts w:ascii="Times New Roman" w:cs="Times New Roman" w:eastAsia="Times New Roman" w:hAnsi="Times New Roman"/>
          <w:sz w:val="18"/>
          <w:szCs w:val="18"/>
          <w:color w:val="auto"/>
        </w:rPr>
      </w:pPr>
    </w:p>
    <w:p>
      <w:pPr>
        <w:ind w:left="500" w:hanging="378"/>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225" w:lineRule="exact"/>
        <w:rPr>
          <w:rFonts w:ascii="Times New Roman" w:cs="Times New Roman" w:eastAsia="Times New Roman" w:hAnsi="Times New Roman"/>
          <w:sz w:val="18"/>
          <w:szCs w:val="18"/>
          <w:color w:val="auto"/>
        </w:rPr>
      </w:pPr>
    </w:p>
    <w:p>
      <w:pPr>
        <w:ind w:left="500" w:hanging="378"/>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transport of clinical trial materials;</w:t>
      </w:r>
    </w:p>
    <w:p>
      <w:pPr>
        <w:spacing w:after="0" w:line="225" w:lineRule="exact"/>
        <w:rPr>
          <w:rFonts w:ascii="Times New Roman" w:cs="Times New Roman" w:eastAsia="Times New Roman" w:hAnsi="Times New Roman"/>
          <w:sz w:val="18"/>
          <w:szCs w:val="18"/>
          <w:color w:val="auto"/>
        </w:rPr>
      </w:pPr>
    </w:p>
    <w:p>
      <w:pPr>
        <w:ind w:left="500" w:hanging="378"/>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61" w:lineRule="exact"/>
        <w:rPr>
          <w:rFonts w:ascii="Times New Roman" w:cs="Times New Roman" w:eastAsia="Times New Roman" w:hAnsi="Times New Roman"/>
          <w:sz w:val="18"/>
          <w:szCs w:val="18"/>
          <w:color w:val="auto"/>
        </w:rPr>
      </w:pPr>
    </w:p>
    <w:p>
      <w:pPr>
        <w:ind w:left="500" w:right="160" w:hanging="378"/>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500" w:right="20" w:hanging="378"/>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161" w:lineRule="exact"/>
        <w:rPr>
          <w:rFonts w:ascii="Times New Roman" w:cs="Times New Roman" w:eastAsia="Times New Roman" w:hAnsi="Times New Roman"/>
          <w:sz w:val="18"/>
          <w:szCs w:val="18"/>
          <w:color w:val="auto"/>
        </w:rPr>
      </w:pPr>
    </w:p>
    <w:p>
      <w:pPr>
        <w:ind w:left="500" w:right="60" w:hanging="378"/>
        <w:spacing w:after="0" w:line="261"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79" w:lineRule="exact"/>
        <w:rPr>
          <w:rFonts w:ascii="Times New Roman" w:cs="Times New Roman" w:eastAsia="Times New Roman" w:hAnsi="Times New Roman"/>
          <w:sz w:val="18"/>
          <w:szCs w:val="18"/>
          <w:color w:val="auto"/>
        </w:rPr>
      </w:pPr>
    </w:p>
    <w:p>
      <w:pPr>
        <w:ind w:left="500" w:right="160" w:hanging="378"/>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61" w:lineRule="exact"/>
        <w:rPr>
          <w:rFonts w:ascii="Times New Roman" w:cs="Times New Roman" w:eastAsia="Times New Roman" w:hAnsi="Times New Roman"/>
          <w:sz w:val="18"/>
          <w:szCs w:val="18"/>
          <w:color w:val="auto"/>
        </w:rPr>
      </w:pPr>
    </w:p>
    <w:p>
      <w:pPr>
        <w:ind w:left="500" w:right="720" w:hanging="378"/>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61" w:lineRule="exact"/>
        <w:rPr>
          <w:rFonts w:ascii="Times New Roman" w:cs="Times New Roman" w:eastAsia="Times New Roman" w:hAnsi="Times New Roman"/>
          <w:sz w:val="18"/>
          <w:szCs w:val="18"/>
          <w:color w:val="auto"/>
        </w:rPr>
      </w:pPr>
    </w:p>
    <w:p>
      <w:pPr>
        <w:ind w:left="500" w:right="80" w:hanging="378"/>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61" w:lineRule="exact"/>
        <w:rPr>
          <w:rFonts w:ascii="Times New Roman" w:cs="Times New Roman" w:eastAsia="Times New Roman" w:hAnsi="Times New Roman"/>
          <w:sz w:val="18"/>
          <w:szCs w:val="18"/>
          <w:color w:val="auto"/>
        </w:rPr>
      </w:pPr>
    </w:p>
    <w:p>
      <w:pPr>
        <w:ind w:left="500" w:hanging="378"/>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which may impact review and approval timelines;</w:t>
      </w:r>
    </w:p>
    <w:p>
      <w:pPr>
        <w:spacing w:after="0" w:line="225" w:lineRule="exact"/>
        <w:rPr>
          <w:rFonts w:ascii="Times New Roman" w:cs="Times New Roman" w:eastAsia="Times New Roman" w:hAnsi="Times New Roman"/>
          <w:sz w:val="18"/>
          <w:szCs w:val="18"/>
          <w:color w:val="auto"/>
        </w:rPr>
      </w:pPr>
    </w:p>
    <w:p>
      <w:pPr>
        <w:ind w:left="500" w:right="140" w:hanging="378"/>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approvals for our product candidates due to the FDA focusing on clinical trials related to therapies and vaccines targeting COVID-19;</w:t>
      </w:r>
    </w:p>
    <w:p>
      <w:pPr>
        <w:spacing w:after="0" w:line="161" w:lineRule="exact"/>
        <w:rPr>
          <w:rFonts w:ascii="Times New Roman" w:cs="Times New Roman" w:eastAsia="Times New Roman" w:hAnsi="Times New Roman"/>
          <w:sz w:val="18"/>
          <w:szCs w:val="18"/>
          <w:color w:val="auto"/>
        </w:rPr>
      </w:pPr>
    </w:p>
    <w:p>
      <w:pPr>
        <w:ind w:left="500" w:right="540" w:hanging="378"/>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including from clinical trials in affected geographies or failure to comply with updated FDA guidance and expectations related to the conduct of clinical trials during the COVID-19 pandemic; and</w:t>
      </w:r>
    </w:p>
    <w:p>
      <w:pPr>
        <w:spacing w:after="0" w:line="161" w:lineRule="exact"/>
        <w:rPr>
          <w:rFonts w:ascii="Times New Roman" w:cs="Times New Roman" w:eastAsia="Times New Roman" w:hAnsi="Times New Roman"/>
          <w:sz w:val="18"/>
          <w:szCs w:val="18"/>
          <w:color w:val="auto"/>
        </w:rPr>
      </w:pPr>
    </w:p>
    <w:p>
      <w:pPr>
        <w:ind w:left="500" w:hanging="378"/>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15" w:lineRule="exact"/>
        <w:rPr>
          <w:rFonts w:ascii="Times New Roman" w:cs="Times New Roman" w:eastAsia="Times New Roman" w:hAnsi="Times New Roman"/>
          <w:sz w:val="18"/>
          <w:szCs w:val="18"/>
          <w:color w:val="auto"/>
        </w:rPr>
      </w:pPr>
    </w:p>
    <w:p>
      <w:pPr>
        <w:ind w:left="4520" w:hanging="132"/>
        <w:spacing w:after="0"/>
        <w:tabs>
          <w:tab w:leader="none" w:pos="452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79375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60"/>
          </w:cols>
          <w:pgMar w:left="1340" w:top="553" w:right="399" w:bottom="1440" w:gutter="0" w:footer="0" w:header="0"/>
        </w:sectPr>
      </w:pPr>
    </w:p>
    <w:bookmarkStart w:id="22" w:name="page23"/>
    <w:bookmarkEnd w:id="22"/>
    <w:p>
      <w:pPr>
        <w:ind w:firstLine="1018"/>
        <w:spacing w:after="0" w:line="256" w:lineRule="auto"/>
        <w:rPr>
          <w:sz w:val="20"/>
          <w:szCs w:val="20"/>
          <w:color w:val="auto"/>
        </w:rPr>
      </w:pPr>
      <w:r>
        <w:rPr>
          <w:rFonts w:ascii="Times New Roman" w:cs="Times New Roman" w:eastAsia="Times New Roman" w:hAnsi="Times New Roman"/>
          <w:sz w:val="18"/>
          <w:szCs w:val="18"/>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87"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in this “Risk Factors” section.</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ultimate impact of the COVID-19 pandemic or a similar health epidemic is highly uncertain and subject to change.</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5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or liens, making acquisitions, selling or licensing our assets, redeeming our stock, making certain investments, making capital expenditures or declaring dividends.</w:t>
      </w:r>
    </w:p>
    <w:p>
      <w:pPr>
        <w:spacing w:after="0" w:line="187"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229"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176"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are successful in obtaining marketing approval for TP-03 or other product candidates,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spacing w:after="0" w:line="18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This may result in weaknesses in our infrastructure, give rise to operational mistakes, loss of business opportunities, loss of employees and reduced productivity among remaining employees.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any acquisitions, in-license or other collaborations or strategic alliances that we enter into.</w:t>
      </w:r>
    </w:p>
    <w:p>
      <w:pPr>
        <w:spacing w:after="0" w:line="229" w:lineRule="exact"/>
        <w:rPr>
          <w:sz w:val="20"/>
          <w:szCs w:val="20"/>
          <w:color w:val="auto"/>
        </w:rPr>
      </w:pPr>
    </w:p>
    <w:p>
      <w:pPr>
        <w:ind w:right="140" w:firstLine="1018"/>
        <w:spacing w:after="0" w:line="253"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we are unable to agree on commercial terms, or because third parties may not view our product candidates as having the requisite potential to demonstrate safety and efficacy. 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revenue or specific net income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8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operational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As of June 30, 2020, we had 12 full-time employees. As we advance our research and development programs, we expect to experience significant growth in the number of our employees and the scope of our operations, particularly in the areas of clinical development, quality, regulatory affairs, manufacturing and quality control and, if any of our product candidates receives marketing approval, sales, marketing and distribution. To manage our anticipated future growth, we must:</w:t>
      </w:r>
    </w:p>
    <w:p>
      <w:pPr>
        <w:spacing w:after="0" w:line="180" w:lineRule="exact"/>
        <w:rPr>
          <w:sz w:val="20"/>
          <w:szCs w:val="20"/>
          <w:color w:val="auto"/>
        </w:rPr>
      </w:pPr>
    </w:p>
    <w:p>
      <w:pPr>
        <w:ind w:left="1520" w:hanging="378"/>
        <w:spacing w:after="0"/>
        <w:tabs>
          <w:tab w:leader="none" w:pos="1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integrate, maintain and motivate additional qualified personnel;</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development efforts effectively, including the initiation and conduct of clinical trials for our product candidates;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reporting systems and procedures.</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firstLine="1018"/>
        <w:spacing w:after="0" w:line="255"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spacing w:after="0" w:line="18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92"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59"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pursuant to the terms of the All Human Uses Elanco Agreement, if is not terminated, or if we have not provided notice to terminate the All Human Uses Elanco Agreement, within 18 months of its effective date, we will be required to issue Elanco additional shares of our common stock equating to $3.0 million of aggregate value, based on the per share value of the price in this offering.</w:t>
      </w:r>
    </w:p>
    <w:p>
      <w:pPr>
        <w:spacing w:after="0" w:line="192"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5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recent global financial crisis caused extreme volatility and disruptions in the capital and credit markets. Additionally, the COVID-19 pandemic has caused significant disruptions to the U.S., regional and global economies and has contributed to significant volatility and negative pressure in financial markets. A severe or prolonged economic downturn, or any prolonged economic downturn caused by the COVID-19 pandemic, could result in a variety of risks to our business, including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which we expect to continue, do not expect to become profitable in the near future, and we may never achieve profitability. 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the implementation of such reforms could adversely affect us.</w:t>
      </w:r>
    </w:p>
    <w:p>
      <w:pPr>
        <w:spacing w:after="0" w:line="229" w:lineRule="exact"/>
        <w:rPr>
          <w:sz w:val="20"/>
          <w:szCs w:val="20"/>
          <w:color w:val="auto"/>
        </w:rPr>
      </w:pPr>
    </w:p>
    <w:p>
      <w:pPr>
        <w:ind w:right="60" w:firstLine="1018"/>
        <w:spacing w:after="0" w:line="253" w:lineRule="auto"/>
        <w:rPr>
          <w:sz w:val="20"/>
          <w:szCs w:val="20"/>
          <w:color w:val="auto"/>
        </w:rPr>
      </w:pPr>
      <w:r>
        <w:rPr>
          <w:rFonts w:ascii="Times New Roman" w:cs="Times New Roman" w:eastAsia="Times New Roman" w:hAnsi="Times New Roman"/>
          <w:sz w:val="18"/>
          <w:szCs w:val="18"/>
          <w:color w:val="auto"/>
        </w:rPr>
        <w:t>On December 22, 2017, the United States enacted the “Tax Cuts and Jobs Act,” or the TCJA, that significantly reformed the Code. The TCJA, among other things, includes contained significant changes to 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w:t>
      </w:r>
    </w:p>
    <w:p>
      <w:pPr>
        <w:spacing w:after="0" w:line="194"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As part of Congress’s response to the COVID-19 pandemic, the Families First Coronavirus Response Act, or the FFCR Act, was enacted on March 18, 2020, and the Coronavirus Aid, Relief, and Economic Security Act, or the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89"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tax legislation in connection with the COVID-19 pandemic, some of which could have an impact on our company. In addition, it is uncertain if and to what extent various states will conform to the TCJA, the FFCR Act or the CARES Act.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180"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192"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We have not yet completed any Phase 2b/3 or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2b/3 trial, Saturn-1, or our Phase 3 trial, Saturn-2.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195"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We currently have one product candidate, TP-03, in clinical development and its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ind w:firstLine="1018"/>
        <w:spacing w:after="0" w:line="254" w:lineRule="auto"/>
        <w:rPr>
          <w:sz w:val="20"/>
          <w:szCs w:val="20"/>
          <w:color w:val="auto"/>
        </w:rPr>
      </w:pPr>
      <w:r>
        <w:rPr>
          <w:rFonts w:ascii="Times New Roman" w:cs="Times New Roman" w:eastAsia="Times New Roman" w:hAnsi="Times New Roman"/>
          <w:sz w:val="18"/>
          <w:szCs w:val="18"/>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carcinogenicity testing is being recommended by the FDA for TP-03, which could cause delay on any regulatory approval by the FDA. We may experience numerous unforeseen events during, or as a result of, clinical trials that could delay or prevent our ability to receive marketing approval or commercialize TP-03, our other product candidates, or any other product candidates that we may develop, including:</w:t>
      </w:r>
    </w:p>
    <w:p>
      <w:pPr>
        <w:spacing w:after="0" w:line="188" w:lineRule="exact"/>
        <w:rPr>
          <w:sz w:val="20"/>
          <w:szCs w:val="20"/>
          <w:color w:val="auto"/>
        </w:rPr>
      </w:pPr>
    </w:p>
    <w:p>
      <w:pPr>
        <w:ind w:left="1520" w:right="20" w:hanging="378"/>
        <w:spacing w:after="0" w:line="282"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61" w:lineRule="exact"/>
        <w:rPr>
          <w:rFonts w:ascii="Times New Roman" w:cs="Times New Roman" w:eastAsia="Times New Roman" w:hAnsi="Times New Roman"/>
          <w:sz w:val="18"/>
          <w:szCs w:val="18"/>
          <w:color w:val="auto"/>
        </w:rPr>
      </w:pPr>
    </w:p>
    <w:p>
      <w:pPr>
        <w:ind w:left="1520" w:right="680" w:hanging="378"/>
        <w:spacing w:after="0" w:line="282"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161" w:lineRule="exact"/>
        <w:rPr>
          <w:rFonts w:ascii="Times New Roman" w:cs="Times New Roman" w:eastAsia="Times New Roman" w:hAnsi="Times New Roman"/>
          <w:sz w:val="18"/>
          <w:szCs w:val="18"/>
          <w:color w:val="auto"/>
        </w:rPr>
      </w:pPr>
    </w:p>
    <w:p>
      <w:pPr>
        <w:ind w:left="1520" w:right="140" w:hanging="378"/>
        <w:spacing w:after="0" w:line="282"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ind w:left="1520" w:right="400" w:hanging="378"/>
        <w:spacing w:after="0" w:line="266"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175" w:lineRule="exact"/>
        <w:rPr>
          <w:rFonts w:ascii="Times New Roman" w:cs="Times New Roman" w:eastAsia="Times New Roman" w:hAnsi="Times New Roman"/>
          <w:sz w:val="18"/>
          <w:szCs w:val="18"/>
          <w:color w:val="auto"/>
        </w:rPr>
      </w:pPr>
    </w:p>
    <w:p>
      <w:pPr>
        <w:jc w:val="both"/>
        <w:ind w:left="1520" w:right="20" w:hanging="378"/>
        <w:spacing w:after="0" w:line="266"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17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225" w:lineRule="exact"/>
        <w:rPr>
          <w:rFonts w:ascii="Times New Roman" w:cs="Times New Roman" w:eastAsia="Times New Roman" w:hAnsi="Times New Roman"/>
          <w:sz w:val="18"/>
          <w:szCs w:val="18"/>
          <w:color w:val="auto"/>
        </w:rPr>
      </w:pPr>
    </w:p>
    <w:p>
      <w:pPr>
        <w:ind w:left="1520" w:right="280" w:hanging="378"/>
        <w:spacing w:after="0" w:line="282"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61" w:lineRule="exact"/>
        <w:rPr>
          <w:rFonts w:ascii="Times New Roman" w:cs="Times New Roman" w:eastAsia="Times New Roman" w:hAnsi="Times New Roman"/>
          <w:sz w:val="18"/>
          <w:szCs w:val="18"/>
          <w:color w:val="auto"/>
        </w:rPr>
      </w:pPr>
    </w:p>
    <w:p>
      <w:pPr>
        <w:ind w:left="1520" w:hanging="378"/>
        <w:spacing w:after="0" w:line="282"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be delayed;</w:t>
      </w:r>
    </w:p>
    <w:p>
      <w:pPr>
        <w:spacing w:after="0" w:line="161" w:lineRule="exact"/>
        <w:rPr>
          <w:rFonts w:ascii="Times New Roman" w:cs="Times New Roman" w:eastAsia="Times New Roman" w:hAnsi="Times New Roman"/>
          <w:sz w:val="18"/>
          <w:szCs w:val="18"/>
          <w:color w:val="auto"/>
        </w:rPr>
      </w:pPr>
    </w:p>
    <w:p>
      <w:pPr>
        <w:ind w:left="1520" w:right="640" w:hanging="378"/>
        <w:spacing w:after="0" w:line="282"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determine that the planned design of our clinical trials is flawed or inadequate;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their approval of a product or impose restrictions on its distribution;</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timely or at all obtain INDs for a product candidate;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modify a preclinical study or clinical trial protocol;</w:t>
      </w:r>
    </w:p>
    <w:p>
      <w:pPr>
        <w:spacing w:after="0" w:line="225" w:lineRule="exact"/>
        <w:rPr>
          <w:rFonts w:ascii="Times New Roman" w:cs="Times New Roman" w:eastAsia="Times New Roman" w:hAnsi="Times New Roman"/>
          <w:sz w:val="18"/>
          <w:szCs w:val="18"/>
          <w:color w:val="auto"/>
        </w:rPr>
      </w:pPr>
    </w:p>
    <w:p>
      <w:pPr>
        <w:ind w:left="1520" w:hanging="378"/>
        <w:spacing w:after="0" w:line="282"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1520" w:right="180" w:hanging="378"/>
        <w:spacing w:after="0" w:line="312" w:lineRule="auto"/>
        <w:tabs>
          <w:tab w:leader="none" w:pos="1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130" w:lineRule="exact"/>
        <w:rPr>
          <w:rFonts w:ascii="Times New Roman" w:cs="Times New Roman" w:eastAsia="Times New Roman" w:hAnsi="Times New Roman"/>
          <w:sz w:val="17"/>
          <w:szCs w:val="17"/>
          <w:color w:val="auto"/>
        </w:rPr>
      </w:pPr>
    </w:p>
    <w:p>
      <w:pPr>
        <w:ind w:left="5540" w:hanging="132"/>
        <w:spacing w:after="0"/>
        <w:tabs>
          <w:tab w:leader="none" w:pos="554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8" w:name="page29"/>
    <w:bookmarkEnd w:id="28"/>
    <w:p>
      <w:pPr>
        <w:ind w:left="1520" w:right="200" w:hanging="378"/>
        <w:spacing w:after="0" w:line="266" w:lineRule="auto"/>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due to the ongoing COVID-19 pandemic, including with respect to the conduct of ongoing clinical trials, receipt of product candidates or other materials, submission of New Drug Applications, or NDAs, filing of INDs, and starting any clinical trials for other indications or programs; and</w:t>
      </w:r>
    </w:p>
    <w:p>
      <w:pPr>
        <w:spacing w:after="0" w:line="175" w:lineRule="exact"/>
        <w:rPr>
          <w:rFonts w:ascii="Times New Roman" w:cs="Times New Roman" w:eastAsia="Times New Roman" w:hAnsi="Times New Roman"/>
          <w:sz w:val="18"/>
          <w:szCs w:val="18"/>
          <w:color w:val="auto"/>
        </w:rPr>
      </w:pPr>
    </w:p>
    <w:p>
      <w:pPr>
        <w:ind w:left="1520" w:right="140" w:hanging="378"/>
        <w:spacing w:after="0" w:line="266" w:lineRule="auto"/>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176"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180" w:lineRule="exact"/>
        <w:rPr>
          <w:sz w:val="20"/>
          <w:szCs w:val="20"/>
          <w:color w:val="auto"/>
        </w:rPr>
      </w:pPr>
    </w:p>
    <w:p>
      <w:pPr>
        <w:ind w:left="1520" w:hanging="378"/>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8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TP-03 or any other product candidate that we develop receives marketing approval, we may not be successful in educating ECPs and the market about the need for treatments specifically for Demodex blepharitis and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183"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If TP-03 or any other product candidate that we are developing or develop receives marketing approval, it may nonetheless fail to gain sufficient market acceptance by ECPs or other healthcare providers, patients, third-party payors and others in the medical community. There is no approved prescription therapeutic for Demodex blepharitis and current treatments include over-the-counter and off-label remedies such as tea tree oil, lid wipes and artificial tears, as well as off-label prescription products. Efforts to educate the medical community, patients and third-party payors on the benefits of our product candidates may require significant resources and may not be successful.</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9" w:name="page30"/>
    <w:bookmarkEnd w:id="29"/>
    <w:p>
      <w:pPr>
        <w:ind w:firstLine="1018"/>
        <w:spacing w:after="0" w:line="253" w:lineRule="auto"/>
        <w:rPr>
          <w:sz w:val="20"/>
          <w:szCs w:val="20"/>
          <w:color w:val="auto"/>
        </w:rPr>
      </w:pPr>
      <w:r>
        <w:rPr>
          <w:rFonts w:ascii="Times New Roman" w:cs="Times New Roman" w:eastAsia="Times New Roman" w:hAnsi="Times New Roman"/>
          <w:sz w:val="18"/>
          <w:szCs w:val="18"/>
          <w:color w:val="auto"/>
        </w:rPr>
        <w:t>Further, even if TP-03 demonstrates promising or superior clinical results and receives FDA or other regulatory marketing approval, including the treatment of both signs and symptoms of Demodex blepharitis, ECPs and potential patients may not have sufficient information about, or recognize the need for a treatment specifically targeting Demodex blepharitis, it is possible that ECPs may continue to rely on other treatments for treating symptoms consistent with Demodex blepharitis. A key tenant of our commercialization strategy is to educate ECPs on Demodex blepharitis and how to diagnose it with a simple slit lamp examination as well as raise patient awareness of Demodex blepharitis. However, our efforts may prove to be unsuccessful, and we may not be able to develop this new market for which there is no approved treatment. If TP-03 receives FDA or other regulatory marketing approval, we may still not achieve success in promotional efforts for TP-03, and ECPs may continue to use existing treatments rather than TP-03 or any other product candidate and potential patients may not inquire as to TP-03. It is also possible that ECPs and patients may not be willing to adopt TP-03 for the treatment of Demodex blepharitis because of the likelihood that the disease will recur despite mite eradication and the necessity for periodic use of TP-03.</w:t>
      </w:r>
    </w:p>
    <w:p>
      <w:pPr>
        <w:spacing w:after="0" w:line="194" w:lineRule="exact"/>
        <w:rPr>
          <w:sz w:val="20"/>
          <w:szCs w:val="20"/>
          <w:color w:val="auto"/>
        </w:rPr>
      </w:pPr>
    </w:p>
    <w:p>
      <w:pPr>
        <w:jc w:val="both"/>
        <w:ind w:right="140" w:firstLine="1018"/>
        <w:spacing w:after="0" w:line="266" w:lineRule="auto"/>
        <w:rPr>
          <w:sz w:val="20"/>
          <w:szCs w:val="20"/>
          <w:color w:val="auto"/>
        </w:rPr>
      </w:pPr>
      <w:r>
        <w:rPr>
          <w:rFonts w:ascii="Times New Roman" w:cs="Times New Roman" w:eastAsia="Times New Roman" w:hAnsi="Times New Roman"/>
          <w:sz w:val="18"/>
          <w:szCs w:val="18"/>
          <w:color w:val="auto"/>
        </w:rPr>
        <w:t>In addition, if generic versions of any products that compete with any of our product candidates are approved for marketing by the FDA or comparable foreign regulatory authorities, they would likely be offered at a substantially lower price than we expect to offer for our product candidates, if approved. As a result, ECPs, patients and third-party payors may choose to rely on such products rather than our product candidates.</w:t>
      </w:r>
    </w:p>
    <w:p>
      <w:pPr>
        <w:spacing w:after="0" w:line="176" w:lineRule="exact"/>
        <w:rPr>
          <w:sz w:val="20"/>
          <w:szCs w:val="20"/>
          <w:color w:val="auto"/>
        </w:rPr>
      </w:pPr>
    </w:p>
    <w:p>
      <w:pPr>
        <w:jc w:val="both"/>
        <w:ind w:right="280" w:firstLine="1018"/>
        <w:spacing w:after="0" w:line="266" w:lineRule="auto"/>
        <w:rPr>
          <w:sz w:val="20"/>
          <w:szCs w:val="20"/>
          <w:color w:val="auto"/>
        </w:rPr>
      </w:pPr>
      <w:r>
        <w:rPr>
          <w:rFonts w:ascii="Times New Roman" w:cs="Times New Roman" w:eastAsia="Times New Roman" w:hAnsi="Times New Roman"/>
          <w:sz w:val="18"/>
          <w:szCs w:val="18"/>
          <w:color w:val="auto"/>
        </w:rPr>
        <w:t>If TP-03 or any other product candidate that we develop does not achieve an adequate level of acceptance, formulary coverage, pricing or reimbursement we may not generate significant product revenues and we may not become profitable. The degree of market acceptance of TP-03 or any other product candidate that we develop, if approved for commercial sale, will depend on a number of factors, including:</w:t>
      </w:r>
    </w:p>
    <w:p>
      <w:pPr>
        <w:spacing w:after="0" w:line="176" w:lineRule="exact"/>
        <w:rPr>
          <w:sz w:val="20"/>
          <w:szCs w:val="20"/>
          <w:color w:val="auto"/>
        </w:rPr>
      </w:pPr>
    </w:p>
    <w:p>
      <w:pPr>
        <w:ind w:left="1520" w:right="460" w:hanging="378"/>
        <w:spacing w:after="0" w:line="282" w:lineRule="auto"/>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of our product candidates compared to alternative treatments, including the existing standard of care, and the perceptions by members of the healthcare community of the same;</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 particularly in light of the lower cost of alternative treatments;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ECPs to prescribe these therapies;</w:t>
      </w:r>
    </w:p>
    <w:p>
      <w:pPr>
        <w:spacing w:after="0" w:line="225" w:lineRule="exact"/>
        <w:rPr>
          <w:rFonts w:ascii="Times New Roman" w:cs="Times New Roman" w:eastAsia="Times New Roman" w:hAnsi="Times New Roman"/>
          <w:sz w:val="18"/>
          <w:szCs w:val="18"/>
          <w:color w:val="auto"/>
        </w:rPr>
      </w:pPr>
    </w:p>
    <w:p>
      <w:pPr>
        <w:ind w:left="1520" w:right="660" w:hanging="378"/>
        <w:spacing w:after="0" w:line="282" w:lineRule="auto"/>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our marketing and distribution support, which may be adversely impacted by the COVID-19 pandemic;</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or physicians that the diseases we are targeting, including Demodex blepharitis, are not burdensome;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competitors to limit our access to the market through anti-competitive contracts or other arrangements;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formulary coverage and adequate reimbursement;</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0" w:name="page31"/>
    <w:bookmarkEnd w:id="30"/>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still require significant testing. We only recently began clinical trials to test TP-03 in humans and, as a company, we have limited experience in this area.</w:t>
      </w:r>
    </w:p>
    <w:p>
      <w:pPr>
        <w:spacing w:after="0" w:line="159"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Most of our operations to date have been limited to preclinical studies and clinical trials. We have completed Phase 2 clinical trials for TP-03 for the treatment of Demodex blepharitis and have commenced our Phase 2b/3 clinical trial for the same indication, Saturn-1, for TP-03 in September 2020 and expect to initiate our Phase 3 clinical trial, Saturn-2, for TP-03 in 2021 and initiate clinical trials for our other product candidate in the future. As a result, we will need to expand our clinical operations, quality and regulatory capabilities to support these activities.</w:t>
      </w:r>
    </w:p>
    <w:p>
      <w:pPr>
        <w:spacing w:after="0" w:line="180"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Additionally, we are early in our development efforts for certain of our product candidates and indications, including TP-03 for the treatment of MGD, TP-04 for the treatment of rosacea and TP-05 for potential Lyme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Demodex blepharitis to satisfy the preclinical study requirements for TP-04 and TP-05 and other indications. For MGD, we intend to rely on preclinical studies and clinical safety assessments from the Demodex blepharitis program. We have not conducted and do not intend to conduct any preclinical studies with TP-03 for the treatment of MGD in order to advance to Phase 2a. For our preservative-free formulation of Demodex blepharitis, we intend to leverage all preclinical, Phase 2 and Phase 3 data from TP-03 Demodex blepharitis program. We intend to conduct in vitro or in vivo bioequivalence studies with our preservative-free formulation to compare it to the current preserved formulation of TP-03 in Demodex blepharitis after NDA submission and file a supplement. For rosacea, we intend to leverage data from TP-03 preclinical studies and augment with additional preclinical studies to select formulation in order to advance to Phase 1/2. We have not conducted any preclinical studies in rosacea with TP-04 to date. In relation to Lyme disease and malaria, we intend to leverage data from our TP-03 preclinical studies for Demodex blepharitis as well as third-party preclinical studies for Lyme disease or malaria, respectively (and will not conduct our own preclinical studies for Lyme disease and malaria). Subject to FDA feedback, we intend to conduct Phase 1/2 trials in rosacea, Lyme disease and malaria based on these preclinical studies. In relation to malaria, we may conduct our Phase 1/2 trial outside the United States. The FDA may reject our use of data from TP-03 preclinical studies for the treatment of Demodex blepharitis for other indications or require additional studies to augment the data to advance for clinical development. The FDA may also reject our use of data from preclinical studies conducted by third parties for Lyme disease and malaria and require us to conduct our own preclinical studies before advancing to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spacing w:after="0" w:line="189"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trials to date have been small, and we may not be able to replicate our results from completed trials in Phase 3 trials.</w:t>
      </w:r>
    </w:p>
    <w:p>
      <w:pPr>
        <w:spacing w:after="0" w:line="229"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Our clinical trials conducted to date, including for TP-03 for the treatment of Demodex blepharitis, have been small, each with fewer than 60 persons, and have advanced through Phase 1 and Phase 2. For example, the clinical trial which had the highest patient population to date was our Phase 2b Europa clinical trial, which enrolled 54 patients. Our Phase 2b/3 and Phase 3 clinical trials, Saturn-1 and Saturn-2, will be conducted with larger patient populations to evaluate TP-03 for the treatment of Demodex blepharitis, in which we expect to enroll at least 350 patients each. In these later trials, additional risks, including previously unidentified low incidence safety risks or lack of efficacy may materialize. Adverse or inconclusive results in these later clinical trials may, despite initially promising results, result in such product candidate not receiving requisite approvals for marketing and sale, and there is a risk that additional clinical trials will be required to obtain such approvals or that our clinical development program will be required to be altered, which would result in increased costs, significant delays to filing with regulatory authorities, filing for a narrower indication than previously anticipated or the abandonment of efforts to commercialization such product candidate.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or delays enrolling patients in our clinical trials, our clinical development activities could be delayed or otherwise adversely affected.</w:t>
      </w:r>
    </w:p>
    <w:p>
      <w:pPr>
        <w:spacing w:after="0" w:line="159"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180" w:lineRule="exact"/>
        <w:rPr>
          <w:sz w:val="20"/>
          <w:szCs w:val="20"/>
          <w:color w:val="auto"/>
        </w:rPr>
      </w:pPr>
    </w:p>
    <w:p>
      <w:pPr>
        <w:ind w:left="1520" w:hanging="378"/>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520" w:right="40" w:hanging="378"/>
        <w:spacing w:after="0" w:line="282" w:lineRule="auto"/>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or lack of adequate compensation for, prospective patients;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of enrolling patients or patients continuing to participate in follow-up visits due to the ongoing COVID-19 pandemic;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ind w:right="200" w:firstLine="1018"/>
        <w:spacing w:after="0" w:line="256" w:lineRule="auto"/>
        <w:rPr>
          <w:sz w:val="20"/>
          <w:szCs w:val="20"/>
          <w:color w:val="auto"/>
        </w:rPr>
      </w:pPr>
      <w:r>
        <w:rPr>
          <w:rFonts w:ascii="Times New Roman" w:cs="Times New Roman" w:eastAsia="Times New Roman" w:hAnsi="Times New Roman"/>
          <w:sz w:val="18"/>
          <w:szCs w:val="18"/>
          <w:color w:val="auto"/>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187" w:lineRule="exact"/>
        <w:rPr>
          <w:sz w:val="20"/>
          <w:szCs w:val="20"/>
          <w:color w:val="auto"/>
        </w:rPr>
      </w:pPr>
    </w:p>
    <w:p>
      <w:pPr>
        <w:ind w:right="320" w:firstLine="1018"/>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significant adverse events, toxicities or other undesirable side effects which may delay or prevent marketing approval or cause us to abandon or limit further clinical development of those product candidates.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80"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176"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29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32" w:name="page33"/>
    <w:bookmarkEnd w:id="32"/>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The most commonly reported adverse events in TP-03 to date were mild transient ocular burning after administration for less than 10 seconds. One patient in the Europa clinical trial also reported mild burning and blurriness after administration that lasted the entire treatment period. Our understanding of the relationship between our product candidates and these adverse events may change as we gather more information, and additional unexpected adverse events or an increase in adverse event rates may occur. If additional clinical experience indicates that TP-03 or any other product candidate has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spacing w:after="0" w:line="189" w:lineRule="exact"/>
        <w:rPr>
          <w:sz w:val="20"/>
          <w:szCs w:val="20"/>
          <w:color w:val="auto"/>
        </w:rPr>
      </w:pPr>
    </w:p>
    <w:p>
      <w:pPr>
        <w:ind w:right="20" w:firstLine="1018"/>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2" w:lineRule="exact"/>
        <w:rPr>
          <w:sz w:val="20"/>
          <w:szCs w:val="20"/>
          <w:color w:val="auto"/>
        </w:rPr>
      </w:pPr>
    </w:p>
    <w:p>
      <w:pPr>
        <w:ind w:left="1520" w:right="440" w:hanging="378"/>
        <w:spacing w:after="0" w:line="266" w:lineRule="auto"/>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or require additional warnings on the label such as a “black box” warning or a contraindication, or issue safety alerts, Dear Healthcare Provider letters, press releases or other communications containing warnings or other safety information about the product;</w:t>
      </w:r>
    </w:p>
    <w:p>
      <w:pPr>
        <w:spacing w:after="0" w:line="17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seized by regulatory authorities;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recall of the product;</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225" w:lineRule="exact"/>
        <w:rPr>
          <w:rFonts w:ascii="Times New Roman" w:cs="Times New Roman" w:eastAsia="Times New Roman" w:hAnsi="Times New Roman"/>
          <w:sz w:val="18"/>
          <w:szCs w:val="18"/>
          <w:color w:val="auto"/>
        </w:rPr>
      </w:pPr>
    </w:p>
    <w:p>
      <w:pPr>
        <w:ind w:left="1520" w:right="240" w:hanging="378"/>
        <w:spacing w:after="0" w:line="266" w:lineRule="auto"/>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and implement a Risk Evaluation and Mitigation Strategy, or REMS, plan, which could include a medication guide outlining the risks of such side effects for distribution to patients, a communication plan for healthcare providers, including ECPs, and/or other elements to assure safe use;</w:t>
      </w:r>
    </w:p>
    <w:p>
      <w:pPr>
        <w:spacing w:after="0" w:line="17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 there may be resulting harm to physician or patient acceptance of our product.</w:t>
      </w:r>
    </w:p>
    <w:p>
      <w:pPr>
        <w:spacing w:after="0" w:line="225" w:lineRule="exact"/>
        <w:rPr>
          <w:sz w:val="20"/>
          <w:szCs w:val="20"/>
          <w:color w:val="auto"/>
        </w:rPr>
      </w:pPr>
    </w:p>
    <w:p>
      <w:pPr>
        <w:ind w:right="120" w:firstLine="101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5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Before we can initiate clinical trials in the United States for our product candidates, we must submit the results of preclinical testing and any previous clinical studies to the FDA along with other information, including information about product candidate chemistry, manufacturing and controls, or CMC, and our proposed clinical trial protocol, as part of an IND. The initiation of clinical trials in the European Union, or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187" w:lineRule="exact"/>
        <w:rPr>
          <w:sz w:val="20"/>
          <w:szCs w:val="20"/>
          <w:color w:val="auto"/>
        </w:rPr>
      </w:pPr>
    </w:p>
    <w:p>
      <w:pPr>
        <w:ind w:left="1520" w:hanging="378"/>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placing the clinical trial on hold;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we expect;</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or other product candidates, or participating in competing clinical trials;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of the product;</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30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3" w:name="page34"/>
    <w:bookmarkEnd w:id="33"/>
    <w:p>
      <w:pPr>
        <w:ind w:left="1520" w:hanging="378"/>
        <w:spacing w:after="0"/>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interruptions or delays in the supply of our product candidates for our clinical trials;</w:t>
      </w:r>
    </w:p>
    <w:p>
      <w:pPr>
        <w:spacing w:after="0" w:line="225" w:lineRule="exact"/>
        <w:rPr>
          <w:rFonts w:ascii="Times New Roman" w:cs="Times New Roman" w:eastAsia="Times New Roman" w:hAnsi="Times New Roman"/>
          <w:sz w:val="18"/>
          <w:szCs w:val="18"/>
          <w:color w:val="auto"/>
        </w:rPr>
      </w:pPr>
    </w:p>
    <w:p>
      <w:pPr>
        <w:ind w:left="1520" w:hanging="378"/>
        <w:spacing w:after="0" w:line="266" w:lineRule="auto"/>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any of our product candidates or any of their components being ordered by the FDA or comparable foreign regulatory authorities to temporarily or permanently shut down due to violations of good manufacturing practice, or cGMP, regulations or other applicable requirements, or infections or cross-contaminations of product candidates in the manufacturing process;</w:t>
      </w:r>
    </w:p>
    <w:p>
      <w:pPr>
        <w:spacing w:after="0" w:line="17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vendors and clinical trial sites;</w:t>
      </w:r>
    </w:p>
    <w:p>
      <w:pPr>
        <w:spacing w:after="0" w:line="225" w:lineRule="exact"/>
        <w:rPr>
          <w:rFonts w:ascii="Times New Roman" w:cs="Times New Roman" w:eastAsia="Times New Roman" w:hAnsi="Times New Roman"/>
          <w:sz w:val="18"/>
          <w:szCs w:val="18"/>
          <w:color w:val="auto"/>
        </w:rPr>
      </w:pPr>
    </w:p>
    <w:p>
      <w:pPr>
        <w:ind w:left="1520" w:right="20" w:hanging="378"/>
        <w:spacing w:after="0" w:line="266" w:lineRule="auto"/>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regulatory requirements or other third parties not performing data collection or analysis in a timely or accurate manner;</w:t>
      </w:r>
    </w:p>
    <w:p>
      <w:pPr>
        <w:spacing w:after="0" w:line="175" w:lineRule="exact"/>
        <w:rPr>
          <w:rFonts w:ascii="Times New Roman" w:cs="Times New Roman" w:eastAsia="Times New Roman" w:hAnsi="Times New Roman"/>
          <w:sz w:val="18"/>
          <w:szCs w:val="18"/>
          <w:color w:val="auto"/>
        </w:rPr>
      </w:pPr>
    </w:p>
    <w:p>
      <w:pPr>
        <w:jc w:val="both"/>
        <w:ind w:left="1520" w:right="120" w:hanging="378"/>
        <w:spacing w:after="0" w:line="289" w:lineRule="auto"/>
        <w:tabs>
          <w:tab w:leader="none" w:pos="15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57" w:lineRule="exact"/>
        <w:rPr>
          <w:rFonts w:ascii="Times New Roman" w:cs="Times New Roman" w:eastAsia="Times New Roman" w:hAnsi="Times New Roman"/>
          <w:sz w:val="17"/>
          <w:szCs w:val="17"/>
          <w:color w:val="auto"/>
        </w:rPr>
      </w:pPr>
    </w:p>
    <w:p>
      <w:pPr>
        <w:ind w:left="1520" w:right="140" w:hanging="378"/>
        <w:spacing w:after="0" w:line="282" w:lineRule="auto"/>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Institutional Review Boards, or IRBs, other ethics committees refusing to approve, suspending or terminating the trial at an investigational site, precluding enrollment of additional subjects, or withdrawing its approval of the trial; or</w:t>
      </w:r>
    </w:p>
    <w:p>
      <w:pPr>
        <w:spacing w:after="0" w:line="161" w:lineRule="exact"/>
        <w:rPr>
          <w:rFonts w:ascii="Times New Roman" w:cs="Times New Roman" w:eastAsia="Times New Roman" w:hAnsi="Times New Roman"/>
          <w:sz w:val="18"/>
          <w:szCs w:val="18"/>
          <w:color w:val="auto"/>
        </w:rPr>
      </w:pPr>
    </w:p>
    <w:p>
      <w:pPr>
        <w:ind w:left="1520" w:right="120" w:hanging="378"/>
        <w:spacing w:after="0" w:line="282" w:lineRule="auto"/>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162"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For example, while we have received, in connection with our IND application, a “no-objection” letter from the FDA regarding the trial design for Saturn-1, the FDA may still require additional studies be conducted prior to submitting an NDA for TP-03. For instance, we will also need to perform a pharmacokinetic study for TP-03 to support our NDA submission for Demodex blepharitis and the FDA is recommending carcinogenicity testing for TP-03, any of which could cause delays in regulatory approval by the FDA. Any delays in completing our clinical trials will increase our costs, slow down our product candidate development and approval process and jeopardize the commercial prospects of our product candidates and our ability to commence product sales and generate revenue.</w:t>
      </w:r>
    </w:p>
    <w:p>
      <w:pPr>
        <w:spacing w:after="0" w:line="187" w:lineRule="exact"/>
        <w:rPr>
          <w:sz w:val="20"/>
          <w:szCs w:val="20"/>
          <w:color w:val="auto"/>
        </w:rPr>
      </w:pPr>
    </w:p>
    <w:p>
      <w:pPr>
        <w:ind w:right="120" w:firstLine="1018"/>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spacing w:after="0" w:line="159"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We currently have a very limited marketing team and no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180"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Establishing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ind w:right="40"/>
        <w:spacing w:after="0" w:line="261" w:lineRule="auto"/>
        <w:rPr>
          <w:sz w:val="20"/>
          <w:szCs w:val="20"/>
          <w:color w:val="auto"/>
        </w:rPr>
      </w:pPr>
      <w:r>
        <w:rPr>
          <w:rFonts w:ascii="Times New Roman" w:cs="Times New Roman" w:eastAsia="Times New Roman" w:hAnsi="Times New Roman"/>
          <w:sz w:val="18"/>
          <w:szCs w:val="18"/>
          <w:color w:val="auto"/>
        </w:rPr>
        <w:t>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7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sizes of the market opportunities for our product candidates, particularly TP-03 for the treatment of Demodex blepharitis and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57"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Our assessment of the potential market opportunity for TP-03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Demodex 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TP-03 or any of our other product candidates may be smaller than we expect, and as a result our product revenue may be limited and it may be more difficult for us to achieve or maintain profitability.</w:t>
      </w:r>
    </w:p>
    <w:p>
      <w:pPr>
        <w:spacing w:after="0" w:line="197" w:lineRule="exact"/>
        <w:rPr>
          <w:sz w:val="20"/>
          <w:szCs w:val="20"/>
          <w:color w:val="auto"/>
        </w:rPr>
      </w:pPr>
    </w:p>
    <w:p>
      <w:pPr>
        <w:jc w:val="both"/>
        <w:ind w:right="280" w:firstLine="1018"/>
        <w:spacing w:after="0" w:line="266" w:lineRule="auto"/>
        <w:rPr>
          <w:sz w:val="20"/>
          <w:szCs w:val="20"/>
          <w:color w:val="auto"/>
        </w:rPr>
      </w:pPr>
      <w:r>
        <w:rPr>
          <w:rFonts w:ascii="Times New Roman" w:cs="Times New Roman" w:eastAsia="Times New Roman" w:hAnsi="Times New Roman"/>
          <w:sz w:val="18"/>
          <w:szCs w:val="18"/>
          <w:color w:val="auto"/>
        </w:rPr>
        <w:t>Due to the patients presenting at ECP clinics with multiple ocular surface diseases, there is overlap in market size estimates for blepharitis and MGD. Therefore, if TP-03 receives regulatory approval for the treatment of Demodex blepharitis and MGD, our opportunity could be less than our forecasts because the actual market for TP-03 might be significantly smaller than our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blepharitis and Demodex blepharitis may be not be similar to the market for dry eye.</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The markets for blepharitis and Demodex blepharitis may prove to be materially different from the dry eye market that grew significantly once there was an approved product. Even if we obtain approval for TP-03 for the treatment of Demodex blepharitis and commercialize TP-03 in this indication, we may not be able to expand the market for Demodex blepharitis materially or at all or increase awareness of Demodex blepharitis to an extent similar to the dry eye market expansion induced by the commercial dry eye product or at all. Our inability to grow the market in a similar way to the dry eye market may occur due to differences in the underlying diseases, different ECP or patient attitudes towards the diseases, symptoms or treatment, changes over time in attitudes towards direct to patient marketing, different reimbursement and coverage, differences in company strategy, marketing or operations and differences in key assumptions which we have not taken into account in our analysis. Additionally, there may be differences in symptoms, regulatory approval and market dynamics. Dry eye had numerous over-the-counter options that reinforced the disease and promoted disease management. Further, patient awareness for dry eye may have been higher due to the various over-the-counter options for dry eye, which do not exist to such a degree for Demodex blepharitis.</w:t>
      </w:r>
    </w:p>
    <w:p>
      <w:pPr>
        <w:spacing w:after="0" w:line="19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demonstrate the safety and efficacy of TP-03, TP-04 and TP-05 in the indications we are pursuing even though the API underlying such product candidates is safe and effective in animals.</w:t>
      </w:r>
    </w:p>
    <w:p>
      <w:pPr>
        <w:spacing w:after="0" w:line="15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TP-03, TP-04 and TP-05 are presentations of lotilaner, the API, formulated into an eye drop, topical cream and oral formulation, respectively. Lotilaner, which is designed to paralyze and eradicate mites and other parasites through the inhibition of parasite-specific GABA-Cl channels, has been found to be safe and effective in animals. However, despite being safe and effective in animals, we may not be able to demonstrate that TP-03, TP-04 and TP-05 are safe and effective for human use in the indications we are pursuing for these product candidates. This may be in part because the requirements and regulations applicable to approval of a product candidate for human use are significantly more stringent than for animals and that there may be other ocular or other relevant differences between animals and humans.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32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will, if approved, also compete with existing branded, generic and off-label products.</w:t>
      </w:r>
    </w:p>
    <w:p>
      <w:pPr>
        <w:spacing w:after="0" w:line="175"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3"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spacing w:after="0" w:line="180"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176"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ind w:right="120" w:firstLine="1018"/>
        <w:spacing w:after="0" w:line="281" w:lineRule="auto"/>
        <w:rPr>
          <w:sz w:val="20"/>
          <w:szCs w:val="20"/>
          <w:color w:val="auto"/>
        </w:rPr>
      </w:pPr>
      <w:r>
        <w:rPr>
          <w:rFonts w:ascii="Times New Roman" w:cs="Times New Roman" w:eastAsia="Times New Roman" w:hAnsi="Times New Roman"/>
          <w:sz w:val="17"/>
          <w:szCs w:val="17"/>
          <w:color w:val="auto"/>
        </w:rPr>
        <w:t>Additionally, 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remedies such as tea tree oil, lid wipes and artificial tears, as well as off-label prescription products. If ECPs were to continue to prescribe these other existing treatments instead of TP-03, our business would be adversely affected.</w:t>
      </w:r>
    </w:p>
    <w:p>
      <w:pPr>
        <w:spacing w:after="0" w:line="160"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could divert our resources and could limit or delay our commercialization of any product candidates that we may develop.</w:t>
      </w:r>
    </w:p>
    <w:p>
      <w:pPr>
        <w:spacing w:after="0" w:line="159" w:lineRule="exact"/>
        <w:rPr>
          <w:sz w:val="20"/>
          <w:szCs w:val="20"/>
          <w:color w:val="auto"/>
        </w:rPr>
      </w:pPr>
    </w:p>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While we currently have no products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could incur substantial liabilities. Regardless of merit or eventual outcome, product liability claims may result in:</w:t>
      </w:r>
    </w:p>
    <w:p>
      <w:pPr>
        <w:spacing w:after="0" w:line="189" w:lineRule="exact"/>
        <w:rPr>
          <w:sz w:val="20"/>
          <w:szCs w:val="20"/>
          <w:color w:val="auto"/>
        </w:rPr>
      </w:pPr>
    </w:p>
    <w:p>
      <w:pPr>
        <w:ind w:left="1520" w:hanging="378"/>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variation or termination of clinical trials;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25" w:lineRule="exact"/>
        <w:rPr>
          <w:rFonts w:ascii="Times New Roman" w:cs="Times New Roman" w:eastAsia="Times New Roman" w:hAnsi="Times New Roman"/>
          <w:sz w:val="18"/>
          <w:szCs w:val="18"/>
          <w:color w:val="auto"/>
        </w:rPr>
      </w:pPr>
    </w:p>
    <w:p>
      <w:pPr>
        <w:ind w:left="1520" w:right="320" w:hanging="378"/>
        <w:spacing w:after="0" w:line="282" w:lineRule="auto"/>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recall, restriction on the approval or a “black box” warning or contraindication for an approved drug;</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subjects;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diversion of management’s time and our resources;</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ind w:left="1520" w:hanging="378"/>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study subjects or patients;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delay of our efforts to commercialize any products that we may develop.</w:t>
      </w:r>
    </w:p>
    <w:p>
      <w:pPr>
        <w:spacing w:after="0" w:line="225" w:lineRule="exact"/>
        <w:rPr>
          <w:sz w:val="20"/>
          <w:szCs w:val="20"/>
          <w:color w:val="auto"/>
        </w:rPr>
      </w:pPr>
    </w:p>
    <w:p>
      <w:pPr>
        <w:ind w:right="140" w:firstLine="1018"/>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as our product candidates advance through clinical trials and if we successfully commercialize any products. Insurance coverage is increasingly expensive, thus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of any of our product candidates, we may never obtain approval or authorization or commercialize such products outside of the United States, which would limit our ability to realize their full market potential.</w:t>
      </w:r>
    </w:p>
    <w:p>
      <w:pPr>
        <w:spacing w:after="0" w:line="159"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will need to comply with additional onerous but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for which we may rely on collaboration with third parties.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92" w:lineRule="exact"/>
        <w:rPr>
          <w:sz w:val="20"/>
          <w:szCs w:val="20"/>
          <w:color w:val="auto"/>
        </w:rPr>
      </w:pPr>
    </w:p>
    <w:p>
      <w:pPr>
        <w:ind w:left="1520" w:hanging="378"/>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if we are relying on third parties;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 and the need for language translations;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7" w:name="page38"/>
    <w:bookmarkEnd w:id="37"/>
    <w:p>
      <w:pPr>
        <w:ind w:left="1520" w:hanging="378"/>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all of our completed clinical trials for our product candidates at sites outside the United States, and the FDA may not accept data from trials conducted in such locations.</w:t>
      </w:r>
    </w:p>
    <w:p>
      <w:pPr>
        <w:spacing w:after="0" w:line="15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We have conducted all of our clinical trials outside the United States, including our Phase 2 clinical trials for the treatment of Demodex blepharitis which were conducted in Mexico City, Mexico, at a well-established site for ocular therapy trials. We may in the future choose to conduct other clinical trials outside the United States. Since we have yet to complete any clinical trials in the United States, it is possible that we may not be able to replicate the efficacy and safety results of our completed Phase 2 trials in the United States. We expect that the FDA will primarily consider the efficacy results of our Saturn-1 and Saturn-2 trials in addition to safety data from all human trials, our preclinical studies data as well as preclinical data for lotilaner in support of our potential NDA submission for TP-03 for the treatment of Demodex blepharitis.</w:t>
      </w:r>
    </w:p>
    <w:p>
      <w:pPr>
        <w:spacing w:after="0" w:line="187"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There can be no assurance the FDA will accept data from clinical trials conducted outside of the United States.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United States, it would likely result in the need for additional trials, which would be costly and time-consuming and could delay or permanently halt our development of the applicable product candidates.</w:t>
      </w:r>
    </w:p>
    <w:p>
      <w:pPr>
        <w:spacing w:after="0" w:line="194" w:lineRule="exact"/>
        <w:rPr>
          <w:sz w:val="20"/>
          <w:szCs w:val="20"/>
          <w:color w:val="auto"/>
        </w:rPr>
      </w:pPr>
    </w:p>
    <w:p>
      <w:pPr>
        <w:ind w:right="100" w:firstLine="1018"/>
        <w:spacing w:after="0" w:line="282" w:lineRule="auto"/>
        <w:rPr>
          <w:sz w:val="20"/>
          <w:szCs w:val="20"/>
          <w:color w:val="auto"/>
        </w:rPr>
      </w:pPr>
      <w:r>
        <w:rPr>
          <w:rFonts w:ascii="Times New Roman" w:cs="Times New Roman" w:eastAsia="Times New Roman" w:hAnsi="Times New Roman"/>
          <w:sz w:val="18"/>
          <w:szCs w:val="18"/>
          <w:color w:val="auto"/>
        </w:rPr>
        <w:t>In addition, there are risks inherent in conducting clinical trials in multiple jurisdictions, inside and outside of the United States and if return to conduct trials outside of the United States, we may face risks, such as:</w:t>
      </w:r>
    </w:p>
    <w:p>
      <w:pPr>
        <w:spacing w:after="0" w:line="162" w:lineRule="exact"/>
        <w:rPr>
          <w:sz w:val="20"/>
          <w:szCs w:val="20"/>
          <w:color w:val="auto"/>
        </w:rPr>
      </w:pPr>
    </w:p>
    <w:p>
      <w:pPr>
        <w:ind w:left="1520" w:right="360" w:hanging="378"/>
        <w:spacing w:after="0" w:line="282" w:lineRule="auto"/>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administrative requirements of the jurisdiction where the trial is conducted that could burden or limit our ability to conduct our clinical trials;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customs, shipment and storage requirements;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25" w:lineRule="exact"/>
        <w:rPr>
          <w:rFonts w:ascii="Times New Roman" w:cs="Times New Roman" w:eastAsia="Times New Roman" w:hAnsi="Times New Roman"/>
          <w:sz w:val="18"/>
          <w:szCs w:val="18"/>
          <w:color w:val="auto"/>
        </w:rPr>
      </w:pPr>
    </w:p>
    <w:p>
      <w:pPr>
        <w:ind w:left="1520" w:hanging="378"/>
        <w:spacing w:after="0" w:line="282" w:lineRule="auto"/>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cultural attitudes to self-reported adverse events (such as burning, stinging, blurry vision) leading to a different safety profile; and</w:t>
      </w:r>
    </w:p>
    <w:p>
      <w:pPr>
        <w:spacing w:after="0" w:line="161" w:lineRule="exact"/>
        <w:rPr>
          <w:rFonts w:ascii="Times New Roman" w:cs="Times New Roman" w:eastAsia="Times New Roman" w:hAnsi="Times New Roman"/>
          <w:sz w:val="18"/>
          <w:szCs w:val="18"/>
          <w:color w:val="auto"/>
        </w:rPr>
      </w:pPr>
    </w:p>
    <w:p>
      <w:pPr>
        <w:ind w:left="1520" w:right="120" w:hanging="378"/>
        <w:spacing w:after="0" w:line="282" w:lineRule="auto"/>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patient populations in such trials are not considered representative as compared to the patient population in the target markets where approval is being sought.</w:t>
      </w:r>
    </w:p>
    <w:p>
      <w:pPr>
        <w:spacing w:after="0" w:line="152"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8" w:name="page39"/>
    <w:bookmarkEnd w:id="38"/>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with respect to TP-03 for Demodex blepharitis, we may not be able to obtain regulatory approval for additional indications, such as MGD, or we may be required to conduct additional trials, which would limit our ability to realize the full market potential of TP-03 or increase the costs of developing TP-03 for MGD.</w:t>
      </w:r>
    </w:p>
    <w:p>
      <w:pPr>
        <w:spacing w:after="0" w:line="175"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If we obtain regulatory approval with respect to TP-03 for the treatment of Demodex blepharitis, we intend explore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even if we obtain approval for Demodex blepharitis, we will obtain approval for any other indication, including MGD or for any broadened indication beyond the treatment of Demodex blepharitis. If we fail to obtain and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For example, we intend to rely on preclinical studies we have conducted with TP-03 for Demodex blepharitis instead of conducting preclinical studies for MGD. The FDA may not approve of this approach and may require us to conduct preclinical studies with TP-03 in MGD, which may delay our expected timelines for approval and increase costs. If we were required to conduct additional clinical trials, our costs for developing TP-03 for treating MGD would be substantially higher and the timing of any regulatory approval, if any, would be substantially extended, which could adverse effect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For example, we intend to develop a preservative-free formulation for TP-03, which we expect to be completed after the submission of the NDA for Demodex blepharitis and used for commercialization. We intend to initiate preclinical equivalence studies with this preservative-free formulation after the NDA submission of the current formulation of TP-03 for Demodex blepharitis. However, there can be no assurance that the FDA will not require us to conduct studies or trials in addition to these preclinical equivalence studies, which would mean additional costs and potentially delays in our approval of TP-03 for the treatment of Demodex blepharitis.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our obligations under our in-license agreements and other strategic agreements may divert management time and attention, causing delays or disruptions to our business.</w:t>
      </w:r>
    </w:p>
    <w:p>
      <w:pPr>
        <w:spacing w:after="0" w:line="15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We have entered into two license agreements with Elanco granting us worldwide development and marketing rights (including sublicense rights) to lotilaner for (i) the treatment or cure of any eye or skin condition in humans, or, as amended, the Eye and Derm Elanco Agreement, and (ii) all other applications in humans, or the All Human Uses Elanco Agreement, and may in the future enter into in-license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189"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color w:val="auto"/>
        </w:rPr>
        <w:t>Our in-license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by certain covenants in our license and other strategic agreements, which could limit our development and commercial opportunities.</w:t>
      </w:r>
    </w:p>
    <w:p>
      <w:pPr>
        <w:spacing w:after="0" w:line="159"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In connection with our in-license or other collaborations or strategic alliances, we may agree to and be bound by negative covenants which may limit our development and commercial opportunities. For example, pursuant to the Eye and Derm Elanco Agreement and the All Human Uses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36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39" w:name="page40"/>
    <w:bookmarkEnd w:id="39"/>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TP-03 for the treatment of Demodex blepharitis and fail to capitalize on product candidates or indications that may be more profitable or for which there is a greater likelihood of success.</w:t>
      </w:r>
    </w:p>
    <w:p>
      <w:pPr>
        <w:spacing w:after="0" w:line="15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must prioritize our research programs and will need to focus our product candidates on the potential treatment of certain indications. We are currently focused on the development and commercialization, if approved, of TP-03 for the treatment of Demodex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for the treatment of Demodex blepharitis may not yield any commercially viable products. If we do not accurately evaluate the commercial potential or target market for TP-03,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for any product candidates we develop, the terms of approvals and ongoing regulation of our products could require substantial expenditure of resources and may limit how we manufacture and market our products, which could materially impair our ability to generate revenue.</w:t>
      </w:r>
    </w:p>
    <w:p>
      <w:pPr>
        <w:spacing w:after="0" w:line="175" w:lineRule="exact"/>
        <w:rPr>
          <w:sz w:val="20"/>
          <w:szCs w:val="20"/>
          <w:color w:val="auto"/>
        </w:rPr>
      </w:pPr>
    </w:p>
    <w:p>
      <w:pPr>
        <w:ind w:right="140" w:firstLine="1018"/>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189" w:lineRule="exact"/>
        <w:rPr>
          <w:sz w:val="20"/>
          <w:szCs w:val="20"/>
          <w:color w:val="auto"/>
        </w:rPr>
      </w:pPr>
    </w:p>
    <w:p>
      <w:pPr>
        <w:ind w:right="140" w:firstLine="1018"/>
        <w:spacing w:after="0" w:line="256" w:lineRule="auto"/>
        <w:rPr>
          <w:sz w:val="20"/>
          <w:szCs w:val="20"/>
          <w:color w:val="auto"/>
        </w:rPr>
      </w:pPr>
      <w:r>
        <w:rPr>
          <w:rFonts w:ascii="Times New Roman" w:cs="Times New Roman" w:eastAsia="Times New Roman" w:hAnsi="Times New Roman"/>
          <w:sz w:val="18"/>
          <w:szCs w:val="18"/>
          <w:color w:val="auto"/>
        </w:rPr>
        <w:t>Accordingly, assuming we receive regulatory approval for one or more product candidates we develop,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regulatory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5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75"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ind w:right="60"/>
        <w:spacing w:after="0" w:line="266" w:lineRule="auto"/>
        <w:rPr>
          <w:sz w:val="20"/>
          <w:szCs w:val="20"/>
          <w:color w:val="auto"/>
        </w:rPr>
      </w:pPr>
      <w:r>
        <w:rPr>
          <w:rFonts w:ascii="Times New Roman" w:cs="Times New Roman" w:eastAsia="Times New Roman" w:hAnsi="Times New Roman"/>
          <w:sz w:val="18"/>
          <w:szCs w:val="18"/>
          <w:color w:val="auto"/>
        </w:rPr>
        <w:t>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76"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187"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The third parties we rely on for these services may also have relationships with other entities, some of which may be our competitors. In addition, the operations of our CROs and other third-party service providers may be constrained or disrupted by the ongoing COVID-19 pandemic.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3"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18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183" w:lineRule="exact"/>
        <w:rPr>
          <w:sz w:val="20"/>
          <w:szCs w:val="20"/>
          <w:color w:val="auto"/>
        </w:rPr>
      </w:pPr>
    </w:p>
    <w:p>
      <w:pPr>
        <w:jc w:val="both"/>
        <w:ind w:right="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157"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We do not have any, and have no plans to acquire any, manufacturing facilities. We produce in our laboratory relatively small quantities of compounds for evaluation in our research programs. We rely, and expect to continue to rely, on third parties for the manufacture of our product candidates for preclinical and clinical testing, as well as for commercial manufacture if any of our product candidates are approved. We currently have limited manufacturing arrangements and expect that each of our product candidates will only be covered by single source suppliers for the foreseeable future.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38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1" w:name="page42"/>
    <w:bookmarkEnd w:id="41"/>
    <w:p>
      <w:pPr>
        <w:ind w:firstLine="1018"/>
        <w:spacing w:after="0" w:line="269" w:lineRule="auto"/>
        <w:rPr>
          <w:sz w:val="20"/>
          <w:szCs w:val="20"/>
          <w:color w:val="auto"/>
        </w:rPr>
      </w:pPr>
      <w:r>
        <w:rPr>
          <w:rFonts w:ascii="Times New Roman" w:cs="Times New Roman" w:eastAsia="Times New Roman" w:hAnsi="Times New Roman"/>
          <w:sz w:val="17"/>
          <w:szCs w:val="17"/>
          <w:color w:val="auto"/>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w:t>
      </w:r>
    </w:p>
    <w:p>
      <w:pPr>
        <w:spacing w:after="0" w:line="182" w:lineRule="exact"/>
        <w:rPr>
          <w:sz w:val="20"/>
          <w:szCs w:val="20"/>
          <w:color w:val="auto"/>
        </w:rPr>
      </w:pPr>
    </w:p>
    <w:p>
      <w:pPr>
        <w:ind w:firstLine="1018"/>
        <w:spacing w:after="0" w:line="268" w:lineRule="auto"/>
        <w:rPr>
          <w:sz w:val="20"/>
          <w:szCs w:val="20"/>
          <w:color w:val="auto"/>
        </w:rPr>
      </w:pPr>
      <w:r>
        <w:rPr>
          <w:rFonts w:ascii="Times New Roman" w:cs="Times New Roman" w:eastAsia="Times New Roman" w:hAnsi="Times New Roman"/>
          <w:sz w:val="17"/>
          <w:szCs w:val="17"/>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 In addition, the COVID-19 pandemic may impact our ability to procure sufficient supplies for the development of our product candidates. The extent of this impact will depend on the severity and duration of the spread of the virus, and the actions undertaken to contain COVID-19 or treat its effects. The delays associated with the verification of a new manufacturer could negatively affect our ability to develop product candidates in a timely manner or within budget.</w:t>
      </w:r>
    </w:p>
    <w:p>
      <w:pPr>
        <w:spacing w:after="0" w:line="182" w:lineRule="exact"/>
        <w:rPr>
          <w:sz w:val="20"/>
          <w:szCs w:val="20"/>
          <w:color w:val="auto"/>
        </w:rPr>
      </w:pPr>
    </w:p>
    <w:p>
      <w:pPr>
        <w:ind w:right="360" w:firstLine="1018"/>
        <w:spacing w:after="0" w:line="282"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to do so on commercially reasonable terms and comply with cGMP could adversely affect our business in a number of ways, including:</w:t>
      </w:r>
    </w:p>
    <w:p>
      <w:pPr>
        <w:spacing w:after="0" w:line="162" w:lineRule="exact"/>
        <w:rPr>
          <w:sz w:val="20"/>
          <w:szCs w:val="20"/>
          <w:color w:val="auto"/>
        </w:rPr>
      </w:pPr>
    </w:p>
    <w:p>
      <w:pPr>
        <w:ind w:left="1520" w:hanging="378"/>
        <w:spacing w:after="0"/>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our product candidates under development;</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our product candidates;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an existing or future collaborator, including by Elanco under the licensing agreement with Elanco;</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 and</w:t>
      </w:r>
    </w:p>
    <w:p>
      <w:pPr>
        <w:spacing w:after="0" w:line="225" w:lineRule="exact"/>
        <w:rPr>
          <w:rFonts w:ascii="Times New Roman" w:cs="Times New Roman" w:eastAsia="Times New Roman" w:hAnsi="Times New Roman"/>
          <w:sz w:val="18"/>
          <w:szCs w:val="18"/>
          <w:color w:val="auto"/>
        </w:rPr>
      </w:pPr>
    </w:p>
    <w:p>
      <w:pPr>
        <w:ind w:left="1520" w:right="560" w:hanging="378"/>
        <w:spacing w:after="0" w:line="282" w:lineRule="auto"/>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or any other future product candidates.</w:t>
      </w:r>
    </w:p>
    <w:p>
      <w:pPr>
        <w:spacing w:after="0" w:line="162" w:lineRule="exact"/>
        <w:rPr>
          <w:sz w:val="20"/>
          <w:szCs w:val="20"/>
          <w:color w:val="auto"/>
        </w:rPr>
      </w:pPr>
    </w:p>
    <w:p>
      <w:pPr>
        <w:ind w:right="200" w:firstLine="1018"/>
        <w:spacing w:after="0" w:line="261"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w:t>
      </w:r>
    </w:p>
    <w:p>
      <w:pPr>
        <w:spacing w:after="0" w:line="180"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We or our third-party manufacturers may encounter shortages in the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2" w:name="page43"/>
    <w:bookmarkEnd w:id="42"/>
    <w:p>
      <w:pPr>
        <w:ind w:right="100"/>
        <w:spacing w:after="0" w:line="266" w:lineRule="auto"/>
        <w:rPr>
          <w:sz w:val="20"/>
          <w:szCs w:val="20"/>
          <w:color w:val="auto"/>
        </w:rPr>
      </w:pPr>
      <w:r>
        <w:rPr>
          <w:rFonts w:ascii="Times New Roman" w:cs="Times New Roman" w:eastAsia="Times New Roman" w:hAnsi="Times New Roman"/>
          <w:sz w:val="18"/>
          <w:szCs w:val="18"/>
          <w:color w:val="auto"/>
        </w:rPr>
        <w:t>such raw materials or active pharmaceutical ingredients by our competitors or others. The failure of us or our third-party manufacturers to obtain the raw materials or active pharmaceutical ingredients necessary to manufacture sufficient quantities of our product candidates, may have a material adverse effect on our business.</w:t>
      </w:r>
    </w:p>
    <w:p>
      <w:pPr>
        <w:spacing w:after="0" w:line="17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establish sales, marketing and distribution capabilities or enter into agreements with third parties to sell, market and distribute our product candidates, we will be unable to successfully commercialize our product candidates if and when they are approved.</w:t>
      </w:r>
    </w:p>
    <w:p>
      <w:pPr>
        <w:spacing w:after="0" w:line="175"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or use a hybrid model incorporating both of these approaches.</w:t>
      </w:r>
    </w:p>
    <w:p>
      <w:pPr>
        <w:spacing w:after="0" w:line="176"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medicines on our own include:</w:t>
      </w:r>
    </w:p>
    <w:p>
      <w:pPr>
        <w:spacing w:after="0" w:line="225" w:lineRule="exact"/>
        <w:rPr>
          <w:sz w:val="20"/>
          <w:szCs w:val="20"/>
          <w:color w:val="auto"/>
        </w:rPr>
      </w:pPr>
    </w:p>
    <w:p>
      <w:pPr>
        <w:ind w:left="1520" w:right="120" w:hanging="378"/>
        <w:spacing w:after="0" w:line="282" w:lineRule="auto"/>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161" w:lineRule="exact"/>
        <w:rPr>
          <w:rFonts w:ascii="Times New Roman" w:cs="Times New Roman" w:eastAsia="Times New Roman" w:hAnsi="Times New Roman"/>
          <w:sz w:val="18"/>
          <w:szCs w:val="18"/>
          <w:color w:val="auto"/>
        </w:rPr>
      </w:pPr>
    </w:p>
    <w:p>
      <w:pPr>
        <w:ind w:left="1520" w:right="560" w:hanging="378"/>
        <w:spacing w:after="0" w:line="282" w:lineRule="auto"/>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equip sales personnel with effective materials, including medical and sales literature to help them educate ECPs regarding the indications we are targeting and our products, if approved;</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ECPs or persuade adequate numbers of ECPs to prescribe any future medicines;</w:t>
      </w:r>
    </w:p>
    <w:p>
      <w:pPr>
        <w:spacing w:after="0" w:line="225" w:lineRule="exact"/>
        <w:rPr>
          <w:rFonts w:ascii="Times New Roman" w:cs="Times New Roman" w:eastAsia="Times New Roman" w:hAnsi="Times New Roman"/>
          <w:sz w:val="18"/>
          <w:szCs w:val="18"/>
          <w:color w:val="auto"/>
        </w:rPr>
      </w:pPr>
    </w:p>
    <w:p>
      <w:pPr>
        <w:ind w:left="1520" w:right="160" w:hanging="378"/>
        <w:spacing w:after="0" w:line="282" w:lineRule="auto"/>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61" w:lineRule="exact"/>
        <w:rPr>
          <w:rFonts w:ascii="Times New Roman" w:cs="Times New Roman" w:eastAsia="Times New Roman" w:hAnsi="Times New Roman"/>
          <w:sz w:val="18"/>
          <w:szCs w:val="18"/>
          <w:color w:val="auto"/>
        </w:rPr>
      </w:pPr>
    </w:p>
    <w:p>
      <w:pPr>
        <w:ind w:left="1520" w:right="380" w:hanging="378"/>
        <w:spacing w:after="0" w:line="282" w:lineRule="auto"/>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of these product revenue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be unable to successfully scale-up manufacturing of our product candidates in sufficient quality and quantity, which would delay or prevent us from conducting clinical trials and developing our product candidates.</w:t>
      </w:r>
    </w:p>
    <w:p>
      <w:pPr>
        <w:spacing w:after="0" w:line="15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we will need to manufacture them in large quantities. 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significantly harm our business.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40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our products, including our lead product candidate, TP-03 for the potential treatment of Demodex blepharitis and MGD, TP-04 for the potential treatment of rosacea and TP-05 for potential Lyme prophylaxis and community malaria reduction, is dependent on intellectual property we license from Elanco. If we breach our agreements with Elanco or the agreements are terminated, we could lose license rights that are important to our business.</w:t>
      </w:r>
    </w:p>
    <w:p>
      <w:pPr>
        <w:spacing w:after="0" w:line="180" w:lineRule="exact"/>
        <w:rPr>
          <w:sz w:val="20"/>
          <w:szCs w:val="20"/>
          <w:color w:val="auto"/>
        </w:rPr>
      </w:pPr>
    </w:p>
    <w:p>
      <w:pPr>
        <w:ind w:right="80" w:firstLine="1018"/>
        <w:spacing w:after="0" w:line="272" w:lineRule="auto"/>
        <w:rPr>
          <w:sz w:val="20"/>
          <w:szCs w:val="20"/>
          <w:color w:val="auto"/>
        </w:rPr>
      </w:pPr>
      <w:r>
        <w:rPr>
          <w:rFonts w:ascii="Times New Roman" w:cs="Times New Roman" w:eastAsia="Times New Roman" w:hAnsi="Times New Roman"/>
          <w:sz w:val="17"/>
          <w:szCs w:val="17"/>
          <w:color w:val="auto"/>
        </w:rPr>
        <w:t>Pursuant to the Eye and Derm Elanco Agreement and the All Human Uses Elanco Agreement, each, an Elanco Agreement,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Eye and Derm Elanco Agreement and the All Human Uses Elanco Agreement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spacing w:after="0" w:line="172"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spacing w:after="0" w:line="1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75"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development programs and product candidates. Our success depends in large part on our ability to obtain and maintain patent protection in the United States and other countries with respect to our product candidates and research programs. We seek to protect our proprietary position by filing patent applications in the United States and abroad related to our novel discoveries and technologies that are important to our business. Our pending and future patent applications may not result in patents being issued which protect our product candidates or their intended uses or which effectively prevent others from commercializing competitive technologies, products or product candidates.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41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firstLine="1018"/>
        <w:spacing w:after="0" w:line="254"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92"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spacing w:after="0" w:line="189" w:lineRule="exact"/>
        <w:rPr>
          <w:sz w:val="20"/>
          <w:szCs w:val="20"/>
          <w:color w:val="auto"/>
        </w:rPr>
      </w:pPr>
    </w:p>
    <w:p>
      <w:pPr>
        <w:ind w:right="20" w:firstLine="1018"/>
        <w:spacing w:after="0" w:line="252" w:lineRule="auto"/>
        <w:rPr>
          <w:sz w:val="20"/>
          <w:szCs w:val="20"/>
          <w:color w:val="auto"/>
        </w:rPr>
      </w:pPr>
      <w:r>
        <w:rPr>
          <w:rFonts w:ascii="Times New Roman" w:cs="Times New Roman" w:eastAsia="Times New Roman" w:hAnsi="Times New Roman"/>
          <w:sz w:val="18"/>
          <w:szCs w:val="18"/>
          <w:color w:val="auto"/>
        </w:rPr>
        <w:t>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including TP-03, TP-04 or TP-05, we may not successfully find patents that our products or product candidates, including TP-03, TP-04 or TP-05, may infringe. If we are unable to secure and maintain freedom to operate, others could preclude us from commercializing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United States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89"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42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5" w:name="page46"/>
    <w:bookmarkEnd w:id="45"/>
    <w:p>
      <w:pPr>
        <w:ind w:firstLine="1018"/>
        <w:spacing w:after="0" w:line="252" w:lineRule="auto"/>
        <w:rPr>
          <w:sz w:val="20"/>
          <w:szCs w:val="20"/>
          <w:color w:val="auto"/>
        </w:rPr>
      </w:pPr>
      <w:r>
        <w:rPr>
          <w:rFonts w:ascii="Times New Roman" w:cs="Times New Roman" w:eastAsia="Times New Roman" w:hAnsi="Times New Roman"/>
          <w:sz w:val="18"/>
          <w:szCs w:val="18"/>
          <w:color w:val="auto"/>
        </w:rPr>
        <w:t>Furthermore,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187"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 Patent and Trademark Office, or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our product candidates, our competitive position, business, financial condition, results of operations and prospects would be adversely affected.</w:t>
      </w:r>
    </w:p>
    <w:p>
      <w:pPr>
        <w:spacing w:after="0" w:line="18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5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United States and abroad that is relevant to or necessary for the commercialization of our product candidates in any jurisdiction.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we may not successfully find patents that our products or product candidates may infringe. If we are unable to secure and maintain freedom to operate, others could preclude us from commercializing our product candidates.</w:t>
      </w:r>
    </w:p>
    <w:p>
      <w:pPr>
        <w:spacing w:after="0" w:line="192" w:lineRule="exact"/>
        <w:rPr>
          <w:sz w:val="20"/>
          <w:szCs w:val="20"/>
          <w:color w:val="auto"/>
        </w:rPr>
      </w:pPr>
    </w:p>
    <w:p>
      <w:pPr>
        <w:ind w:right="140" w:firstLine="1018"/>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43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6" w:name="page47"/>
    <w:bookmarkEnd w:id="46"/>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wish to acquire rights to future assets through in-licensing or may attempt to form collaborations in the future with respect to our product candidates, but may not be able to do so, which may cause us to alter or delay our development and commercialization plans.</w:t>
      </w:r>
    </w:p>
    <w:p>
      <w:pPr>
        <w:spacing w:after="0" w:line="159" w:lineRule="exact"/>
        <w:rPr>
          <w:sz w:val="20"/>
          <w:szCs w:val="20"/>
          <w:color w:val="auto"/>
        </w:rPr>
      </w:pPr>
    </w:p>
    <w:p>
      <w:pPr>
        <w:jc w:val="both"/>
        <w:ind w:right="120" w:firstLine="1018"/>
        <w:spacing w:after="0" w:line="270" w:lineRule="auto"/>
        <w:rPr>
          <w:sz w:val="20"/>
          <w:szCs w:val="20"/>
          <w:color w:val="auto"/>
        </w:rPr>
      </w:pPr>
      <w:r>
        <w:rPr>
          <w:rFonts w:ascii="Times New Roman" w:cs="Times New Roman" w:eastAsia="Times New Roman" w:hAnsi="Times New Roman"/>
          <w:sz w:val="17"/>
          <w:szCs w:val="17"/>
          <w:color w:val="auto"/>
        </w:rPr>
        <w:t>The development and potential commercialization of our product candidates will require substantial additional capital to fund expenses. We have entered into the Eye and Derm Elanco Agreement and the All Human Uses Elanco Agreement. We plan to utilize these license rights in developing and marketing our TP-03, TP-04 and TP-05 product candidates. We may, in the future, decide to collaborate with other biopharmaceutical companies for the development and potential commercialization of those product candidates. We will face significant competition in seeking appropriate collaborators.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190" w:lineRule="exact"/>
        <w:rPr>
          <w:sz w:val="20"/>
          <w:szCs w:val="20"/>
          <w:color w:val="auto"/>
        </w:rPr>
      </w:pPr>
    </w:p>
    <w:p>
      <w:pPr>
        <w:ind w:left="1520" w:hanging="378"/>
        <w:spacing w:after="0"/>
        <w:tabs>
          <w:tab w:leader="none" w:pos="1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results of clinical trials;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approval by the FDA or comparable foreign regulatory authorities;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for the product candidate;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complexities of manufacturing and delivering such product candidate to patients;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competing products;</w:t>
      </w:r>
    </w:p>
    <w:p>
      <w:pPr>
        <w:spacing w:after="0" w:line="225" w:lineRule="exact"/>
        <w:rPr>
          <w:rFonts w:ascii="Times New Roman" w:cs="Times New Roman" w:eastAsia="Times New Roman" w:hAnsi="Times New Roman"/>
          <w:sz w:val="18"/>
          <w:szCs w:val="18"/>
          <w:color w:val="auto"/>
        </w:rPr>
      </w:pPr>
    </w:p>
    <w:p>
      <w:pPr>
        <w:ind w:left="1520" w:right="60" w:hanging="378"/>
        <w:spacing w:after="0" w:line="282" w:lineRule="auto"/>
        <w:tabs>
          <w:tab w:leader="none" w:pos="1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uncertainty with respect to our ownership of technology or other rights, which can exist if there is a challenge to such ownership without regard to the merits of the challenge; and</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conditions generally.</w:t>
      </w:r>
    </w:p>
    <w:p>
      <w:pPr>
        <w:spacing w:after="0" w:line="225"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2" w:lineRule="exact"/>
        <w:rPr>
          <w:sz w:val="20"/>
          <w:szCs w:val="20"/>
          <w:color w:val="auto"/>
        </w:rPr>
      </w:pPr>
    </w:p>
    <w:p>
      <w:pPr>
        <w:ind w:right="920" w:firstLine="1018"/>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 Collaborations pose a number of risks, including the following:</w:t>
      </w:r>
    </w:p>
    <w:p>
      <w:pPr>
        <w:spacing w:after="0" w:line="162" w:lineRule="exact"/>
        <w:rPr>
          <w:sz w:val="20"/>
          <w:szCs w:val="20"/>
          <w:color w:val="auto"/>
        </w:rPr>
      </w:pPr>
    </w:p>
    <w:p>
      <w:pPr>
        <w:ind w:left="1520" w:right="260" w:hanging="378"/>
        <w:spacing w:after="0" w:line="282" w:lineRule="auto"/>
        <w:tabs>
          <w:tab w:leader="none" w:pos="1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1520" w:right="20" w:hanging="378"/>
        <w:spacing w:after="0" w:line="266" w:lineRule="auto"/>
        <w:tabs>
          <w:tab w:leader="none" w:pos="1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spacing w:after="0" w:line="166"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7" w:name="page48"/>
    <w:bookmarkEnd w:id="47"/>
    <w:p>
      <w:pPr>
        <w:ind w:left="1520" w:right="200" w:hanging="378"/>
        <w:spacing w:after="0" w:line="261"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179" w:lineRule="exact"/>
        <w:rPr>
          <w:rFonts w:ascii="Times New Roman" w:cs="Times New Roman" w:eastAsia="Times New Roman" w:hAnsi="Times New Roman"/>
          <w:sz w:val="18"/>
          <w:szCs w:val="18"/>
          <w:color w:val="auto"/>
        </w:rPr>
      </w:pPr>
    </w:p>
    <w:p>
      <w:pPr>
        <w:jc w:val="both"/>
        <w:ind w:left="1520" w:right="540" w:hanging="378"/>
        <w:spacing w:after="0" w:line="312" w:lineRule="auto"/>
        <w:tabs>
          <w:tab w:leader="none" w:pos="15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39" w:lineRule="exact"/>
        <w:rPr>
          <w:rFonts w:ascii="Times New Roman" w:cs="Times New Roman" w:eastAsia="Times New Roman" w:hAnsi="Times New Roman"/>
          <w:sz w:val="17"/>
          <w:szCs w:val="17"/>
          <w:color w:val="auto"/>
        </w:rPr>
      </w:pPr>
    </w:p>
    <w:p>
      <w:pPr>
        <w:jc w:val="both"/>
        <w:ind w:left="1520" w:right="60" w:hanging="378"/>
        <w:spacing w:after="0" w:line="266"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175" w:lineRule="exact"/>
        <w:rPr>
          <w:rFonts w:ascii="Times New Roman" w:cs="Times New Roman" w:eastAsia="Times New Roman" w:hAnsi="Times New Roman"/>
          <w:sz w:val="18"/>
          <w:szCs w:val="18"/>
          <w:color w:val="auto"/>
        </w:rPr>
      </w:pPr>
    </w:p>
    <w:p>
      <w:pPr>
        <w:ind w:left="1520" w:right="60" w:hanging="378"/>
        <w:spacing w:after="0" w:line="266"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1520" w:right="360" w:hanging="378"/>
        <w:spacing w:after="0" w:line="266"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5" w:lineRule="exact"/>
        <w:rPr>
          <w:rFonts w:ascii="Times New Roman" w:cs="Times New Roman" w:eastAsia="Times New Roman" w:hAnsi="Times New Roman"/>
          <w:sz w:val="18"/>
          <w:szCs w:val="18"/>
          <w:color w:val="auto"/>
        </w:rPr>
      </w:pPr>
    </w:p>
    <w:p>
      <w:pPr>
        <w:ind w:left="1520" w:right="300" w:hanging="378"/>
        <w:spacing w:after="0" w:line="282"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161" w:lineRule="exact"/>
        <w:rPr>
          <w:rFonts w:ascii="Times New Roman" w:cs="Times New Roman" w:eastAsia="Times New Roman" w:hAnsi="Times New Roman"/>
          <w:sz w:val="18"/>
          <w:szCs w:val="18"/>
          <w:color w:val="auto"/>
        </w:rPr>
      </w:pPr>
    </w:p>
    <w:p>
      <w:pPr>
        <w:ind w:left="1520" w:right="420" w:hanging="378"/>
        <w:spacing w:after="0" w:line="282"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seek to renegotiate or terminate their relationship with us due to unsatisfactory clinical results, manufacturing issues, a change in business strategy, a change of control or other reasons;</w:t>
      </w:r>
    </w:p>
    <w:p>
      <w:pPr>
        <w:spacing w:after="0" w:line="161" w:lineRule="exact"/>
        <w:rPr>
          <w:rFonts w:ascii="Times New Roman" w:cs="Times New Roman" w:eastAsia="Times New Roman" w:hAnsi="Times New Roman"/>
          <w:sz w:val="18"/>
          <w:szCs w:val="18"/>
          <w:color w:val="auto"/>
        </w:rPr>
      </w:pPr>
    </w:p>
    <w:p>
      <w:pPr>
        <w:ind w:left="1520" w:right="240" w:hanging="378"/>
        <w:spacing w:after="0" w:line="282"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161" w:lineRule="exact"/>
        <w:rPr>
          <w:rFonts w:ascii="Times New Roman" w:cs="Times New Roman" w:eastAsia="Times New Roman" w:hAnsi="Times New Roman"/>
          <w:sz w:val="18"/>
          <w:szCs w:val="18"/>
          <w:color w:val="auto"/>
        </w:rPr>
      </w:pPr>
    </w:p>
    <w:p>
      <w:pPr>
        <w:ind w:left="1520" w:hanging="378"/>
        <w:spacing w:after="0" w:line="261"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79" w:lineRule="exact"/>
        <w:rPr>
          <w:rFonts w:ascii="Times New Roman" w:cs="Times New Roman" w:eastAsia="Times New Roman" w:hAnsi="Times New Roman"/>
          <w:sz w:val="18"/>
          <w:szCs w:val="18"/>
          <w:color w:val="auto"/>
        </w:rPr>
      </w:pPr>
    </w:p>
    <w:p>
      <w:pPr>
        <w:ind w:left="1520" w:right="40" w:hanging="378"/>
        <w:spacing w:after="0" w:line="266"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225" w:lineRule="exact"/>
        <w:rPr>
          <w:rFonts w:ascii="Times New Roman" w:cs="Times New Roman" w:eastAsia="Times New Roman" w:hAnsi="Times New Roman"/>
          <w:sz w:val="18"/>
          <w:szCs w:val="18"/>
          <w:color w:val="auto"/>
        </w:rPr>
      </w:pPr>
    </w:p>
    <w:p>
      <w:pPr>
        <w:ind w:left="1520" w:right="260" w:hanging="378"/>
        <w:spacing w:after="0" w:line="282"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161" w:lineRule="exact"/>
        <w:rPr>
          <w:rFonts w:ascii="Times New Roman" w:cs="Times New Roman" w:eastAsia="Times New Roman" w:hAnsi="Times New Roman"/>
          <w:sz w:val="18"/>
          <w:szCs w:val="18"/>
          <w:color w:val="auto"/>
        </w:rPr>
      </w:pPr>
    </w:p>
    <w:p>
      <w:pPr>
        <w:ind w:left="1520" w:right="160" w:hanging="378"/>
        <w:spacing w:after="0" w:line="282"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45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8" w:name="page49"/>
    <w:bookmarkEnd w:id="4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59"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In addition to the Eye and Derm Elanco Agreement and the All Human Uses Elanco Agreement,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spacing w:after="0" w:line="180"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3"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If we enter into in-bound intellectual property license agreements, we may not be able to fully protect the licensed intellectual property rights or maintain those licenses. In each of the Eye and Derm Elanco Agreement and the All Human Uses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94"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25" w:lineRule="exact"/>
        <w:rPr>
          <w:sz w:val="20"/>
          <w:szCs w:val="20"/>
          <w:color w:val="auto"/>
        </w:rPr>
      </w:pPr>
    </w:p>
    <w:p>
      <w:pPr>
        <w:ind w:left="1520" w:hanging="378"/>
        <w:spacing w:after="0"/>
        <w:tabs>
          <w:tab w:leader="none" w:pos="1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225" w:lineRule="exact"/>
        <w:rPr>
          <w:rFonts w:ascii="Times New Roman" w:cs="Times New Roman" w:eastAsia="Times New Roman" w:hAnsi="Times New Roman"/>
          <w:sz w:val="18"/>
          <w:szCs w:val="18"/>
          <w:color w:val="auto"/>
        </w:rPr>
      </w:pPr>
    </w:p>
    <w:p>
      <w:pPr>
        <w:ind w:left="1520" w:right="320" w:hanging="378"/>
        <w:spacing w:after="0" w:line="282" w:lineRule="auto"/>
        <w:tabs>
          <w:tab w:leader="none" w:pos="1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ind w:left="1520" w:hanging="378"/>
        <w:spacing w:after="0"/>
        <w:tabs>
          <w:tab w:leader="none" w:pos="1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1520" w:right="340" w:hanging="378"/>
        <w:spacing w:after="0" w:line="282" w:lineRule="auto"/>
        <w:tabs>
          <w:tab w:leader="none" w:pos="1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have pending U.S. and foreign patent applications in our portfolio, however, we cannot predict:</w:t>
      </w:r>
    </w:p>
    <w:p>
      <w:pPr>
        <w:spacing w:after="0" w:line="225" w:lineRule="exact"/>
        <w:rPr>
          <w:sz w:val="20"/>
          <w:szCs w:val="20"/>
          <w:color w:val="auto"/>
        </w:rPr>
      </w:pPr>
    </w:p>
    <w:p>
      <w:pPr>
        <w:ind w:left="1520" w:hanging="378"/>
        <w:spacing w:after="0"/>
        <w:tabs>
          <w:tab w:leader="none" w:pos="1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225" w:lineRule="exact"/>
        <w:rPr>
          <w:rFonts w:ascii="Times New Roman" w:cs="Times New Roman" w:eastAsia="Times New Roman" w:hAnsi="Times New Roman"/>
          <w:sz w:val="18"/>
          <w:szCs w:val="18"/>
          <w:color w:val="auto"/>
        </w:rPr>
      </w:pPr>
    </w:p>
    <w:p>
      <w:pPr>
        <w:ind w:left="1520" w:right="40" w:hanging="378"/>
        <w:spacing w:after="0" w:line="282" w:lineRule="auto"/>
        <w:tabs>
          <w:tab w:leader="none" w:pos="1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161" w:lineRule="exact"/>
        <w:rPr>
          <w:rFonts w:ascii="Times New Roman" w:cs="Times New Roman" w:eastAsia="Times New Roman" w:hAnsi="Times New Roman"/>
          <w:sz w:val="18"/>
          <w:szCs w:val="18"/>
          <w:color w:val="auto"/>
        </w:rPr>
      </w:pPr>
    </w:p>
    <w:p>
      <w:pPr>
        <w:ind w:left="1520" w:right="100" w:hanging="378"/>
        <w:spacing w:after="0" w:line="282" w:lineRule="auto"/>
        <w:tabs>
          <w:tab w:leader="none" w:pos="1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or in-license will result in issued patents with claims that cover our product candidates or uses thereof in the United States or in other foreign countries.</w:t>
      </w:r>
    </w:p>
    <w:p>
      <w:pPr>
        <w:spacing w:after="0" w:line="162"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We cannot be certain that the claims in our pending patent applications directed to our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5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ind w:right="20"/>
        <w:spacing w:after="0" w:line="256" w:lineRule="auto"/>
        <w:rPr>
          <w:sz w:val="20"/>
          <w:szCs w:val="20"/>
          <w:color w:val="auto"/>
        </w:rPr>
      </w:pPr>
      <w:r>
        <w:rPr>
          <w:rFonts w:ascii="Times New Roman" w:cs="Times New Roman" w:eastAsia="Times New Roman" w:hAnsi="Times New Roman"/>
          <w:sz w:val="18"/>
          <w:szCs w:val="18"/>
          <w:color w:val="auto"/>
        </w:rPr>
        <w:t>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7"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97"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In the United States,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48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180"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3"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drug candidates could be delayed.</w:t>
      </w:r>
    </w:p>
    <w:p>
      <w:pPr>
        <w:spacing w:after="0" w:line="188" w:lineRule="exact"/>
        <w:rPr>
          <w:sz w:val="20"/>
          <w:szCs w:val="20"/>
          <w:color w:val="auto"/>
        </w:rPr>
      </w:pPr>
    </w:p>
    <w:p>
      <w:pPr>
        <w:ind w:right="60" w:firstLine="1018"/>
        <w:spacing w:after="0" w:line="252"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spacing w:after="0" w:line="1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59"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ind w:right="140"/>
        <w:spacing w:after="0" w:line="254" w:lineRule="auto"/>
        <w:rPr>
          <w:sz w:val="20"/>
          <w:szCs w:val="20"/>
          <w:color w:val="auto"/>
        </w:rPr>
      </w:pPr>
      <w:r>
        <w:rPr>
          <w:rFonts w:ascii="Times New Roman" w:cs="Times New Roman" w:eastAsia="Times New Roman" w:hAnsi="Times New Roman"/>
          <w:sz w:val="18"/>
          <w:szCs w:val="18"/>
          <w:color w:val="auto"/>
        </w:rPr>
        <w:t>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188"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229"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159"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Recent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7"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50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United States. As such, we may not be able to prevent third parties from practicing our inventions in all countries outside the United States, or from selling or importing products made using our inventions in and into the United States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United States, or from selling or importing products made using our inventions in and into the United States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159"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89" w:lineRule="exact"/>
        <w:rPr>
          <w:sz w:val="20"/>
          <w:szCs w:val="20"/>
          <w:color w:val="auto"/>
        </w:rPr>
      </w:pPr>
    </w:p>
    <w:p>
      <w:pPr>
        <w:ind w:right="60" w:firstLine="1018"/>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51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4" w:name="page55"/>
    <w:bookmarkEnd w:id="5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1520" w:right="360" w:hanging="378"/>
        <w:spacing w:after="0" w:line="282" w:lineRule="auto"/>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1520" w:hanging="378"/>
        <w:spacing w:after="0" w:line="282" w:lineRule="auto"/>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225" w:lineRule="exact"/>
        <w:rPr>
          <w:rFonts w:ascii="Times New Roman" w:cs="Times New Roman" w:eastAsia="Times New Roman" w:hAnsi="Times New Roman"/>
          <w:sz w:val="18"/>
          <w:szCs w:val="18"/>
          <w:color w:val="auto"/>
        </w:rPr>
      </w:pPr>
    </w:p>
    <w:p>
      <w:pPr>
        <w:ind w:left="1520" w:right="460" w:hanging="378"/>
        <w:spacing w:after="0" w:line="282" w:lineRule="auto"/>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1520" w:right="280" w:hanging="378"/>
        <w:spacing w:after="0" w:line="282" w:lineRule="auto"/>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1520" w:right="220" w:hanging="378"/>
        <w:spacing w:after="0" w:line="282" w:lineRule="auto"/>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1520" w:right="300" w:hanging="378"/>
        <w:spacing w:after="0" w:line="282" w:lineRule="auto"/>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61" w:lineRule="exact"/>
        <w:rPr>
          <w:rFonts w:ascii="Times New Roman" w:cs="Times New Roman" w:eastAsia="Times New Roman" w:hAnsi="Times New Roman"/>
          <w:sz w:val="18"/>
          <w:szCs w:val="18"/>
          <w:color w:val="auto"/>
        </w:rPr>
      </w:pPr>
    </w:p>
    <w:p>
      <w:pPr>
        <w:ind w:left="1520" w:hanging="378"/>
        <w:spacing w:after="0" w:line="282" w:lineRule="auto"/>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61" w:lineRule="exact"/>
        <w:rPr>
          <w:rFonts w:ascii="Times New Roman" w:cs="Times New Roman" w:eastAsia="Times New Roman" w:hAnsi="Times New Roman"/>
          <w:sz w:val="18"/>
          <w:szCs w:val="18"/>
          <w:color w:val="auto"/>
        </w:rPr>
      </w:pPr>
    </w:p>
    <w:p>
      <w:pPr>
        <w:ind w:left="1520" w:right="80" w:hanging="378"/>
        <w:spacing w:after="0" w:line="282" w:lineRule="auto"/>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Supreme Court of the United States, other U.S. federal courts, Congress, the USPTO or similar foreign authorities may change the standards of patentability and any such changes could narrow or invalidate, or change the scope of, our or our licensors’ patents;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 candidates for an adequate amount of time;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225" w:lineRule="exact"/>
        <w:rPr>
          <w:rFonts w:ascii="Times New Roman" w:cs="Times New Roman" w:eastAsia="Times New Roman" w:hAnsi="Times New Roman"/>
          <w:sz w:val="18"/>
          <w:szCs w:val="18"/>
          <w:color w:val="auto"/>
        </w:rPr>
      </w:pPr>
    </w:p>
    <w:p>
      <w:pPr>
        <w:ind w:left="1520" w:right="80" w:hanging="378"/>
        <w:spacing w:after="0" w:line="282" w:lineRule="auto"/>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152"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ind w:left="1520" w:right="300" w:hanging="378"/>
        <w:spacing w:after="0" w:line="282" w:lineRule="auto"/>
        <w:tabs>
          <w:tab w:leader="none" w:pos="1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and preclinical programs for an adequate amount of time.</w:t>
      </w:r>
    </w:p>
    <w:p>
      <w:pPr>
        <w:spacing w:after="0" w:line="15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Patent rights are of limited duration. In the United States,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59" w:lineRule="exact"/>
        <w:rPr>
          <w:sz w:val="20"/>
          <w:szCs w:val="20"/>
          <w:color w:val="auto"/>
        </w:rPr>
      </w:pPr>
    </w:p>
    <w:p>
      <w:pPr>
        <w:ind w:firstLine="1018"/>
        <w:spacing w:after="0" w:line="270" w:lineRule="auto"/>
        <w:rPr>
          <w:sz w:val="20"/>
          <w:szCs w:val="20"/>
          <w:color w:val="auto"/>
        </w:rPr>
      </w:pPr>
      <w:r>
        <w:rPr>
          <w:rFonts w:ascii="Times New Roman" w:cs="Times New Roman" w:eastAsia="Times New Roman" w:hAnsi="Times New Roman"/>
          <w:sz w:val="17"/>
          <w:szCs w:val="17"/>
          <w:color w:val="auto"/>
        </w:rPr>
        <w:t>Any product candidates we develop and the activities associated with their development and commercialization, including their design, testing, manufacture,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7" w:lineRule="exact"/>
        <w:rPr>
          <w:sz w:val="20"/>
          <w:szCs w:val="20"/>
          <w:color w:val="auto"/>
        </w:rPr>
      </w:pPr>
    </w:p>
    <w:p>
      <w:pPr>
        <w:ind w:left="1520" w:right="380" w:hanging="378"/>
        <w:spacing w:after="0" w:line="282" w:lineRule="auto"/>
        <w:tabs>
          <w:tab w:leader="none" w:pos="1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study or clinical trial may fail to produce safety and efficacy results satisfactory to the FDA or comparable foreign regulatory authorities;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25" w:lineRule="exact"/>
        <w:rPr>
          <w:rFonts w:ascii="Times New Roman" w:cs="Times New Roman" w:eastAsia="Times New Roman" w:hAnsi="Times New Roman"/>
          <w:sz w:val="18"/>
          <w:szCs w:val="18"/>
          <w:color w:val="auto"/>
        </w:rPr>
      </w:pPr>
    </w:p>
    <w:p>
      <w:pPr>
        <w:ind w:left="1520" w:right="20" w:hanging="378"/>
        <w:spacing w:after="0" w:line="266" w:lineRule="auto"/>
        <w:tabs>
          <w:tab w:leader="none" w:pos="1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175" w:lineRule="exact"/>
        <w:rPr>
          <w:rFonts w:ascii="Times New Roman" w:cs="Times New Roman" w:eastAsia="Times New Roman" w:hAnsi="Times New Roman"/>
          <w:sz w:val="18"/>
          <w:szCs w:val="18"/>
          <w:color w:val="auto"/>
        </w:rPr>
      </w:pPr>
    </w:p>
    <w:p>
      <w:pPr>
        <w:ind w:left="1520" w:right="120" w:hanging="378"/>
        <w:spacing w:after="0" w:line="282" w:lineRule="auto"/>
        <w:tabs>
          <w:tab w:leader="none" w:pos="1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52"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ind w:left="1520" w:right="20" w:hanging="378"/>
        <w:spacing w:after="0" w:line="266" w:lineRule="auto"/>
        <w:tabs>
          <w:tab w:leader="none" w:pos="1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75" w:lineRule="exact"/>
        <w:rPr>
          <w:rFonts w:ascii="Times New Roman" w:cs="Times New Roman" w:eastAsia="Times New Roman" w:hAnsi="Times New Roman"/>
          <w:sz w:val="18"/>
          <w:szCs w:val="18"/>
          <w:color w:val="auto"/>
        </w:rPr>
      </w:pPr>
    </w:p>
    <w:p>
      <w:pPr>
        <w:ind w:left="1520" w:right="20" w:hanging="378"/>
        <w:spacing w:after="0" w:line="266" w:lineRule="auto"/>
        <w:tabs>
          <w:tab w:leader="none" w:pos="1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spacing w:after="0" w:line="176"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15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impact pricing and reimbursement and affect our ability to profitably sell any product candidates for which we obtain marketing approval. Among policy makers and payors both federally and on the state level in the United States and elsewhere, including in the European Union,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9" w:lineRule="exact"/>
        <w:rPr>
          <w:sz w:val="20"/>
          <w:szCs w:val="20"/>
          <w:color w:val="auto"/>
        </w:rPr>
      </w:pPr>
    </w:p>
    <w:p>
      <w:pPr>
        <w:ind w:right="60" w:firstLine="1018"/>
        <w:spacing w:after="0" w:line="272" w:lineRule="auto"/>
        <w:rPr>
          <w:sz w:val="20"/>
          <w:szCs w:val="20"/>
          <w:color w:val="auto"/>
        </w:rPr>
      </w:pPr>
      <w:r>
        <w:rPr>
          <w:rFonts w:ascii="Times New Roman" w:cs="Times New Roman" w:eastAsia="Times New Roman" w:hAnsi="Times New Roman"/>
          <w:sz w:val="17"/>
          <w:szCs w:val="17"/>
          <w:color w:val="auto"/>
        </w:rPr>
        <w:t>The Affordable Care Act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w:t>
      </w:r>
    </w:p>
    <w:p>
      <w:pPr>
        <w:spacing w:after="0" w:line="2" w:lineRule="exact"/>
        <w:rPr>
          <w:sz w:val="20"/>
          <w:szCs w:val="20"/>
          <w:color w:val="auto"/>
        </w:rPr>
      </w:pPr>
    </w:p>
    <w:p>
      <w:pPr>
        <w:ind w:right="20" w:firstLine="8"/>
        <w:spacing w:after="0" w:line="251"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Centers for Medicare &amp; Medicaid Services, or CMS, to test innovative payment and service delivery models to lower Medicare and Medicaid spending, potentially including prescription drug spending.</w:t>
      </w:r>
    </w:p>
    <w:p>
      <w:pPr>
        <w:spacing w:after="0" w:line="192"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challenges to certain aspects of the Affordable Care Act, as well as efforts by Congress to repeal or replace, and the Trump administration to alter the implementation of, certain aspects of the Affordable Care Act. For example, the Tax Cuts and Jobs Act of 2017, or the TCJA,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7" w:name="page58"/>
    <w:bookmarkEnd w:id="57"/>
    <w:p>
      <w:pPr>
        <w:ind w:right="120"/>
        <w:spacing w:after="0" w:line="254" w:lineRule="auto"/>
        <w:rPr>
          <w:sz w:val="20"/>
          <w:szCs w:val="20"/>
          <w:color w:val="auto"/>
        </w:rPr>
      </w:pPr>
      <w:r>
        <w:rPr>
          <w:rFonts w:ascii="Times New Roman" w:cs="Times New Roman" w:eastAsia="Times New Roman" w:hAnsi="Times New Roman"/>
          <w:sz w:val="18"/>
          <w:szCs w:val="18"/>
          <w:color w:val="auto"/>
        </w:rPr>
        <w:t>this case, which is expected to be decided by mid-2021. Additionally, the Further Consolidated Appropriations Act of 2020, Pub. L. No. 116-94 permanently eliminated, effective January 1, 2020, the Affordable Care Act -mandated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 In the future, Congress may consider other legislation to repeal or replace elements of the Affordable Care Act, agencies may further alter their implementation of elements of the Affordable Care Act, and other judicial challenges to elements of the Affordable Care Act may be brought. The extent to which any such changes may impact our business or financial condition is uncertain.</w:t>
      </w:r>
    </w:p>
    <w:p>
      <w:pPr>
        <w:spacing w:after="0" w:line="188"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up to 2% per fiscal year pursuant to the Budget Control Act of 2011 and subsequent laws, which went into effect on April 1, 2013 and will remain in effect through 2020 unless additional Congressional action is taken, , with the exception of a temporary suspension of the 2% cut in Medicare payments from May 1, 2020, through December 31, 2020, pursuant to the Coronavirus Aid, Relief and Economic Security Act, or CARES Act, signed into law in March 2020 and designed to provide financial support and resources to individuals and businesses affected by the COVID-19 pandemic. The American Taxpayer Relief Act of 2012, or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w:t>
      </w:r>
    </w:p>
    <w:p>
      <w:pPr>
        <w:spacing w:after="0" w:line="1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Also, there has been heightened governmental scrutiny over the manner in which drug manufacturers set prices for their marketed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have resulted in several Congressional inquiries and proposed bills and initiatives, as well as state efforts, designed to, among other things, bring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transparency to product pricing, review the relationship between pricing and manufacturer patient programs, and reform government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methodologies for drug products. For example, at the federal level, the Trump administration’s budget for fiscal year 2021 includes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 billion allowance to support legislative proposals seeking to reduce drug prices, increase competition, lower out-of-pocket drug costs for patients,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patient access to lower-cost generic and biosimilar drugs. On March 10, 2020, the Trump administration sent “principles” for drug pricing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Congress, calling for legislation that would, among other things, cap Medicare Part D beneficiary out-of-pocket pharmacy expenses, provide an option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 Medicare Part D beneficiary monthly out-of-pocket expenses, and place limits on pharmaceutical price increases. On July 24, 2020, President Trump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several executive orders directed toward lowering drug prices. Individual states in the United States have become increasingly active in passing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legislation and implementing regulations designed to control pharmaceutical and biological product pricing, including price or patient reimbursement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constraints, discounts, restrictions on certain product access and marketing cost disclosure and transparency measures.</w:t>
      </w:r>
    </w:p>
    <w:p>
      <w:pPr>
        <w:spacing w:after="0" w:line="207" w:lineRule="exact"/>
        <w:rPr>
          <w:sz w:val="20"/>
          <w:szCs w:val="20"/>
          <w:color w:val="auto"/>
        </w:rPr>
      </w:pPr>
    </w:p>
    <w:p>
      <w:pPr>
        <w:ind w:right="640" w:firstLine="1018"/>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drugs, once marketing approval is obtained.</w:t>
      </w:r>
    </w:p>
    <w:p>
      <w:pPr>
        <w:spacing w:after="0" w:line="183"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In the European Union, coverage and reimbursement status of any product candidates for which we obtain regulatory approval are provided for by the national laws of EU Member States. The requirements may differ across the EU Member States. In markets outside of the United States and the European Union, reimbursement and healthcare payment systems vary significantly by country, and many countries have instituted price ceilings on specific products and therapies. Also, at national level, actions have been taken to enact transparency laws regarding payments between pharmaceutical companies and health care professionals.</w:t>
      </w:r>
    </w:p>
    <w:p>
      <w:pPr>
        <w:spacing w:after="0" w:line="183"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55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8" w:name="page59"/>
    <w:bookmarkEnd w:id="5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firstLine="1018"/>
        <w:spacing w:after="0" w:line="251"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intend to adopt a code of conduct applicable to all of our employees prior to completion of this offering,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0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89" w:lineRule="exact"/>
        <w:rPr>
          <w:sz w:val="20"/>
          <w:szCs w:val="20"/>
          <w:color w:val="auto"/>
        </w:rPr>
      </w:pPr>
    </w:p>
    <w:p>
      <w:pPr>
        <w:jc w:val="both"/>
        <w:ind w:right="280" w:firstLine="1018"/>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right="160" w:firstLine="101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76"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56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175"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ECPs and third-party payors will play a primary role in the recommendation and prescription of any future product candidates we may develop and any product candidates for which we obtain marketing approval. Our arrangements with ECPs, patients, third-party payors and customers may expose us to broadly applicable fraud and abuse and other healthcare laws and regulations that may affect our business or financial arrangements and relationships through which we would market, sell and distribute our products. As a biopharmaceutical company, federal and state healthcare laws and regulations pertaining to fraud and abuse are applicable to our business and may affect our ability to operate. These laws include, but are not limited to:</w:t>
      </w:r>
    </w:p>
    <w:p>
      <w:pPr>
        <w:spacing w:after="0" w:line="183" w:lineRule="exact"/>
        <w:rPr>
          <w:sz w:val="20"/>
          <w:szCs w:val="20"/>
          <w:color w:val="auto"/>
        </w:rPr>
      </w:pPr>
    </w:p>
    <w:p>
      <w:pPr>
        <w:ind w:left="1520" w:right="20" w:hanging="378"/>
        <w:spacing w:after="0" w:line="253" w:lineRule="auto"/>
        <w:tabs>
          <w:tab w:leader="none" w:pos="1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Anti-Kickback Statute has also been interpreted to apply to arrangements between pharmaceutical manufacturers on the one hand and prescribers, purchasers, and formulary managers on the other the other hand.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exceptions and regulatory safe harbors protecting some common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189" w:lineRule="exact"/>
        <w:rPr>
          <w:rFonts w:ascii="Times New Roman" w:cs="Times New Roman" w:eastAsia="Times New Roman" w:hAnsi="Times New Roman"/>
          <w:sz w:val="18"/>
          <w:szCs w:val="18"/>
          <w:color w:val="auto"/>
        </w:rPr>
      </w:pPr>
    </w:p>
    <w:p>
      <w:pPr>
        <w:ind w:left="1520" w:hanging="378"/>
        <w:spacing w:after="0" w:line="252" w:lineRule="auto"/>
        <w:tabs>
          <w:tab w:leader="none" w:pos="1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laws, such as the False Claims Act, or the FCA, which prohibits individuals or entities from, among other things, knowingly presenting, or causing to be presented, false or fraudulent claims for payment of government funds, and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U.S. Attorney General or as a qui tam action by a private individual (a whistleblower) in the name of the government and the individual, and the whistleblower may share in any monetary recovery. Many pharmaceutical companies have been investigated and have reached substantial settlements under the federal civil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In addition, manufacturers can be held liable under the FCA even when they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189" w:lineRule="exact"/>
        <w:rPr>
          <w:rFonts w:ascii="Times New Roman" w:cs="Times New Roman" w:eastAsia="Times New Roman" w:hAnsi="Times New Roman"/>
          <w:sz w:val="18"/>
          <w:szCs w:val="18"/>
          <w:color w:val="auto"/>
        </w:rPr>
      </w:pPr>
    </w:p>
    <w:p>
      <w:pPr>
        <w:ind w:left="1520" w:right="20" w:hanging="378"/>
        <w:spacing w:after="0" w:line="254" w:lineRule="auto"/>
        <w:tabs>
          <w:tab w:leader="none" w:pos="1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among other things, imposes criminal liability for knowingly or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82"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ind w:left="1520" w:right="140" w:hanging="378"/>
        <w:spacing w:after="0" w:line="255" w:lineRule="auto"/>
        <w:tabs>
          <w:tab w:leader="none" w:pos="1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its implementing regulations, which imposes privacy, security and breach reporting obligations with respect to individually identifiable health information upon entities subject to the law, such as health plans, healthcare clearinghouses and healthcare providers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88" w:lineRule="exact"/>
        <w:rPr>
          <w:rFonts w:ascii="Times New Roman" w:cs="Times New Roman" w:eastAsia="Times New Roman" w:hAnsi="Times New Roman"/>
          <w:sz w:val="18"/>
          <w:szCs w:val="18"/>
          <w:color w:val="auto"/>
        </w:rPr>
      </w:pPr>
    </w:p>
    <w:p>
      <w:pPr>
        <w:ind w:left="1520" w:right="260" w:hanging="378"/>
        <w:spacing w:after="0" w:line="282" w:lineRule="auto"/>
        <w:tabs>
          <w:tab w:leader="none" w:pos="1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consumers;</w:t>
      </w:r>
    </w:p>
    <w:p>
      <w:pPr>
        <w:spacing w:after="0" w:line="161" w:lineRule="exact"/>
        <w:rPr>
          <w:rFonts w:ascii="Times New Roman" w:cs="Times New Roman" w:eastAsia="Times New Roman" w:hAnsi="Times New Roman"/>
          <w:sz w:val="18"/>
          <w:szCs w:val="18"/>
          <w:color w:val="auto"/>
        </w:rPr>
      </w:pPr>
    </w:p>
    <w:p>
      <w:pPr>
        <w:ind w:left="1520" w:right="260" w:hanging="378"/>
        <w:spacing w:after="0" w:line="282" w:lineRule="auto"/>
        <w:tabs>
          <w:tab w:leader="none" w:pos="1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prohibits, among other things, the adulteration or misbranding of drugs, biologics and medical devices;</w:t>
      </w:r>
    </w:p>
    <w:p>
      <w:pPr>
        <w:spacing w:after="0" w:line="161" w:lineRule="exact"/>
        <w:rPr>
          <w:rFonts w:ascii="Times New Roman" w:cs="Times New Roman" w:eastAsia="Times New Roman" w:hAnsi="Times New Roman"/>
          <w:sz w:val="18"/>
          <w:szCs w:val="18"/>
          <w:color w:val="auto"/>
        </w:rPr>
      </w:pPr>
    </w:p>
    <w:p>
      <w:pPr>
        <w:ind w:left="1520" w:right="60" w:hanging="378"/>
        <w:spacing w:after="0" w:line="254" w:lineRule="auto"/>
        <w:tabs>
          <w:tab w:leader="none" w:pos="1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requires, among other things, certain manufacturers of drugs, devices, biologics and medical supplies for which payment I available under Medicare, Medicaid, or the Children’s Health Insurance Program (with certain exceptions) to report annually to the Department of Health and Human Services, Centers for Medicare and Medicaid Services, information related to payments and other transfers of value provided to physicians (defined to include doctors, dentists, optometrists, podiatrist and chiropractors) and teaching hospitals, as well as physician ownership and investment interests, including such ownership and investment interests held by a physician’s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88" w:lineRule="exact"/>
        <w:rPr>
          <w:rFonts w:ascii="Times New Roman" w:cs="Times New Roman" w:eastAsia="Times New Roman" w:hAnsi="Times New Roman"/>
          <w:sz w:val="18"/>
          <w:szCs w:val="18"/>
          <w:color w:val="auto"/>
        </w:rPr>
      </w:pPr>
    </w:p>
    <w:p>
      <w:pPr>
        <w:ind w:left="1520" w:right="200" w:hanging="378"/>
        <w:spacing w:after="0" w:line="266" w:lineRule="auto"/>
        <w:tabs>
          <w:tab w:leader="none" w:pos="1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laws, false claims laws, transparency laws and misleading advertising laws, that may impose similar or more prohibitive restrictions, and may apply to items or services reimbursed by any non-governmental third-party payors, including private insurers; and</w:t>
      </w:r>
    </w:p>
    <w:p>
      <w:pPr>
        <w:spacing w:after="0" w:line="175" w:lineRule="exact"/>
        <w:rPr>
          <w:rFonts w:ascii="Times New Roman" w:cs="Times New Roman" w:eastAsia="Times New Roman" w:hAnsi="Times New Roman"/>
          <w:sz w:val="18"/>
          <w:szCs w:val="18"/>
          <w:color w:val="auto"/>
        </w:rPr>
      </w:pPr>
    </w:p>
    <w:p>
      <w:pPr>
        <w:ind w:left="1520" w:right="120" w:hanging="378"/>
        <w:spacing w:after="0" w:line="255" w:lineRule="auto"/>
        <w:tabs>
          <w:tab w:leader="none" w:pos="1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89"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We have entered into consulting and scientific advisory board arrangements with physicians and other ECPs, including some who could influence the use of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our product candidates, if approved, to be in violation of applicable laws.</w:t>
      </w:r>
    </w:p>
    <w:p>
      <w:pPr>
        <w:spacing w:after="0" w:line="183"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United States Congress continues to strengthen the arsenal of enforcement tools. The BBA of 2018 increased the criminal and civil penalties that can be imposed for violating certain federal health care laws, including the Anti-Kickback Statute. Responding to investigations can be time-and resource-consuming and can divert management’s attention from the business. Any such investigation or settlement could increase our costs or otherwise have an adverse effect on our business.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58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1" w:name="page62"/>
    <w:bookmarkEnd w:id="61"/>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18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5" w:lineRule="exact"/>
        <w:rPr>
          <w:sz w:val="20"/>
          <w:szCs w:val="20"/>
          <w:color w:val="auto"/>
        </w:rPr>
      </w:pPr>
    </w:p>
    <w:p>
      <w:pPr>
        <w:ind w:right="20" w:firstLine="1018"/>
        <w:spacing w:after="0" w:line="281"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4"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9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175"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59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2" w:name="page63"/>
    <w:bookmarkEnd w:id="62"/>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Third-party payors often rely upon Medicare coverage policy and payment limitations in setting reimbursement policies, but also have their own methods and approval process apart from Medicare coverage and reimbursement determinations.</w:t>
      </w:r>
    </w:p>
    <w:p>
      <w:pPr>
        <w:spacing w:after="0" w:line="176"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payor may depend upon a number of factors, including the third-party payor’s determination that use of a product is:</w:t>
      </w:r>
    </w:p>
    <w:p>
      <w:pPr>
        <w:spacing w:after="0" w:line="162" w:lineRule="exact"/>
        <w:rPr>
          <w:sz w:val="20"/>
          <w:szCs w:val="20"/>
          <w:color w:val="auto"/>
        </w:rPr>
      </w:pPr>
    </w:p>
    <w:p>
      <w:pPr>
        <w:ind w:left="1520" w:hanging="378"/>
        <w:spacing w:after="0"/>
        <w:tabs>
          <w:tab w:leader="none" w:pos="1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240" w:firstLine="1018"/>
        <w:spacing w:after="0" w:line="258" w:lineRule="auto"/>
        <w:rPr>
          <w:sz w:val="20"/>
          <w:szCs w:val="20"/>
          <w:color w:val="auto"/>
        </w:rPr>
      </w:pPr>
      <w:r>
        <w:rPr>
          <w:rFonts w:ascii="Times New Roman" w:cs="Times New Roman" w:eastAsia="Times New Roman" w:hAnsi="Times New Roman"/>
          <w:sz w:val="18"/>
          <w:szCs w:val="18"/>
          <w:color w:val="auto"/>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189"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7"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8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175"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60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ind w:firstLine="1018"/>
        <w:spacing w:after="0" w:line="254" w:lineRule="auto"/>
        <w:rPr>
          <w:sz w:val="20"/>
          <w:szCs w:val="20"/>
          <w:color w:val="auto"/>
        </w:rPr>
      </w:pPr>
      <w:r>
        <w:rPr>
          <w:rFonts w:ascii="Times New Roman" w:cs="Times New Roman" w:eastAsia="Times New Roman" w:hAnsi="Times New Roman"/>
          <w:sz w:val="18"/>
          <w:szCs w:val="18"/>
          <w:color w:val="auto"/>
        </w:rPr>
        <w:t>Furthermore, states are constantly adopting new laws or amending existing laws, requiring attention to frequently changing regulatory requirements. For example, California has enacted the California Consumer Privacy Act, or the CCPA, which came into effect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California Attorney General may seek substantial monetary penalties and injunctive relief in the event of our non-compliance with the CCPA. The CCPA also provides a private right of action (with the potential for class actions) for certain data breaches that is expected to increase data breach litigation. The CCPA may increase our compliance costs and potential liability, and similar laws have been proposed at the federal level and in other states.</w:t>
      </w:r>
    </w:p>
    <w:p>
      <w:pPr>
        <w:spacing w:after="0" w:line="192" w:lineRule="exact"/>
        <w:rPr>
          <w:sz w:val="20"/>
          <w:szCs w:val="20"/>
          <w:color w:val="auto"/>
        </w:rPr>
      </w:pPr>
    </w:p>
    <w:p>
      <w:pPr>
        <w:ind w:right="20" w:firstLine="1018"/>
        <w:spacing w:after="0" w:line="252" w:lineRule="auto"/>
        <w:rPr>
          <w:sz w:val="20"/>
          <w:szCs w:val="20"/>
          <w:color w:val="auto"/>
        </w:rPr>
      </w:pPr>
      <w:r>
        <w:rPr>
          <w:rFonts w:ascii="Times New Roman" w:cs="Times New Roman" w:eastAsia="Times New Roman" w:hAnsi="Times New Roman"/>
          <w:sz w:val="18"/>
          <w:szCs w:val="18"/>
          <w:color w:val="auto"/>
        </w:rPr>
        <w:t xml:space="preserve">International data protection laws, including the EU General Data Protection Regulation, or GDPR, may also apply to health-related and other personal information obtained outside of the United States. The GDPR extends the geographical scope of EU data protection law to non-EU entities under certain conditions, tightens existing EU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to ensure compliance with the GDPR. This may be onerous and if our efforts to comply with the GDPR or other applicable EU laws and regulations are not successful, it could adversely affect our business.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 Union. In particular, on July 16, 2020, the Court of Justice of the European Union, in the case of </w:t>
      </w:r>
      <w:r>
        <w:rPr>
          <w:rFonts w:ascii="Times New Roman" w:cs="Times New Roman" w:eastAsia="Times New Roman" w:hAnsi="Times New Roman"/>
          <w:sz w:val="18"/>
          <w:szCs w:val="18"/>
          <w:i w:val="1"/>
          <w:iCs w:val="1"/>
          <w:color w:val="auto"/>
        </w:rPr>
        <w:t>Data Protection Commissioner v. Facebook Ireland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Limited, Maximillian Schrems </w:t>
      </w:r>
      <w:r>
        <w:rPr>
          <w:rFonts w:ascii="Times New Roman" w:cs="Times New Roman" w:eastAsia="Times New Roman" w:hAnsi="Times New Roman"/>
          <w:sz w:val="18"/>
          <w:szCs w:val="18"/>
          <w:color w:val="auto"/>
        </w:rPr>
        <w:t>(Case C-311/18), or</w:t>
      </w:r>
      <w:r>
        <w:rPr>
          <w:rFonts w:ascii="Times New Roman" w:cs="Times New Roman" w:eastAsia="Times New Roman" w:hAnsi="Times New Roman"/>
          <w:sz w:val="18"/>
          <w:szCs w:val="18"/>
          <w:i w:val="1"/>
          <w:iCs w:val="1"/>
          <w:color w:val="auto"/>
        </w:rPr>
        <w:t xml:space="preserve"> Schrems II</w:t>
      </w:r>
      <w:r>
        <w:rPr>
          <w:rFonts w:ascii="Times New Roman" w:cs="Times New Roman" w:eastAsia="Times New Roman" w:hAnsi="Times New Roman"/>
          <w:sz w:val="18"/>
          <w:szCs w:val="18"/>
          <w:color w:val="auto"/>
        </w:rPr>
        <w:t>, invalidated the EU-U.S. Privacy Shield Program for transfers of personal data from the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United States, and added further uncertainty and complexity to the use of the Standard Contractual Clauses as a compliance mechanism for transfers of personal data outside the EU.</w:t>
      </w:r>
    </w:p>
    <w:p>
      <w:pPr>
        <w:spacing w:after="0" w:line="196"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transfers from the EEA to the United Kingdom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During the period of “transition” (i.e., until December 31, 2020), EU law will continue to apply in the UK, including the GDPR, after which the GDPR will be converted into UK law. Beginning in 2021, the UK will be a “third country” under the GDPR. We may incur liabilities, expenses, costs, and other operational losses under GDPR and applicable EU Member States and the United Kingdom privacy laws in connection with any measures we take to comply with them.</w:t>
      </w:r>
    </w:p>
    <w:p>
      <w:pPr>
        <w:spacing w:after="0" w:line="192" w:lineRule="exact"/>
        <w:rPr>
          <w:sz w:val="20"/>
          <w:szCs w:val="20"/>
          <w:color w:val="auto"/>
        </w:rPr>
      </w:pPr>
    </w:p>
    <w:p>
      <w:pPr>
        <w:ind w:right="60" w:firstLine="1018"/>
        <w:spacing w:after="0" w:line="253" w:lineRule="auto"/>
        <w:rPr>
          <w:sz w:val="20"/>
          <w:szCs w:val="20"/>
          <w:color w:val="auto"/>
        </w:rPr>
      </w:pPr>
      <w:r>
        <w:rPr>
          <w:rFonts w:ascii="Times New Roman" w:cs="Times New Roman" w:eastAsia="Times New Roman" w:hAnsi="Times New Roman"/>
          <w:sz w:val="18"/>
          <w:szCs w:val="18"/>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61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4" w:name="page65"/>
    <w:bookmarkEnd w:id="64"/>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able to successfully commercialize any of our products and if we participate in the Medicaid Drug Rebate Program or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75" w:lineRule="exact"/>
        <w:rPr>
          <w:sz w:val="20"/>
          <w:szCs w:val="20"/>
          <w:color w:val="auto"/>
        </w:rPr>
      </w:pPr>
    </w:p>
    <w:p>
      <w:pPr>
        <w:ind w:right="180" w:firstLine="1018"/>
        <w:spacing w:after="0" w:line="258" w:lineRule="auto"/>
        <w:rPr>
          <w:sz w:val="20"/>
          <w:szCs w:val="20"/>
          <w:color w:val="auto"/>
        </w:rPr>
      </w:pPr>
      <w:r>
        <w:rPr>
          <w:rFonts w:ascii="Times New Roman" w:cs="Times New Roman" w:eastAsia="Times New Roman" w:hAnsi="Times New Roman"/>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83"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3" w:lineRule="exact"/>
        <w:rPr>
          <w:sz w:val="20"/>
          <w:szCs w:val="20"/>
          <w:color w:val="auto"/>
        </w:rPr>
      </w:pPr>
    </w:p>
    <w:p>
      <w:pPr>
        <w:ind w:firstLine="1018"/>
        <w:spacing w:after="0" w:line="273" w:lineRule="auto"/>
        <w:rPr>
          <w:sz w:val="20"/>
          <w:szCs w:val="20"/>
          <w:color w:val="auto"/>
        </w:rPr>
      </w:pPr>
      <w:r>
        <w:rPr>
          <w:rFonts w:ascii="Times New Roman" w:cs="Times New Roman" w:eastAsia="Times New Roman" w:hAnsi="Times New Roman"/>
          <w:sz w:val="17"/>
          <w:szCs w:val="17"/>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or VA, Federal Supply Schedule, or FSS, pricing program. Under this program, the manufacturer is obligated to make its innovator and single source products available for procurement on an FSS contract and charge a price to four federal agencies, U.S. Department of Veterans Affairs, U.S. Department of Defense, or the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71" w:lineRule="exact"/>
        <w:rPr>
          <w:sz w:val="20"/>
          <w:szCs w:val="20"/>
          <w:color w:val="auto"/>
        </w:rPr>
      </w:pPr>
    </w:p>
    <w:p>
      <w:pPr>
        <w:ind w:right="260" w:firstLine="1018"/>
        <w:spacing w:after="0" w:line="261" w:lineRule="auto"/>
        <w:rPr>
          <w:sz w:val="20"/>
          <w:szCs w:val="20"/>
          <w:color w:val="auto"/>
        </w:rPr>
      </w:pPr>
      <w:r>
        <w:rPr>
          <w:rFonts w:ascii="Times New Roman" w:cs="Times New Roman" w:eastAsia="Times New Roman" w:hAnsi="Times New Roman"/>
          <w:sz w:val="18"/>
          <w:szCs w:val="18"/>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to this Offering</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59"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If you purchase shares of our common stock in this offering, you may not be able to resell those shares at or above the initial public offering price. An active or liquid market in our common stock may not develop upon the completion of this offering or, if it does develop, it may not be sustainable. The market price of our common stock may fluctuate significantly in response to numerous factors, many of which are beyond our control, including:</w:t>
      </w:r>
    </w:p>
    <w:p>
      <w:pPr>
        <w:spacing w:after="0" w:line="183" w:lineRule="exact"/>
        <w:rPr>
          <w:sz w:val="20"/>
          <w:szCs w:val="20"/>
          <w:color w:val="auto"/>
        </w:rPr>
      </w:pPr>
    </w:p>
    <w:p>
      <w:pPr>
        <w:ind w:left="1520" w:hanging="378"/>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performance of other similar companies;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ongoing clinical trials and future clinical trials with our current and future product candidates or of our competitors;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the ultimate completion of clinical trials;</w:t>
      </w:r>
    </w:p>
    <w:p>
      <w:pPr>
        <w:spacing w:after="0" w:line="225" w:lineRule="exact"/>
        <w:rPr>
          <w:rFonts w:ascii="Times New Roman" w:cs="Times New Roman" w:eastAsia="Times New Roman" w:hAnsi="Times New Roman"/>
          <w:sz w:val="18"/>
          <w:szCs w:val="18"/>
          <w:color w:val="auto"/>
        </w:rPr>
      </w:pPr>
    </w:p>
    <w:p>
      <w:pPr>
        <w:ind w:left="1520" w:right="900" w:hanging="378"/>
        <w:spacing w:after="0" w:line="282" w:lineRule="auto"/>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52"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5" w:name="page66"/>
    <w:bookmarkEnd w:id="65"/>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future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1520" w:right="660" w:hanging="378"/>
        <w:spacing w:after="0" w:line="282" w:lineRule="auto"/>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product development or commercialization goals or regulatory approval milestones in the timeframe we announce;</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hospital or ECP practices;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strategic alliances or significant agreements by us or by our competitors;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as a whole and market conditions in our industry, including conditions resulting from COVID-19;</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 or inability to obtain additional funding;</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by a limited number of stockholders who together beneficially own a majority of our outstanding common stock;</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contractual lock-up agreements;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market float;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discussed in this prospectus.</w:t>
      </w:r>
    </w:p>
    <w:p>
      <w:pPr>
        <w:spacing w:after="0" w:line="225"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63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this offering, you will experience substantial and immediate dilution.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If you purchase shares of our common stock in this offering, you will experience substantial and immediate dilution in the pro forma net</w:t>
      </w:r>
    </w:p>
    <w:p>
      <w:pPr>
        <w:spacing w:after="0" w:line="2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tangible book value per share of $ per share as of June 30, 2020, based on an assumed initial public offering price of our common stock of $ per share, the midpoint of the price range on the cover page of this prospectus, because the price that 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upon vesting of options to purchase common stock under our equity incentive plans, if we issue restricted stock to our employees under our equity incentive plans or if we otherwise issue additional shares of our common stock.</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amounts of our outstanding shares may be sold into the market when lock-up periods end. If there are substantial sales of shares of our common stock, the price of our common stock could decline.</w:t>
      </w:r>
    </w:p>
    <w:p>
      <w:pPr>
        <w:spacing w:after="0" w:line="159" w:lineRule="exact"/>
        <w:rPr>
          <w:sz w:val="20"/>
          <w:szCs w:val="20"/>
          <w:color w:val="auto"/>
        </w:rPr>
      </w:pPr>
    </w:p>
    <w:p>
      <w:pPr>
        <w:ind w:right="20" w:firstLine="1018"/>
        <w:spacing w:after="0" w:line="276" w:lineRule="auto"/>
        <w:rPr>
          <w:sz w:val="20"/>
          <w:szCs w:val="20"/>
          <w:color w:val="auto"/>
        </w:rPr>
      </w:pPr>
      <w:r>
        <w:rPr>
          <w:rFonts w:ascii="Times New Roman" w:cs="Times New Roman" w:eastAsia="Times New Roman" w:hAnsi="Times New Roman"/>
          <w:sz w:val="17"/>
          <w:szCs w:val="17"/>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occur. After this offering, we will have outstanding shares of our common stock, based on the number of shares outstanding as of June 30, 2020. All of the shares of common stock sold in this offering will be available for sale in the public market, unless purchased by our affiliates or existing stockholders. Substantially all of our outstanding shares of common stock are currently restricted from resale as a result of “lock-up” agreements (which may be waived by BofA Securities, Inc. and Jefferies LLC with or without notice), as more fully described in “Shares Eligible for Future Sale.” These shares will become available to be sold 181 days after the date of this prospectus. Shares held by directors, executive officers and other affiliates will be subject to volume limitations under Rule 144 under the Securities Act of 1933, as amended, or the Securities Act, and various vesting agreements.</w:t>
      </w:r>
    </w:p>
    <w:p>
      <w:pPr>
        <w:spacing w:after="0" w:line="190" w:lineRule="exact"/>
        <w:rPr>
          <w:sz w:val="20"/>
          <w:szCs w:val="20"/>
          <w:color w:val="auto"/>
        </w:rPr>
      </w:pPr>
    </w:p>
    <w:p>
      <w:pPr>
        <w:ind w:right="260" w:firstLine="1018"/>
        <w:spacing w:after="0" w:line="261" w:lineRule="auto"/>
        <w:rPr>
          <w:sz w:val="20"/>
          <w:szCs w:val="20"/>
          <w:color w:val="auto"/>
        </w:rPr>
      </w:pPr>
      <w:r>
        <w:rPr>
          <w:rFonts w:ascii="Times New Roman" w:cs="Times New Roman" w:eastAsia="Times New Roman" w:hAnsi="Times New Roman"/>
          <w:sz w:val="18"/>
          <w:szCs w:val="18"/>
          <w:color w:val="auto"/>
        </w:rPr>
        <w:t>After our initial public offering, certain of our stockholders will have rights, subject to some conditions, to require us to file registration statements covering their shares or to include their shares in registration statements that we may file for ourselves or our stockholders, subject to lockup agreements. We also intend to register shares of common stock that we have issued and may issue under our employee equity incentive plans. Once we register these shares, they will be able to be sold freely in the public market upon issuance, subject to existing market standoff or lock-up agreements.</w:t>
      </w:r>
    </w:p>
    <w:p>
      <w:pPr>
        <w:spacing w:after="0" w:line="180" w:lineRule="exact"/>
        <w:rPr>
          <w:sz w:val="20"/>
          <w:szCs w:val="20"/>
          <w:color w:val="auto"/>
        </w:rPr>
      </w:pPr>
    </w:p>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59" w:lineRule="exact"/>
        <w:rPr>
          <w:sz w:val="20"/>
          <w:szCs w:val="20"/>
          <w:color w:val="auto"/>
        </w:rPr>
      </w:pPr>
    </w:p>
    <w:p>
      <w:pPr>
        <w:ind w:firstLine="1018"/>
        <w:spacing w:after="0" w:line="276" w:lineRule="auto"/>
        <w:rPr>
          <w:sz w:val="20"/>
          <w:szCs w:val="20"/>
          <w:color w:val="auto"/>
        </w:rPr>
      </w:pPr>
      <w:r>
        <w:rPr>
          <w:rFonts w:ascii="Times New Roman" w:cs="Times New Roman" w:eastAsia="Times New Roman" w:hAnsi="Times New Roman"/>
          <w:sz w:val="17"/>
          <w:szCs w:val="17"/>
          <w:color w:val="auto"/>
        </w:rPr>
        <w:t>Based upon shares outstanding as of June 30, 2020, prior to this offering, our executive officers, directors and the holders of more than 5% of our outstanding common stock, in the aggregate, beneficially owned approximately 96% of our common stock, and upon the completion of this offering,</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that same group, in the aggregate, will beneficially own approximately % of our common stock, assuming no purchases of shares in this offering by any members of this group, no exercise by the underwriters of their option to purchase additional shares, no exercise of outstanding options or warrants and after giving effect to the issuance of shares in this offering.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1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ind w:right="620" w:firstLine="101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162" w:lineRule="exact"/>
        <w:rPr>
          <w:sz w:val="20"/>
          <w:szCs w:val="20"/>
          <w:color w:val="auto"/>
        </w:rPr>
      </w:pPr>
    </w:p>
    <w:p>
      <w:pPr>
        <w:jc w:val="both"/>
        <w:ind w:left="1520" w:right="20" w:hanging="378"/>
        <w:spacing w:after="0" w:line="312" w:lineRule="auto"/>
        <w:tabs>
          <w:tab w:leader="none" w:pos="15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30" w:lineRule="exact"/>
        <w:rPr>
          <w:rFonts w:ascii="Times New Roman" w:cs="Times New Roman" w:eastAsia="Times New Roman" w:hAnsi="Times New Roman"/>
          <w:sz w:val="17"/>
          <w:szCs w:val="17"/>
          <w:color w:val="auto"/>
        </w:rPr>
      </w:pPr>
    </w:p>
    <w:p>
      <w:pPr>
        <w:ind w:left="5540" w:hanging="132"/>
        <w:spacing w:after="0"/>
        <w:tabs>
          <w:tab w:leader="none" w:pos="55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67" w:name="page68"/>
    <w:bookmarkEnd w:id="67"/>
    <w:p>
      <w:pPr>
        <w:ind w:left="1520" w:hanging="378"/>
        <w:spacing w:after="0"/>
        <w:tabs>
          <w:tab w:leader="none" w:pos="1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404(b) of the Sarbanes Oxley Act;</w:t>
      </w:r>
    </w:p>
    <w:p>
      <w:pPr>
        <w:spacing w:after="0" w:line="225" w:lineRule="exact"/>
        <w:rPr>
          <w:rFonts w:ascii="Times New Roman" w:cs="Times New Roman" w:eastAsia="Times New Roman" w:hAnsi="Times New Roman"/>
          <w:sz w:val="18"/>
          <w:szCs w:val="18"/>
          <w:color w:val="auto"/>
        </w:rPr>
      </w:pPr>
    </w:p>
    <w:p>
      <w:pPr>
        <w:ind w:left="1520" w:right="220" w:hanging="378"/>
        <w:spacing w:after="0" w:line="266" w:lineRule="auto"/>
        <w:tabs>
          <w:tab w:leader="none" w:pos="1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5" w:lineRule="exact"/>
        <w:rPr>
          <w:rFonts w:ascii="Times New Roman" w:cs="Times New Roman" w:eastAsia="Times New Roman" w:hAnsi="Times New Roman"/>
          <w:sz w:val="18"/>
          <w:szCs w:val="18"/>
          <w:color w:val="auto"/>
        </w:rPr>
      </w:pPr>
    </w:p>
    <w:p>
      <w:pPr>
        <w:ind w:left="1520" w:right="220" w:hanging="378"/>
        <w:spacing w:after="0" w:line="312" w:lineRule="auto"/>
        <w:tabs>
          <w:tab w:leader="none" w:pos="15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139" w:lineRule="exact"/>
        <w:rPr>
          <w:rFonts w:ascii="Times New Roman" w:cs="Times New Roman" w:eastAsia="Times New Roman" w:hAnsi="Times New Roman"/>
          <w:sz w:val="17"/>
          <w:szCs w:val="17"/>
          <w:color w:val="auto"/>
        </w:rPr>
      </w:pPr>
    </w:p>
    <w:p>
      <w:pPr>
        <w:ind w:left="1520" w:right="320" w:hanging="378"/>
        <w:spacing w:after="0" w:line="282" w:lineRule="auto"/>
        <w:tabs>
          <w:tab w:leader="none" w:pos="1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 parachutes.”</w:t>
      </w:r>
    </w:p>
    <w:p>
      <w:pPr>
        <w:spacing w:after="0" w:line="162" w:lineRule="exact"/>
        <w:rPr>
          <w:sz w:val="20"/>
          <w:szCs w:val="20"/>
          <w:color w:val="auto"/>
        </w:rPr>
      </w:pPr>
    </w:p>
    <w:p>
      <w:pPr>
        <w:jc w:val="both"/>
        <w:ind w:right="100" w:firstLine="1018"/>
        <w:spacing w:after="0" w:line="266"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76"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Requirements associated with being a public company will increase our costs significantly, as well as divert significant company resources and management attention.</w:t>
      </w:r>
    </w:p>
    <w:p>
      <w:pPr>
        <w:spacing w:after="0" w:line="159"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we will be subject to the reporting requirements of the Securities Exchange Act of 1934, as amended, or the Exchange Act, or the other rules and regulations of the Securities and Exchange Commission, or the SEC, or any securities exchange relating to public companies. Compliance with the various reporting and other requirements applicable to public companies requires considerable time and attention of management and we will incur significant legal, accounting and other expenses that we did not incur as a private company. We cannot assure you that we will satisfy our obligations as a public company on a timely basis.</w:t>
      </w:r>
    </w:p>
    <w:p>
      <w:pPr>
        <w:spacing w:after="0" w:line="183"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5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we will be subject to the reporting requirements of the Exchange Act, the Sarbanes-Oxley Act and the rules and regulations of the Nasdaq Global Market, or Nasdaq. The Sarbanes Oxley Act requires, among other things, that we maintain effective disclosure controls and procedures and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65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ind w:firstLine="1018"/>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ind w:right="400" w:firstLine="1018"/>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ind w:right="160" w:firstLine="1018"/>
        <w:spacing w:after="0" w:line="255" w:lineRule="auto"/>
        <w:rPr>
          <w:sz w:val="20"/>
          <w:szCs w:val="20"/>
          <w:color w:val="auto"/>
        </w:rPr>
      </w:pPr>
      <w:r>
        <w:rPr>
          <w:rFonts w:ascii="Times New Roman" w:cs="Times New Roman" w:eastAsia="Times New Roman" w:hAnsi="Times New Roman"/>
          <w:sz w:val="18"/>
          <w:szCs w:val="18"/>
          <w:color w:val="auto"/>
        </w:rPr>
        <w:t>We cannot specify with any certainty the particular uses of the net proceeds that we will receive from this offering, but we currently expect such uses will include funding our development and regulatory approval of TP-03 for the treatment of Demodex blepharitis, and to develop our product pipeline, and other general corporate purposes, which may include the hiring of additional personnel, capital expenditures and the costs of operating as a public company. We will have broad discretion in the application of the net proceeds, including working capital and other general corporate purposes, and you and other stockholders may disagree with how we spend or invest these proceeds. The failure by our management to apply these funds effectively could adversely affect our business and financial condition. Pending their use, we may invest the net proceeds from our initial public offering in a manner that does not produce income or that loses value. These investments may not yield a favorable return to our investors.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ind w:right="180" w:firstLine="1018"/>
        <w:spacing w:after="0" w:line="289"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common stock after price appreciation, which may never occur, as the only way to realize any future gains on their investment.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9"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176" w:lineRule="exact"/>
        <w:rPr>
          <w:sz w:val="20"/>
          <w:szCs w:val="20"/>
          <w:color w:val="auto"/>
        </w:rPr>
      </w:pPr>
    </w:p>
    <w:p>
      <w:pPr>
        <w:ind w:left="1520" w:right="180" w:hanging="378"/>
        <w:spacing w:after="0" w:line="282" w:lineRule="auto"/>
        <w:tabs>
          <w:tab w:leader="none" w:pos="1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61" w:lineRule="exact"/>
        <w:rPr>
          <w:rFonts w:ascii="Times New Roman" w:cs="Times New Roman" w:eastAsia="Times New Roman" w:hAnsi="Times New Roman"/>
          <w:sz w:val="18"/>
          <w:szCs w:val="18"/>
          <w:color w:val="auto"/>
        </w:rPr>
      </w:pPr>
    </w:p>
    <w:p>
      <w:pPr>
        <w:ind w:left="1520" w:right="560" w:hanging="378"/>
        <w:spacing w:after="0" w:line="282" w:lineRule="auto"/>
        <w:tabs>
          <w:tab w:leader="none" w:pos="1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patients for preclinical studies and clinical trials, and any delays caused by difficulties in such recruitment efforts;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25" w:lineRule="exact"/>
        <w:rPr>
          <w:rFonts w:ascii="Times New Roman" w:cs="Times New Roman" w:eastAsia="Times New Roman" w:hAnsi="Times New Roman"/>
          <w:sz w:val="18"/>
          <w:szCs w:val="18"/>
          <w:color w:val="auto"/>
        </w:rPr>
      </w:pPr>
    </w:p>
    <w:p>
      <w:pPr>
        <w:ind w:left="1520" w:right="180" w:hanging="378"/>
        <w:spacing w:after="0" w:line="282" w:lineRule="auto"/>
        <w:tabs>
          <w:tab w:leader="none" w:pos="1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152"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9" w:name="page70"/>
    <w:bookmarkEnd w:id="69"/>
    <w:p>
      <w:pPr>
        <w:ind w:left="1520" w:right="520" w:hanging="378"/>
        <w:spacing w:after="0" w:line="282" w:lineRule="auto"/>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225" w:lineRule="exact"/>
        <w:rPr>
          <w:rFonts w:ascii="Times New Roman" w:cs="Times New Roman" w:eastAsia="Times New Roman" w:hAnsi="Times New Roman"/>
          <w:sz w:val="18"/>
          <w:szCs w:val="18"/>
          <w:color w:val="auto"/>
        </w:rPr>
      </w:pPr>
    </w:p>
    <w:p>
      <w:pPr>
        <w:ind w:left="1520" w:right="60" w:hanging="378"/>
        <w:spacing w:after="0" w:line="282" w:lineRule="auto"/>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drugs that compete with our product candidates;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European and global economic environments, including impact of COVID-19;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83" w:lineRule="exact"/>
        <w:rPr>
          <w:sz w:val="20"/>
          <w:szCs w:val="20"/>
          <w:color w:val="auto"/>
        </w:rPr>
      </w:pPr>
    </w:p>
    <w:p>
      <w:pPr>
        <w:jc w:val="both"/>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w:t>
      </w:r>
    </w:p>
    <w:p>
      <w:pPr>
        <w:spacing w:after="0" w:line="136"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Following the completion of this offering, 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that will be in effect at the completion of this offering will contain provisions that may make the acquisition of our company more difficult, including the following:</w:t>
      </w:r>
    </w:p>
    <w:p>
      <w:pPr>
        <w:spacing w:after="0" w:line="183" w:lineRule="exact"/>
        <w:rPr>
          <w:sz w:val="20"/>
          <w:szCs w:val="20"/>
          <w:color w:val="auto"/>
        </w:rPr>
      </w:pPr>
    </w:p>
    <w:p>
      <w:pPr>
        <w:ind w:left="1520" w:hanging="378"/>
        <w:spacing w:after="0" w:line="282" w:lineRule="auto"/>
        <w:tabs>
          <w:tab w:leader="none" w:pos="1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1520" w:right="180" w:hanging="378"/>
        <w:spacing w:after="0" w:line="266" w:lineRule="auto"/>
        <w:tabs>
          <w:tab w:leader="none" w:pos="1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75" w:lineRule="exact"/>
        <w:rPr>
          <w:rFonts w:ascii="Times New Roman" w:cs="Times New Roman" w:eastAsia="Times New Roman" w:hAnsi="Times New Roman"/>
          <w:sz w:val="18"/>
          <w:szCs w:val="18"/>
          <w:color w:val="auto"/>
        </w:rPr>
      </w:pPr>
    </w:p>
    <w:p>
      <w:pPr>
        <w:ind w:left="1520" w:right="40" w:hanging="378"/>
        <w:spacing w:after="0" w:line="312" w:lineRule="auto"/>
        <w:tabs>
          <w:tab w:leader="none" w:pos="15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39" w:lineRule="exact"/>
        <w:rPr>
          <w:rFonts w:ascii="Times New Roman" w:cs="Times New Roman" w:eastAsia="Times New Roman" w:hAnsi="Times New Roman"/>
          <w:sz w:val="17"/>
          <w:szCs w:val="17"/>
          <w:color w:val="auto"/>
        </w:rPr>
      </w:pPr>
    </w:p>
    <w:p>
      <w:pPr>
        <w:ind w:left="1520" w:right="140" w:hanging="378"/>
        <w:spacing w:after="0" w:line="282" w:lineRule="auto"/>
        <w:tabs>
          <w:tab w:leader="none" w:pos="1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ind w:left="1520" w:right="500" w:hanging="378"/>
        <w:spacing w:after="0" w:line="266" w:lineRule="auto"/>
        <w:tabs>
          <w:tab w:leader="none" w:pos="1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1520" w:right="120" w:hanging="378"/>
        <w:spacing w:after="0" w:line="261" w:lineRule="auto"/>
        <w:tabs>
          <w:tab w:leader="none" w:pos="1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70"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ind w:left="1520" w:right="40" w:hanging="378"/>
        <w:spacing w:after="0" w:line="266" w:lineRule="auto"/>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80" w:lineRule="exact"/>
        <w:rPr>
          <w:sz w:val="20"/>
          <w:szCs w:val="20"/>
          <w:color w:val="auto"/>
        </w:rPr>
      </w:pPr>
    </w:p>
    <w:p>
      <w:pPr>
        <w:ind w:right="220" w:firstLine="1018"/>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information regarding these and other provisions, see the section titled “Description of Capital Stock.”</w:t>
      </w:r>
    </w:p>
    <w:p>
      <w:pPr>
        <w:spacing w:after="0" w:line="2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These choice of forum provisions will not apply to claims arising under the Securities Act of 1933, as amended, the Securities Exchange Act of 1934, as amended, or any other claim for which federal courts have exclusive jurisdiction.</w:t>
      </w:r>
    </w:p>
    <w:p>
      <w:pPr>
        <w:spacing w:after="0" w:line="183"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68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1" w:name="page72"/>
    <w:bookmarkEnd w:id="7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40" w:firstLine="1018"/>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other than statements of historical facts contained in this prospectus, including statements regarding our future results of operations and financial position, future revenue, business strategy, prospects,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7"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prospectus include, but are not limited to, statements about:</w:t>
      </w:r>
    </w:p>
    <w:p>
      <w:pPr>
        <w:spacing w:after="0" w:line="176" w:lineRule="exact"/>
        <w:rPr>
          <w:sz w:val="20"/>
          <w:szCs w:val="20"/>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225" w:lineRule="exact"/>
        <w:rPr>
          <w:rFonts w:ascii="Times New Roman" w:cs="Times New Roman" w:eastAsia="Times New Roman" w:hAnsi="Times New Roman"/>
          <w:sz w:val="18"/>
          <w:szCs w:val="18"/>
          <w:color w:val="auto"/>
        </w:rPr>
      </w:pPr>
    </w:p>
    <w:p>
      <w:pPr>
        <w:ind w:left="1400" w:right="160" w:hanging="380"/>
        <w:spacing w:after="0" w:line="282" w:lineRule="auto"/>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current clinical trials and timing of initiation of our future clinical trials, and the reporting of data from our current and future trials;</w:t>
      </w:r>
    </w:p>
    <w:p>
      <w:pPr>
        <w:spacing w:after="0" w:line="161" w:lineRule="exact"/>
        <w:rPr>
          <w:rFonts w:ascii="Times New Roman" w:cs="Times New Roman" w:eastAsia="Times New Roman" w:hAnsi="Times New Roman"/>
          <w:sz w:val="18"/>
          <w:szCs w:val="18"/>
          <w:color w:val="auto"/>
        </w:rPr>
      </w:pPr>
    </w:p>
    <w:p>
      <w:pPr>
        <w:ind w:left="1400" w:hanging="380"/>
        <w:spacing w:after="0" w:line="282" w:lineRule="auto"/>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current and future product candidates, including the size, number and disease areas to be evaluated;</w:t>
      </w:r>
    </w:p>
    <w:p>
      <w:pPr>
        <w:spacing w:after="0" w:line="161"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Demodex blepharitis and the size of the market opportunity for our product candidates;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sales strategy;</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operations;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rFonts w:ascii="Times New Roman" w:cs="Times New Roman" w:eastAsia="Times New Roman" w:hAnsi="Times New Roman"/>
          <w:sz w:val="18"/>
          <w:szCs w:val="18"/>
          <w:color w:val="auto"/>
        </w:rPr>
      </w:pPr>
    </w:p>
    <w:p>
      <w:pPr>
        <w:ind w:left="1400" w:right="300" w:hanging="380"/>
        <w:spacing w:after="0" w:line="282" w:lineRule="auto"/>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or globally, as applicable, who suffer from Demodex blepharitis, MGD, rosacea, Lyme disease and malaria and the number of patients that will enroll in our clinical trials;</w:t>
      </w:r>
    </w:p>
    <w:p>
      <w:pPr>
        <w:spacing w:after="0" w:line="161"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candidates;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w:t>
      </w:r>
    </w:p>
    <w:p>
      <w:pPr>
        <w:spacing w:after="0" w:line="225" w:lineRule="exact"/>
        <w:rPr>
          <w:rFonts w:ascii="Times New Roman" w:cs="Times New Roman" w:eastAsia="Times New Roman" w:hAnsi="Times New Roman"/>
          <w:sz w:val="18"/>
          <w:szCs w:val="18"/>
          <w:color w:val="auto"/>
        </w:rPr>
      </w:pPr>
    </w:p>
    <w:p>
      <w:pPr>
        <w:ind w:left="1400" w:right="160" w:hanging="380"/>
        <w:spacing w:after="0" w:line="282" w:lineRule="auto"/>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our product candidates to meet existing or future regulatory standards;</w:t>
      </w:r>
    </w:p>
    <w:p>
      <w:pPr>
        <w:spacing w:after="0" w:line="161" w:lineRule="exact"/>
        <w:rPr>
          <w:rFonts w:ascii="Times New Roman" w:cs="Times New Roman" w:eastAsia="Times New Roman" w:hAnsi="Times New Roman"/>
          <w:sz w:val="18"/>
          <w:szCs w:val="18"/>
          <w:color w:val="auto"/>
        </w:rPr>
      </w:pPr>
    </w:p>
    <w:p>
      <w:pPr>
        <w:ind w:left="1400" w:right="160" w:hanging="380"/>
        <w:spacing w:after="0" w:line="282" w:lineRule="auto"/>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for which we may pursue;</w:t>
      </w:r>
    </w:p>
    <w:p>
      <w:pPr>
        <w:spacing w:after="0" w:line="161" w:lineRule="exact"/>
        <w:rPr>
          <w:rFonts w:ascii="Times New Roman" w:cs="Times New Roman" w:eastAsia="Times New Roman" w:hAnsi="Times New Roman"/>
          <w:sz w:val="18"/>
          <w:szCs w:val="18"/>
          <w:color w:val="auto"/>
        </w:rPr>
      </w:pPr>
    </w:p>
    <w:p>
      <w:pPr>
        <w:ind w:left="1400" w:right="120" w:hanging="380"/>
        <w:spacing w:after="0" w:line="282" w:lineRule="auto"/>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161" w:lineRule="exact"/>
        <w:rPr>
          <w:rFonts w:ascii="Times New Roman" w:cs="Times New Roman" w:eastAsia="Times New Roman" w:hAnsi="Times New Roman"/>
          <w:sz w:val="18"/>
          <w:szCs w:val="18"/>
          <w:color w:val="auto"/>
        </w:rPr>
      </w:pPr>
    </w:p>
    <w:p>
      <w:pPr>
        <w:ind w:left="1400" w:right="240" w:hanging="380"/>
        <w:spacing w:after="0" w:line="282" w:lineRule="auto"/>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and our ability to attract collaborators with development, regulatory and commercialization expertise;</w:t>
      </w:r>
    </w:p>
    <w:p>
      <w:pPr>
        <w:spacing w:after="0" w:line="161"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72" w:name="page73"/>
    <w:bookmarkEnd w:id="72"/>
    <w:p>
      <w:pPr>
        <w:ind w:left="1400" w:right="340" w:hanging="380"/>
        <w:spacing w:after="0" w:line="282" w:lineRule="auto"/>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61"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in particular sales personnel, and our ability to attract and retain such personnel;</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this offering.</w:t>
      </w:r>
    </w:p>
    <w:p>
      <w:pPr>
        <w:spacing w:after="0" w:line="225"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section titled “Risk Factors” elsewhere in this prospectus.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7" w:lineRule="exact"/>
        <w:rPr>
          <w:sz w:val="20"/>
          <w:szCs w:val="20"/>
          <w:color w:val="auto"/>
        </w:rPr>
      </w:pPr>
    </w:p>
    <w:p>
      <w:pPr>
        <w:ind w:right="140" w:firstLine="1018"/>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87"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70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3" w:name="page74"/>
    <w:bookmarkEnd w:id="7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us and third parties, industry, medical and general publications, government data and similar sources.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71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020"/>
        <w:spacing w:after="0"/>
        <w:tabs>
          <w:tab w:leader="none" w:pos="7220" w:val="left"/>
          <w:tab w:leader="none" w:pos="8820" w:val="left"/>
        </w:tabs>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w:t>
      </w:r>
      <w:r>
        <w:rPr>
          <w:sz w:val="20"/>
          <w:szCs w:val="20"/>
          <w:color w:val="auto"/>
        </w:rPr>
        <w:tab/>
      </w:r>
      <w:r>
        <w:rPr>
          <w:rFonts w:ascii="Times New Roman" w:cs="Times New Roman" w:eastAsia="Times New Roman" w:hAnsi="Times New Roman"/>
          <w:sz w:val="18"/>
          <w:szCs w:val="18"/>
          <w:color w:val="auto"/>
        </w:rPr>
        <w:t>million, or $</w:t>
      </w:r>
      <w:r>
        <w:rPr>
          <w:sz w:val="20"/>
          <w:szCs w:val="20"/>
          <w:color w:val="auto"/>
        </w:rPr>
        <w:tab/>
      </w:r>
      <w:r>
        <w:rPr>
          <w:rFonts w:ascii="Times New Roman" w:cs="Times New Roman" w:eastAsia="Times New Roman" w:hAnsi="Times New Roman"/>
          <w:sz w:val="18"/>
          <w:szCs w:val="18"/>
          <w:color w:val="auto"/>
        </w:rPr>
        <w:t>million if the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their option to purchase additional shares in full, after deducting estimated underwriting discounts and commissions and estimated offering</w:t>
      </w:r>
    </w:p>
    <w:p>
      <w:pPr>
        <w:spacing w:after="0" w:line="200" w:lineRule="exact"/>
        <w:rPr>
          <w:sz w:val="20"/>
          <w:szCs w:val="20"/>
          <w:color w:val="auto"/>
        </w:rPr>
      </w:pPr>
    </w:p>
    <w:p>
      <w:pPr>
        <w:spacing w:after="0" w:line="2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expenses payable by us, assuming an initial public offering price of $ per share, which is the midpoint of the estimated price range set forth on the cover page of this prospectus.</w:t>
      </w:r>
    </w:p>
    <w:p>
      <w:pPr>
        <w:spacing w:after="0" w:line="162"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the midpoint of the estimated price range set forth on the cover page of this prospectus, would increase (decrease) the net proceeds to us from this offering by approximately $ million,</w:t>
      </w:r>
    </w:p>
    <w:p>
      <w:pPr>
        <w:ind w:right="20"/>
        <w:spacing w:after="0" w:line="265" w:lineRule="auto"/>
        <w:rPr>
          <w:sz w:val="20"/>
          <w:szCs w:val="20"/>
          <w:color w:val="auto"/>
        </w:rPr>
      </w:pPr>
      <w:r>
        <w:rPr>
          <w:rFonts w:ascii="Times New Roman" w:cs="Times New Roman" w:eastAsia="Times New Roman" w:hAnsi="Times New Roman"/>
          <w:sz w:val="17"/>
          <w:szCs w:val="17"/>
          <w:color w:val="auto"/>
        </w:rPr>
        <w:t>assuming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w:t>
      </w:r>
    </w:p>
    <w:p>
      <w:pPr>
        <w:ind w:right="60"/>
        <w:spacing w:after="0" w:line="253" w:lineRule="auto"/>
        <w:rPr>
          <w:sz w:val="20"/>
          <w:szCs w:val="20"/>
          <w:color w:val="auto"/>
        </w:rPr>
      </w:pPr>
      <w:r>
        <w:rPr>
          <w:rFonts w:ascii="Times New Roman" w:cs="Times New Roman" w:eastAsia="Times New Roman" w:hAnsi="Times New Roman"/>
          <w:sz w:val="18"/>
          <w:szCs w:val="18"/>
          <w:color w:val="auto"/>
        </w:rPr>
        <w:t>us, as set forth on the cover page of this prospectus, would increase (decrease) our net proceeds from this offering by approximately $ million, assuming no change in the assumed initial public offering price per share and after deducting estimated underwriting discounts and commissions and estimated offering expenses payable by us. The principal purposes of this offering are to increase our financial flexibility and create a public market for our common stock. We intend to use the net proceeds from this offering as follows:</w:t>
      </w:r>
    </w:p>
    <w:p>
      <w:pPr>
        <w:spacing w:after="0" w:line="189" w:lineRule="exact"/>
        <w:rPr>
          <w:sz w:val="20"/>
          <w:szCs w:val="20"/>
          <w:color w:val="auto"/>
        </w:rPr>
      </w:pPr>
    </w:p>
    <w:p>
      <w:pPr>
        <w:ind w:left="1020"/>
        <w:spacing w:after="0"/>
        <w:tabs>
          <w:tab w:leader="none" w:pos="1380" w:val="left"/>
          <w:tab w:leader="none" w:pos="3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7"/>
          <w:szCs w:val="17"/>
          <w:color w:val="auto"/>
        </w:rPr>
        <w:t>million to fund our development and regulatory approval of TP-03 for the treatment Demodex blepharitis; and</w:t>
      </w:r>
    </w:p>
    <w:p>
      <w:pPr>
        <w:spacing w:after="0" w:line="225" w:lineRule="exact"/>
        <w:rPr>
          <w:sz w:val="20"/>
          <w:szCs w:val="20"/>
          <w:color w:val="auto"/>
        </w:rPr>
      </w:pPr>
    </w:p>
    <w:p>
      <w:pPr>
        <w:ind w:left="1400" w:right="720" w:hanging="380"/>
        <w:spacing w:after="0" w:line="282" w:lineRule="auto"/>
        <w:tabs>
          <w:tab w:leader="none" w:pos="14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proceeds to develop our product pipeline, and other general corporate purposes, which may include the hiring of additional personnel, capital expenditures and the costs of operating as a public company.</w:t>
      </w:r>
    </w:p>
    <w:p>
      <w:pPr>
        <w:spacing w:after="0" w:line="162" w:lineRule="exact"/>
        <w:rPr>
          <w:sz w:val="20"/>
          <w:szCs w:val="20"/>
          <w:color w:val="auto"/>
        </w:rPr>
      </w:pPr>
    </w:p>
    <w:p>
      <w:pPr>
        <w:ind w:right="120" w:firstLine="1018"/>
        <w:spacing w:after="0" w:line="254"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business plans and economic conditions. Either could change in the future as our business plans evolve and economic conditions shift.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our preclinical, clinical and future development activities may vary significantly depending on numerous factors, including the progress of our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require broad discretion over the allocation of the net proceeds from this offering.</w:t>
      </w:r>
    </w:p>
    <w:p>
      <w:pPr>
        <w:spacing w:after="0" w:line="229"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We expect the planned use of the net proceeds from this offering, in combination with our existing cash and cash equivalents to be sufficient to (i) complete our Phase 2b/3 and Phase 3 clinical trials for TP-03 for the treatment of Demodex blepharitis and report corresponding top-line clinical results, submit our NDA with the FDA for approval of TP-03 for the treatment of Demodex blepharitis, and prepare for its commercialization in the United States, and (ii) concurrently fund, into 20 , further clinical development of TP-03, as well as the clinical development of our TP-04 and TP-05 programs. However, our aggregate cash and cash equivalents (including the net proceeds from this offering) will likely be insufficient to fund each of these product candidates through regulatory approval and commercial launch. Accordingly, we will likely need to raise additional capital in the future. We have based our capital requirements on assumptions that may prove to be incomplete or inaccurate or we may modify or expand our drug development plans. Any of these factors could result in the accelerated use of our capital resources.</w:t>
      </w:r>
    </w:p>
    <w:p>
      <w:pPr>
        <w:spacing w:after="0" w:line="192"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In the event that we use a portion of the net proceeds from this offering for the acquisition or in-license of other products, product candidates, businesses or technologies, our cash resources could be depleted earlier than we currently expect, however, we have no current agreements or commitments for these possible expenditures. We plan to invest the net proceeds from this offering in bank and investment accounts with the primary goal of capital preservation. These include operating bank accounts, short-term interest-bearing investment-grade securities and money market accounts.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72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declare and pay dividends will be made at the discretion of our board of directors subject to applicable laws and will depend upon, among other factors, our results of operations, financial condition, business prospects, contractual restrictions, capital requirements and other factors our board of directors may deem relevant. Our future ability to pay cash dividends on our capital stock may also be limited by the terms of any future debt or preferred securities or any future credit facility.</w:t>
      </w:r>
    </w:p>
    <w:p>
      <w:pPr>
        <w:spacing w:after="0" w:line="1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73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total capitalization as of June 30, 2020, as follows:</w:t>
      </w:r>
    </w:p>
    <w:p>
      <w:pPr>
        <w:spacing w:after="0" w:line="225" w:lineRule="exact"/>
        <w:rPr>
          <w:sz w:val="20"/>
          <w:szCs w:val="20"/>
          <w:color w:val="auto"/>
        </w:rPr>
      </w:pPr>
    </w:p>
    <w:p>
      <w:pPr>
        <w:ind w:left="1400" w:hanging="380"/>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(i) the automatic conversion of all outstanding shares of our preferred stock into an aggregate</w:t>
      </w:r>
    </w:p>
    <w:p>
      <w:pPr>
        <w:spacing w:after="0" w:line="27" w:lineRule="exact"/>
        <w:rPr>
          <w:rFonts w:ascii="Times New Roman" w:cs="Times New Roman" w:eastAsia="Times New Roman" w:hAnsi="Times New Roman"/>
          <w:sz w:val="18"/>
          <w:szCs w:val="18"/>
          <w:color w:val="auto"/>
        </w:rPr>
      </w:pPr>
    </w:p>
    <w:p>
      <w:pPr>
        <w:ind w:left="140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61,277,339 shares of common stock; and (ii) the filing and effectiveness of our amended and restated certificate of incorporation, each of which will occur immediately prior to the completion of this offering; and</w:t>
      </w:r>
    </w:p>
    <w:p>
      <w:pPr>
        <w:spacing w:after="0" w:line="181"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(i) the pro forma adjustments set forth above and (ii) the sale and issuance</w:t>
      </w:r>
    </w:p>
    <w:p>
      <w:pPr>
        <w:sectPr>
          <w:pgSz w:w="11900" w:h="16838" w:orient="portrait"/>
          <w:cols w:equalWidth="0" w:num="1">
            <w:col w:w="11240"/>
          </w:cols>
          <w:pgMar w:left="320" w:top="333" w:right="339" w:bottom="1440" w:gutter="0" w:footer="0" w:header="0"/>
        </w:sectPr>
      </w:pPr>
    </w:p>
    <w:p>
      <w:pPr>
        <w:spacing w:after="0" w:line="27" w:lineRule="exact"/>
        <w:rPr>
          <w:sz w:val="20"/>
          <w:szCs w:val="20"/>
          <w:color w:val="auto"/>
        </w:rPr>
      </w:pPr>
    </w:p>
    <w:p>
      <w:pPr>
        <w:ind w:left="1400"/>
        <w:spacing w:after="0" w:line="250" w:lineRule="auto"/>
        <w:rPr>
          <w:sz w:val="20"/>
          <w:szCs w:val="20"/>
          <w:color w:val="auto"/>
        </w:rPr>
      </w:pPr>
      <w:r>
        <w:rPr>
          <w:rFonts w:ascii="Times New Roman" w:cs="Times New Roman" w:eastAsia="Times New Roman" w:hAnsi="Times New Roman"/>
          <w:sz w:val="18"/>
          <w:szCs w:val="18"/>
          <w:color w:val="auto"/>
        </w:rPr>
        <w:t>of shares of our common stock by us in this offering, based upon the receipt by us of the estimated net proceeds from this offering at the assumed initial public offering price of $ per share, the midpoint of the price range set forth on the cover page of</w:t>
      </w:r>
    </w:p>
    <w:p>
      <w:pPr>
        <w:sectPr>
          <w:pgSz w:w="11900" w:h="16838" w:orient="portrait"/>
          <w:cols w:equalWidth="0" w:num="1">
            <w:col w:w="11240"/>
          </w:cols>
          <w:pgMar w:left="320" w:top="333" w:right="339" w:bottom="1440" w:gutter="0" w:footer="0" w:header="0"/>
          <w:type w:val="continuous"/>
        </w:sectPr>
      </w:pP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this prospectus, and after deducting estimated underwriting discounts and commissions and estimated offering expenses payable by us.</w:t>
      </w:r>
    </w:p>
    <w:p>
      <w:pPr>
        <w:spacing w:after="0" w:line="207"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This information should be read in conjunction with our financial statements and the related notes appearing elsewhere in this prospectus, as well as the sections of this prospectus titled “Selected Financial Data” and “Management’s Discussion and Analysis of Financial Condition and Results of Operations.”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As of June 30, 2020 (unaudited)</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1"/>
                <w:szCs w:val="11"/>
                <w:color w:val="auto"/>
              </w:rPr>
            </w:pPr>
          </w:p>
        </w:tc>
        <w:tc>
          <w:tcPr>
            <w:tcW w:w="15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4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0" w:type="dxa"/>
            <w:vAlign w:val="bottom"/>
          </w:tcPr>
          <w:p>
            <w:pPr>
              <w:spacing w:after="0"/>
              <w:rPr>
                <w:sz w:val="1"/>
                <w:szCs w:val="1"/>
                <w:color w:val="auto"/>
              </w:rPr>
            </w:pPr>
          </w:p>
        </w:tc>
      </w:tr>
      <w:tr>
        <w:trPr>
          <w:trHeight w:val="173"/>
        </w:trPr>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7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2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5"/>
        </w:trPr>
        <w:tc>
          <w:tcPr>
            <w:tcW w:w="406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53,135</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53,135</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Series A preferred stock, $0.0001 par value per share; 11,698,716 shares</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authorized issued and outstanding, actual; no shares authorized, issued</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or outstanding, pro forma and pro forma as adjusted</w:t>
            </w:r>
          </w:p>
        </w:tc>
        <w:tc>
          <w:tcPr>
            <w:tcW w:w="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3,564</w:t>
            </w:r>
          </w:p>
        </w:tc>
        <w:tc>
          <w:tcPr>
            <w:tcW w:w="1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 preferred stock, $0.0001 par value; 50,000,000 shares authorized,</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49,578,623 shares issued and outstanding, actual; no shares</w:t>
            </w:r>
          </w:p>
        </w:tc>
        <w:tc>
          <w:tcPr>
            <w:tcW w:w="1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gridSpan w:val="5"/>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authorized, issued or outstanding, pro forma and pro forma as adjusted</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59,838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40" w:type="dxa"/>
            <w:vAlign w:val="bottom"/>
            <w:gridSpan w:val="5"/>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103,000,000 shares authorized,</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20,198,000 shares issued and 19,698,000 shares outstanding with</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500,000 shares subject to repurchase, actual; 103,000,000 shares</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81,475,339 shares issued and 80,975,339 shares outstanding</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with 500,000 shares subject to repurchase, pro forma;</w:t>
            </w:r>
          </w:p>
        </w:tc>
        <w:tc>
          <w:tcPr>
            <w:tcW w:w="1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w:t>
            </w:r>
          </w:p>
        </w:tc>
        <w:tc>
          <w:tcPr>
            <w:tcW w:w="2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shares issued and</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74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63,600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0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740" w:type="dxa"/>
            <w:vAlign w:val="bottom"/>
            <w:tcBorders>
              <w:bottom w:val="single" w:sz="8" w:color="CFF0FC"/>
            </w:tcBorders>
          </w:tcPr>
          <w:p>
            <w:pPr>
              <w:spacing w:after="0"/>
              <w:rPr>
                <w:sz w:val="19"/>
                <w:szCs w:val="19"/>
                <w:color w:val="auto"/>
              </w:rPr>
            </w:pPr>
          </w:p>
        </w:tc>
        <w:tc>
          <w:tcPr>
            <w:tcW w:w="1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52,367</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0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52,367</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52,367</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80" w:right="20" w:hanging="379"/>
        <w:spacing w:after="0" w:line="225" w:lineRule="auto"/>
        <w:tabs>
          <w:tab w:leader="none" w:pos="360" w:val="left"/>
        </w:tabs>
        <w:rPr>
          <w:sz w:val="20"/>
          <w:szCs w:val="20"/>
          <w:color w:val="auto"/>
        </w:rPr>
      </w:pPr>
      <w:r>
        <w:rPr>
          <w:rFonts w:ascii="Times New Roman" w:cs="Times New Roman" w:eastAsia="Times New Roman" w:hAnsi="Times New Roman"/>
          <w:sz w:val="14"/>
          <w:szCs w:val="14"/>
          <w:color w:val="auto"/>
        </w:rPr>
        <w:t>(1)</w:t>
        <w:tab/>
        <w:t>Each $1.00 increase (decrease) in the assumed initial public offering price of $ per share, which is the midpoint of the estimated offering price range set forth on the cover page of this prospectus, would increase (decrease) our pro forma as adjusted amount of each of cash and cash equivalents, additional paid-in capital, total stockholders’ (deficit) equity and total capitalization by approximately $ million, assuming that the number of shares of common stock offered by us, as set forth on the cover page of this prospectus, remains the same, and after deducting estimated underwriting discounts and commissions payable by us. Each increase (decrease) of 1.0 million shares in the number of shares of common stock offered by us would increase (decrease) our pro forma as adjusted amount of each of cash and cash equivalents, additional paid-in capital, total stockholders’ (deficit) equity and total capitalization by approximately $ million, assuming the assumed initial public offering price of $ per share, which is the midpoint of the estimated offering price range set forth on the</w:t>
      </w:r>
    </w:p>
    <w:p>
      <w:pPr>
        <w:spacing w:after="0" w:line="1" w:lineRule="exact"/>
        <w:rPr>
          <w:sz w:val="20"/>
          <w:szCs w:val="20"/>
          <w:color w:val="auto"/>
        </w:rPr>
      </w:pPr>
    </w:p>
    <w:p>
      <w:pPr>
        <w:ind w:left="380" w:right="560"/>
        <w:spacing w:after="0" w:line="239" w:lineRule="auto"/>
        <w:rPr>
          <w:sz w:val="20"/>
          <w:szCs w:val="20"/>
          <w:color w:val="auto"/>
        </w:rPr>
      </w:pPr>
      <w:r>
        <w:rPr>
          <w:rFonts w:ascii="Times New Roman" w:cs="Times New Roman" w:eastAsia="Times New Roman" w:hAnsi="Times New Roman"/>
          <w:sz w:val="14"/>
          <w:szCs w:val="14"/>
          <w:color w:val="auto"/>
        </w:rPr>
        <w:t>cover page of this prospectus, remains the same, and after deducting estimated underwriting discounts and commissions. The pro forma as adjusted information discussed above is illustrative only and will be adjusted based on the actual public offering price and other terms of this offering determined at pricing.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74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7" w:name="page78"/>
    <w:bookmarkEnd w:id="77"/>
    <w:p>
      <w:pPr>
        <w:ind w:right="640" w:firstLine="101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81,475,339 shares of our common stock outstanding as of June 30, 2020 and excludes the following:</w:t>
      </w:r>
    </w:p>
    <w:p>
      <w:pPr>
        <w:spacing w:after="0" w:line="162" w:lineRule="exact"/>
        <w:rPr>
          <w:sz w:val="20"/>
          <w:szCs w:val="20"/>
          <w:color w:val="auto"/>
        </w:rPr>
      </w:pPr>
    </w:p>
    <w:p>
      <w:pPr>
        <w:ind w:left="1400" w:right="380" w:hanging="380"/>
        <w:spacing w:after="0" w:line="282" w:lineRule="auto"/>
        <w:tabs>
          <w:tab w:leader="none" w:pos="14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9,141,330 shares of common stock issuable upon the exercise of options outstanding as of June 30, 2020, with a weighted-average exercise price of $ 0.22 per share;</w:t>
      </w:r>
    </w:p>
    <w:p>
      <w:pPr>
        <w:spacing w:after="0" w:line="161" w:lineRule="exact"/>
        <w:rPr>
          <w:rFonts w:ascii="Times New Roman" w:cs="Times New Roman" w:eastAsia="Times New Roman" w:hAnsi="Times New Roman"/>
          <w:sz w:val="18"/>
          <w:szCs w:val="18"/>
          <w:color w:val="auto"/>
        </w:rPr>
      </w:pPr>
    </w:p>
    <w:p>
      <w:pPr>
        <w:ind w:left="1940" w:hanging="920"/>
        <w:spacing w:after="0"/>
        <w:tabs>
          <w:tab w:leader="none" w:pos="19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granted after June 30, 2020, at a weighted-average exercise price</w:t>
      </w:r>
    </w:p>
    <w:p>
      <w:pPr>
        <w:spacing w:after="0" w:line="27" w:lineRule="exact"/>
        <w:rPr>
          <w:sz w:val="20"/>
          <w:szCs w:val="20"/>
          <w:color w:val="auto"/>
        </w:rPr>
      </w:pPr>
    </w:p>
    <w:p>
      <w:pPr>
        <w:ind w:left="1400"/>
        <w:spacing w:after="0"/>
        <w:tabs>
          <w:tab w:leader="none" w:pos="2420" w:val="left"/>
        </w:tabs>
        <w:rPr>
          <w:sz w:val="20"/>
          <w:szCs w:val="20"/>
          <w:color w:val="auto"/>
        </w:rPr>
      </w:pPr>
      <w:r>
        <w:rPr>
          <w:rFonts w:ascii="Times New Roman" w:cs="Times New Roman" w:eastAsia="Times New Roman" w:hAnsi="Times New Roman"/>
          <w:sz w:val="18"/>
          <w:szCs w:val="18"/>
          <w:color w:val="auto"/>
        </w:rPr>
        <w:t>of $</w:t>
      </w:r>
      <w:r>
        <w:rPr>
          <w:sz w:val="20"/>
          <w:szCs w:val="20"/>
          <w:color w:val="auto"/>
        </w:rPr>
        <w:tab/>
      </w:r>
      <w:r>
        <w:rPr>
          <w:rFonts w:ascii="Times New Roman" w:cs="Times New Roman" w:eastAsia="Times New Roman" w:hAnsi="Times New Roman"/>
          <w:sz w:val="18"/>
          <w:szCs w:val="18"/>
          <w:color w:val="auto"/>
        </w:rPr>
        <w:t>per share;</w:t>
      </w:r>
    </w:p>
    <w:p>
      <w:pPr>
        <w:spacing w:after="0" w:line="207" w:lineRule="exact"/>
        <w:rPr>
          <w:sz w:val="20"/>
          <w:szCs w:val="20"/>
          <w:color w:val="auto"/>
        </w:rPr>
      </w:pPr>
    </w:p>
    <w:p>
      <w:pPr>
        <w:ind w:left="1400" w:right="200" w:hanging="380"/>
        <w:spacing w:after="0" w:line="282" w:lineRule="auto"/>
        <w:tabs>
          <w:tab w:leader="none" w:pos="14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legally issued upon the early exercise of certain stock options, but are subject to service conditions and the right of repurchase, that were outstanding as of June 30, 2020;</w:t>
      </w:r>
    </w:p>
    <w:p>
      <w:pPr>
        <w:spacing w:after="0" w:line="242" w:lineRule="exact"/>
        <w:rPr>
          <w:rFonts w:ascii="Times New Roman" w:cs="Times New Roman" w:eastAsia="Times New Roman" w:hAnsi="Times New Roman"/>
          <w:sz w:val="18"/>
          <w:szCs w:val="18"/>
          <w:color w:val="auto"/>
        </w:rPr>
      </w:pPr>
    </w:p>
    <w:p>
      <w:pPr>
        <w:ind w:left="1400" w:hanging="380"/>
        <w:spacing w:after="0" w:line="282" w:lineRule="auto"/>
        <w:tabs>
          <w:tab w:leader="none" w:pos="14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8,533,485 shares of common stock reserved for future issuance under our 2016 Plan, as of June 30, 2020, which shares will be added to the shares to be reserved under our 2020 Plan upon its effectiveness;</w:t>
      </w:r>
    </w:p>
    <w:p>
      <w:pPr>
        <w:spacing w:after="0" w:line="161" w:lineRule="exact"/>
        <w:rPr>
          <w:rFonts w:ascii="Times New Roman" w:cs="Times New Roman" w:eastAsia="Times New Roman" w:hAnsi="Times New Roman"/>
          <w:sz w:val="18"/>
          <w:szCs w:val="18"/>
          <w:color w:val="auto"/>
        </w:rPr>
      </w:pPr>
    </w:p>
    <w:p>
      <w:pPr>
        <w:ind w:left="1400" w:right="300" w:hanging="380"/>
        <w:spacing w:after="0" w:line="266" w:lineRule="auto"/>
        <w:tabs>
          <w:tab w:leader="none" w:pos="19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175" w:lineRule="exact"/>
        <w:rPr>
          <w:rFonts w:ascii="Times New Roman" w:cs="Times New Roman" w:eastAsia="Times New Roman" w:hAnsi="Times New Roman"/>
          <w:sz w:val="18"/>
          <w:szCs w:val="18"/>
          <w:color w:val="auto"/>
        </w:rPr>
      </w:pPr>
    </w:p>
    <w:p>
      <w:pPr>
        <w:ind w:left="1400" w:right="640" w:hanging="380"/>
        <w:spacing w:after="0" w:line="266" w:lineRule="auto"/>
        <w:tabs>
          <w:tab w:leader="none" w:pos="19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6"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340" w:firstLine="1018"/>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assumed initial public offering price per share of our common stock and the pro forma as adjusted net tangible book value per share of our common stock immediately after this offering.</w:t>
      </w:r>
    </w:p>
    <w:p>
      <w:pPr>
        <w:spacing w:after="0" w:line="176"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color w:val="auto"/>
        </w:rPr>
        <w:t>Historical net tangible book value (deficit) per share represents our total tangible assets less our liabilities and preferred stock that is not included in equity divided by the total number of shares of common stock outstanding. As of June 30, 2020, our historical net tangible book value (deficit)</w:t>
      </w:r>
    </w:p>
    <w:p>
      <w:pPr>
        <w:ind w:right="20"/>
        <w:spacing w:after="0" w:line="255" w:lineRule="auto"/>
        <w:rPr>
          <w:sz w:val="20"/>
          <w:szCs w:val="20"/>
          <w:color w:val="auto"/>
        </w:rPr>
      </w:pPr>
      <w:r>
        <w:rPr>
          <w:rFonts w:ascii="Times New Roman" w:cs="Times New Roman" w:eastAsia="Times New Roman" w:hAnsi="Times New Roman"/>
          <w:sz w:val="18"/>
          <w:szCs w:val="18"/>
          <w:color w:val="auto"/>
        </w:rPr>
        <w:t>was approximately $ million, or $ per share of common stock. Our pro forma net tangible book value as of June 30, 2020, was approximately $ million, or $ per share of common stock, after giving effect to the automatic conversion of all outstanding shares of our preferred stock into an aggregate of shares of common stock immediately prior to the completion of this offering.</w:t>
      </w:r>
    </w:p>
    <w:p>
      <w:pPr>
        <w:spacing w:after="0" w:line="186"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After giving further effect to receipt of the net proceeds of our sale of shares of common stock at an assumed initial public offering price of $ per share, the midpoint of the estimated price range set forth on the cover page of this prospectus and after deducting estimated</w:t>
      </w:r>
    </w:p>
    <w:p>
      <w:pPr>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our pro forma as adjusted net tangible book value as of June 30, 2020 would</w:t>
      </w:r>
    </w:p>
    <w:p>
      <w:pPr>
        <w:spacing w:after="0" w:line="200" w:lineRule="exact"/>
        <w:rPr>
          <w:sz w:val="20"/>
          <w:szCs w:val="20"/>
          <w:color w:val="auto"/>
        </w:rPr>
      </w:pPr>
    </w:p>
    <w:p>
      <w:pPr>
        <w:spacing w:after="0" w:line="20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have been approximately $ million, or $ per share. This represents an immediate increase in pro forma as adjusted net tangible book value of $ per share to our existing stockholders and an immediate dilution of $ per share to investors purchasing common stock in this</w:t>
      </w:r>
    </w:p>
    <w:p>
      <w:pPr>
        <w:ind w:right="280"/>
        <w:spacing w:after="0" w:line="260" w:lineRule="auto"/>
        <w:rPr>
          <w:sz w:val="20"/>
          <w:szCs w:val="20"/>
          <w:color w:val="auto"/>
        </w:rPr>
      </w:pPr>
      <w:r>
        <w:rPr>
          <w:rFonts w:ascii="Times New Roman" w:cs="Times New Roman" w:eastAsia="Times New Roman" w:hAnsi="Times New Roman"/>
          <w:sz w:val="18"/>
          <w:szCs w:val="18"/>
          <w:color w:val="auto"/>
        </w:rPr>
        <w:t>offering. We determine dilution per share to new investors participating in this offering by subtracting pro forma as adjusted net tangible book value per share after this offering from the assumed initial public offering price per share paid by investors participating in this offering.</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illustrates this dilution to new investors on a per share basis: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center"/>
              <w:ind w:left="823"/>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June 30, 2020</w:t>
            </w:r>
          </w:p>
        </w:tc>
        <w:tc>
          <w:tcPr>
            <w:tcW w:w="2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8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(decrease) in historical net tangible book value</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8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per share attributable to conversion of our preferred stock</w:t>
            </w: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580" w:type="dxa"/>
            <w:vAlign w:val="bottom"/>
            <w:gridSpan w:val="4"/>
          </w:tcPr>
          <w:p>
            <w:pPr>
              <w:ind w:left="240"/>
              <w:spacing w:after="0" w:line="193" w:lineRule="exact"/>
              <w:rPr>
                <w:sz w:val="20"/>
                <w:szCs w:val="20"/>
                <w:color w:val="auto"/>
              </w:rPr>
            </w:pPr>
            <w:r>
              <w:rPr>
                <w:rFonts w:ascii="Times New Roman" w:cs="Times New Roman" w:eastAsia="Times New Roman" w:hAnsi="Times New Roman"/>
                <w:sz w:val="18"/>
                <w:szCs w:val="18"/>
                <w:color w:val="auto"/>
              </w:rPr>
              <w:t>Pro forma net tangible book value (deficit) per share as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June 30, 2020</w:t>
            </w:r>
          </w:p>
        </w:tc>
        <w:tc>
          <w:tcPr>
            <w:tcW w:w="2020" w:type="dxa"/>
            <w:vAlign w:val="bottom"/>
          </w:tcPr>
          <w:p>
            <w:pPr>
              <w:spacing w:after="0"/>
              <w:rPr>
                <w:sz w:val="21"/>
                <w:szCs w:val="21"/>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580" w:type="dxa"/>
            <w:vAlign w:val="bottom"/>
            <w:gridSpan w:val="4"/>
            <w:shd w:val="clear" w:color="auto" w:fill="CFF0FC"/>
          </w:tcPr>
          <w:p>
            <w:pPr>
              <w:ind w:left="240"/>
              <w:spacing w:after="0" w:line="193" w:lineRule="exact"/>
              <w:rPr>
                <w:sz w:val="20"/>
                <w:szCs w:val="20"/>
                <w:color w:val="auto"/>
              </w:rPr>
            </w:pPr>
            <w:r>
              <w:rPr>
                <w:rFonts w:ascii="Times New Roman" w:cs="Times New Roman" w:eastAsia="Times New Roman" w:hAnsi="Times New Roman"/>
                <w:sz w:val="18"/>
                <w:szCs w:val="18"/>
                <w:color w:val="auto"/>
              </w:rPr>
              <w:t>Increase in pro forma net tangible book value per share</w:t>
            </w: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attributable to new investors in this offering</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6140" w:type="dxa"/>
            <w:vAlign w:val="bottom"/>
            <w:gridSpan w:val="4"/>
          </w:tcPr>
          <w:p>
            <w:pPr>
              <w:ind w:left="780"/>
              <w:spacing w:after="0" w:line="205" w:lineRule="exact"/>
              <w:rPr>
                <w:sz w:val="20"/>
                <w:szCs w:val="20"/>
                <w:color w:val="auto"/>
              </w:rPr>
            </w:pPr>
            <w:r>
              <w:rPr>
                <w:rFonts w:ascii="Times New Roman" w:cs="Times New Roman" w:eastAsia="Times New Roman" w:hAnsi="Times New Roman"/>
                <w:sz w:val="18"/>
                <w:szCs w:val="18"/>
                <w:color w:val="auto"/>
              </w:rPr>
              <w:t>Pro forma as adjusted net tangible book value per share</w:t>
            </w: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74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immediately after this offering</w:t>
            </w:r>
          </w:p>
        </w:tc>
        <w:tc>
          <w:tcPr>
            <w:tcW w:w="16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80" w:type="dxa"/>
            <w:vAlign w:val="bottom"/>
            <w:gridSpan w:val="4"/>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Dilution per share to new investors purchasing shares in</w:t>
            </w:r>
          </w:p>
        </w:tc>
        <w:tc>
          <w:tcPr>
            <w:tcW w:w="1080" w:type="dxa"/>
            <w:vAlign w:val="bottom"/>
            <w:gridSpan w:val="2"/>
            <w:vMerge w:val="restart"/>
            <w:shd w:val="clear" w:color="auto" w:fill="CFF0FC"/>
          </w:tcPr>
          <w:p>
            <w:pPr>
              <w:spacing w:after="0"/>
              <w:rPr>
                <w:sz w:val="17"/>
                <w:szCs w:val="17"/>
                <w:color w:val="auto"/>
              </w:rPr>
            </w:pPr>
          </w:p>
        </w:tc>
        <w:tc>
          <w:tcPr>
            <w:tcW w:w="260" w:type="dxa"/>
            <w:vAlign w:val="bottom"/>
            <w:vMerge w:val="restart"/>
            <w:shd w:val="clear" w:color="auto" w:fill="CFF0FC"/>
          </w:tcPr>
          <w:p>
            <w:pPr>
              <w:jc w:val="center"/>
              <w:ind w:right="61"/>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vMerge w:val="restart"/>
            <w:shd w:val="clear" w:color="auto" w:fill="CFF0FC"/>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this offering</w:t>
            </w:r>
          </w:p>
        </w:tc>
        <w:tc>
          <w:tcPr>
            <w:tcW w:w="20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gridSpan w:val="2"/>
            <w:vMerge w:val="continue"/>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20" w:type="dxa"/>
            <w:vAlign w:val="bottom"/>
          </w:tcPr>
          <w:p>
            <w:pPr>
              <w:spacing w:after="0"/>
              <w:rPr>
                <w:sz w:val="24"/>
                <w:szCs w:val="24"/>
                <w:color w:val="auto"/>
              </w:rPr>
            </w:pPr>
          </w:p>
        </w:tc>
        <w:tc>
          <w:tcPr>
            <w:tcW w:w="1028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If the underwriters’ option to purchase additional shares in this offering is exercised in full, the pro forma as adjusted net tangible book value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would be $</w:t>
            </w:r>
          </w:p>
        </w:tc>
        <w:tc>
          <w:tcPr>
            <w:tcW w:w="8880" w:type="dxa"/>
            <w:vAlign w:val="bottom"/>
            <w:gridSpan w:val="10"/>
          </w:tcPr>
          <w:p>
            <w:pPr>
              <w:ind w:left="600"/>
              <w:spacing w:after="0"/>
              <w:rPr>
                <w:sz w:val="20"/>
                <w:szCs w:val="20"/>
                <w:color w:val="auto"/>
              </w:rPr>
            </w:pPr>
            <w:r>
              <w:rPr>
                <w:rFonts w:ascii="Times New Roman" w:cs="Times New Roman" w:eastAsia="Times New Roman" w:hAnsi="Times New Roman"/>
                <w:sz w:val="18"/>
                <w:szCs w:val="18"/>
                <w:color w:val="auto"/>
              </w:rPr>
              <w:t>per share, the increase in the pro forma net tangible book value per share for existing stockholders would be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and</w:t>
            </w:r>
          </w:p>
        </w:tc>
        <w:tc>
          <w:tcPr>
            <w:tcW w:w="0" w:type="dxa"/>
            <w:vAlign w:val="bottom"/>
          </w:tcPr>
          <w:p>
            <w:pPr>
              <w:spacing w:after="0"/>
              <w:rPr>
                <w:sz w:val="1"/>
                <w:szCs w:val="1"/>
                <w:color w:val="auto"/>
              </w:rPr>
            </w:pPr>
          </w:p>
        </w:tc>
      </w:tr>
      <w:tr>
        <w:trPr>
          <w:trHeight w:val="234"/>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dilution to new investors participating in this offering would be $</w:t>
            </w:r>
          </w:p>
        </w:tc>
        <w:tc>
          <w:tcPr>
            <w:tcW w:w="18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per share.</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20" w:type="dxa"/>
            <w:vAlign w:val="bottom"/>
          </w:tcPr>
          <w:p>
            <w:pPr>
              <w:spacing w:after="0"/>
              <w:rPr>
                <w:sz w:val="24"/>
                <w:szCs w:val="24"/>
                <w:color w:val="auto"/>
              </w:rPr>
            </w:pPr>
          </w:p>
        </w:tc>
        <w:tc>
          <w:tcPr>
            <w:tcW w:w="6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p>
        </w:tc>
        <w:tc>
          <w:tcPr>
            <w:tcW w:w="392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per share, the midpoint of the estimated price range</w:t>
            </w:r>
          </w:p>
        </w:tc>
        <w:tc>
          <w:tcPr>
            <w:tcW w:w="0" w:type="dxa"/>
            <w:vAlign w:val="bottom"/>
          </w:tcPr>
          <w:p>
            <w:pPr>
              <w:spacing w:after="0"/>
              <w:rPr>
                <w:sz w:val="1"/>
                <w:szCs w:val="1"/>
                <w:color w:val="auto"/>
              </w:rPr>
            </w:pPr>
          </w:p>
        </w:tc>
      </w:tr>
      <w:tr>
        <w:trPr>
          <w:trHeight w:val="216"/>
        </w:trPr>
        <w:tc>
          <w:tcPr>
            <w:tcW w:w="9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set forth on the cover page of this prospectus, would increase (decrease) the pro forma as adjusted net tangible book value, by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and the</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dilution per share to new investors by $</w:t>
            </w:r>
          </w:p>
        </w:tc>
        <w:tc>
          <w:tcPr>
            <w:tcW w:w="7780" w:type="dxa"/>
            <w:vAlign w:val="bottom"/>
            <w:gridSpan w:val="9"/>
          </w:tcPr>
          <w:p>
            <w:pPr>
              <w:jc w:val="right"/>
              <w:ind w:right="10"/>
              <w:spacing w:after="0"/>
              <w:rPr>
                <w:sz w:val="20"/>
                <w:szCs w:val="20"/>
                <w:color w:val="auto"/>
              </w:rPr>
            </w:pPr>
            <w:r>
              <w:rPr>
                <w:rFonts w:ascii="Times New Roman" w:cs="Times New Roman" w:eastAsia="Times New Roman" w:hAnsi="Times New Roman"/>
                <w:sz w:val="18"/>
                <w:szCs w:val="18"/>
                <w:color w:val="auto"/>
              </w:rPr>
              <w:t>per share, assuming the number of shares offered by us, as set forth on the cover page of this prospectus,</w:t>
            </w:r>
          </w:p>
        </w:tc>
        <w:tc>
          <w:tcPr>
            <w:tcW w:w="0" w:type="dxa"/>
            <w:vAlign w:val="bottom"/>
          </w:tcPr>
          <w:p>
            <w:pPr>
              <w:spacing w:after="0"/>
              <w:rPr>
                <w:sz w:val="1"/>
                <w:szCs w:val="1"/>
                <w:color w:val="auto"/>
              </w:rPr>
            </w:pPr>
          </w:p>
        </w:tc>
      </w:tr>
      <w:tr>
        <w:trPr>
          <w:trHeight w:val="234"/>
        </w:trPr>
        <w:tc>
          <w:tcPr>
            <w:tcW w:w="9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remains the same, after deducting estimated underwriting discounts and commissions and estimated offering expenses payable by us.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20" w:type="dxa"/>
            <w:vAlign w:val="bottom"/>
          </w:tcPr>
          <w:p>
            <w:pPr>
              <w:spacing w:after="0"/>
              <w:rPr>
                <w:sz w:val="24"/>
                <w:szCs w:val="24"/>
                <w:color w:val="auto"/>
              </w:rPr>
            </w:pPr>
          </w:p>
        </w:tc>
        <w:tc>
          <w:tcPr>
            <w:tcW w:w="1028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We may also increase or decrease the number of shares we are offering. An increase (decrease) of 1,000,000 shares in the number of shares</w:t>
            </w:r>
          </w:p>
        </w:tc>
        <w:tc>
          <w:tcPr>
            <w:tcW w:w="0" w:type="dxa"/>
            <w:vAlign w:val="bottom"/>
          </w:tcPr>
          <w:p>
            <w:pPr>
              <w:spacing w:after="0"/>
              <w:rPr>
                <w:sz w:val="1"/>
                <w:szCs w:val="1"/>
                <w:color w:val="auto"/>
              </w:rPr>
            </w:pPr>
          </w:p>
        </w:tc>
      </w:tr>
      <w:tr>
        <w:trPr>
          <w:trHeight w:val="216"/>
        </w:trPr>
        <w:tc>
          <w:tcPr>
            <w:tcW w:w="8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we are offering would increase (decrease) our pro forma as adjusted net tangible book value by approximately $</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million, or $</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234"/>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the pro forma dilution per share to investors in this offering by $</w:t>
            </w:r>
          </w:p>
        </w:tc>
        <w:tc>
          <w:tcPr>
            <w:tcW w:w="5760" w:type="dxa"/>
            <w:vAlign w:val="bottom"/>
            <w:gridSpan w:val="8"/>
          </w:tcPr>
          <w:p>
            <w:pPr>
              <w:jc w:val="center"/>
              <w:ind w:left="126"/>
              <w:spacing w:after="0"/>
              <w:rPr>
                <w:sz w:val="20"/>
                <w:szCs w:val="20"/>
                <w:color w:val="auto"/>
              </w:rPr>
            </w:pPr>
            <w:r>
              <w:rPr>
                <w:rFonts w:ascii="Times New Roman" w:cs="Times New Roman" w:eastAsia="Times New Roman" w:hAnsi="Times New Roman"/>
                <w:sz w:val="18"/>
                <w:szCs w:val="18"/>
                <w:color w:val="auto"/>
              </w:rPr>
              <w:t>per share, assuming that the assumed initial public offering price remains the</w:t>
            </w:r>
          </w:p>
        </w:tc>
        <w:tc>
          <w:tcPr>
            <w:tcW w:w="0" w:type="dxa"/>
            <w:vAlign w:val="bottom"/>
          </w:tcPr>
          <w:p>
            <w:pPr>
              <w:spacing w:after="0"/>
              <w:rPr>
                <w:sz w:val="1"/>
                <w:szCs w:val="1"/>
                <w:color w:val="auto"/>
              </w:rPr>
            </w:pPr>
          </w:p>
        </w:tc>
      </w:tr>
    </w:tbl>
    <w:p>
      <w:pPr>
        <w:ind w:right="220"/>
        <w:spacing w:after="0" w:line="255" w:lineRule="auto"/>
        <w:rPr>
          <w:sz w:val="20"/>
          <w:szCs w:val="20"/>
          <w:color w:val="auto"/>
        </w:rPr>
      </w:pPr>
      <w:r>
        <w:rPr>
          <w:rFonts w:ascii="Times New Roman" w:cs="Times New Roman" w:eastAsia="Times New Roman" w:hAnsi="Times New Roman"/>
          <w:sz w:val="18"/>
          <w:szCs w:val="18"/>
          <w:color w:val="auto"/>
        </w:rPr>
        <w:t>same, and after deducting estimated underwriting discounts and commissions and estimated offering expenses payable by us. The pro forma information discussed above is illustrative only and will change based on the actual initial public offering price, number of shares and other terms of this offering determined at pricing.</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76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9" w:name="page80"/>
    <w:bookmarkEnd w:id="79"/>
    <w:p>
      <w:pPr>
        <w:ind w:right="80" w:firstLine="1018"/>
        <w:spacing w:after="0" w:line="276" w:lineRule="auto"/>
        <w:rPr>
          <w:sz w:val="20"/>
          <w:szCs w:val="20"/>
          <w:color w:val="auto"/>
        </w:rPr>
      </w:pPr>
      <w:r>
        <w:rPr>
          <w:rFonts w:ascii="Times New Roman" w:cs="Times New Roman" w:eastAsia="Times New Roman" w:hAnsi="Times New Roman"/>
          <w:sz w:val="17"/>
          <w:szCs w:val="17"/>
          <w:color w:val="auto"/>
        </w:rPr>
        <w:t>The table below summarizes, as of June 30, 2020, on a pro forma as adjusted basis, the number of shares of our common stock, the total consideration, and the average price per share (i) paid to us by our existing stockholders and (ii) to be paid by new investors participating in this offering at</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80" w:type="dxa"/>
            <w:vAlign w:val="bottom"/>
            <w:gridSpan w:val="4"/>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spacing w:after="0"/>
              <w:rPr>
                <w:sz w:val="12"/>
                <w:szCs w:val="12"/>
                <w:color w:val="auto"/>
              </w:rPr>
            </w:pPr>
          </w:p>
        </w:tc>
        <w:tc>
          <w:tcPr>
            <w:tcW w:w="20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0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63"/>
              <w:spacing w:after="0" w:line="155"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8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43"/>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1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860" w:type="dxa"/>
            <w:vAlign w:val="bottom"/>
            <w:tcBorders>
              <w:bottom w:val="single" w:sz="8" w:color="CFF0FC"/>
            </w:tcBorders>
          </w:tcPr>
          <w:p>
            <w:pPr>
              <w:spacing w:after="0"/>
              <w:rPr>
                <w:sz w:val="20"/>
                <w:szCs w:val="20"/>
                <w:color w:val="auto"/>
              </w:rPr>
            </w:pPr>
          </w:p>
        </w:tc>
        <w:tc>
          <w:tcPr>
            <w:tcW w:w="540" w:type="dxa"/>
            <w:vAlign w:val="bottom"/>
            <w:tcBorders>
              <w:bottom w:val="single" w:sz="8" w:color="CFF0FC"/>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8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240" w:type="dxa"/>
            <w:vAlign w:val="bottom"/>
            <w:gridSpan w:val="17"/>
          </w:tcPr>
          <w:p>
            <w:pPr>
              <w:ind w:left="1020"/>
              <w:spacing w:after="0"/>
              <w:rPr>
                <w:sz w:val="20"/>
                <w:szCs w:val="20"/>
                <w:color w:val="auto"/>
              </w:rPr>
            </w:pPr>
            <w:r>
              <w:rPr>
                <w:rFonts w:ascii="Times New Roman" w:cs="Times New Roman" w:eastAsia="Times New Roman" w:hAnsi="Times New Roman"/>
                <w:sz w:val="18"/>
                <w:szCs w:val="18"/>
                <w:color w:val="auto"/>
              </w:rPr>
              <w:t>In addition, if the underwriters’ option to purchase additional shares is exercised in full, the number of shares held by existing stockholders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will be reduced to</w:t>
            </w:r>
          </w:p>
        </w:tc>
        <w:tc>
          <w:tcPr>
            <w:tcW w:w="9440" w:type="dxa"/>
            <w:vAlign w:val="bottom"/>
            <w:gridSpan w:val="16"/>
          </w:tcPr>
          <w:p>
            <w:pPr>
              <w:ind w:left="220"/>
              <w:spacing w:after="0"/>
              <w:rPr>
                <w:sz w:val="20"/>
                <w:szCs w:val="20"/>
                <w:color w:val="auto"/>
              </w:rPr>
            </w:pPr>
            <w:r>
              <w:rPr>
                <w:rFonts w:ascii="Times New Roman" w:cs="Times New Roman" w:eastAsia="Times New Roman" w:hAnsi="Times New Roman"/>
                <w:sz w:val="18"/>
                <w:szCs w:val="18"/>
                <w:color w:val="auto"/>
              </w:rPr>
              <w:t>% of the total number of shares of common stock to be outstanding upon completion of this offering, and the number of shares</w:t>
            </w:r>
          </w:p>
        </w:tc>
        <w:tc>
          <w:tcPr>
            <w:tcW w:w="0" w:type="dxa"/>
            <w:vAlign w:val="bottom"/>
          </w:tcPr>
          <w:p>
            <w:pPr>
              <w:spacing w:after="0"/>
              <w:rPr>
                <w:sz w:val="1"/>
                <w:szCs w:val="1"/>
                <w:color w:val="auto"/>
              </w:rPr>
            </w:pPr>
          </w:p>
        </w:tc>
      </w:tr>
      <w:tr>
        <w:trPr>
          <w:trHeight w:val="216"/>
        </w:trPr>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common stock held by new investors participating in this offering will be further increased to</w:t>
            </w:r>
          </w:p>
        </w:tc>
        <w:tc>
          <w:tcPr>
            <w:tcW w:w="200" w:type="dxa"/>
            <w:vAlign w:val="bottom"/>
          </w:tcPr>
          <w:p>
            <w:pPr>
              <w:spacing w:after="0"/>
              <w:rPr>
                <w:sz w:val="18"/>
                <w:szCs w:val="18"/>
                <w:color w:val="auto"/>
              </w:rPr>
            </w:pPr>
          </w:p>
        </w:tc>
        <w:tc>
          <w:tcPr>
            <w:tcW w:w="396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 of the total number of shares of common stock</w:t>
            </w: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be outstanding upon completion of the offering.</w:t>
            </w: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80" w:type="dxa"/>
            <w:vAlign w:val="bottom"/>
            <w:gridSpan w:val="7"/>
          </w:tcPr>
          <w:p>
            <w:pPr>
              <w:ind w:left="1020"/>
              <w:spacing w:after="0"/>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p>
        </w:tc>
        <w:tc>
          <w:tcPr>
            <w:tcW w:w="200" w:type="dxa"/>
            <w:vAlign w:val="bottom"/>
          </w:tcPr>
          <w:p>
            <w:pPr>
              <w:spacing w:after="0"/>
              <w:rPr>
                <w:sz w:val="24"/>
                <w:szCs w:val="24"/>
                <w:color w:val="auto"/>
              </w:rPr>
            </w:pPr>
          </w:p>
        </w:tc>
        <w:tc>
          <w:tcPr>
            <w:tcW w:w="360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per share would increase (decrease) total</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 paid by new investors by $</w:t>
            </w:r>
          </w:p>
        </w:tc>
        <w:tc>
          <w:tcPr>
            <w:tcW w:w="6060" w:type="dxa"/>
            <w:vAlign w:val="bottom"/>
            <w:gridSpan w:val="11"/>
          </w:tcPr>
          <w:p>
            <w:pPr>
              <w:jc w:val="right"/>
              <w:ind w:right="10"/>
              <w:spacing w:after="0"/>
              <w:rPr>
                <w:sz w:val="20"/>
                <w:szCs w:val="20"/>
                <w:color w:val="auto"/>
              </w:rPr>
            </w:pPr>
            <w:r>
              <w:rPr>
                <w:rFonts w:ascii="Times New Roman" w:cs="Times New Roman" w:eastAsia="Times New Roman" w:hAnsi="Times New Roman"/>
                <w:sz w:val="18"/>
                <w:szCs w:val="18"/>
                <w:color w:val="auto"/>
              </w:rPr>
              <w:t>and increase (decrease) the percent of total consideration paid by new investors by</w:t>
            </w: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assuming the</w:t>
            </w:r>
          </w:p>
        </w:tc>
        <w:tc>
          <w:tcPr>
            <w:tcW w:w="0" w:type="dxa"/>
            <w:vAlign w:val="bottom"/>
          </w:tcPr>
          <w:p>
            <w:pPr>
              <w:spacing w:after="0"/>
              <w:rPr>
                <w:sz w:val="1"/>
                <w:szCs w:val="1"/>
                <w:color w:val="auto"/>
              </w:rPr>
            </w:pPr>
          </w:p>
        </w:tc>
      </w:tr>
    </w:tbl>
    <w:p>
      <w:pPr>
        <w:ind w:right="80"/>
        <w:spacing w:after="0" w:line="249" w:lineRule="auto"/>
        <w:rPr>
          <w:sz w:val="20"/>
          <w:szCs w:val="20"/>
          <w:color w:val="auto"/>
        </w:rPr>
      </w:pPr>
      <w:r>
        <w:rPr>
          <w:rFonts w:ascii="Times New Roman" w:cs="Times New Roman" w:eastAsia="Times New Roman" w:hAnsi="Times New Roman"/>
          <w:sz w:val="18"/>
          <w:szCs w:val="18"/>
          <w:color w:val="auto"/>
        </w:rPr>
        <w:t>number of shares we are offering, as set forth on the cover page of this prospectus, remains the same, after deducting estimated underwriting discounts and commissions. We may also increase or decrease the number of shares we are offering. An increase (decrease) of 1,000,000 in the number of shares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by us would increase (decrease) total consideration paid by new investors by $ , assuming that the assumed initial price to the public remains the same, and after deducting the estimated underwriting discounts and commissions.</w:t>
      </w:r>
    </w:p>
    <w:p>
      <w:pPr>
        <w:spacing w:after="0" w:line="162"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81,475,339 shares of common stock outstanding as of June 30, 2020 and excludes the following:</w:t>
      </w:r>
    </w:p>
    <w:p>
      <w:pPr>
        <w:spacing w:after="0" w:line="162" w:lineRule="exact"/>
        <w:rPr>
          <w:sz w:val="20"/>
          <w:szCs w:val="20"/>
          <w:color w:val="auto"/>
        </w:rPr>
      </w:pPr>
    </w:p>
    <w:p>
      <w:pPr>
        <w:ind w:left="1400" w:right="500" w:hanging="380"/>
        <w:spacing w:after="0" w:line="282" w:lineRule="auto"/>
        <w:tabs>
          <w:tab w:leader="none" w:pos="14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9,141,330 shares of common stock issuable upon the exercise of options outstanding as of June 30, 2020 with a weighted-average exercise price of $ 0.22 per share;</w:t>
      </w:r>
    </w:p>
    <w:p>
      <w:pPr>
        <w:spacing w:after="0" w:line="161" w:lineRule="exact"/>
        <w:rPr>
          <w:rFonts w:ascii="Times New Roman" w:cs="Times New Roman" w:eastAsia="Times New Roman" w:hAnsi="Times New Roman"/>
          <w:sz w:val="18"/>
          <w:szCs w:val="18"/>
          <w:color w:val="auto"/>
        </w:rPr>
      </w:pPr>
    </w:p>
    <w:p>
      <w:pPr>
        <w:ind w:left="2120" w:hanging="1100"/>
        <w:spacing w:after="0"/>
        <w:tabs>
          <w:tab w:leader="none" w:pos="2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granted after June 30, 2020 with a weighted-average exercise</w:t>
      </w:r>
    </w:p>
    <w:p>
      <w:pPr>
        <w:spacing w:after="0" w:line="27" w:lineRule="exact"/>
        <w:rPr>
          <w:sz w:val="20"/>
          <w:szCs w:val="20"/>
          <w:color w:val="auto"/>
        </w:rPr>
      </w:pPr>
    </w:p>
    <w:p>
      <w:pPr>
        <w:ind w:left="1400"/>
        <w:spacing w:after="0"/>
        <w:tabs>
          <w:tab w:leader="none" w:pos="2780" w:val="left"/>
        </w:tabs>
        <w:rPr>
          <w:sz w:val="20"/>
          <w:szCs w:val="20"/>
          <w:color w:val="auto"/>
        </w:rPr>
      </w:pPr>
      <w:r>
        <w:rPr>
          <w:rFonts w:ascii="Times New Roman" w:cs="Times New Roman" w:eastAsia="Times New Roman" w:hAnsi="Times New Roman"/>
          <w:sz w:val="18"/>
          <w:szCs w:val="18"/>
          <w:color w:val="auto"/>
        </w:rPr>
        <w:t>price of $</w:t>
      </w:r>
      <w:r>
        <w:rPr>
          <w:sz w:val="20"/>
          <w:szCs w:val="20"/>
          <w:color w:val="auto"/>
        </w:rPr>
        <w:tab/>
      </w:r>
      <w:r>
        <w:rPr>
          <w:rFonts w:ascii="Times New Roman" w:cs="Times New Roman" w:eastAsia="Times New Roman" w:hAnsi="Times New Roman"/>
          <w:sz w:val="18"/>
          <w:szCs w:val="18"/>
          <w:color w:val="auto"/>
        </w:rPr>
        <w:t>per share;</w:t>
      </w:r>
    </w:p>
    <w:p>
      <w:pPr>
        <w:spacing w:after="0" w:line="207" w:lineRule="exact"/>
        <w:rPr>
          <w:sz w:val="20"/>
          <w:szCs w:val="20"/>
          <w:color w:val="auto"/>
        </w:rPr>
      </w:pPr>
    </w:p>
    <w:p>
      <w:pPr>
        <w:ind w:left="1400" w:right="280" w:hanging="380"/>
        <w:spacing w:after="0" w:line="282" w:lineRule="auto"/>
        <w:tabs>
          <w:tab w:leader="none" w:pos="14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legally issued upon the early exercise of certain stock options, but are subject to service conditions and the right of repurchase, that were outstanding as of June 30, 2020;</w:t>
      </w:r>
    </w:p>
    <w:p>
      <w:pPr>
        <w:spacing w:after="0" w:line="161" w:lineRule="exact"/>
        <w:rPr>
          <w:rFonts w:ascii="Times New Roman" w:cs="Times New Roman" w:eastAsia="Times New Roman" w:hAnsi="Times New Roman"/>
          <w:sz w:val="18"/>
          <w:szCs w:val="18"/>
          <w:color w:val="auto"/>
        </w:rPr>
      </w:pPr>
    </w:p>
    <w:p>
      <w:pPr>
        <w:ind w:left="1020" w:right="400" w:firstLine="6"/>
        <w:spacing w:after="0" w:line="282" w:lineRule="auto"/>
        <w:tabs>
          <w:tab w:leader="none" w:pos="173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8,533,485 shares of common stock reserved for future issuance under our 2016 Plan, as of June 30, 2020, which shares will be added to the shares to be reserved under our 2020 Plan upon its effectiveness;</w:t>
      </w:r>
    </w:p>
    <w:p>
      <w:pPr>
        <w:spacing w:after="0" w:line="161" w:lineRule="exact"/>
        <w:rPr>
          <w:rFonts w:ascii="Times New Roman" w:cs="Times New Roman" w:eastAsia="Times New Roman" w:hAnsi="Times New Roman"/>
          <w:sz w:val="18"/>
          <w:szCs w:val="18"/>
          <w:color w:val="auto"/>
        </w:rPr>
      </w:pPr>
    </w:p>
    <w:p>
      <w:pPr>
        <w:ind w:left="1400" w:right="260" w:hanging="380"/>
        <w:spacing w:after="0" w:line="266" w:lineRule="auto"/>
        <w:tabs>
          <w:tab w:leader="none" w:pos="2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175" w:lineRule="exact"/>
        <w:rPr>
          <w:rFonts w:ascii="Times New Roman" w:cs="Times New Roman" w:eastAsia="Times New Roman" w:hAnsi="Times New Roman"/>
          <w:sz w:val="18"/>
          <w:szCs w:val="18"/>
          <w:color w:val="auto"/>
        </w:rPr>
      </w:pPr>
    </w:p>
    <w:p>
      <w:pPr>
        <w:ind w:left="1400" w:right="720" w:hanging="380"/>
        <w:spacing w:after="0" w:line="266" w:lineRule="auto"/>
        <w:tabs>
          <w:tab w:leader="none" w:pos="19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6"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To the extent that any outstanding options are exercised or new awards are granted under our equity compensation plans, new investors will experience further dilution.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77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right="500" w:firstLine="1018"/>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section titled “Management’s Discussion and Analysis of Financial Condition and Results of Operations” and the financial statements and related notes included elsewhere in this prospectus.</w:t>
      </w:r>
    </w:p>
    <w:p>
      <w:pPr>
        <w:spacing w:after="0" w:line="162"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The statements of operations data for the years ended December 31, 2018 and 2019 and the balance sheet data as of December 31, 2018 and 2019 are derived from our audited financial statements and related notes included elsewhere in this prospectus. We derived the statements of operations data for the six months ended June 30, 2019 and 2020 and the balance sheet data as of June 30, 2020 from the unaudited interim financial statements and related notes included elsewhere in this prospectus. The unaudited interim financial statements have been prepared in accordance with United States generally accepted accounting principles and, in the opinion of management, reflect all adjustments, which include only normal, recurring adjustments that are necessary to state fairly the unaudited interim financial statements. Our historical results are not necessarily indicative of the results to be expected in the future, and the results for the six months ended June 30, 2020, are not necessarily indicative of results that may be expected for the full year or any other period. The selected financial data in this section are not intended to replace our financial statements and the related notes and are qualified in their entirety by the financial statements and related notes included elsewhere in this prospectus.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1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12"/>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20" w:type="dxa"/>
            <w:vAlign w:val="bottom"/>
            <w:gridSpan w:val="6"/>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3,162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2,066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05"/>
        </w:trPr>
        <w:tc>
          <w:tcPr>
            <w:tcW w:w="5160" w:type="dxa"/>
            <w:vAlign w:val="bottom"/>
            <w:gridSpan w:val="3"/>
          </w:tcPr>
          <w:p>
            <w:pPr>
              <w:ind w:left="1140"/>
              <w:spacing w:after="0" w:line="205" w:lineRule="exact"/>
              <w:rPr>
                <w:sz w:val="20"/>
                <w:szCs w:val="20"/>
                <w:color w:val="auto"/>
              </w:rPr>
            </w:pPr>
            <w:r>
              <w:rPr>
                <w:rFonts w:ascii="Times New Roman" w:cs="Times New Roman" w:eastAsia="Times New Roman" w:hAnsi="Times New Roman"/>
                <w:sz w:val="18"/>
                <w:szCs w:val="18"/>
                <w:color w:val="auto"/>
              </w:rPr>
              <w:t>Loss from operations before other income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2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(expense) and income taxes</w:t>
            </w:r>
          </w:p>
        </w:tc>
        <w:tc>
          <w:tcPr>
            <w:tcW w:w="6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6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1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2,576.00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Net loss per share attributable to common</w:t>
            </w: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3"/>
                <w:szCs w:val="23"/>
                <w:color w:val="auto"/>
              </w:rPr>
            </w:pP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stockholders, basic and diluted </w:t>
            </w:r>
            <w:r>
              <w:rPr>
                <w:rFonts w:ascii="Times New Roman" w:cs="Times New Roman" w:eastAsia="Times New Roman" w:hAnsi="Times New Roman"/>
                <w:sz w:val="15"/>
                <w:szCs w:val="15"/>
                <w:color w:val="auto"/>
              </w:rPr>
              <w:t>(1)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020" w:type="dxa"/>
            <w:vAlign w:val="bottom"/>
            <w:tcBorders>
              <w:top w:val="single" w:sz="8" w:color="CFF0FC"/>
            </w:tcBorders>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6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per share attributable to common</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2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basic and diluted</w:t>
            </w:r>
            <w:r>
              <w:rPr>
                <w:rFonts w:ascii="Times New Roman" w:cs="Times New Roman" w:eastAsia="Times New Roman" w:hAnsi="Times New Roman"/>
                <w:sz w:val="15"/>
                <w:szCs w:val="15"/>
                <w:color w:val="auto"/>
              </w:rPr>
              <w:t>(1)</w:t>
            </w:r>
          </w:p>
        </w:tc>
        <w:tc>
          <w:tcPr>
            <w:tcW w:w="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98"/>
              </w:rPr>
              <w:t>13,068,854</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98"/>
              </w:rPr>
              <w:t>17,728,991</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98"/>
              </w:rPr>
              <w:t>16,580,269</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98"/>
              </w:rPr>
              <w:t>19,689,426</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Pro forma net loss per share attributable to</w:t>
            </w: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3"/>
                <w:szCs w:val="23"/>
                <w:color w:val="auto"/>
              </w:rPr>
            </w:pP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5"/>
                <w:szCs w:val="15"/>
                <w:color w:val="auto"/>
              </w:rPr>
              <w:t>(1)</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020" w:type="dxa"/>
            <w:vAlign w:val="bottom"/>
            <w:tcBorders>
              <w:top w:val="single" w:sz="8" w:color="CFF0FC"/>
            </w:tcBorders>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w:t>
            </w:r>
          </w:p>
        </w:tc>
        <w:tc>
          <w:tcPr>
            <w:tcW w:w="6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 forma net loss per share attributable to</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2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5"/>
                <w:szCs w:val="15"/>
                <w:color w:val="auto"/>
              </w:rPr>
              <w:t>(1)</w:t>
            </w:r>
          </w:p>
        </w:tc>
        <w:tc>
          <w:tcPr>
            <w:tcW w:w="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98"/>
              </w:rPr>
              <w:t>32,008,512</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98"/>
              </w:rPr>
              <w:t>80,966,765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80" w:hanging="372"/>
        <w:spacing w:after="0" w:line="26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calculation of our basic and diluted net loss per share, unaudited basic and diluted pro forma net loss per share and weighted-average number of shares used in the computation of the per share amounts, see Note 6 and Note 7 to our financial statements included elsewhere in this prospectus.</w:t>
      </w:r>
    </w:p>
    <w:p>
      <w:pPr>
        <w:spacing w:after="0" w:line="158" w:lineRule="exact"/>
        <w:rPr>
          <w:rFonts w:ascii="Times New Roman" w:cs="Times New Roman" w:eastAsia="Times New Roman" w:hAnsi="Times New Roman"/>
          <w:sz w:val="14"/>
          <w:szCs w:val="14"/>
          <w:color w:val="auto"/>
        </w:rPr>
      </w:pPr>
    </w:p>
    <w:p>
      <w:pPr>
        <w:ind w:left="5540" w:hanging="132"/>
        <w:spacing w:after="0"/>
        <w:tabs>
          <w:tab w:leader="none" w:pos="554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81" w:name="page82"/>
    <w:bookmarkEnd w:id="81"/>
    <w:tbl>
      <w:tblPr>
        <w:tblLayout w:type="fixed"/>
        <w:tblInd w:w="1692"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5"/>
                <w:szCs w:val="15"/>
                <w:color w:val="auto"/>
              </w:rPr>
            </w:pPr>
          </w:p>
        </w:tc>
        <w:tc>
          <w:tcPr>
            <w:tcW w:w="10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55"/>
        </w:trPr>
        <w:tc>
          <w:tcPr>
            <w:tcW w:w="3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56"/>
        </w:trPr>
        <w:tc>
          <w:tcPr>
            <w:tcW w:w="3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gridSpan w:val="2"/>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2,355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57,952</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53,135</w:t>
            </w: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(1)</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2,204</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57,211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51,631</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2,389</w:t>
            </w: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56,239</w:t>
            </w: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3,872</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3,564</w:t>
            </w: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63,401</w:t>
            </w:r>
          </w:p>
        </w:tc>
      </w:tr>
      <w:tr>
        <w:trPr>
          <w:trHeight w:val="22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(11,241)</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9512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3" w:lineRule="exact"/>
        <w:rPr>
          <w:sz w:val="20"/>
          <w:szCs w:val="20"/>
          <w:color w:val="auto"/>
        </w:rPr>
      </w:pPr>
    </w:p>
    <w:p>
      <w:pPr>
        <w:ind w:left="372" w:hanging="372"/>
        <w:spacing w:after="0"/>
        <w:tabs>
          <w:tab w:leader="none" w:pos="37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define working capital as current assets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current liabilities as of the balance sheet date.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9" w:lineRule="exact"/>
        <w:rPr>
          <w:rFonts w:ascii="Times New Roman" w:cs="Times New Roman" w:eastAsia="Times New Roman" w:hAnsi="Times New Roman"/>
          <w:sz w:val="14"/>
          <w:szCs w:val="14"/>
          <w:color w:val="auto"/>
        </w:rPr>
      </w:pPr>
    </w:p>
    <w:p>
      <w:pPr>
        <w:ind w:left="5532" w:hanging="132"/>
        <w:spacing w:after="0"/>
        <w:tabs>
          <w:tab w:leader="none" w:pos="553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1"/>
          </w:cols>
          <w:pgMar w:left="328" w:top="641" w:right="1440" w:bottom="1440" w:gutter="0" w:footer="0" w:header="0"/>
        </w:sectPr>
      </w:pPr>
    </w:p>
    <w:bookmarkStart w:id="82" w:name="page83"/>
    <w:bookmarkEnd w:id="82"/>
    <w:p>
      <w:pPr>
        <w:ind w:left="34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140" w:firstLine="101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“Selected Financial Data” and our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prospectus. See the section titled “Special Note Regarding Forward-Looking Statements” elsewhere in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right="20" w:firstLine="1018"/>
        <w:spacing w:after="0" w:line="252"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Further, our estimates indicate the possibility that the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 To date, we have completed four Phase 2 trials for TP-03 in Demodex blepharitis,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an NDA to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95"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We are advancing our pipeline to address a number of diseases across therapeutic categories including eye care, dermatology and other diseases with high, unmet needs. These diseases include Demodex blepharitis, MGD, rosacea, Lyme disease and malaria.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Financial Overview</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We were incorporated as a Delaware corporation in November 2016, and our headquarters is located in Irvine, California. Since our inception in November 2016, we have devoted substantially all of our resources to organizing and staffing our company, acquiring intellectual property, clinical development of our product candidates, building our research and development capabilities, raising capital, and enhancing our corporate infrastructure. To date we have financed our operations through private placements of preferred stock and convertible promissory notes. From inception through June 30, 2020, we have raised net proceeds of approximately $61.0 million through private placements of preferred stock.</w:t>
      </w:r>
    </w:p>
    <w:p>
      <w:pPr>
        <w:spacing w:after="0" w:line="183"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We have incurred significant net operating losses in every year since our inception and expect to continue to incur significant operating expenses and increasing operating losses for the foreseeable future. Our net losses were $1.3 million and $4.7 million for the years ended December 31, 2018 and 2019, respectively. Our net losses were $2.6 million and $5.2 million for the six months ended June 30, 2019 and 2020, respectively. Our net losses may fluctuate significantly from quarter to quarter and year to year and could be substantial. As of December 31, 2019 and June 30, 2020, we had an accumulated deficit of $6.0 million and $11.2 million, respectively, from research and development and general and administrative activities since our inception. We anticipate that our operating expenses will increase significantly as we:</w:t>
      </w:r>
    </w:p>
    <w:p>
      <w:pPr>
        <w:spacing w:after="0" w:line="187" w:lineRule="exact"/>
        <w:rPr>
          <w:sz w:val="20"/>
          <w:szCs w:val="20"/>
          <w:color w:val="auto"/>
        </w:rPr>
      </w:pPr>
    </w:p>
    <w:p>
      <w:pPr>
        <w:ind w:left="1520" w:right="180" w:hanging="378"/>
        <w:spacing w:after="0" w:line="282" w:lineRule="auto"/>
        <w:tabs>
          <w:tab w:leader="none" w:pos="1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clinical trials of our lead product candidate, TP-03, for the treatment of Demodex blepharitis including our Phase 2b/3 trial, Saturn-1, and our Phase 3 trial, Saturn-2;</w:t>
      </w:r>
    </w:p>
    <w:p>
      <w:pPr>
        <w:spacing w:after="0" w:line="161" w:lineRule="exact"/>
        <w:rPr>
          <w:rFonts w:ascii="Times New Roman" w:cs="Times New Roman" w:eastAsia="Times New Roman" w:hAnsi="Times New Roman"/>
          <w:sz w:val="18"/>
          <w:szCs w:val="18"/>
          <w:color w:val="auto"/>
        </w:rPr>
      </w:pPr>
    </w:p>
    <w:p>
      <w:pPr>
        <w:ind w:left="1520" w:right="420" w:hanging="378"/>
        <w:spacing w:after="0" w:line="282" w:lineRule="auto"/>
        <w:tabs>
          <w:tab w:leader="none" w:pos="1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TP-03 for the treatment of MGD, TP-04 for the potential treatment of rosacea and TP-05 for potential Lyme prophylaxis and community malaria reduction;</w:t>
      </w:r>
    </w:p>
    <w:p>
      <w:pPr>
        <w:spacing w:after="0" w:line="152"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80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3" w:name="page84"/>
    <w:bookmarkEnd w:id="83"/>
    <w:p>
      <w:pPr>
        <w:ind w:left="1520" w:hanging="378"/>
        <w:spacing w:after="0"/>
        <w:tabs>
          <w:tab w:leader="none" w:pos="1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product candidates that successfully complete clinical development, if any;</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own salesforce in the United States to commercialize our products for which we obtain regulatory approval;</w:t>
      </w:r>
    </w:p>
    <w:p>
      <w:pPr>
        <w:spacing w:after="0" w:line="225" w:lineRule="exact"/>
        <w:rPr>
          <w:rFonts w:ascii="Times New Roman" w:cs="Times New Roman" w:eastAsia="Times New Roman" w:hAnsi="Times New Roman"/>
          <w:sz w:val="18"/>
          <w:szCs w:val="18"/>
          <w:color w:val="auto"/>
        </w:rPr>
      </w:pPr>
    </w:p>
    <w:p>
      <w:pPr>
        <w:ind w:left="1520" w:right="140" w:hanging="378"/>
        <w:spacing w:after="0" w:line="282" w:lineRule="auto"/>
        <w:tabs>
          <w:tab w:leader="none" w:pos="1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contract manufacturers to ensure a sufficient supply chain capacity to provide commercial quantities of any products for which we may obtain marketing approval;</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520" w:right="120" w:hanging="378"/>
        <w:spacing w:after="0" w:line="282" w:lineRule="auto"/>
        <w:tabs>
          <w:tab w:leader="none" w:pos="1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technical, regulatory, marketing, operations, financial, and other support personnel, to execute our business plan; and</w:t>
      </w:r>
    </w:p>
    <w:p>
      <w:pPr>
        <w:spacing w:after="0" w:line="161" w:lineRule="exact"/>
        <w:rPr>
          <w:rFonts w:ascii="Times New Roman" w:cs="Times New Roman" w:eastAsia="Times New Roman" w:hAnsi="Times New Roman"/>
          <w:sz w:val="18"/>
          <w:szCs w:val="18"/>
          <w:color w:val="auto"/>
        </w:rPr>
      </w:pPr>
    </w:p>
    <w:p>
      <w:pPr>
        <w:ind w:left="1520" w:right="380" w:hanging="378"/>
        <w:spacing w:after="0" w:line="282" w:lineRule="auto"/>
        <w:tabs>
          <w:tab w:leader="none" w:pos="1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information systems and personnel to support our product development and potential future commercialization efforts, and to enable us to operate as a public company.</w:t>
      </w:r>
    </w:p>
    <w:p>
      <w:pPr>
        <w:spacing w:after="0" w:line="162"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product sales or other sources. 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88"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of June 30, 2020, our aggregate cash and cash equivalents was $53.1 million. We believe that the net proceeds from this offering together</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with our existing cash and cash equivalents will enable us to fund our operating expenses and capital expenditure requirements through the of 202 – see “Liquidity and Capital Resources.”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 on our Operations</w:t>
      </w:r>
    </w:p>
    <w:p>
      <w:pPr>
        <w:spacing w:after="0" w:line="229"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76"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an interim work-from-home policy and we may take further actions as may be required by federal, state or local authorities.</w:t>
      </w:r>
    </w:p>
    <w:p>
      <w:pPr>
        <w:spacing w:after="0" w:line="180" w:lineRule="exact"/>
        <w:rPr>
          <w:sz w:val="20"/>
          <w:szCs w:val="20"/>
          <w:color w:val="auto"/>
        </w:rPr>
      </w:pPr>
    </w:p>
    <w:p>
      <w:pPr>
        <w:jc w:val="both"/>
        <w:ind w:right="100" w:firstLine="1018"/>
        <w:spacing w:after="0" w:line="261" w:lineRule="auto"/>
        <w:rPr>
          <w:sz w:val="20"/>
          <w:szCs w:val="20"/>
          <w:color w:val="auto"/>
        </w:rPr>
      </w:pPr>
      <w:r>
        <w:rPr>
          <w:rFonts w:ascii="Times New Roman" w:cs="Times New Roman" w:eastAsia="Times New Roman" w:hAnsi="Times New Roman"/>
          <w:sz w:val="18"/>
          <w:szCs w:val="18"/>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However, the ultimate effect from this pandemic on our development timelines for TP-03 and our other product candidates is inherently uncertain.</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“Risk Factors” for a further discussion of the potential adverse impact of COVID-19 on our business, results of operations and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81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In-License Agreements for Lotilaner</w:t>
      </w:r>
    </w:p>
    <w:p>
      <w:pPr>
        <w:spacing w:after="0" w:line="229" w:lineRule="exact"/>
        <w:rPr>
          <w:sz w:val="20"/>
          <w:szCs w:val="20"/>
          <w:color w:val="auto"/>
        </w:rPr>
      </w:pPr>
    </w:p>
    <w:p>
      <w:pPr>
        <w:jc w:val="both"/>
        <w:ind w:right="200" w:firstLine="1018"/>
        <w:spacing w:after="0" w:line="266" w:lineRule="auto"/>
        <w:rPr>
          <w:sz w:val="20"/>
          <w:szCs w:val="20"/>
          <w:color w:val="auto"/>
        </w:rPr>
      </w:pPr>
      <w:r>
        <w:rPr>
          <w:rFonts w:ascii="Times New Roman" w:cs="Times New Roman" w:eastAsia="Times New Roman" w:hAnsi="Times New Roman"/>
          <w:sz w:val="18"/>
          <w:szCs w:val="18"/>
          <w:color w:val="auto"/>
        </w:rPr>
        <w:t>In January 2019, we entered into the Eye and Derm Elanco Agreement with Elanco granting us a worldwide, sublicensable license for the development and marketing rights of lotilaner for the treatment or cure of any eye or skin disease or condition in humans. We plan to utilize these license rights in developing and marketing our TP-03 and TP-04 product candidates.</w:t>
      </w:r>
    </w:p>
    <w:p>
      <w:pPr>
        <w:spacing w:after="0" w:line="176" w:lineRule="exact"/>
        <w:rPr>
          <w:sz w:val="20"/>
          <w:szCs w:val="20"/>
          <w:color w:val="auto"/>
        </w:rPr>
      </w:pPr>
    </w:p>
    <w:p>
      <w:pPr>
        <w:ind w:right="720" w:firstLine="1018"/>
        <w:spacing w:after="0" w:line="282" w:lineRule="auto"/>
        <w:rPr>
          <w:sz w:val="20"/>
          <w:szCs w:val="20"/>
          <w:color w:val="auto"/>
        </w:rPr>
      </w:pPr>
      <w:r>
        <w:rPr>
          <w:rFonts w:ascii="Times New Roman" w:cs="Times New Roman" w:eastAsia="Times New Roman" w:hAnsi="Times New Roman"/>
          <w:sz w:val="18"/>
          <w:szCs w:val="18"/>
          <w:color w:val="auto"/>
        </w:rPr>
        <w:t>We made an upfront cash payment at contract execution, which we recorded within “research and development” expense within our statements of operations for the year ended December 31, 2019 and six months ended June 30, 2019.</w:t>
      </w:r>
    </w:p>
    <w:p>
      <w:pPr>
        <w:spacing w:after="0" w:line="162" w:lineRule="exact"/>
        <w:rPr>
          <w:sz w:val="20"/>
          <w:szCs w:val="20"/>
          <w:color w:val="auto"/>
        </w:rPr>
      </w:pPr>
    </w:p>
    <w:p>
      <w:pPr>
        <w:ind w:right="400" w:firstLine="1018"/>
        <w:spacing w:after="0" w:line="261" w:lineRule="auto"/>
        <w:rPr>
          <w:sz w:val="20"/>
          <w:szCs w:val="20"/>
          <w:color w:val="auto"/>
        </w:rPr>
      </w:pPr>
      <w:r>
        <w:rPr>
          <w:rFonts w:ascii="Times New Roman" w:cs="Times New Roman" w:eastAsia="Times New Roman" w:hAnsi="Times New Roman"/>
          <w:sz w:val="18"/>
          <w:szCs w:val="18"/>
          <w:color w:val="auto"/>
        </w:rPr>
        <w:t>The value of remaining clinical milestone payments that may become contractually due to Elanco for the Demodex blepharitis or MGD indications aggregate to $3.0 million, $2.0 million of which will be due in the the second half of fiscal year 2020; and aggregate to $3.0 million for the rosacea indication. We may also be required to pay Elanco up to an aggregate of $79.0 million for various commercialization and sales-threshold milestones. Also, we will be obligated to pay Elanco tiered single-digit royalties on our worldwide net sales of these products.</w:t>
      </w:r>
    </w:p>
    <w:p>
      <w:pPr>
        <w:spacing w:after="0" w:line="180" w:lineRule="exact"/>
        <w:rPr>
          <w:sz w:val="20"/>
          <w:szCs w:val="20"/>
          <w:color w:val="auto"/>
        </w:rPr>
      </w:pPr>
    </w:p>
    <w:p>
      <w:pPr>
        <w:jc w:val="both"/>
        <w:ind w:right="60" w:firstLine="1018"/>
        <w:spacing w:after="0" w:line="266" w:lineRule="auto"/>
        <w:rPr>
          <w:sz w:val="20"/>
          <w:szCs w:val="20"/>
          <w:color w:val="auto"/>
        </w:rPr>
      </w:pPr>
      <w:r>
        <w:rPr>
          <w:rFonts w:ascii="Times New Roman" w:cs="Times New Roman" w:eastAsia="Times New Roman" w:hAnsi="Times New Roman"/>
          <w:sz w:val="18"/>
          <w:szCs w:val="18"/>
          <w:color w:val="auto"/>
        </w:rPr>
        <w:t>In September 2020, we entered into the All Human Uses Elanco Agreement with Elanco granting us a worldwide, sublicensable licenses for the development and marketing rights of lotilaner for all other applications in humans (i.e., in addition to the treatment or cure of any eye or skin disease or condition in humans). We plan to utilize these license rights in developing and marketing our TP-05 product candidates.</w:t>
      </w:r>
    </w:p>
    <w:p>
      <w:pPr>
        <w:spacing w:after="0" w:line="176" w:lineRule="exact"/>
        <w:rPr>
          <w:sz w:val="20"/>
          <w:szCs w:val="20"/>
          <w:color w:val="auto"/>
        </w:rPr>
      </w:pPr>
    </w:p>
    <w:p>
      <w:pPr>
        <w:jc w:val="both"/>
        <w:ind w:right="180" w:firstLine="1018"/>
        <w:spacing w:after="0" w:line="261" w:lineRule="auto"/>
        <w:rPr>
          <w:sz w:val="20"/>
          <w:szCs w:val="20"/>
          <w:color w:val="auto"/>
        </w:rPr>
      </w:pPr>
      <w:r>
        <w:rPr>
          <w:rFonts w:ascii="Times New Roman" w:cs="Times New Roman" w:eastAsia="Times New Roman" w:hAnsi="Times New Roman"/>
          <w:sz w:val="18"/>
          <w:szCs w:val="18"/>
          <w:color w:val="auto"/>
        </w:rPr>
        <w:t>We made an initial equity grant of approximately 1.7 million shares of our common stock to Elanco at contract execution. If the All Human Uses Elanco Agreement is not terminated, or if we have not provided notice to terminate the All Human Uses Elanco Agreement, within 18 months of its effective date, we will be required to issue Elanco additional shares of our common stock equating to $3.0 million of aggregate value in accordance with the terms of the All Human Uses Elanco Agreement.</w:t>
      </w:r>
    </w:p>
    <w:p>
      <w:pPr>
        <w:spacing w:after="0" w:line="180" w:lineRule="exact"/>
        <w:rPr>
          <w:sz w:val="20"/>
          <w:szCs w:val="20"/>
          <w:color w:val="auto"/>
        </w:rPr>
      </w:pPr>
    </w:p>
    <w:p>
      <w:pPr>
        <w:ind w:right="180" w:firstLine="1018"/>
        <w:spacing w:after="0" w:line="256" w:lineRule="auto"/>
        <w:rPr>
          <w:sz w:val="20"/>
          <w:szCs w:val="20"/>
          <w:color w:val="auto"/>
        </w:rPr>
      </w:pPr>
      <w:r>
        <w:rPr>
          <w:rFonts w:ascii="Times New Roman" w:cs="Times New Roman" w:eastAsia="Times New Roman" w:hAnsi="Times New Roman"/>
          <w:sz w:val="18"/>
          <w:szCs w:val="18"/>
          <w:color w:val="auto"/>
        </w:rPr>
        <w:t>The value of remaining clinical milestone payments that may become contractually due to Elanco for the treatment of malaria aggregate to $3.0 million; and aggregate to $1.5 million for the indications other than malaria. We may also be required to pay Elanco up to an aggregate of $77.0 million for various commercialization and sales threshold milestones under the current terms of the All Human Uses Elanco Agreement. Also, we will be obligated under the terms of the All Human Uses Elanco Agreement to pay Elanco tiered single-digit royalties on net sales of these products including in the United States, Canada, the countries of the European Economic Area (which, for clarity, shall be deemed to include the United Kingdom), Australia, New Zealand and Japan.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expenses and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research and development expenses consist of expenses incurred in connection with the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207" w:lineRule="exact"/>
        <w:rPr>
          <w:sz w:val="20"/>
          <w:szCs w:val="20"/>
          <w:color w:val="auto"/>
        </w:rPr>
      </w:pPr>
    </w:p>
    <w:p>
      <w:pPr>
        <w:ind w:left="1520" w:hanging="378"/>
        <w:spacing w:after="0"/>
        <w:tabs>
          <w:tab w:leader="none" w:pos="1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to conduct certain research and development activities on our behalf, including under agreements with CROs;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licensing agreements, such as our upfront in-license fee for lotilaner;</w:t>
      </w:r>
    </w:p>
    <w:p>
      <w:pPr>
        <w:spacing w:after="0" w:line="225" w:lineRule="exact"/>
        <w:rPr>
          <w:rFonts w:ascii="Times New Roman" w:cs="Times New Roman" w:eastAsia="Times New Roman" w:hAnsi="Times New Roman"/>
          <w:sz w:val="18"/>
          <w:szCs w:val="18"/>
          <w:color w:val="auto"/>
        </w:rPr>
      </w:pPr>
    </w:p>
    <w:p>
      <w:pPr>
        <w:ind w:left="1520" w:right="260" w:hanging="378"/>
        <w:spacing w:after="0" w:line="282" w:lineRule="auto"/>
        <w:tabs>
          <w:tab w:leader="none" w:pos="1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and certain allocated payroll and employee-related expenses (including stock-based compensation and salaries) for personnel engaged in research and development functions;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drug products for use in our preclinical studies and clinical trials; and</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5" w:name="page86"/>
    <w:bookmarkEnd w:id="85"/>
    <w:p>
      <w:pPr>
        <w:ind w:left="1520" w:hanging="378"/>
        <w:spacing w:after="0"/>
        <w:tabs>
          <w:tab w:leader="none" w:pos="1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expenses, which include direct and allocated expenses for rent of our laboratory.</w:t>
      </w:r>
    </w:p>
    <w:p>
      <w:pPr>
        <w:spacing w:after="0" w:line="225"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 to completion of specific tasks or patient dosing using information provided to us by our service providers.</w:t>
      </w:r>
    </w:p>
    <w:p>
      <w:pPr>
        <w:spacing w:after="0" w:line="176"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 For the years ended December 31, 2018 and 2019 and for the six months ended June 30, 2019 and 2020, substantially all of our research and development expenses are attributable to our TP-03 program for Demodex blepharitis.</w:t>
      </w:r>
    </w:p>
    <w:p>
      <w:pPr>
        <w:spacing w:after="0" w:line="183"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such as TP-03, generally have higher development costs than those in earlier stages of clinical development, primarily due to the increased size and duration of later-stage clinical trials. We expect our research and development expenses to increase substantially following this offering and in the future, as we seek to initiate and progress additional clinical trials for our product candidates, including TP-03 for the potential treatment of MGD, TP-04 for the potential treatment of rosacea and TP-05 for potential Lyme prophylaxis and community malaria reduction, complete our clinical programs, pursue regulatory approval of our product candidates, and prepare for the possible commercialization of these product candidates. The successful development of our product candidates is highly uncertain. As this time, we cannot precisely estimate the aggregate costs required to complete significant portions of our clinical programs or additional costs associated with the validation of our contract manufacturers and suppliers as required by the FDA. See “Risk Factors” for a discussion of risks and uncertainties associated with our research and development projects.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of personnel-related costs including payroll, benefits, and stock-based compensation for our executive, finance, and other administrative functions. Other general and administrative expenses include consulting fees, legal services, rent and other facilities costs, and other general operating expenses not otherwise classified as research and development expenses.</w:t>
      </w:r>
    </w:p>
    <w:p>
      <w:pPr>
        <w:spacing w:after="0" w:line="176" w:lineRule="exact"/>
        <w:rPr>
          <w:sz w:val="20"/>
          <w:szCs w:val="20"/>
          <w:color w:val="auto"/>
        </w:rPr>
      </w:pPr>
    </w:p>
    <w:p>
      <w:pPr>
        <w:ind w:right="400" w:firstLine="1018"/>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in the future as a result of expanding our operations, including hiring personal, preparing for potential commercialization of our product candidates, and additional facility occupancy costs, as well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interest expense on our convertible promissory notes, other expense from the change in fair value of the derivative liabilities associated with the promissory notes and losses recorded on the extinguishment of convertible promissory notes. Interest expense is comprised of coupon interest, amortization of debt issuance costs, and non-cash accretion of an estimated discount on the convertible promissory notes (as part of the separate recognition of an embedded derivative liability). Our recognized interest expense was partially offset by interest income earned on our cash and cash equivalents.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9"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Since our inception, we have not recorded any U.S. federal or state income tax benefits for the net operating losses we have incurred in each year, or for our earned research and development tax credits, due to our uncertainty of realizing a benefit from either. As of December 31, 2019, we had deferred tax assets including federal and state net operating loss carryforwards of $1.3 million. As a result of the Tax Cuts and Jobs Act of 2017, net operating losses (for U.S. income tax purposes) generated prior to December 31, 2018 can be carried forward for up to 20 years, while net operating losses generated after December 31, 2017 can be carried forward indefinitely, but are limited to 80% utilization against taxable income. Our California net operating losses will begin to expire in 2037. At December 31, 2019, we had federal and California research and development tax credits of $0.1 million each. The federal research and development tax credits begin to expire in 2037 unless previously utilized, and the California credit carryforwards are available indefinitely.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83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2020</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313"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9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60" w:type="dxa"/>
            <w:vAlign w:val="bottom"/>
          </w:tcPr>
          <w:p>
            <w:pPr>
              <w:spacing w:after="0"/>
              <w:rPr>
                <w:sz w:val="19"/>
                <w:szCs w:val="19"/>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 before other income</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(expense) and income taxes</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(5,381)</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income (expense),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Research and development expenses increased by $1.2 million for the six months ended June 30, 2020. The increase was primarily due to</w:t>
      </w:r>
    </w:p>
    <w:p>
      <w:pPr>
        <w:spacing w:after="0" w:line="27" w:lineRule="exact"/>
        <w:rPr>
          <w:sz w:val="20"/>
          <w:szCs w:val="20"/>
          <w:color w:val="auto"/>
        </w:rPr>
      </w:pPr>
    </w:p>
    <w:p>
      <w:pPr>
        <w:ind w:right="80" w:firstLine="8"/>
        <w:spacing w:after="0" w:line="255" w:lineRule="auto"/>
        <w:tabs>
          <w:tab w:leader="none" w:pos="2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manufacturing and development activities of $0.8 million to support our clinical studies, and (ii) increased payroll and personnel-related expenses (including stock-based compensation) of $0.4 million due to additional clinical and formulation development employees to drive our product development initiatives.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10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$1.6 million for the six months ended June 30, 2020. The increase was primarily due to $0.8 million increase in payroll and personnel-related expenses (including stock-based compensation) for employee additions and $0.7 million increase from market research activities and other professional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ind w:right="180" w:firstLine="1018"/>
        <w:spacing w:after="0" w:line="282" w:lineRule="auto"/>
        <w:rPr>
          <w:sz w:val="20"/>
          <w:szCs w:val="20"/>
          <w:color w:val="auto"/>
        </w:rPr>
      </w:pPr>
      <w:r>
        <w:rPr>
          <w:rFonts w:ascii="Times New Roman" w:cs="Times New Roman" w:eastAsia="Times New Roman" w:hAnsi="Times New Roman"/>
          <w:sz w:val="18"/>
          <w:szCs w:val="18"/>
          <w:color w:val="auto"/>
        </w:rPr>
        <w:t>The increase in interest income (expense), net of $0.2 million was primarily due to interest earned on our money market funds from the proceeds from the issuance of our Series B convertible preferred stock in December 2019.</w:t>
      </w:r>
    </w:p>
    <w:p>
      <w:pPr>
        <w:spacing w:after="0" w:line="1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84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549"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2018 and 2019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10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9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3,162</w:t>
            </w:r>
          </w:p>
        </w:tc>
        <w:tc>
          <w:tcPr>
            <w:tcW w:w="1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1,136</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4,298</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05"/>
        </w:trPr>
        <w:tc>
          <w:tcPr>
            <w:tcW w:w="59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 before other income</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(expense) and income taxes</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26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income (expense), net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Research and development expenses increased by $2.3 million for the year ended December 31, 2019. The increase was primarily due to</w:t>
      </w:r>
    </w:p>
    <w:p>
      <w:pPr>
        <w:spacing w:after="0" w:line="27" w:lineRule="exact"/>
        <w:rPr>
          <w:sz w:val="20"/>
          <w:szCs w:val="20"/>
          <w:color w:val="auto"/>
        </w:rPr>
      </w:pPr>
    </w:p>
    <w:p>
      <w:pPr>
        <w:ind w:right="160" w:firstLine="8"/>
        <w:spacing w:after="0" w:line="265" w:lineRule="auto"/>
        <w:tabs>
          <w:tab w:leader="none" w:pos="21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one-time upfront payment for the Eye and Derm Elanco Agreement, (ii) increased payroll and personnel related expenses (including stock-based compensation) of $0.9 million due to additional clinical and formulation development employees to drive our product development initiatives, and</w:t>
      </w:r>
    </w:p>
    <w:p>
      <w:pPr>
        <w:ind w:left="320" w:hanging="312"/>
        <w:spacing w:after="0"/>
        <w:tabs>
          <w:tab w:leader="none" w:pos="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clinical study site costs of $1.3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180" w:firstLine="10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$0.7 million for the year ended December 31, 2019. The increase was primarily due to $0.5 million increase in payroll and personnel-related expenses (including stock-based compensation) for employee additions and $0.2 million increase primarily from legal service costs and market research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The change in interest income (expense), net was primarily due to convertible promissory notes issued to our co-founders and certain other related parties, aggregating $2.0 million in principal value (see below). During the year ended December 31, 2019 interest expense recognized for these notes was $0.1 million and was partially offset by interest income on our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Liabilities</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During May, August, and October 2019, we issued convertible promissory notes to our co-founders and certain other related parties, aggregating $2.0 million in principal value. These notes contained stock-settled redemption features that were required to be separately accounted for as derivative liabilities on the balance sheet until December 13, 2019 when we completed a qualified equity financing and these then-outstanding notes converted at the option of the holder into 2.0 million shares of Series B Preferred Stock. Change in fair value of derivative liabilities consists of non-cash changes in the fair value of these stock-settled redemption features. We classified the rights as a derivative liability on our balance sheet that was initially recorded at fair value and that we remeasured to fair value at December 13, 2019, and we recognized changes in the fair value of the derivative associated with the rights as a component of other income (expense) in our statement of operations.</w:t>
      </w:r>
    </w:p>
    <w:p>
      <w:pPr>
        <w:spacing w:after="0" w:line="1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85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549"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Convertible Notes</w:t>
      </w:r>
    </w:p>
    <w:p>
      <w:pPr>
        <w:spacing w:after="0" w:line="229"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The loss on extinguishment of convertible notes was due to the extinguishment of convertible promissory notes issued to our co-founders and certain other related parties, aggregating $2.0 million in principal value (see below). On December 13, 2019 we completed the issuance of Series B Preferred Stock upon which the then-outstanding notes, along with accrued interest, converted into 2.0 million shares of Series B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320" w:firstLine="1018"/>
        <w:spacing w:after="0" w:line="258" w:lineRule="auto"/>
        <w:rPr>
          <w:sz w:val="20"/>
          <w:szCs w:val="20"/>
          <w:color w:val="auto"/>
        </w:rPr>
      </w:pPr>
      <w:r>
        <w:rPr>
          <w:rFonts w:ascii="Times New Roman" w:cs="Times New Roman" w:eastAsia="Times New Roman" w:hAnsi="Times New Roman"/>
          <w:sz w:val="18"/>
          <w:szCs w:val="18"/>
          <w:color w:val="auto"/>
        </w:rPr>
        <w:t>Since our inception in 2016 through June 30, 2020, our operations have been substantially financed by net cash proceeds of $61.0 million from private placements of Series A and Series B preferred stock. We will continue to be dependent upon equity, debt financing, and/or other forms of capital raises at least until we are able to generate significant positive cash flows from our operations. As of June 30, 2020, we had cash and cash equivalents of $53.1 million. We have no ongoing material financing commitments, such as lines of credit or guarantees, that are expected to affect our liquidity over the next five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160" w:firstLine="101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expenditures, consisting of research and development expenses (including activities within our pre-clinical, clinical, regulatory, and drug manufacturing initiatives) and general and administrative expenses. Our use of cash is impacted by the timing and extent of the required payments for each of these activities.</w:t>
      </w:r>
    </w:p>
    <w:p>
      <w:pPr>
        <w:spacing w:after="0" w:line="176"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We believe that the net proceeds from this offering, in combination with our existing cash and cash equivalents, will enable us to fund our operating expenses and capital expenditure requirements into 20 . We have based these estimates on our current assumptions that may require future adjustments based on our ongoing business decisions. Accordingly, we may require additional capital resources earlier than we currently expect.</w:t>
      </w:r>
    </w:p>
    <w:p>
      <w:pPr>
        <w:spacing w:after="0" w:line="176"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product revenue unless and until we (1) complete development of any of our product candidates; (2) obtain applicable regulatory approvals; and (3) successfully commercialize or enter into collaborative agreements for our product candidates. We do not know with certainty when, or if, any of these items will ultimately occur. We expect to incur continuing significant losses for the foreseeable future and our losses to increase as we ramp up our clinical development programs and begin activities related to commercial launch readiness. We may encounter unforeseen expenses, difficulties, complications, delays and other currently unknown factors that could adversely affect our business. Moreover, following the completion of this offering, we will incur material incremental costs in operating as a publicly traded company.</w:t>
      </w:r>
    </w:p>
    <w:p>
      <w:pPr>
        <w:spacing w:after="0" w:line="189"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We will require additional capital to develop our product candidates and fund our operations into the foreseeable future. We anticipate that we will eventually need to raise substantial additional capital, the requirements for which will depend on many factors, including:</w:t>
      </w:r>
    </w:p>
    <w:p>
      <w:pPr>
        <w:spacing w:after="0" w:line="162" w:lineRule="exact"/>
        <w:rPr>
          <w:sz w:val="20"/>
          <w:szCs w:val="20"/>
          <w:color w:val="auto"/>
        </w:rPr>
      </w:pPr>
    </w:p>
    <w:p>
      <w:pPr>
        <w:ind w:left="1520" w:right="280" w:hanging="378"/>
        <w:spacing w:after="0" w:line="282" w:lineRule="auto"/>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efforts, preclinical development activities,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preparing for and undergoing regulatory review of our product candidates;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development and commercial manufacturing activities;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225" w:lineRule="exact"/>
        <w:rPr>
          <w:rFonts w:ascii="Times New Roman" w:cs="Times New Roman" w:eastAsia="Times New Roman" w:hAnsi="Times New Roman"/>
          <w:sz w:val="18"/>
          <w:szCs w:val="18"/>
          <w:color w:val="auto"/>
        </w:rPr>
      </w:pPr>
    </w:p>
    <w:p>
      <w:pPr>
        <w:ind w:left="1520" w:right="40" w:hanging="378"/>
        <w:spacing w:after="0" w:line="282" w:lineRule="auto"/>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161" w:lineRule="exact"/>
        <w:rPr>
          <w:rFonts w:ascii="Times New Roman" w:cs="Times New Roman" w:eastAsia="Times New Roman" w:hAnsi="Times New Roman"/>
          <w:sz w:val="18"/>
          <w:szCs w:val="18"/>
          <w:color w:val="auto"/>
        </w:rPr>
      </w:pPr>
    </w:p>
    <w:p>
      <w:pPr>
        <w:ind w:left="1520" w:right="400" w:hanging="378"/>
        <w:spacing w:after="0" w:line="282" w:lineRule="auto"/>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might have at such time;</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15"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9" w:name="page90"/>
    <w:bookmarkEnd w:id="89"/>
    <w:p>
      <w:pPr>
        <w:ind w:left="1520" w:right="580" w:hanging="378"/>
        <w:spacing w:after="0" w:line="282" w:lineRule="auto"/>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1520" w:right="80" w:hanging="378"/>
        <w:spacing w:after="0" w:line="282" w:lineRule="auto"/>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 systems;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COVID-19 on our clinical development or operations;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prospectus titled “Risk Factors” for additional risks associated with our substantial capital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From May 2019 through October 2019, we issued convertible promissory notes with an aggregate principal amount of $2.0 million. These notes were fully converted into an aggregate of 1,991,052 shares of Series B Preferred Stock in December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each of the periods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740" w:type="dxa"/>
            <w:vAlign w:val="bottom"/>
            <w:gridSpan w:val="4"/>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00" w:type="dxa"/>
            <w:vAlign w:val="bottom"/>
          </w:tcPr>
          <w:p>
            <w:pPr>
              <w:spacing w:after="0"/>
              <w:rPr>
                <w:sz w:val="13"/>
                <w:szCs w:val="13"/>
                <w:color w:val="auto"/>
              </w:rPr>
            </w:pP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04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55"/>
        </w:trPr>
        <w:tc>
          <w:tcPr>
            <w:tcW w:w="1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700" w:type="dxa"/>
            <w:vAlign w:val="bottom"/>
          </w:tcPr>
          <w:p>
            <w:pPr>
              <w:spacing w:after="0"/>
              <w:rPr>
                <w:sz w:val="13"/>
                <w:szCs w:val="13"/>
                <w:color w:val="auto"/>
              </w:rPr>
            </w:pPr>
          </w:p>
        </w:tc>
      </w:tr>
      <w:tr>
        <w:trPr>
          <w:trHeight w:val="156"/>
        </w:trPr>
        <w:tc>
          <w:tcPr>
            <w:tcW w:w="1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4"/>
          </w:tcPr>
          <w:p>
            <w:pPr>
              <w:jc w:val="center"/>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4"/>
          </w:tcPr>
          <w:p>
            <w:pPr>
              <w:jc w:val="center"/>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Pr>
          <w:p>
            <w:pPr>
              <w:spacing w:after="0"/>
              <w:rPr>
                <w:sz w:val="13"/>
                <w:szCs w:val="13"/>
                <w:color w:val="auto"/>
              </w:rPr>
            </w:pPr>
          </w:p>
        </w:tc>
      </w:tr>
      <w:tr>
        <w:trPr>
          <w:trHeight w:val="229"/>
        </w:trPr>
        <w:tc>
          <w:tcPr>
            <w:tcW w:w="170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3,564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59,445</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107</w:t>
            </w:r>
          </w:p>
        </w:tc>
        <w:tc>
          <w:tcPr>
            <w:tcW w:w="1700" w:type="dxa"/>
            <w:vAlign w:val="bottom"/>
          </w:tcPr>
          <w:p>
            <w:pPr>
              <w:spacing w:after="0"/>
              <w:rPr>
                <w:sz w:val="19"/>
                <w:szCs w:val="19"/>
                <w:color w:val="auto"/>
              </w:rPr>
            </w:pPr>
          </w:p>
        </w:tc>
      </w:tr>
      <w:tr>
        <w:trPr>
          <w:trHeight w:val="205"/>
        </w:trPr>
        <w:tc>
          <w:tcPr>
            <w:tcW w:w="1700" w:type="dxa"/>
            <w:vAlign w:val="bottom"/>
          </w:tcPr>
          <w:p>
            <w:pPr>
              <w:spacing w:after="0"/>
              <w:rPr>
                <w:sz w:val="17"/>
                <w:szCs w:val="17"/>
                <w:color w:val="auto"/>
              </w:rPr>
            </w:pPr>
          </w:p>
        </w:tc>
        <w:tc>
          <w:tcPr>
            <w:tcW w:w="3960" w:type="dxa"/>
            <w:vAlign w:val="bottom"/>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increase in cash, cash equivalents and restricted</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70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55,597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70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68"/>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87</w:t>
            </w:r>
            <w:r>
              <w:rPr>
                <w:rFonts w:ascii="Times New Roman" w:cs="Times New Roman" w:eastAsia="Times New Roman" w:hAnsi="Times New Roman"/>
                <w:sz w:val="22"/>
                <w:szCs w:val="22"/>
                <w:color w:val="auto"/>
              </w:rPr>
              <w: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3"/>
        </w:trPr>
        <w:tc>
          <w:tcPr>
            <w:tcW w:w="170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90" w:name="page91"/>
    <w:bookmarkEnd w:id="90"/>
    <w:p>
      <w:pPr>
        <w:ind w:left="102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340" w:firstLine="101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$1.2 million for the year ended December 31, 2018, which was primarily due to our net loss of $1.3 million, partially offset by an increase in accrued liabilities of $0.1 million associated with clinical and manufacturing activities.</w:t>
      </w:r>
    </w:p>
    <w:p>
      <w:pPr>
        <w:spacing w:after="0" w:line="162" w:lineRule="exact"/>
        <w:rPr>
          <w:sz w:val="20"/>
          <w:szCs w:val="20"/>
          <w:color w:val="auto"/>
        </w:rPr>
      </w:pPr>
    </w:p>
    <w:p>
      <w:pPr>
        <w:jc w:val="both"/>
        <w:ind w:right="180" w:firstLine="101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$3.7 million for the year ended December 31, 2019, which primarily consisted of our net loss of $4.7 million, partially offset by non-cash items totaling $0.5 million and a net increase in liabilities of $0.5 million associated with accounts payable and accrued bonuses.</w:t>
      </w:r>
    </w:p>
    <w:p>
      <w:pPr>
        <w:spacing w:after="0" w:line="176" w:lineRule="exact"/>
        <w:rPr>
          <w:sz w:val="20"/>
          <w:szCs w:val="20"/>
          <w:color w:val="auto"/>
        </w:rPr>
      </w:pPr>
    </w:p>
    <w:p>
      <w:pPr>
        <w:jc w:val="both"/>
        <w:ind w:right="180" w:firstLine="101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$2.3 million for the six months ended June 30, 2019, which primarily consisted of our net loss of $2.6 million, partially offset by a net increase in liabilities of $0.2 million associated with accounts payable and other accrued liabilities.</w:t>
      </w:r>
    </w:p>
    <w:p>
      <w:pPr>
        <w:spacing w:after="0" w:line="162" w:lineRule="exact"/>
        <w:rPr>
          <w:sz w:val="20"/>
          <w:szCs w:val="20"/>
          <w:color w:val="auto"/>
        </w:rPr>
      </w:pPr>
    </w:p>
    <w:p>
      <w:pPr>
        <w:jc w:val="both"/>
        <w:ind w:right="180" w:firstLine="101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$4.6 million for the six months ended June 30, 2020, which primarily consisted of our net loss of $5.2 million, partially offset by non-cash items totaling $0.2 million and a net increase in liabilities of $0.4 million associated with accounts payable and other accrued liabilities.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Net cash used in investing activities was $7 thousand for the year ended December 31, 2018, which consisted of 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w:t>
      </w:r>
    </w:p>
    <w:p>
      <w:pPr>
        <w:spacing w:after="0" w:line="207" w:lineRule="exact"/>
        <w:rPr>
          <w:sz w:val="20"/>
          <w:szCs w:val="20"/>
          <w:color w:val="auto"/>
        </w:rPr>
      </w:pPr>
    </w:p>
    <w:p>
      <w:pPr>
        <w:ind w:right="300" w:firstLine="101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year ended December 31, 2019, which consisted of property and equipment purchases and tenant improvements to our leased laboratory and administrative offices.</w:t>
      </w:r>
    </w:p>
    <w:p>
      <w:pPr>
        <w:spacing w:after="0" w:line="162"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$0.1 million for the six months ended June 30, 2019, which consisted of property and equipment purchases and tenant improvements to our leased laboratory and administrative offices.</w:t>
      </w:r>
    </w:p>
    <w:p>
      <w:pPr>
        <w:spacing w:after="0" w:line="162"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$0.4 million for the six months ended June 30, 2020, which consisted of property and equipment purchases and tenant improvements to our new leased laboratory and administrative offices.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Net cash provided by financing activities was $3.6 million for the year ended December 31, 2018 due to our issuance of Series A preferred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ind w:right="60" w:firstLine="101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$59.4 million for the year ended December 31, 2019 due to our issuance of Series B preferred stock for net proceeds of $57.5 million and issuance of convertible promissory notes for proceeds of $2.0 million.</w:t>
      </w:r>
    </w:p>
    <w:p>
      <w:pPr>
        <w:spacing w:after="0" w:line="162" w:lineRule="exact"/>
        <w:rPr>
          <w:sz w:val="20"/>
          <w:szCs w:val="20"/>
          <w:color w:val="auto"/>
        </w:rPr>
      </w:pPr>
    </w:p>
    <w:p>
      <w:pPr>
        <w:ind w:right="580" w:firstLine="101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$0.5 million for the six months ended June 30, 2019 due to our issuance of convertible promissory notes for proceeds of $0.5 million.</w:t>
      </w:r>
    </w:p>
    <w:p>
      <w:pPr>
        <w:spacing w:after="0" w:line="162"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six months ended June 30, 2020 due to proceeds from the early exercise of stock options of $0.1 million.</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88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5" w:right="4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220" w:type="dxa"/>
            <w:vAlign w:val="bottom"/>
          </w:tcPr>
          <w:p>
            <w:pPr>
              <w:spacing w:after="0"/>
              <w:rPr>
                <w:sz w:val="11"/>
                <w:szCs w:val="11"/>
                <w:color w:val="auto"/>
              </w:rPr>
            </w:pPr>
          </w:p>
        </w:tc>
        <w:tc>
          <w:tcPr>
            <w:tcW w:w="900" w:type="dxa"/>
            <w:vAlign w:val="bottom"/>
            <w:vMerge w:val="restart"/>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More</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20" w:type="dxa"/>
            <w:vAlign w:val="bottom"/>
          </w:tcPr>
          <w:p>
            <w:pPr>
              <w:spacing w:after="0"/>
              <w:rPr>
                <w:sz w:val="12"/>
                <w:szCs w:val="12"/>
                <w:color w:val="auto"/>
              </w:rPr>
            </w:pPr>
          </w:p>
        </w:tc>
        <w:tc>
          <w:tcPr>
            <w:tcW w:w="9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15"/>
                <w:szCs w:val="15"/>
                <w:color w:val="auto"/>
              </w:rPr>
              <w:t>(1)</w:t>
            </w:r>
          </w:p>
        </w:tc>
        <w:tc>
          <w:tcPr>
            <w:tcW w:w="1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Contingent milestone obligations </w:t>
            </w:r>
            <w:r>
              <w:rPr>
                <w:rFonts w:ascii="Times New Roman" w:cs="Times New Roman" w:eastAsia="Times New Roman" w:hAnsi="Times New Roman"/>
                <w:sz w:val="15"/>
                <w:szCs w:val="15"/>
                <w:color w:val="auto"/>
              </w:rPr>
              <w:t>(2)</w:t>
            </w:r>
          </w:p>
        </w:tc>
        <w:tc>
          <w:tcPr>
            <w:tcW w:w="1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85,183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72"/>
        <w:spacing w:after="0"/>
        <w:tabs>
          <w:tab w:leader="none" w:pos="3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lease obligations are related to the facility lease for our corporate headquarters and research and development facility in Irvine, California, expiring April 30, 2022.</w:t>
      </w:r>
    </w:p>
    <w:p>
      <w:pPr>
        <w:spacing w:after="0" w:line="203" w:lineRule="exact"/>
        <w:rPr>
          <w:rFonts w:ascii="Times New Roman" w:cs="Times New Roman" w:eastAsia="Times New Roman" w:hAnsi="Times New Roman"/>
          <w:sz w:val="14"/>
          <w:szCs w:val="14"/>
          <w:color w:val="auto"/>
        </w:rPr>
      </w:pPr>
    </w:p>
    <w:p>
      <w:pPr>
        <w:ind w:left="380" w:hanging="372"/>
        <w:spacing w:after="0" w:line="236" w:lineRule="auto"/>
        <w:tabs>
          <w:tab w:leader="none" w:pos="3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are successfully met. These values in each column represent the composite best estimates for each achievement date. If any or all milestones are met, we believe that the corresponding increase in value from the related drug program will exceed the amount of our milestone obligation.</w:t>
      </w:r>
    </w:p>
    <w:p>
      <w:pPr>
        <w:spacing w:after="0" w:line="181"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(i) clinical research organizations and clinical sites, (ii) contract manufacturers for pre-clinical and clinical drug supply, (iii) regulatory consultants and (iv) various other vendors in operating our business. These contracts generally provide for termination provisions with notice, and therefore we believe that our non-cancelable obligations under these agreements were not material as of December 31, 2019.</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220" w:type="dxa"/>
            <w:vAlign w:val="bottom"/>
          </w:tcPr>
          <w:p>
            <w:pPr>
              <w:spacing w:after="0"/>
              <w:rPr>
                <w:sz w:val="11"/>
                <w:szCs w:val="11"/>
                <w:color w:val="auto"/>
              </w:rPr>
            </w:pPr>
          </w:p>
        </w:tc>
        <w:tc>
          <w:tcPr>
            <w:tcW w:w="8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More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8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15"/>
                <w:szCs w:val="15"/>
                <w:color w:val="auto"/>
              </w:rPr>
              <w:t>(1)</w:t>
            </w:r>
          </w:p>
        </w:tc>
        <w:tc>
          <w:tcPr>
            <w:tcW w:w="1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Contingent milestone obligations </w:t>
            </w:r>
            <w:r>
              <w:rPr>
                <w:rFonts w:ascii="Times New Roman" w:cs="Times New Roman" w:eastAsia="Times New Roman" w:hAnsi="Times New Roman"/>
                <w:sz w:val="15"/>
                <w:szCs w:val="15"/>
                <w:color w:val="auto"/>
              </w:rPr>
              <w:t>(2)</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15"/>
                <w:szCs w:val="15"/>
                <w:color w:val="auto"/>
              </w:rPr>
              <w:t>(3)</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420" w:hanging="372"/>
        <w:spacing w:after="0" w:line="261" w:lineRule="auto"/>
        <w:tabs>
          <w:tab w:leader="none" w:pos="3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lease obligations are related to the facility lease for our corporate headquarters and research and development facility in Irvine, California, expiring April 30, 2022 and January 31, 2024.</w:t>
      </w:r>
    </w:p>
    <w:p>
      <w:pPr>
        <w:spacing w:after="0" w:line="176" w:lineRule="exact"/>
        <w:rPr>
          <w:rFonts w:ascii="Times New Roman" w:cs="Times New Roman" w:eastAsia="Times New Roman" w:hAnsi="Times New Roman"/>
          <w:sz w:val="14"/>
          <w:szCs w:val="14"/>
          <w:color w:val="auto"/>
        </w:rPr>
      </w:pPr>
    </w:p>
    <w:p>
      <w:pPr>
        <w:ind w:left="380" w:hanging="372"/>
        <w:spacing w:after="0" w:line="236" w:lineRule="auto"/>
        <w:tabs>
          <w:tab w:leader="none" w:pos="3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are successfully met. These values in each column represent the composite best estimates for each achievement date. If any or all milestones are met, we believe that the corresponding increase in value from the related drug program will exceed the amount of our milestone obligation.</w:t>
      </w:r>
    </w:p>
    <w:p>
      <w:pPr>
        <w:spacing w:after="0" w:line="176" w:lineRule="exact"/>
        <w:rPr>
          <w:rFonts w:ascii="Times New Roman" w:cs="Times New Roman" w:eastAsia="Times New Roman" w:hAnsi="Times New Roman"/>
          <w:sz w:val="14"/>
          <w:szCs w:val="14"/>
          <w:color w:val="auto"/>
        </w:rPr>
      </w:pPr>
    </w:p>
    <w:p>
      <w:pPr>
        <w:ind w:left="380" w:right="20" w:hanging="372"/>
        <w:spacing w:after="0" w:line="236" w:lineRule="auto"/>
        <w:tabs>
          <w:tab w:leader="none" w:pos="3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represent the amount of open purchase orders and contractual commitments to vendors for products and services that have not been delivered or rendered, as of June 30, 2020. We enter contracts in the normal course of business with clinical research organizations and clinical sites and with contract manufacturers for pre-clinical and clinical drug supply, as well as with various other vendors in operating our business. These contracts generally provide for termination provisions with notice. The values in each column represent the obligations that are non-cancelable as of June 30,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89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2" w:name="page93"/>
    <w:bookmarkEnd w:id="92"/>
    <w:p>
      <w:pPr>
        <w:ind w:firstLine="1018"/>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also included in this registration statement, we believe these critical accounting policies are the most important to understanding and evaluating our reported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w:t>
      </w:r>
    </w:p>
    <w:p>
      <w:pPr>
        <w:spacing w:after="0" w:line="180"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We have entered, and may continue to enter into, license agreements to access and utilize certain technology. In each case, we evaluate if the assets acquired in a transaction represent the acquisition of an asset or a business, as defined under applicable GAAP. Our only executed in-license agreement was evaluated and determined to represent an asset acquisition. Because this asset had not yet received regulatory approval and has no alternative future use, its fair value was immediately recognized as research and development expense.</w:t>
      </w:r>
    </w:p>
    <w:p>
      <w:pPr>
        <w:spacing w:after="0" w:line="180" w:lineRule="exact"/>
        <w:rPr>
          <w:sz w:val="20"/>
          <w:szCs w:val="20"/>
          <w:color w:val="auto"/>
        </w:rPr>
      </w:pPr>
    </w:p>
    <w:p>
      <w:pPr>
        <w:ind w:right="260" w:firstLine="1018"/>
        <w:spacing w:after="0" w:line="258" w:lineRule="auto"/>
        <w:rPr>
          <w:sz w:val="20"/>
          <w:szCs w:val="20"/>
          <w:color w:val="auto"/>
        </w:rPr>
      </w:pPr>
      <w:r>
        <w:rPr>
          <w:rFonts w:ascii="Times New Roman" w:cs="Times New Roman" w:eastAsia="Times New Roman" w:hAnsi="Times New Roman"/>
          <w:sz w:val="18"/>
          <w:szCs w:val="18"/>
          <w:color w:val="auto"/>
        </w:rPr>
        <w:t>We make research and development expense accrual estimates as of each balance sheet date, based on facts known to us at that time.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the service providers, including CROs, and record adjustments, if necessary. To date, there have been no material differences between our estimates of such expenses and the amounts actually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1018"/>
        <w:spacing w:after="0" w:line="266" w:lineRule="auto"/>
        <w:rPr>
          <w:sz w:val="20"/>
          <w:szCs w:val="20"/>
          <w:color w:val="auto"/>
        </w:rPr>
      </w:pPr>
      <w:r>
        <w:rPr>
          <w:rFonts w:ascii="Times New Roman" w:cs="Times New Roman" w:eastAsia="Times New Roman" w:hAnsi="Times New Roman"/>
          <w:sz w:val="18"/>
          <w:szCs w:val="18"/>
          <w:color w:val="auto"/>
        </w:rPr>
        <w:t>We measure and recognize compensation expense for all options based on the estimated fair value of the award on the grant date. We use the Black-Scholes option-pricing model to estimate the fair value of awarded stock options. The fair value is recognized as expense on a straight-line or ratable basis over the requisite or implicit service period.</w:t>
      </w:r>
    </w:p>
    <w:p>
      <w:pPr>
        <w:spacing w:after="0" w:line="176"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17"/>
          <w:szCs w:val="17"/>
          <w:color w:val="auto"/>
        </w:rPr>
        <w:t>The determination of the grant date fair value of options using an option pricing model is affected principally by our estimated fair value of shares of our common stock and requires management to make a number of other assumptions, including the (a) the fair value of Tarsus common stock on the date of the option grant, (b) the expected term of the stock option until its exercise by the recipient, (c) our stock price volatility over the expected term,</w:t>
      </w:r>
    </w:p>
    <w:p>
      <w:pPr>
        <w:spacing w:after="0" w:line="2" w:lineRule="exact"/>
        <w:rPr>
          <w:sz w:val="20"/>
          <w:szCs w:val="20"/>
          <w:color w:val="auto"/>
        </w:rPr>
      </w:pP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risk-free interest rate over the expected term, and (e) our expected dividend payments over the expected term.</w:t>
      </w:r>
    </w:p>
    <w:p>
      <w:pPr>
        <w:spacing w:after="0" w:line="197"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3" w:name="page94"/>
    <w:bookmarkEnd w:id="93"/>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The assumptions used in our Black-Scholes option-pricing model represent management’s best estimates at the time of measurement. These estimates are complex and involve several variables, uncertainties, and assumptions and the application of management’s judgment. If any assumptions change, our stock-based compensation expense could be materially different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Common Stock</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 xml:space="preserve">We are required to periodically estimate the fair value of our common stock in order properly apply the Black-Scholes option pricing model to value our issued stock options to employees, board members, and consultants. The fair value of our common stock is the most subjective input into this option pricing model. The fair value of our common stock underlying our stock-based awards at the time of issuance was derived with the assistance of an independent and qualified valuation expert. All options to purchase shares of our common stock are intended to be granted with an exercise price per share no less than the fair value per share of our common stock on the date of grant, based on the information known to us on the date of grant. In the absence of a public trading market for our common stock, the estimated fair value of our common stock has been determined by our board of directors, with input from management, taking into consideration our most recently available third-party valuations of our common stock at the time of the grants, as well as our board of directors’ assessment of additional objective and subjective factors that it believed were relevant and which may have changed from the date of the most recent valuation report through the date of the grant. Third-party valuations, or valuation reports, were performed in accordance with the guidance outlined in the American Institute of Certified Public Accountants’ </w:t>
      </w:r>
      <w:r>
        <w:rPr>
          <w:rFonts w:ascii="Times New Roman" w:cs="Times New Roman" w:eastAsia="Times New Roman" w:hAnsi="Times New Roman"/>
          <w:sz w:val="18"/>
          <w:szCs w:val="18"/>
          <w:i w:val="1"/>
          <w:iCs w:val="1"/>
          <w:color w:val="auto"/>
        </w:rPr>
        <w:t>Accounting and Valuation Guide, 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 or the Practice Aid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firstLine="1018"/>
        <w:spacing w:after="0" w:line="282" w:lineRule="auto"/>
        <w:rPr>
          <w:sz w:val="20"/>
          <w:szCs w:val="20"/>
          <w:color w:val="auto"/>
        </w:rPr>
      </w:pPr>
      <w:r>
        <w:rPr>
          <w:rFonts w:ascii="Times New Roman" w:cs="Times New Roman" w:eastAsia="Times New Roman" w:hAnsi="Times New Roman"/>
          <w:sz w:val="18"/>
          <w:szCs w:val="18"/>
          <w:color w:val="auto"/>
        </w:rPr>
        <w:t>In addition to contemporaneous third-party valuation reports, our board of directors also considered various objective and subjective factors, along with input from management, to determine the fair value of our common stock, including:</w:t>
      </w:r>
    </w:p>
    <w:p>
      <w:pPr>
        <w:spacing w:after="0" w:line="162" w:lineRule="exact"/>
        <w:rPr>
          <w:sz w:val="20"/>
          <w:szCs w:val="20"/>
          <w:color w:val="auto"/>
        </w:rPr>
      </w:pPr>
    </w:p>
    <w:p>
      <w:pPr>
        <w:ind w:left="1520" w:right="60" w:hanging="378"/>
        <w:spacing w:after="0" w:line="266" w:lineRule="auto"/>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Series A preferred stock and Series B preferred stock sold to investors in arm’s length transactions and the rights, preferences and privileges of such preferred stock as compared to those of our common stock, including the liquidation preferences of such preferred stock;</w:t>
      </w:r>
    </w:p>
    <w:p>
      <w:pPr>
        <w:spacing w:after="0" w:line="175" w:lineRule="exact"/>
        <w:rPr>
          <w:rFonts w:ascii="Times New Roman" w:cs="Times New Roman" w:eastAsia="Times New Roman" w:hAnsi="Times New Roman"/>
          <w:sz w:val="18"/>
          <w:szCs w:val="18"/>
          <w:color w:val="auto"/>
        </w:rPr>
      </w:pPr>
    </w:p>
    <w:p>
      <w:pPr>
        <w:ind w:left="1520" w:right="820" w:hanging="378"/>
        <w:spacing w:after="0" w:line="282" w:lineRule="auto"/>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position and the status of research and development and clinical development efforts and achievement of enterprise milestones;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and changes to, our management team and board of directors;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common stock as a private company;</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business strategy and the material risks related to our business and industry;</w:t>
      </w:r>
    </w:p>
    <w:p>
      <w:pPr>
        <w:spacing w:after="0" w:line="225" w:lineRule="exact"/>
        <w:rPr>
          <w:rFonts w:ascii="Times New Roman" w:cs="Times New Roman" w:eastAsia="Times New Roman" w:hAnsi="Times New Roman"/>
          <w:sz w:val="18"/>
          <w:szCs w:val="18"/>
          <w:color w:val="auto"/>
        </w:rPr>
      </w:pPr>
    </w:p>
    <w:p>
      <w:pPr>
        <w:ind w:left="1520" w:right="200" w:hanging="378"/>
        <w:spacing w:after="0" w:line="282" w:lineRule="auto"/>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publicly-traded companies in the life sciences and biotechnology sectors, as well as recently completed mergers and acquisitions of peer companies;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biotechnology industry sectors;</w:t>
      </w:r>
    </w:p>
    <w:p>
      <w:pPr>
        <w:spacing w:after="0" w:line="225" w:lineRule="exact"/>
        <w:rPr>
          <w:rFonts w:ascii="Times New Roman" w:cs="Times New Roman" w:eastAsia="Times New Roman" w:hAnsi="Times New Roman"/>
          <w:sz w:val="18"/>
          <w:szCs w:val="18"/>
          <w:color w:val="auto"/>
        </w:rPr>
      </w:pPr>
    </w:p>
    <w:p>
      <w:pPr>
        <w:ind w:left="1520" w:right="20" w:hanging="378"/>
        <w:spacing w:after="0" w:line="282" w:lineRule="auto"/>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IPO, or a sale of our company, given prevailing market conditions; and</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IPO market for similarly situated privately held biotechnology companies.</w:t>
      </w:r>
    </w:p>
    <w:p>
      <w:pPr>
        <w:spacing w:after="0" w:line="225"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62" w:lineRule="exact"/>
        <w:rPr>
          <w:sz w:val="20"/>
          <w:szCs w:val="20"/>
          <w:color w:val="auto"/>
        </w:rPr>
      </w:pPr>
    </w:p>
    <w:p>
      <w:pPr>
        <w:ind w:left="1520" w:right="60" w:hanging="378"/>
        <w:spacing w:after="0" w:line="266" w:lineRule="auto"/>
        <w:tabs>
          <w:tab w:leader="none" w:pos="1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Hybrid Option Pricing Method. Under the hybrid option pricing method, or OPM, shares are valued by taking into account the preferred stockholders’ liquidation preferences, participation rights, dividend policy, and conversion rights to determine how proceeds from a liquidity event shall be distributed among the various ownership classes at a future date.</w:t>
      </w:r>
    </w:p>
    <w:p>
      <w:pPr>
        <w:spacing w:after="0" w:line="175" w:lineRule="exact"/>
        <w:rPr>
          <w:rFonts w:ascii="Times New Roman" w:cs="Times New Roman" w:eastAsia="Times New Roman" w:hAnsi="Times New Roman"/>
          <w:sz w:val="18"/>
          <w:szCs w:val="18"/>
          <w:color w:val="auto"/>
        </w:rPr>
      </w:pPr>
    </w:p>
    <w:p>
      <w:pPr>
        <w:ind w:left="1520" w:right="260" w:hanging="378"/>
        <w:spacing w:after="0" w:line="266" w:lineRule="auto"/>
        <w:tabs>
          <w:tab w:leader="none" w:pos="1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The probability-weighted expected return method, or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66"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ind w:firstLine="1018"/>
        <w:spacing w:after="0" w:line="256" w:lineRule="auto"/>
        <w:rPr>
          <w:sz w:val="20"/>
          <w:szCs w:val="20"/>
          <w:color w:val="auto"/>
        </w:rPr>
      </w:pPr>
      <w:r>
        <w:rPr>
          <w:rFonts w:ascii="Times New Roman" w:cs="Times New Roman" w:eastAsia="Times New Roman" w:hAnsi="Times New Roman"/>
          <w:sz w:val="18"/>
          <w:szCs w:val="18"/>
          <w:color w:val="auto"/>
        </w:rPr>
        <w:t>Based on our early stage of development and other relevant factors, we determined that an OPM was the most appropriate method for allocating our enterprise value to determine the estimated fair value of our common stock for the valuation performed on May 31, 2018. For the valuation performed after this date which valued our common stock as of March 19, 2020, we also used an OPM method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87"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76" w:lineRule="exact"/>
        <w:rPr>
          <w:sz w:val="20"/>
          <w:szCs w:val="20"/>
          <w:color w:val="auto"/>
        </w:rPr>
      </w:pPr>
    </w:p>
    <w:p>
      <w:pPr>
        <w:jc w:val="both"/>
        <w:ind w:right="120" w:firstLine="1018"/>
        <w:spacing w:after="0" w:line="266"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in connection with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daily quoted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140" w:firstLine="1018"/>
        <w:spacing w:after="0" w:line="282"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the notes to which they relate within our financial statements also included in this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2019 or June 30,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right="60" w:firstLine="1018"/>
        <w:spacing w:after="0" w:line="266"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76"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following the fifth anniversary of the completion of this offering,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June 30, 2020, we had cash and cash equivalents of $53.1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83"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interest rate changes, or exchange rate fluctuations had a significant impact on our results of operations for any periods presented herein.</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92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Further, our estimates indicate the possibility that the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 To date, we have completed four Phase 2 trials for TP-03 in Demodex blepharitis, all of which showed statistically significant cure and eradication rates,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an NDA to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93"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We are advancing our pipeline to address a number of diseases across therapeutic categories including eye care, dermatology and other diseases with high, unmet needs. These diseases include Demodex blepharitis, MGD, rosacea, Lyme disease and malaria.</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pipeline chart presents our wholly-owned product candidates and clinical development status: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156845</wp:posOffset>
            </wp:positionV>
            <wp:extent cx="6163310" cy="2322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6331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hanging="372"/>
        <w:spacing w:after="0"/>
        <w:tabs>
          <w:tab w:leader="none" w:pos="3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milestones are subject to the impact of the ongoing COVID-19 pandemic on our business and those of our partners.</w:t>
      </w:r>
    </w:p>
    <w:p>
      <w:pPr>
        <w:spacing w:after="0" w:line="69" w:lineRule="exact"/>
        <w:rPr>
          <w:sz w:val="20"/>
          <w:szCs w:val="20"/>
          <w:color w:val="auto"/>
        </w:rPr>
      </w:pPr>
    </w:p>
    <w:p>
      <w:pPr>
        <w:ind w:left="380" w:right="60" w:hanging="372"/>
        <w:spacing w:after="0" w:line="233" w:lineRule="auto"/>
        <w:tabs>
          <w:tab w:leader="none" w:pos="3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ind w:left="380" w:right="580" w:hanging="372"/>
        <w:spacing w:after="0" w:line="239" w:lineRule="auto"/>
        <w:tabs>
          <w:tab w:leader="none" w:pos="3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intend to leverage all preclinical, Phase 2 and Phase 3 data from TP-03 Demodex blepharitis program. We intend to conduct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bioequivalence studies with our preservative-free formulation to compare it to the current preserved formulation of TP-03 in Demodex blepharitis after NDA submission and file a supplement.</w:t>
      </w:r>
    </w:p>
    <w:p>
      <w:pPr>
        <w:spacing w:after="0" w:line="171" w:lineRule="exact"/>
        <w:rPr>
          <w:rFonts w:ascii="Times New Roman" w:cs="Times New Roman" w:eastAsia="Times New Roman" w:hAnsi="Times New Roman"/>
          <w:sz w:val="14"/>
          <w:szCs w:val="14"/>
          <w:color w:val="auto"/>
        </w:rPr>
      </w:pPr>
    </w:p>
    <w:p>
      <w:pPr>
        <w:ind w:left="5540" w:hanging="132"/>
        <w:spacing w:after="0"/>
        <w:tabs>
          <w:tab w:leader="none" w:pos="554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6" w:name="page97"/>
    <w:bookmarkEnd w:id="96"/>
    <w:p>
      <w:pPr>
        <w:ind w:left="380" w:right="20" w:hanging="372"/>
        <w:spacing w:after="0" w:line="233" w:lineRule="auto"/>
        <w:tabs>
          <w:tab w:leader="none" w:pos="3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leverage data from TP-03 preclinical studies and augment with additional preclinical studies to select formulation in order to advance to Phase 1/2. We have not conducted any preclinical studies in rosacea with TP-04 to date.</w:t>
      </w:r>
    </w:p>
    <w:p>
      <w:pPr>
        <w:ind w:left="380" w:right="40" w:hanging="372"/>
        <w:spacing w:after="0" w:line="233" w:lineRule="auto"/>
        <w:tabs>
          <w:tab w:leader="none" w:pos="3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Lyme disease and malaria, we intend to leverage data from our TP-03 preclinical studies for Demodex blepharitis as well as third-party preclinical studies for Lyme disease or malaria, respectively (and will not conduct our own preclinical studies for Lyme disease and malaria). Subject to FDA feedback, we intend to conduct Phase 1/2 trials in these indications based on these preclinical studies. In relation to malaria, we may conduct our Phase 1/2 trial outside the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Blepharitis: A Significant, Underserved and Underdiagnosed Market</w:t>
      </w:r>
    </w:p>
    <w:p>
      <w:pPr>
        <w:spacing w:after="0" w:line="229" w:lineRule="exact"/>
        <w:rPr>
          <w:sz w:val="20"/>
          <w:szCs w:val="20"/>
          <w:color w:val="auto"/>
        </w:rPr>
      </w:pPr>
    </w:p>
    <w:p>
      <w:pPr>
        <w:ind w:right="20" w:firstLine="1018"/>
        <w:spacing w:after="0" w:line="252" w:lineRule="auto"/>
        <w:rPr>
          <w:sz w:val="20"/>
          <w:szCs w:val="20"/>
          <w:color w:val="auto"/>
        </w:rPr>
      </w:pPr>
      <w:r>
        <w:rPr>
          <w:rFonts w:ascii="Times New Roman" w:cs="Times New Roman" w:eastAsia="Times New Roman" w:hAnsi="Times New Roman"/>
          <w:sz w:val="18"/>
          <w:szCs w:val="18"/>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in the United States, and there is growing recognition within the ophthalmic community about Demodex mites as an underlying cause of blepharitis. Demodex mites are the most common ectoparasite found on humans. Demodex mites potentially cause approximately 45%, or approximately nine million, of blepharitis cases in the United States and we believe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In addition, there is growing awareness among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aging patients commonly present to the offices of ECPs for other ophthalmic conditions besides blepharitis, such as 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97"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ICD-10-CM.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187"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We have conducted epidemiology and market research on the prevalence of blepharitis and potential adoption of TP-03. Our research indicates approximately 58% of patients presenting to ECP offices have collarettes and, based on Gao (2005), all patients with collarettes were also found to have Demodex. This further validates the accessible opportunity to increase diagnosis rates among patients. In addition, our market research suggests the potential for a high level of adoption of TP-03, if approved. In our surveys, we interviewed 50 ECPs, 96% of whom indicated they would prescribe TP-03 as a first-line treatment for Demodex blepharitis after exposure to the TP-03 target product profile. See the section titled “Market Opportunity in Blepharitis</w:t>
      </w:r>
    </w:p>
    <w:p>
      <w:pPr>
        <w:spacing w:after="0" w:line="3" w:lineRule="exact"/>
        <w:rPr>
          <w:sz w:val="20"/>
          <w:szCs w:val="20"/>
          <w:color w:val="auto"/>
        </w:rPr>
      </w:pPr>
    </w:p>
    <w:p>
      <w:pPr>
        <w:ind w:right="20" w:firstLine="8"/>
        <w:spacing w:after="0" w:line="253" w:lineRule="auto"/>
        <w:tabs>
          <w:tab w:leader="none" w:pos="1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Research Studies and Surveys” for more information regarding our surveys. Further, patients continue to have underlying risk of 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87"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We believe the blepharitis market has the potential to be analogous to other ophthalmic markets that grew significantly once there was a product to address the large, latent demand for an effective therapy, such as dry eye. For example, another ocular surface disease, dry eye, had no approved therapeutic for the condition until 2003. With the approval of a therapeutic to treat dry eye in 2003 and concurrent ECP and patient education, the diagnosis rate increased by approximately 12 times, growing from 500,000 annual diagnoses in 2003 to over six million annual diagnoses in 2015. Annual diagnoses rates have been maintained at similar levels since 2015. Blepharitis already has 2.1 million diagnoses per year with blepharitis classified per the ICD-10-CM, despite no approved therapies to help with market awareness, but we believe there is potential for significant market expansion. The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 due to differences in symptoms, regulatory approval and market dynamics and certain other factors. See “Risk Factors – Risk Related to Development and Commercialization of Our Product Candidates - The market for blepharitis and Demodex blepharitis may be not be similar to the market for dry eye.” for additional information and risks related to the comparison of the Demodex blepharitis market to that of dry eye.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94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ind w:right="240" w:firstLine="1018"/>
        <w:spacing w:after="0" w:line="282" w:lineRule="auto"/>
        <w:rPr>
          <w:sz w:val="20"/>
          <w:szCs w:val="20"/>
          <w:color w:val="auto"/>
        </w:rPr>
      </w:pPr>
      <w:r>
        <w:rPr>
          <w:rFonts w:ascii="Times New Roman" w:cs="Times New Roman" w:eastAsia="Times New Roman" w:hAnsi="Times New Roman"/>
          <w:sz w:val="18"/>
          <w:szCs w:val="18"/>
          <w:color w:val="auto"/>
        </w:rPr>
        <w:t>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TP-03</w:t>
      </w:r>
    </w:p>
    <w:p>
      <w:pPr>
        <w:spacing w:after="0" w:line="229" w:lineRule="exact"/>
        <w:rPr>
          <w:sz w:val="20"/>
          <w:szCs w:val="20"/>
          <w:color w:val="auto"/>
        </w:rPr>
      </w:pPr>
    </w:p>
    <w:p>
      <w:pPr>
        <w:ind w:right="360" w:firstLine="1018"/>
        <w:spacing w:after="0" w:line="266" w:lineRule="auto"/>
        <w:rPr>
          <w:sz w:val="20"/>
          <w:szCs w:val="20"/>
          <w:color w:val="auto"/>
        </w:rPr>
      </w:pPr>
      <w:r>
        <w:rPr>
          <w:rFonts w:ascii="Times New Roman" w:cs="Times New Roman" w:eastAsia="Times New Roman" w:hAnsi="Times New Roman"/>
          <w:sz w:val="18"/>
          <w:szCs w:val="18"/>
          <w:color w:val="auto"/>
        </w:rPr>
        <w:t>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 provides the characteristics of TP-03 in the Saturn-1 Phase 2b/3 clinical trial:</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2: Characteristics of TP-03 in the Saturn-1 Phase 2b/3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6172200" cy="28803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722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 xml:space="preserve">We have completed four Phase 2 clinical trials to date, along with one additional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and showed statistically significant cure and eradication rates in our two most recent trials, Io and Europa. TP-03 was generally well tolerated throughout these trials. The Phase 2a Mars trial was a smaller single arm trial evaluating the safety and efficacy of TP-03 with a 28-day twice per day, or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which were statistically significant compared to the vehicle control.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 duration of 42 days. In the Io trial, we utilized for the first time in clinical trials the formulation of TP-03 that is expected to support our NDA submission for Demodex blepharitis. The change in formulation consisted of replacing LAK with sorbate as the preservative as well as adding a chelating agent. The key differences between the Io and Europa trials, were that Io was a smaller single-arm trial, while Europa was a slightly larger randomized vehicle-controlled trial. The observed efficacy in Io and Europa was consistent across both trials, with a collarette cure rate of 72% and 80% respectively, and a mite eradication rate of 78% and 73% respectively. The achievement of primary, secondary and/or exploratory endpoints, as applicable, in such trials, and safety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8" w:name="page99"/>
    <w:bookmarkEnd w:id="98"/>
    <w:p>
      <w:pPr>
        <w:spacing w:after="0" w:line="282" w:lineRule="auto"/>
        <w:rPr>
          <w:sz w:val="20"/>
          <w:szCs w:val="20"/>
          <w:color w:val="auto"/>
        </w:rPr>
      </w:pPr>
      <w:r>
        <w:rPr>
          <w:rFonts w:ascii="Times New Roman" w:cs="Times New Roman" w:eastAsia="Times New Roman" w:hAnsi="Times New Roman"/>
          <w:sz w:val="18"/>
          <w:szCs w:val="18"/>
          <w:color w:val="auto"/>
        </w:rPr>
        <w:t>results across our comprehensive Phase 2 program provided us with the basis to design and initiate our pivotal Phase 2b/3 and Phase 3 clinical trials for TP-03 for the treatment of Demodex blepharitis.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 provides a summary of our completed and planned clinical investigations evaluating TP-03 for Demodex blepharitis: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 Our Completed and Planned Clinical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156845</wp:posOffset>
            </wp:positionV>
            <wp:extent cx="6163310" cy="3549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6331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80" w:right="160" w:hanging="372"/>
        <w:spacing w:after="0" w:line="229" w:lineRule="auto"/>
        <w:tabs>
          <w:tab w:leader="none" w:pos="3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 from mite eradication. Mite density is translated into mite eradication, which is defined as zero mites per lash consistently throughout trials.</w:t>
      </w:r>
    </w:p>
    <w:p>
      <w:pPr>
        <w:ind w:left="380" w:hanging="372"/>
        <w:spacing w:after="0" w:line="222" w:lineRule="auto"/>
        <w:tabs>
          <w:tab w:leader="none" w:pos="3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endpoint in Io, Europa, Saturn-1 and intended in Saturn-2 is collarette cure based on collarette grade.</w:t>
      </w:r>
    </w:p>
    <w:p>
      <w:pPr>
        <w:ind w:left="380" w:hanging="372"/>
        <w:spacing w:after="0" w:line="221" w:lineRule="auto"/>
        <w:tabs>
          <w:tab w:leader="none" w:pos="3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IND application, a “no-objection” letter was received from the FDA regarding the trial design of the Saturn-1 trial.</w:t>
      </w:r>
    </w:p>
    <w:p>
      <w:pPr>
        <w:spacing w:after="0" w:line="1" w:lineRule="exact"/>
        <w:rPr>
          <w:sz w:val="20"/>
          <w:szCs w:val="20"/>
          <w:color w:val="auto"/>
        </w:rPr>
      </w:pPr>
    </w:p>
    <w:p>
      <w:pPr>
        <w:ind w:left="380" w:hanging="372"/>
        <w:spacing w:after="0"/>
        <w:tabs>
          <w:tab w:leader="none" w:pos="3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Saturn-2 design is highly comparable to that of Saturn-1 with respect to which the FDA raised “no-objection” and we expect to update the IND protocol prior to commencing Saturn-2.</w:t>
      </w:r>
    </w:p>
    <w:p>
      <w:pPr>
        <w:spacing w:after="0" w:line="192" w:lineRule="exact"/>
        <w:rPr>
          <w:sz w:val="20"/>
          <w:szCs w:val="20"/>
          <w:color w:val="auto"/>
        </w:rPr>
      </w:pPr>
    </w:p>
    <w:p>
      <w:pPr>
        <w:ind w:right="180" w:firstLine="1018"/>
        <w:spacing w:after="0" w:line="254" w:lineRule="auto"/>
        <w:rPr>
          <w:sz w:val="20"/>
          <w:szCs w:val="20"/>
          <w:color w:val="auto"/>
        </w:rPr>
      </w:pPr>
      <w:r>
        <w:rPr>
          <w:rFonts w:ascii="Times New Roman" w:cs="Times New Roman" w:eastAsia="Times New Roman" w:hAnsi="Times New Roman"/>
          <w:sz w:val="18"/>
          <w:szCs w:val="18"/>
          <w:color w:val="auto"/>
        </w:rPr>
        <w:t>We plan to evaluate TP-03 in two pivotal registration trials, referred to as Saturn-1 and Saturn-2. Saturn-1 is a Phase 2b/3, randomized, controlled, double-blind trial to evaluate the safety and efficacy of TP-03 that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trials to support the potential submission of an NDA for TP-03 for the treatment of Demodex blepharitis.</w:t>
      </w:r>
    </w:p>
    <w:p>
      <w:pPr>
        <w:spacing w:after="0" w:line="192"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 xml:space="preserve">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 MGD. In the United States, MGD prevalence has been found to be approximately two-thirds of the estimated 34 million dry eye patient population. One species of Demodex mite,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is known to infest the meibomian gland, and clinical signs of MGD have been shown to be correlated with infestation of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While dry eye is a multi-factorial disease, TP-03 is designed to relieve some of the key elements of MGD by virtue of causing the death of the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mites.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96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9" w:name="page100"/>
    <w:bookmarkEnd w:id="99"/>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Beyond TP-03, we are developing additional clinical-stage product candidates focused on expanding into other therapeutic categories, including dermatology and other diseases with high, unmet needs. These include TP-04 for the potential treatment of rosacea as well as TP-05 for potential Lyme prophylaxis and community malaria reduction.</w:t>
      </w:r>
    </w:p>
    <w:p>
      <w:pPr>
        <w:spacing w:after="0" w:line="176" w:lineRule="exact"/>
        <w:rPr>
          <w:sz w:val="20"/>
          <w:szCs w:val="20"/>
          <w:color w:val="auto"/>
        </w:rPr>
      </w:pPr>
    </w:p>
    <w:p>
      <w:pPr>
        <w:jc w:val="both"/>
        <w:ind w:firstLine="1018"/>
        <w:spacing w:after="0" w:line="258" w:lineRule="auto"/>
        <w:rPr>
          <w:sz w:val="20"/>
          <w:szCs w:val="20"/>
          <w:color w:val="auto"/>
        </w:rPr>
      </w:pPr>
      <w:r>
        <w:rPr>
          <w:rFonts w:ascii="Times New Roman" w:cs="Times New Roman" w:eastAsia="Times New Roman" w:hAnsi="Times New Roman"/>
          <w:sz w:val="18"/>
          <w:szCs w:val="18"/>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We intend to develop TP-04 as a topical formulation, and we plan to submit an IND and initiate Phase 1/2 trial of TP-04 for the treatment of rosacea in 2021. In anticipation of such trial, we intend to initiate preclinical studies in 2020 to select Phase 1/2 formulation for TP-04.</w:t>
      </w:r>
    </w:p>
    <w:p>
      <w:pPr>
        <w:spacing w:after="0" w:line="183"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Lyme disease is the most common vector-borne disease in the United States, caused by infection of Borrelia bacteria following bite by a tick vector. Estimates of annual cases of Lyme disease in the United States range from approximately 300,000 to 400,000. Malaria is one of the world’s highest unmet public health needs, with approximately 228 million cases and more than 400,000 deaths caused by malaria worldwide. We are developing TP-05 as an oral formulation that is designed as a prophylactic drug against Lyme disease to eradicate the tick before it can transmit the Borrelia bacteria. Further, TP-05 also has the potential to cause the death of mosquitos that transmit malaria. We plan to submit an IND and initiate a Phase 1/2 trial of TP-05 for Lyme disease in 2021. For malaria, we may conduct the Phase 1/2 trial outside of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 and Differentiation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believe our company and our product candidates have the following key distinguishing characteristics:</w:t>
      </w:r>
    </w:p>
    <w:p>
      <w:pPr>
        <w:spacing w:after="0" w:line="221" w:lineRule="exact"/>
        <w:rPr>
          <w:sz w:val="20"/>
          <w:szCs w:val="20"/>
          <w:color w:val="auto"/>
        </w:rPr>
      </w:pPr>
    </w:p>
    <w:p>
      <w:pPr>
        <w:ind w:left="1520" w:right="20" w:hanging="378"/>
        <w:spacing w:after="0" w:line="253" w:lineRule="auto"/>
        <w:tabs>
          <w:tab w:leader="none" w:pos="1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TP-03 is currently in Phase 2b/3 and has met various endpoints for efficacy in Phase 2 trials. </w:t>
      </w:r>
      <w:r>
        <w:rPr>
          <w:rFonts w:ascii="Times New Roman" w:cs="Times New Roman" w:eastAsia="Times New Roman" w:hAnsi="Times New Roman"/>
          <w:sz w:val="18"/>
          <w:szCs w:val="18"/>
          <w:color w:val="auto"/>
        </w:rPr>
        <w:t>We have observed TP-03’s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across our four Phase 2 clinical trials – Mars, Jupiter, Io, and Europa – in which treatment with TP-03 resulted in the achievement of primary, secondary and/or exploratory endpoints, as applicable, in such trials, and we observed that TP-03 was well tolerated. Our Phase 2b/3 trial, Saturn-1, and our Phase 3 trial, Saturn-2, are utilizing or are expected to utilize trial designs that are comparable in many respects to those of the Phase 2 Io and Europa trials. The trial designs for Saturn-1 and Saturn-2 are, however, expected to be more stringent than those for Io and Europa. Saturn-1 is expected to enroll at least 350 patients and Saturn-2 is expected to enroll approximately 350 patients, which is substantially more patients compared to a maximum of 54 patients in the Europa trial, have a longer safety protocol (Saturn-1 only, which will follow subjects to safety for one year as opposed to 42 days) and enroll patients in multiple locations in the United States (as opposed to one location in Mexico). In connection with our IND application, we have received a “no-objection” letter from the FDA regarding the trial design for Saturn-1. The trial design for Saturn-2 is highly comparable to that of Saturn-1 and we expect to update the IND protocol prior to commencing Saturn-2. We commenced Saturn-1 in September 2020.</w:t>
      </w:r>
    </w:p>
    <w:p>
      <w:pPr>
        <w:spacing w:after="0" w:line="189" w:lineRule="exact"/>
        <w:rPr>
          <w:rFonts w:ascii="Times New Roman" w:cs="Times New Roman" w:eastAsia="Times New Roman" w:hAnsi="Times New Roman"/>
          <w:sz w:val="18"/>
          <w:szCs w:val="18"/>
          <w:color w:val="auto"/>
        </w:rPr>
      </w:pPr>
    </w:p>
    <w:p>
      <w:pPr>
        <w:ind w:left="1520" w:right="40" w:hanging="378"/>
        <w:spacing w:after="0" w:line="255" w:lineRule="auto"/>
        <w:tabs>
          <w:tab w:leader="none" w:pos="1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underserved and underdiagnosed blepharitis market with a significant opportunity for growth. </w:t>
      </w:r>
      <w:r>
        <w:rPr>
          <w:rFonts w:ascii="Times New Roman" w:cs="Times New Roman" w:eastAsia="Times New Roman" w:hAnsi="Times New Roman"/>
          <w:sz w:val="18"/>
          <w:szCs w:val="18"/>
          <w:color w:val="auto"/>
        </w:rPr>
        <w:t>Although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blepharitis and Demodex blepharitis are significantly underdiagnosed conditions, with limited treatment alternatives, there are already an estimated 2.1 million annual blepharitis diagnoses in the United States, with blepharitis classified per ICD-10-CM. However, we believe the market opportunity may be substantially larger. According to published studies, there are an estimated 20 million patients in the United States that suffer from blepharitis with approximately 45%, or approximately nine million, of cases caused by Demodex infestation and we believe the number of Demodex blepharitis cases may be higher. We believe the blepharitis market may be analogous to other ophthalmic markets where diagnoses grew significantly once there was a product to address the large, latent demand for an effective therapy.</w:t>
      </w:r>
    </w:p>
    <w:p>
      <w:pPr>
        <w:spacing w:after="0" w:line="184" w:lineRule="exact"/>
        <w:rPr>
          <w:rFonts w:ascii="Times New Roman" w:cs="Times New Roman" w:eastAsia="Times New Roman" w:hAnsi="Times New Roman"/>
          <w:sz w:val="18"/>
          <w:szCs w:val="18"/>
          <w:color w:val="auto"/>
        </w:rPr>
      </w:pPr>
    </w:p>
    <w:p>
      <w:pPr>
        <w:ind w:left="1520" w:right="120" w:hanging="378"/>
        <w:spacing w:after="0" w:line="262" w:lineRule="auto"/>
        <w:tabs>
          <w:tab w:leader="none" w:pos="1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chemistry developed for the first time in human medicine. </w:t>
      </w:r>
      <w:r>
        <w:rPr>
          <w:rFonts w:ascii="Times New Roman" w:cs="Times New Roman" w:eastAsia="Times New Roman" w:hAnsi="Times New Roman"/>
          <w:sz w:val="18"/>
          <w:szCs w:val="18"/>
          <w:color w:val="auto"/>
        </w:rPr>
        <w:t>Our current therapeutic strategy is focused on the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eye care, dermatology and other diseases with high, unmet needs.</w:t>
      </w:r>
    </w:p>
    <w:p>
      <w:pPr>
        <w:spacing w:after="0" w:line="176" w:lineRule="exact"/>
        <w:rPr>
          <w:rFonts w:ascii="Times New Roman" w:cs="Times New Roman" w:eastAsia="Times New Roman" w:hAnsi="Times New Roman"/>
          <w:sz w:val="18"/>
          <w:szCs w:val="18"/>
          <w:color w:val="auto"/>
        </w:rPr>
      </w:pPr>
    </w:p>
    <w:p>
      <w:pPr>
        <w:ind w:left="1520" w:hanging="378"/>
        <w:spacing w:after="0" w:line="256" w:lineRule="auto"/>
        <w:tabs>
          <w:tab w:leader="none" w:pos="1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opportunities beyond Demodex blepharitis. </w:t>
      </w:r>
      <w:r>
        <w:rPr>
          <w:rFonts w:ascii="Times New Roman" w:cs="Times New Roman" w:eastAsia="Times New Roman" w:hAnsi="Times New Roman"/>
          <w:sz w:val="18"/>
          <w:szCs w:val="18"/>
          <w:color w:val="auto"/>
        </w:rPr>
        <w:t>Like blepharitis, MGD may also be caused by Demodex infestation, and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 and TP-05 for potential prophylaxis of Lyme and community malaria reduction. Annual estimates of Lyme disease in the United States range from approximately 300,000 to 400,000. Malaria is one of the world’s highest unmet public health needs, with approximately 228 million cases and more than 400,000 deaths due to malaria globally in 2018 alone.</w:t>
      </w:r>
    </w:p>
    <w:p>
      <w:pPr>
        <w:spacing w:after="0" w:line="177" w:lineRule="exact"/>
        <w:rPr>
          <w:rFonts w:ascii="Times New Roman" w:cs="Times New Roman" w:eastAsia="Times New Roman" w:hAnsi="Times New Roman"/>
          <w:sz w:val="18"/>
          <w:szCs w:val="18"/>
          <w:color w:val="auto"/>
        </w:rPr>
      </w:pPr>
    </w:p>
    <w:p>
      <w:pPr>
        <w:ind w:left="5540" w:hanging="132"/>
        <w:spacing w:after="0"/>
        <w:tabs>
          <w:tab w:leader="none" w:pos="554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0" w:name="page101"/>
    <w:bookmarkEnd w:id="100"/>
    <w:p>
      <w:pPr>
        <w:ind w:left="1520" w:right="40" w:hanging="378"/>
        <w:spacing w:after="0" w:line="259" w:lineRule="auto"/>
        <w:tabs>
          <w:tab w:leader="none" w:pos="1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Experienced management team and board of directors supported by high quality investor base. </w:t>
      </w:r>
      <w:r>
        <w:rPr>
          <w:rFonts w:ascii="Times New Roman" w:cs="Times New Roman" w:eastAsia="Times New Roman" w:hAnsi="Times New Roman"/>
          <w:sz w:val="18"/>
          <w:szCs w:val="18"/>
          <w:color w:val="auto"/>
        </w:rPr>
        <w:t>We have built a leadership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significant experience in developing and commercializing therapeutic products for ophthalmic conditions. Our management team and board of directors have founded and led several companies in the ophthalmic care space, including Oyster Point Pharma and Oculeve, and have been pivotal in the development and commercialization of various leading ophthalmic products, including the dry eye therapy, Restasis.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right="40" w:firstLine="1018"/>
        <w:spacing w:after="0" w:line="266" w:lineRule="auto"/>
        <w:rPr>
          <w:sz w:val="20"/>
          <w:szCs w:val="20"/>
          <w:color w:val="auto"/>
        </w:rPr>
      </w:pPr>
      <w:r>
        <w:rPr>
          <w:rFonts w:ascii="Times New Roman" w:cs="Times New Roman" w:eastAsia="Times New Roman" w:hAnsi="Times New Roman"/>
          <w:sz w:val="18"/>
          <w:szCs w:val="18"/>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172" w:lineRule="exact"/>
        <w:rPr>
          <w:sz w:val="20"/>
          <w:szCs w:val="20"/>
          <w:color w:val="auto"/>
        </w:rPr>
      </w:pPr>
    </w:p>
    <w:p>
      <w:pPr>
        <w:ind w:left="1520" w:hanging="378"/>
        <w:spacing w:after="0" w:line="257" w:lineRule="auto"/>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TP-03 through clinical development and eventual approval for the treatment of Demodex blepharitis.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in multiple Phase 2 trials across 147 patients that TP-03 results in the achievement of clinical endpoints, which are generally the same clinical endpoints that will be utilized in our pivotal Phase 2b/3 and Phase 3 trials. We have commenced our first pivotal trial, Saturn-1, a Phase 2b/3 trial, in September 2020, and we expect top-line data in 2021, subject to the impact of the ongoing COVID-19 pandemic. Enrollment of our second pivotal trial, Saturn-2, which will be a Phase 3 trial, is expected to begin in 2021, subject to the impact of the ongoing COVID-19 pandemic.</w:t>
      </w:r>
    </w:p>
    <w:p>
      <w:pPr>
        <w:spacing w:after="0" w:line="182" w:lineRule="exact"/>
        <w:rPr>
          <w:rFonts w:ascii="Times New Roman" w:cs="Times New Roman" w:eastAsia="Times New Roman" w:hAnsi="Times New Roman"/>
          <w:sz w:val="18"/>
          <w:szCs w:val="18"/>
          <w:color w:val="auto"/>
        </w:rPr>
      </w:pPr>
    </w:p>
    <w:p>
      <w:pPr>
        <w:ind w:left="1520" w:right="180" w:hanging="378"/>
        <w:spacing w:after="0" w:line="262" w:lineRule="auto"/>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Educate ECPs and establish our own specialty sales organization to commercialize TP-03 in the United States. </w:t>
      </w:r>
      <w:r>
        <w:rPr>
          <w:rFonts w:ascii="Times New Roman" w:cs="Times New Roman" w:eastAsia="Times New Roman" w:hAnsi="Times New Roman"/>
          <w:sz w:val="18"/>
          <w:szCs w:val="18"/>
          <w:color w:val="auto"/>
        </w:rPr>
        <w:t>If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standard eye examination.</w:t>
      </w:r>
    </w:p>
    <w:p>
      <w:pPr>
        <w:spacing w:after="0" w:line="176" w:lineRule="exact"/>
        <w:rPr>
          <w:rFonts w:ascii="Times New Roman" w:cs="Times New Roman" w:eastAsia="Times New Roman" w:hAnsi="Times New Roman"/>
          <w:sz w:val="18"/>
          <w:szCs w:val="18"/>
          <w:color w:val="auto"/>
        </w:rPr>
      </w:pPr>
    </w:p>
    <w:p>
      <w:pPr>
        <w:ind w:left="1520" w:right="660" w:hanging="378"/>
        <w:spacing w:after="0" w:line="286" w:lineRule="auto"/>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label of TP-03 for other indications, including MGD. </w:t>
      </w:r>
      <w:r>
        <w:rPr>
          <w:rFonts w:ascii="Times New Roman" w:cs="Times New Roman" w:eastAsia="Times New Roman" w:hAnsi="Times New Roman"/>
          <w:sz w:val="18"/>
          <w:szCs w:val="18"/>
          <w:color w:val="auto"/>
        </w:rPr>
        <w:t>Like blepharitis, MGD may also be caused by Demodex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infestation, and we intend to explore the clinical potential for TP-03 in the indication.</w:t>
      </w:r>
    </w:p>
    <w:p>
      <w:pPr>
        <w:spacing w:after="0" w:line="154" w:lineRule="exact"/>
        <w:rPr>
          <w:rFonts w:ascii="Times New Roman" w:cs="Times New Roman" w:eastAsia="Times New Roman" w:hAnsi="Times New Roman"/>
          <w:sz w:val="18"/>
          <w:szCs w:val="18"/>
          <w:color w:val="auto"/>
        </w:rPr>
      </w:pPr>
    </w:p>
    <w:p>
      <w:pPr>
        <w:ind w:left="1520" w:right="40" w:hanging="378"/>
        <w:spacing w:after="0" w:line="257" w:lineRule="auto"/>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 our pipeline, bringing novel products utilizing lotilaner to unmet needs across human medicine, including rosacea, Lyme disease and malaria</w:t>
      </w:r>
      <w:r>
        <w:rPr>
          <w:rFonts w:ascii="Times New Roman" w:cs="Times New Roman" w:eastAsia="Times New Roman" w:hAnsi="Times New Roman"/>
          <w:sz w:val="18"/>
          <w:szCs w:val="18"/>
          <w:color w:val="auto"/>
        </w:rPr>
        <w:t>. We plan to expand our pipeline of novel, differentiated product candidates that target parasites to treat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important diseases. The mechanism of lotilaner coupled with our insights into disease where it can demonstrate clinical benefit, provides an opportunity to expand into new indications for treatment or prevention. By utilizing new formulations of lotilaner, we intend to develop a topical formulation designed to treat rosacea, and oral formulations for the prophylaxis of Lyme and community malaria reduction. We intend to expand into Phase 1/2 clinical trials for these indications in 2021.</w:t>
      </w:r>
    </w:p>
    <w:p>
      <w:pPr>
        <w:spacing w:after="0" w:line="182" w:lineRule="exact"/>
        <w:rPr>
          <w:rFonts w:ascii="Times New Roman" w:cs="Times New Roman" w:eastAsia="Times New Roman" w:hAnsi="Times New Roman"/>
          <w:sz w:val="18"/>
          <w:szCs w:val="18"/>
          <w:color w:val="auto"/>
        </w:rPr>
      </w:pPr>
    </w:p>
    <w:p>
      <w:pPr>
        <w:ind w:left="1520" w:right="120" w:hanging="378"/>
        <w:spacing w:after="0" w:line="257" w:lineRule="auto"/>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and selectively enter into strategic partnerships to maximize the potential of our pipeline and the scope of our eye care product offerings. </w:t>
      </w:r>
      <w:r>
        <w:rPr>
          <w:rFonts w:ascii="Times New Roman" w:cs="Times New Roman" w:eastAsia="Times New Roman" w:hAnsi="Times New Roman"/>
          <w:sz w:val="18"/>
          <w:szCs w:val="18"/>
          <w:color w:val="auto"/>
        </w:rPr>
        <w:t>We have retained our rights globally to all of our indications for use in humans, including our lead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 TP-03, for the potential treatment of Demodex blepharitis and MGD, TP-04 for the potential treatment of rosacea and TP-05 for potential prophylaxis of Lyme and community malaria reduction. We are dependent on licenses from Elanco for the development and commercialization of these products. Given the potential to treat patients worldwide we may opportunistically enter into strategic partnerships around certain product candidates, disease or geographic regions.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Blepharitis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Blepharitis</w:t>
      </w:r>
    </w:p>
    <w:p>
      <w:pPr>
        <w:spacing w:after="0" w:line="229"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Ocular surface disease represents a broad category of disease that affects at least 35 million people in the United States. The ocular surface comprises the cornea, conjunctiva, eyelids and lacrimal glands and as such any diseases in these structures can be classified as ocular surface disease. Common ocular surface diseases include dry eye disease, ocular allergy, blepharitis and MGD. Almost all of the ocular surface diseases are associated with eye redness and ocular surface inflammation and in some cases conjunctival and/or lid edema. Patients often present with multiple ocular surface diseases and the symptoms have significant overlap, leading to frequent misdiagnosis of the various conditions.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98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1" w:name="page102"/>
    <w:bookmarkEnd w:id="101"/>
    <w:p>
      <w:pPr>
        <w:ind w:firstLine="1018"/>
        <w:spacing w:after="0" w:line="253" w:lineRule="auto"/>
        <w:rPr>
          <w:sz w:val="20"/>
          <w:szCs w:val="20"/>
          <w:color w:val="auto"/>
        </w:rPr>
      </w:pPr>
      <w:r>
        <w:rPr>
          <w:rFonts w:ascii="Times New Roman" w:cs="Times New Roman" w:eastAsia="Times New Roman" w:hAnsi="Times New Roman"/>
          <w:sz w:val="18"/>
          <w:szCs w:val="18"/>
          <w:color w:val="auto"/>
        </w:rPr>
        <w:t>Blepharitis is a common chronic ophthalmic condition characterized by inflammation of the eyelid margin, redness and ocular irritation and is primarily diagnosed and treated by ECPs, including ophthalmologists and optometrists. Based on published studies, an estimated 20 million patients suffer from blepharitis in the United States. Typical signs and symptoms of blepharitis include debris on the eyelashes, redness of eye and eyelid, missing or misdirected eyelashes, blurring of vision, irritation, itchiness and ocular discomfort. It is challenging to manage, recurs frequently, and its progression can lead to scarring of the eyelid, loss of proper eyelid and tear-film function, eyelid and lash abnormalities, inflammation of the conjunctiva and surrounding skin, suboptimal surgical outcomes, corneal damage, and in extreme cases, blindness. Further, approximately 67% of cataract patients have Demodex infestation, which can increase the risk for both infection after cataract and refractive surgery. Therefore, treating Demodex blepharitis may improve patient satisfaction with cataract and refractive surgery. Additionally, the primary reason people stop wearing contact lenses is discomfort and blepharitis has been shown to cause contact lens intolerance. Therefore, treating Demodex blepharitis may reduce contact lens intolerance. We believe these benefits may lead to better vision and an improved quality of life for patients.</w:t>
      </w:r>
    </w:p>
    <w:p>
      <w:pPr>
        <w:spacing w:after="0" w:line="194" w:lineRule="exact"/>
        <w:rPr>
          <w:sz w:val="20"/>
          <w:szCs w:val="20"/>
          <w:color w:val="auto"/>
        </w:rPr>
      </w:pPr>
    </w:p>
    <w:p>
      <w:pPr>
        <w:ind w:right="300" w:firstLine="1018"/>
        <w:spacing w:after="0" w:line="282" w:lineRule="auto"/>
        <w:rPr>
          <w:sz w:val="20"/>
          <w:szCs w:val="20"/>
          <w:color w:val="auto"/>
        </w:rPr>
      </w:pPr>
      <w:r>
        <w:rPr>
          <w:rFonts w:ascii="Times New Roman" w:cs="Times New Roman" w:eastAsia="Times New Roman" w:hAnsi="Times New Roman"/>
          <w:sz w:val="18"/>
          <w:szCs w:val="18"/>
          <w:color w:val="auto"/>
        </w:rPr>
        <w:t>Multiple factors can cause blepharitis, including infestation by Demodex mites, bacterial infection, clogging of the meibomian glands and seborrheic dermatitis.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image shows an eyelid with blepharitis: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4: Eyelid With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156845</wp:posOffset>
            </wp:positionV>
            <wp:extent cx="3094355" cy="2348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9435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Demodex Blepharitis</w:t>
      </w:r>
    </w:p>
    <w:p>
      <w:pPr>
        <w:spacing w:after="0" w:line="22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 xml:space="preserve">Demodex infestation is a major cause of blepharitis, implicated in approximately 45% of blepharitis cases, or approximately nine million patients. We estimate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These blepharitis cases are referred to Demodex blepharitis. Demodex mites are the most common ectoparasite found on humans and are more likely to cause infestation and disease with aging. Demodex blepharitis typically presents bilaterally in patients with the condition. There are two species of Demodex, </w:t>
      </w:r>
      <w:r>
        <w:rPr>
          <w:rFonts w:ascii="Times New Roman" w:cs="Times New Roman" w:eastAsia="Times New Roman" w:hAnsi="Times New Roman"/>
          <w:sz w:val="18"/>
          <w:szCs w:val="18"/>
          <w:i w:val="1"/>
          <w:iCs w:val="1"/>
          <w:color w:val="auto"/>
        </w:rPr>
        <w:t>folliculorum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brevis</w:t>
      </w:r>
      <w:r>
        <w:rPr>
          <w:rFonts w:ascii="Times New Roman" w:cs="Times New Roman" w:eastAsia="Times New Roman" w:hAnsi="Times New Roman"/>
          <w:sz w:val="18"/>
          <w:szCs w:val="18"/>
          <w:color w:val="auto"/>
        </w:rPr>
        <w:t xml:space="preserve">, that live on the skin of the face and eyelids. </w:t>
      </w:r>
      <w:r>
        <w:rPr>
          <w:rFonts w:ascii="Times New Roman" w:cs="Times New Roman" w:eastAsia="Times New Roman" w:hAnsi="Times New Roman"/>
          <w:sz w:val="18"/>
          <w:szCs w:val="18"/>
          <w:i w:val="1"/>
          <w:iCs w:val="1"/>
          <w:color w:val="auto"/>
        </w:rPr>
        <w:t>Demodex folliculorum,</w:t>
      </w:r>
      <w:r>
        <w:rPr>
          <w:rFonts w:ascii="Times New Roman" w:cs="Times New Roman" w:eastAsia="Times New Roman" w:hAnsi="Times New Roman"/>
          <w:sz w:val="18"/>
          <w:szCs w:val="18"/>
          <w:color w:val="auto"/>
        </w:rPr>
        <w:t xml:space="preserve"> which is commonly found in the follicle, is the more common sub-species of mite that causes Demodex blepharitis.</w:t>
      </w:r>
    </w:p>
    <w:p>
      <w:pPr>
        <w:spacing w:after="0" w:line="18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The key clinical sign of Demodex blepharitis is a specific type of eyelid debris known as the collarette, which is also sometimes referred to as cylindrical dandruff or waxy scurf. Collarettes are composed of partially digested epithelial cells, mite waste products and eggs among other things and can be easily diagnosed by ECPs with a standard eye examination known as the slit lamp examination. Other bothersome signs and symptoms of Demodex blepharitis that lead to further disease progression include missing or misdirected eyelashes, crusting, redness of the lid margin, inflammation of the lid margin, inflammation of the conjunctiva and/or inflammation of the cornea, also known as blepharoconjunctivitis and blepharokeratitis. Demodex blepharitis is a progressive disease that often manifests with more severe signs and symptoms if left untreated, such as blurring of vision, missing eyelashes, corneal damage and, in extreme cases, blindness. Furthermore, Demodex blepharitis can negatively impact quality of life and create an emotional burden for individuals with the condition.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99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2" w:name="page103"/>
    <w:bookmarkEnd w:id="102"/>
    <w:p>
      <w:pPr>
        <w:ind w:left="1020"/>
        <w:spacing w:after="0"/>
        <w:rPr>
          <w:sz w:val="20"/>
          <w:szCs w:val="20"/>
          <w:color w:val="auto"/>
        </w:rPr>
      </w:pPr>
      <w:r>
        <w:rPr>
          <w:rFonts w:ascii="Times New Roman" w:cs="Times New Roman" w:eastAsia="Times New Roman" w:hAnsi="Times New Roman"/>
          <w:sz w:val="18"/>
          <w:szCs w:val="18"/>
          <w:color w:val="auto"/>
        </w:rPr>
        <w:t xml:space="preserve">The following figures demonstrate how </w:t>
      </w:r>
      <w:r>
        <w:rPr>
          <w:rFonts w:ascii="Times New Roman" w:cs="Times New Roman" w:eastAsia="Times New Roman" w:hAnsi="Times New Roman"/>
          <w:sz w:val="18"/>
          <w:szCs w:val="18"/>
          <w:i w:val="1"/>
          <w:iCs w:val="1"/>
          <w:color w:val="auto"/>
        </w:rPr>
        <w:t>Demodex folliculorum</w:t>
      </w:r>
      <w:r>
        <w:rPr>
          <w:rFonts w:ascii="Times New Roman" w:cs="Times New Roman" w:eastAsia="Times New Roman" w:hAnsi="Times New Roman"/>
          <w:sz w:val="18"/>
          <w:szCs w:val="18"/>
          <w:color w:val="auto"/>
        </w:rPr>
        <w:t xml:space="preserve"> mites enter and reside in the eyelash follicles: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Figure 5: </w:t>
      </w:r>
      <w:r>
        <w:rPr>
          <w:rFonts w:ascii="Times New Roman" w:cs="Times New Roman" w:eastAsia="Times New Roman" w:hAnsi="Times New Roman"/>
          <w:sz w:val="18"/>
          <w:szCs w:val="18"/>
          <w:b w:val="1"/>
          <w:bCs w:val="1"/>
          <w:i w:val="1"/>
          <w:iCs w:val="1"/>
          <w:color w:val="auto"/>
        </w:rPr>
        <w:t>Demodex folliculorum</w:t>
      </w:r>
      <w:r>
        <w:rPr>
          <w:rFonts w:ascii="Times New Roman" w:cs="Times New Roman" w:eastAsia="Times New Roman" w:hAnsi="Times New Roman"/>
          <w:sz w:val="18"/>
          <w:szCs w:val="18"/>
          <w:b w:val="1"/>
          <w:bCs w:val="1"/>
          <w:color w:val="auto"/>
        </w:rPr>
        <w:t xml:space="preserve"> Mites Entering and Residing in Eyelash Follicles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156845</wp:posOffset>
            </wp:positionV>
            <wp:extent cx="5186045" cy="3677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Demodex infestation can lead to Demodex blepharitis in three main ways:</w:t>
      </w:r>
    </w:p>
    <w:p>
      <w:pPr>
        <w:spacing w:after="0" w:line="221" w:lineRule="exact"/>
        <w:rPr>
          <w:sz w:val="20"/>
          <w:szCs w:val="20"/>
          <w:color w:val="auto"/>
        </w:rPr>
      </w:pPr>
    </w:p>
    <w:p>
      <w:pPr>
        <w:ind w:left="1520" w:right="140" w:hanging="378"/>
        <w:spacing w:after="0" w:line="268" w:lineRule="auto"/>
        <w:tabs>
          <w:tab w:leader="none" w:pos="1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Mechanical: </w:t>
      </w:r>
      <w:r>
        <w:rPr>
          <w:rFonts w:ascii="Times New Roman" w:cs="Times New Roman" w:eastAsia="Times New Roman" w:hAnsi="Times New Roman"/>
          <w:sz w:val="18"/>
          <w:szCs w:val="18"/>
          <w:color w:val="auto"/>
        </w:rPr>
        <w:t>Overcrowded mites scrape the epithelial cell lining of the eyelash follicles with their claws and lay eggs, causing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follicular distention, misdirected lashes, eyelash loss and irritation. Dead mites and collarettes also obstruct the hair follicle opening, leading to inflammation.</w:t>
      </w:r>
    </w:p>
    <w:p>
      <w:pPr>
        <w:spacing w:after="0" w:line="170" w:lineRule="exact"/>
        <w:rPr>
          <w:rFonts w:ascii="Times New Roman" w:cs="Times New Roman" w:eastAsia="Times New Roman" w:hAnsi="Times New Roman"/>
          <w:sz w:val="18"/>
          <w:szCs w:val="18"/>
          <w:color w:val="auto"/>
        </w:rPr>
      </w:pPr>
    </w:p>
    <w:p>
      <w:pPr>
        <w:ind w:left="1520" w:hanging="378"/>
        <w:spacing w:after="0" w:line="286" w:lineRule="auto"/>
        <w:tabs>
          <w:tab w:leader="none" w:pos="1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Chemical: </w:t>
      </w:r>
      <w:r>
        <w:rPr>
          <w:rFonts w:ascii="Times New Roman" w:cs="Times New Roman" w:eastAsia="Times New Roman" w:hAnsi="Times New Roman"/>
          <w:sz w:val="18"/>
          <w:szCs w:val="18"/>
          <w:color w:val="auto"/>
        </w:rPr>
        <w:t>Mites excrete digestive enzymes as they feed and exude digestive waste when they die, resulting in inflammation, redness,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irritation and epithelial hyperplasia.</w:t>
      </w:r>
    </w:p>
    <w:p>
      <w:pPr>
        <w:spacing w:after="0" w:line="154"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Bacterial: </w:t>
      </w:r>
      <w:r>
        <w:rPr>
          <w:rFonts w:ascii="Times New Roman" w:cs="Times New Roman" w:eastAsia="Times New Roman" w:hAnsi="Times New Roman"/>
          <w:sz w:val="18"/>
          <w:szCs w:val="18"/>
          <w:color w:val="auto"/>
        </w:rPr>
        <w:t>Bacteria living on the mite surface or in its gut cause inflammation of the surrounding ocular tissues.</w:t>
      </w:r>
    </w:p>
    <w:p>
      <w:pPr>
        <w:spacing w:after="0" w:line="229" w:lineRule="exact"/>
        <w:rPr>
          <w:sz w:val="20"/>
          <w:szCs w:val="20"/>
          <w:color w:val="auto"/>
        </w:rPr>
      </w:pPr>
    </w:p>
    <w:p>
      <w:pPr>
        <w:ind w:right="100" w:firstLine="1018"/>
        <w:spacing w:after="0" w:line="282" w:lineRule="auto"/>
        <w:rPr>
          <w:sz w:val="20"/>
          <w:szCs w:val="20"/>
          <w:color w:val="auto"/>
        </w:rPr>
      </w:pPr>
      <w:r>
        <w:rPr>
          <w:rFonts w:ascii="Times New Roman" w:cs="Times New Roman" w:eastAsia="Times New Roman" w:hAnsi="Times New Roman"/>
          <w:sz w:val="18"/>
          <w:szCs w:val="18"/>
          <w:color w:val="auto"/>
        </w:rPr>
        <w:t>As mites scratch and feed on the skin, the partially digested epithelial cells, keratin, mite waste and eggs combine to form collarettes. These collarettes are typically found at the base of the lash but can migrate away as the hair shaft grows.</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1" w:right="399" w:bottom="1440" w:gutter="0" w:footer="0" w:header="0"/>
        </w:sectPr>
      </w:pPr>
    </w:p>
    <w:bookmarkStart w:id="103" w:name="page104"/>
    <w:bookmarkEnd w:id="103"/>
    <w:p>
      <w:pPr>
        <w:ind w:left="1020"/>
        <w:spacing w:after="0"/>
        <w:rPr>
          <w:sz w:val="20"/>
          <w:szCs w:val="20"/>
          <w:color w:val="auto"/>
        </w:rPr>
      </w:pPr>
      <w:r>
        <w:rPr>
          <w:rFonts w:ascii="Times New Roman" w:cs="Times New Roman" w:eastAsia="Times New Roman" w:hAnsi="Times New Roman"/>
          <w:sz w:val="18"/>
          <w:szCs w:val="18"/>
          <w:color w:val="auto"/>
        </w:rPr>
        <w:t>The following figure shows collarettes at the base of an eye lash:</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6: Collarettes Are the Pathognomonic Sign of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156845</wp:posOffset>
            </wp:positionV>
            <wp:extent cx="3411855" cy="1817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1185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A study conducted by Gao et al. (Gao et al. (2005): High Prevalence of Demodex in Eyelashes with Cylindrical Dandruff. Invst Ophth and Vis Sci, September 2005, Vol. 46, No. 3089-3094.) of 55 participants confirmed the pathognomonic relationship of the collarette to Demodex infestation. As illustrated in the figure below, 100% (n=32) of patients with at least one collarette had Demodex present. Those patients without collarettes were divided into two groups; patients who were using lid scrubs for a full year and those who were not. Only 7% (n=15) of patients without collarettes and who were not performing the daily lid scrubs had Demodex, while 50% (n=8) of those subjects without collarettes, but who were using daily lid scrubs with shampoo for a full year, had Demodex infestation, implying that hygiene alone did not eradicate the mites.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 shows that 100% of patients with at least one collarette had Demodex infestation:</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7: 100% of Patients With at Least One Collarette Had Demodex Infestation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156845</wp:posOffset>
            </wp:positionV>
            <wp:extent cx="2828925" cy="18002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289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Demodex blepharitis can be easily diagnosed by ECPs with the standard eye examination, the slit lamp examination, by confirming the presence of collarettes. The slit lamp examination is routinely performed by ECPs as part of standard practice during a customary eye examination, so diagnosing Demodex blepharitis via presence of collarettes would not involve any additional equipment, training or workflow alterations on the part of the ECP.</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Market Opportunity in Blepharitis</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According to published studies, there are an estimated 20 million patients in the United States who suffer from blepharitis, with approximately 45%, or approximately nine million, of cases caused by Demodex infestation. Further, we estimate that the number of Demodex blepharitis cases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ICD-10-CM.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Research Studies and Surveys</w:t>
      </w:r>
    </w:p>
    <w:p>
      <w:pPr>
        <w:spacing w:after="0" w:line="229" w:lineRule="exact"/>
        <w:rPr>
          <w:sz w:val="20"/>
          <w:szCs w:val="20"/>
          <w:color w:val="auto"/>
        </w:rPr>
      </w:pPr>
    </w:p>
    <w:p>
      <w:pPr>
        <w:ind w:right="20" w:firstLine="1018"/>
        <w:spacing w:after="0" w:line="252" w:lineRule="auto"/>
        <w:rPr>
          <w:sz w:val="20"/>
          <w:szCs w:val="20"/>
          <w:color w:val="auto"/>
        </w:rPr>
      </w:pPr>
      <w:r>
        <w:rPr>
          <w:rFonts w:ascii="Times New Roman" w:cs="Times New Roman" w:eastAsia="Times New Roman" w:hAnsi="Times New Roman"/>
          <w:sz w:val="18"/>
          <w:szCs w:val="18"/>
          <w:color w:val="auto"/>
        </w:rPr>
        <w:t>Our market research studies include an ECP survey of 50 ECPs, or the ECP Survey, that we commissioned and which was conducted in 2019 and 2020 to generally determine market awareness and current management of Demodex blepharitis and introduce the TP-03 product profile. Twenty ECPs were interviewed in 2019 and 30 ECPs were interviewed in 2020. ECPs were chosen based on a random sample of ophthalmologists and optometrists that had sufficient exposure to blepharitis patients to provide a representative sample of ECPs who have prescribed TP-03 to blepharitis patients. Patients were chosen based on a random sample of individuals that had signs or symptoms of Demodex blepharitis. The ECP Survey showed that 44% of all diagnosed patients were over the age of 65, and 57% of diagnosed patients were female. Distribution of diagnoses across race and income metrics was approximately proportional to that of the United States population, implying little correlation of the condition with socioeconomic status. The ECP Survey also showed that in April through May of 2020, the number of blepharitis patients in the eye care clinic, which represented 60% of the total patients, was approaching the level of dry eye patients, which represented approximately 65% of the total patients. We believe this demonstrates that the market size for blepharitis may be similar to the market size of dry eye and that both are common in the eye care clinics, which informs us on the potential to increase diagnoses through ECP education. As the population of the United States continues to age, we believe this disease will become more prevalent. While we believe the ECP survey was representative of the number of Demodex patients, the sample size of both ECPs and patients was relatively small and the number of blepharitis patients may not be comparable to the number of dry eye patients. The patients may have had overlapping diagnoses but the ECP Survey did not measure any such potential overlap.</w:t>
      </w:r>
    </w:p>
    <w:p>
      <w:pPr>
        <w:spacing w:after="0" w:line="197" w:lineRule="exact"/>
        <w:rPr>
          <w:sz w:val="20"/>
          <w:szCs w:val="20"/>
          <w:color w:val="auto"/>
        </w:rPr>
      </w:pPr>
    </w:p>
    <w:p>
      <w:pPr>
        <w:ind w:right="620" w:firstLine="1018"/>
        <w:spacing w:after="0" w:line="282" w:lineRule="auto"/>
        <w:rPr>
          <w:sz w:val="20"/>
          <w:szCs w:val="20"/>
          <w:color w:val="auto"/>
        </w:rPr>
      </w:pPr>
      <w:r>
        <w:rPr>
          <w:rFonts w:ascii="Times New Roman" w:cs="Times New Roman" w:eastAsia="Times New Roman" w:hAnsi="Times New Roman"/>
          <w:sz w:val="18"/>
          <w:szCs w:val="18"/>
          <w:color w:val="auto"/>
        </w:rPr>
        <w:t>The following figures show that according to the ECP Survey, the number of blepharitis diagnoses approached the number of dry eye diagnoses. This trend is also supported by independent epidemiology studies: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Figures 8 and 9: Blepharitis Diagnoses Approaching Number of Dry Eye Diagnoses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173990</wp:posOffset>
            </wp:positionV>
            <wp:extent cx="5048885" cy="17487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4888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Additionally, the ECP Survey obtained feedback on the TP-03 product profile. In the ECP Survey, a total of 25 ophthalmologists and 25 optometrists were educated on the pathognomonic relationship of collarettes to Demodex blepharitis and exposed to the Mars and Jupiter clinical trial data. After exposure, ECPs were asked whether they would prescribe TP-03 for their patients presenting with Demodex blepharitis as indicated by collarettes. In these studies, 48 of 50 (96%) ECPs indicated that they would prescribe TP-03 as first-line treatment, and 2 of 50 (4%) indicated that they would prescribe it as second-line treatment. No ECPs indicated that they would prescribe TP-03 as third line or not prescribe TP-03.</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5" w:name="page106"/>
    <w:bookmarkEnd w:id="105"/>
    <w:p>
      <w:pPr>
        <w:ind w:left="1020"/>
        <w:spacing w:after="0"/>
        <w:rPr>
          <w:sz w:val="20"/>
          <w:szCs w:val="20"/>
          <w:color w:val="auto"/>
        </w:rPr>
      </w:pPr>
      <w:r>
        <w:rPr>
          <w:rFonts w:ascii="Times New Roman" w:cs="Times New Roman" w:eastAsia="Times New Roman" w:hAnsi="Times New Roman"/>
          <w:sz w:val="18"/>
          <w:szCs w:val="18"/>
          <w:color w:val="auto"/>
        </w:rPr>
        <w:t>The following figure shows that 96% of the surveyed ECPs indicated they would prescribe TP-03 as a first-line treatment:</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10: 96% of Surveyed ECPs Indicated Prescribing TP-03 as First-Line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173990</wp:posOffset>
            </wp:positionV>
            <wp:extent cx="2974340" cy="2314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743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We also sponsored a market research survey of 50 individuals with blepharitis symptoms, where the presence of “eye crust” on eye lashes was noted as a primary symptom. The individuals with blepharitis symptoms were educated on collarettes and that Demodex mites cause collarettes, and provided with a description of a hypothetical product with the target profile of TP-03, which can potentially eradicate Demodex mites in the eyelid and eliminate collarettes in a majority of patients. After considering the target product profile, the individuals with blepharitis symptoms were asked how likely they were to visit a doctor and ask about whether a product such as TP-03 would be right for them (on a scale of 1-7). Forty-six of 50 (92%) of the individuals with blepharitis symptoms indicated a likelihood to visit a doctor and ask about a product with a target profile of TP-03, and 32 of 50 (64%) indicated a response of “definitely would.” Two of 50 (4%) of the individuals with blepharitis symptoms indicated that they “may or may not,” and two of 50 (4%) of the individuals with blepharitis symptoms indicated that they “definitely would not.”</w:t>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 shows the results of this survey:</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11: 92% of Individuals with Blepharitis Symptoms Indicated Likelihood To Inquire About a TP-03-Type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173990</wp:posOffset>
            </wp:positionV>
            <wp:extent cx="3351530" cy="24085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51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06" w:name="page107"/>
    <w:bookmarkEnd w:id="106"/>
    <w:p>
      <w:pPr>
        <w:ind w:firstLine="1018"/>
        <w:spacing w:after="0" w:line="253" w:lineRule="auto"/>
        <w:rPr>
          <w:sz w:val="20"/>
          <w:szCs w:val="20"/>
          <w:color w:val="auto"/>
        </w:rPr>
      </w:pPr>
      <w:r>
        <w:rPr>
          <w:rFonts w:ascii="Times New Roman" w:cs="Times New Roman" w:eastAsia="Times New Roman" w:hAnsi="Times New Roman"/>
          <w:sz w:val="18"/>
          <w:szCs w:val="18"/>
          <w:color w:val="auto"/>
        </w:rPr>
        <w:t>We believe that blepharitis is underdiagnosed due to the lack of an approved treatment and associated patient and physician education, and the lack of awareness of the role of Demodex mites in the disease process. The ECP Survey showed that only 10-15% of ECPs were aware that collarettes are highly correlated with Demodex infestation. Despite the current lack of awareness by ECPs, we believe that the ocular surface disease marketplace is highly responsive to education of both the ECP and the patient. For example, as a result of ECP and patient education, the dry eye market grew significantly once there was a product to address the large, latent demand for an effective therapy. Dry eye had no approved therapeutic until 2003. Once a therapeutic was approved, the diagnosis rate increased by approximately 12 times, growing from 500,000 annual diagnoses in 2003 to over six million annual diagnoses by 2015. Annual diagnoses rates have been maintained at similar levels since 2015. We believe the Demodex blepharitis and dry eye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 due to differences in symptoms, regulatory approval and market dynamics and other factors. See “Risk Factors – Risk Related to Development and Commercialization of Our Product Candidates - The market for blepharitis and Demodex blepharitis may be not be similar to the market for dry eye” for additional information and risks related to the comparison of the Demodex blepharitis market to that of dry eye.</w:t>
      </w:r>
    </w:p>
    <w:p>
      <w:pPr>
        <w:spacing w:after="0" w:line="190" w:lineRule="exact"/>
        <w:rPr>
          <w:sz w:val="20"/>
          <w:szCs w:val="20"/>
          <w:color w:val="auto"/>
        </w:rPr>
      </w:pPr>
    </w:p>
    <w:p>
      <w:pPr>
        <w:ind w:right="20" w:firstLine="1018"/>
        <w:spacing w:after="0" w:line="282" w:lineRule="auto"/>
        <w:rPr>
          <w:sz w:val="20"/>
          <w:szCs w:val="20"/>
          <w:color w:val="auto"/>
        </w:rPr>
      </w:pPr>
      <w:r>
        <w:rPr>
          <w:rFonts w:ascii="Times New Roman" w:cs="Times New Roman" w:eastAsia="Times New Roman" w:hAnsi="Times New Roman"/>
          <w:sz w:val="18"/>
          <w:szCs w:val="18"/>
          <w:color w:val="auto"/>
        </w:rPr>
        <w:t>The following figure shows the annual diagnoses of dry eye disease prior to and after and the launch of an approved therapy for dry eye, with the 2.1 million diagnoses for blepharitis in 2019 shown on the plot for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12: Dry Eye Diagnoses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173990</wp:posOffset>
            </wp:positionV>
            <wp:extent cx="5623560" cy="25717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2356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Demodex mites have been implicated in approximately 45% of all blepharitis cases in a meta-analysis of 11 studies consisting of an aggregate of 4,741 patients with blepharitis. The incidence of Demodex blepharitis increases progressively with aging, which is the main risk factor for the condition, with the majority of people over the age of 60 having been shown to have the disease.</w:t>
      </w:r>
    </w:p>
    <w:p>
      <w:pPr>
        <w:spacing w:after="0" w:line="176"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Our market research studies also included an epidemiological evaluation we conducted of 1,121 consecutive patients in eight ophthalmology and optometry practices conducted in 2020, or the Patient Survey, which showed that 58% of all patients entering the practices had collarettes and all patients entering practices with collarettes were also found to have Demodex blepharitis. By comparison, 20% of those same 1,121 patients were currently on a prescription therapeutic for dry eye disease (Restasis or Xiidra). Additionally, 13% of the 1,121 patients presented with collarettes and were also on a prescription therapeutic for dry eye at the same time. The clinics in the Patient Survey were geographically diverse and represented both high and low dry eye prescription rates. Each practice was required to enroll between 100 and 180 consecutive patients. The clinic with the lowest prevalence demonstrated 29% of consecutive patients had collarettes, and the clinic with the highest prevalence demonstrated 76% of consecutive patients had collarettes. The Patient Survey did not measure overlap between patients with collarettes and those on prescription therapeutic for dry eye disease.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7" w:name="page108"/>
    <w:bookmarkEnd w:id="107"/>
    <w:p>
      <w:pPr>
        <w:ind w:left="1020"/>
        <w:spacing w:after="0"/>
        <w:rPr>
          <w:sz w:val="20"/>
          <w:szCs w:val="20"/>
          <w:color w:val="auto"/>
        </w:rPr>
      </w:pPr>
      <w:r>
        <w:rPr>
          <w:rFonts w:ascii="Times New Roman" w:cs="Times New Roman" w:eastAsia="Times New Roman" w:hAnsi="Times New Roman"/>
          <w:sz w:val="18"/>
          <w:szCs w:val="18"/>
          <w:color w:val="auto"/>
        </w:rPr>
        <w:t>The following figure shows the prevalence of collarettes and prevalence distribution by clinic, from the Patient Survey:</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Figures 13 and 14: Prevalence of Collarettes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156845</wp:posOffset>
            </wp:positionV>
            <wp:extent cx="4963160" cy="19716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631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We believe the data has demonstrated that there is a significant population for blepharitis, and for Demodex blepharitis more specifically, since the number of patients with collarettes exceeded by almost three times the number of patients on a prescription therapeutic for dry eye disease. While there may be overlap between the number of patients with collarettes and the number of patients with dry eye and the number of patients with dry eye is most likely higher than the number of patients currently on a prescription for dry eye, and we believe the data shows a potential significant population for Demodex blepharitis. We also believe the data illustrates a significant opportunity to increase the diagnosis rate of Demodex blepharitis by educating ECPs on the high correlation of the presence of collarette to Demodex blepharitis in order for ECPs to incorporate the examination of the condition into standard practice.</w:t>
      </w:r>
    </w:p>
    <w:p>
      <w:pPr>
        <w:spacing w:after="0" w:line="189" w:lineRule="exact"/>
        <w:rPr>
          <w:sz w:val="20"/>
          <w:szCs w:val="20"/>
          <w:color w:val="auto"/>
        </w:rPr>
      </w:pPr>
    </w:p>
    <w:p>
      <w:pPr>
        <w:jc w:val="both"/>
        <w:ind w:right="500" w:firstLine="1018"/>
        <w:spacing w:after="0" w:line="266" w:lineRule="auto"/>
        <w:rPr>
          <w:sz w:val="20"/>
          <w:szCs w:val="20"/>
          <w:color w:val="auto"/>
        </w:rPr>
      </w:pPr>
      <w:r>
        <w:rPr>
          <w:rFonts w:ascii="Times New Roman" w:cs="Times New Roman" w:eastAsia="Times New Roman" w:hAnsi="Times New Roman"/>
          <w:sz w:val="18"/>
          <w:szCs w:val="18"/>
          <w:color w:val="auto"/>
        </w:rPr>
        <w:t>Over the past several years, an increasing number of clinical studies on Demodex have been published in the context of ocular surface disease, with more than half of these studies published in the last four years. We believe this shows an increased understanding of the importance of Demodex in the scientific ophthalmology community and represents an important step in educating ECPs about Demodex blepharitis.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Treatment Options and Their Limitations</w:t>
      </w:r>
    </w:p>
    <w:p>
      <w:pPr>
        <w:spacing w:after="0" w:line="229"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Despite the high prevalence of patients with Demodex blepharitis and growing awareness of the condition amongst ECPs, there are no FDA-approved therapeutics for the treatment of blepharitis or for Demodex blepharitis. Demodex blepharitis is currently treated with a variety of over the counter remedies such as tea tree oil, lid wipes and artificial tears, as well as off-label prescription products for dry eye.</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These approaches have significant limitations, including:</w:t>
      </w:r>
    </w:p>
    <w:p>
      <w:pPr>
        <w:spacing w:after="0" w:line="225" w:lineRule="exact"/>
        <w:rPr>
          <w:sz w:val="20"/>
          <w:szCs w:val="20"/>
          <w:color w:val="auto"/>
        </w:rPr>
      </w:pPr>
    </w:p>
    <w:p>
      <w:pPr>
        <w:ind w:left="1520" w:hanging="378"/>
        <w:spacing w:after="0"/>
        <w:tabs>
          <w:tab w:leader="none" w:pos="1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efficacy of over-the-counter and off-label treatments as well as device-based treatments administered in clinic by ECPs;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definitive knowledge of diagnostic criteria to guide treatment decisions;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prohibitive side effects (significant burning and stinging) from treatments that target Demodex mites (e.g. tea tree oil);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treatments do not eradicate the Demodex mites, leading to a chronic and progressive condition.</w:t>
      </w:r>
    </w:p>
    <w:p>
      <w:pPr>
        <w:spacing w:after="0" w:line="215" w:lineRule="exact"/>
        <w:rPr>
          <w:rFonts w:ascii="Times New Roman" w:cs="Times New Roman" w:eastAsia="Times New Roman" w:hAnsi="Times New Roman"/>
          <w:sz w:val="18"/>
          <w:szCs w:val="18"/>
          <w:color w:val="auto"/>
        </w:rPr>
      </w:pPr>
    </w:p>
    <w:p>
      <w:pPr>
        <w:ind w:left="5480" w:hanging="117"/>
        <w:spacing w:after="0"/>
        <w:tabs>
          <w:tab w:leader="none" w:pos="548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Our Approach: Treating Demodex Mites, a Root Cause of Disease</w:t>
      </w:r>
    </w:p>
    <w:p>
      <w:pPr>
        <w:spacing w:after="0" w:line="22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To address these limitations and high unmet need for effectively treating Demodex blepharitis, 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 To date, TP-03 has successfully met the primary, secondary and/or exploratory, endpoints, as applicable, in each of the four completed Phase 2 trials. TP-03 was generally well tolerated throughout these trials. As a result, we believe that TP-03 has the potential to be the first ever approved therapeutic for Demodex blepharitis.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 summarizes the key advantages of TP-03:</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15: Summary of TP-03 Key Advantages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Strategy for Demodex Blepharitis Launch</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If approved, we plan to commercialize TP-03 in the United States with a focused, specialty sales force, direct-to-consumer, or DTC, campaign, and ECP education campaigns with key opinion leaders, and professional associations. In our work with key opinion leaders and various associations to increase Demodex blepharitis awareness and education, we plan to highlight prevalence, impact, and simplicity of diagnosis of Demodex blepharitis. Our goal is to educate ECPs about the prevalence of Demodex blepharitis and the safety and efficacy of our products. In addition to educating ECPs, we believe that patient awareness and identification is important and plan to increase awareness through education and marketing efforts directed toward patients.</w:t>
      </w:r>
    </w:p>
    <w:p>
      <w:pPr>
        <w:spacing w:after="0" w:line="1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49"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TP-03 Eye Drops –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19685</wp:posOffset>
            </wp:positionV>
            <wp:extent cx="386080" cy="10883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6080" cy="1088390"/>
                    </a:xfrm>
                    <a:prstGeom prst="rect">
                      <a:avLst/>
                    </a:prstGeom>
                    <a:noFill/>
                  </pic:spPr>
                </pic:pic>
              </a:graphicData>
            </a:graphic>
          </wp:anchor>
        </w:drawing>
      </w:r>
    </w:p>
    <w:p>
      <w:pPr>
        <w:spacing w:after="0" w:line="209" w:lineRule="exact"/>
        <w:rPr>
          <w:sz w:val="20"/>
          <w:szCs w:val="20"/>
          <w:color w:val="auto"/>
        </w:rPr>
      </w:pPr>
    </w:p>
    <w:p>
      <w:pPr>
        <w:ind w:right="800" w:firstLine="881"/>
        <w:spacing w:after="0" w:line="274" w:lineRule="auto"/>
        <w:rPr>
          <w:sz w:val="20"/>
          <w:szCs w:val="20"/>
          <w:color w:val="auto"/>
        </w:rPr>
      </w:pPr>
      <w:r>
        <w:rPr>
          <w:rFonts w:ascii="Times New Roman" w:cs="Times New Roman" w:eastAsia="Times New Roman" w:hAnsi="Times New Roman"/>
          <w:sz w:val="17"/>
          <w:szCs w:val="17"/>
          <w:color w:val="auto"/>
        </w:rPr>
        <w:t>The active ingredient in TP-03 eye drops is lotilaner, a member of a new class of anti-parasitic molecules called isoxazolines. It is a potent non-competitive antagonist of insect and arachnid GABA-Cl channels. Lotilaner is designed to eradicate Demodex mites by selectively inhibiting GABA-Cl channels, causing mite paralysis and eventual death. It has a low affinity to mammalian GABA-Cl and other ion channels (e.g. hERG) and thus has no impact on the human nervous system. Lotilaner is a lipophilic molecule, which may promote its uptake in the oily sebum of the hair follicle, where the mites reside. In clinical trials, TP-03 is topically applied to the eye twice daily to ensure delivery of the drug to the eyelid margin. Following mite eradication, collarettes eventually clear from the eyelid since they are composed of mite-related waste.</w:t>
      </w:r>
    </w:p>
    <w:p>
      <w:pPr>
        <w:spacing w:after="0" w:line="3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figures show the intended paralysis of mites in the hair follicle by TP-03 administration: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16: Progression of TP-03 Application, Mite Paralysis and Eradication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4085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w:t>
      </w:r>
    </w:p>
    <w:p>
      <w:pPr>
        <w:spacing w:after="0" w:line="227"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 xml:space="preserve">We have completed four Phase 2 clinical trials to date, along with one additional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The table below summarizes completed and planned clinical investigations evaluating TP-03 for Demodex blepharitis. We plan to evaluate TP-03 in two pivotal registration trials, referred to as Saturn-1 and Saturn-2. Saturn-1 is a Phase 2b/3, randomized, controlled, double-blind trial to evaluate the safety and efficacy of TP-03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 results to support the potential submission of an NDA for TP-03 for the treatment of Demodex blepharitis.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0" w:name="page111"/>
    <w:bookmarkEnd w:id="110"/>
    <w:p>
      <w:pPr>
        <w:ind w:left="1020"/>
        <w:spacing w:after="0"/>
        <w:rPr>
          <w:sz w:val="20"/>
          <w:szCs w:val="20"/>
          <w:color w:val="auto"/>
        </w:rPr>
      </w:pPr>
      <w:r>
        <w:rPr>
          <w:rFonts w:ascii="Times New Roman" w:cs="Times New Roman" w:eastAsia="Times New Roman" w:hAnsi="Times New Roman"/>
          <w:sz w:val="18"/>
          <w:szCs w:val="18"/>
          <w:color w:val="auto"/>
        </w:rPr>
        <w:t>The following figure shows our completed and planned investigations evaluating TP-03 for Demodex blepharitis: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17: Completed and Planned Investigations Evaluating TP-03 for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156845</wp:posOffset>
            </wp:positionV>
            <wp:extent cx="6163310" cy="3549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6331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 w:right="160" w:hanging="372"/>
        <w:spacing w:after="0" w:line="233" w:lineRule="auto"/>
        <w:tabs>
          <w:tab w:leader="none" w:pos="3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 from</w:t>
      </w:r>
    </w:p>
    <w:p>
      <w:pPr>
        <w:ind w:left="380"/>
        <w:spacing w:after="0" w:line="222" w:lineRule="auto"/>
        <w:rPr>
          <w:sz w:val="20"/>
          <w:szCs w:val="20"/>
          <w:color w:val="auto"/>
        </w:rPr>
      </w:pPr>
      <w:r>
        <w:rPr>
          <w:rFonts w:ascii="Times New Roman" w:cs="Times New Roman" w:eastAsia="Times New Roman" w:hAnsi="Times New Roman"/>
          <w:sz w:val="14"/>
          <w:szCs w:val="14"/>
          <w:color w:val="auto"/>
        </w:rPr>
        <w:t>mite eradication. Mite density is translated into mite eradication, which is defined as zero mites per lash consistently throughout trials.</w:t>
      </w:r>
    </w:p>
    <w:p>
      <w:pPr>
        <w:ind w:left="380" w:hanging="372"/>
        <w:spacing w:after="0" w:line="221" w:lineRule="auto"/>
        <w:tabs>
          <w:tab w:leader="none" w:pos="3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endpoint in Io, Europa, Saturn-1 and intended in Saturn-2 is collarette cure based on collarette grade.</w:t>
      </w:r>
    </w:p>
    <w:p>
      <w:pPr>
        <w:ind w:left="380" w:hanging="372"/>
        <w:spacing w:after="0" w:line="221" w:lineRule="auto"/>
        <w:tabs>
          <w:tab w:leader="none" w:pos="3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IND application, a “no-objection” letter was received from the FDA regarding the trial design of the Saturn-1 trial.</w:t>
      </w:r>
    </w:p>
    <w:p>
      <w:pPr>
        <w:spacing w:after="0" w:line="1" w:lineRule="exact"/>
        <w:rPr>
          <w:sz w:val="20"/>
          <w:szCs w:val="20"/>
          <w:color w:val="auto"/>
        </w:rPr>
      </w:pPr>
    </w:p>
    <w:p>
      <w:pPr>
        <w:ind w:left="380" w:hanging="372"/>
        <w:spacing w:after="0"/>
        <w:tabs>
          <w:tab w:leader="none" w:pos="3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Saturn-2 design is highly comparable to that of Saturn-1 with respect to which the FDA raised “no-objection” and we expect to update the IND protocol prior to commencing Saturn-2.</w:t>
      </w:r>
    </w:p>
    <w:p>
      <w:pPr>
        <w:spacing w:after="0" w:line="192"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TP-03 is a presentation of lotilaner, the API, formulated into a topical eye drop formulation. Only one dose strength of TP-03, 0.25% lotilaner solution was used across all clinical trials and studies.</w:t>
      </w:r>
    </w:p>
    <w:p>
      <w:pPr>
        <w:spacing w:after="0" w:line="162" w:lineRule="exact"/>
        <w:rPr>
          <w:sz w:val="20"/>
          <w:szCs w:val="20"/>
          <w:color w:val="auto"/>
        </w:rPr>
      </w:pPr>
    </w:p>
    <w:p>
      <w:pPr>
        <w:jc w:val="both"/>
        <w:ind w:right="460" w:firstLine="1018"/>
        <w:spacing w:after="0" w:line="266" w:lineRule="auto"/>
        <w:rPr>
          <w:sz w:val="20"/>
          <w:szCs w:val="20"/>
          <w:color w:val="auto"/>
        </w:rPr>
      </w:pPr>
      <w:r>
        <w:rPr>
          <w:rFonts w:ascii="Times New Roman" w:cs="Times New Roman" w:eastAsia="Times New Roman" w:hAnsi="Times New Roman"/>
          <w:sz w:val="18"/>
          <w:szCs w:val="18"/>
          <w:color w:val="auto"/>
        </w:rPr>
        <w:t>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Mercury Study</w:t>
      </w:r>
    </w:p>
    <w:p>
      <w:pPr>
        <w:spacing w:after="0" w:line="227"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 xml:space="preserve">The Mercury preclinical study was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of the efficacy of TP-03 in causing the paralysis and death of Demodex mites performed at a single center in the United States in 2019 through 2020. Mites were collected following lash plucking at a single center in the United States. Mites were placed in small wells and submersed in a drop of either TP-03 (pilot formulation) or a vehicle control (formulation with no active ingredient).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efficacy results of the Mercury study show that 100% of mites subjected to the pilot formulation of TP-03 were dead within 24 hours and more than 70% of mites subjected to the formulation with no active ingredient were still viable after four days of observation.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1" w:name="page112"/>
    <w:bookmarkEnd w:id="111"/>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The following figure presents the efficacy results on Demodex mite survival probability over time, with the shaded regions representing the 95% confidence interval for each of the two groups: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Figure 18: Mercury Study </w:t>
      </w:r>
      <w:r>
        <w:rPr>
          <w:rFonts w:ascii="Times New Roman" w:cs="Times New Roman" w:eastAsia="Times New Roman" w:hAnsi="Times New Roman"/>
          <w:sz w:val="18"/>
          <w:szCs w:val="18"/>
          <w:b w:val="1"/>
          <w:bCs w:val="1"/>
          <w:i w:val="1"/>
          <w:iCs w:val="1"/>
          <w:color w:val="auto"/>
        </w:rPr>
        <w:t>Ex Vivo</w:t>
      </w:r>
      <w:r>
        <w:rPr>
          <w:rFonts w:ascii="Times New Roman" w:cs="Times New Roman" w:eastAsia="Times New Roman" w:hAnsi="Times New Roman"/>
          <w:sz w:val="18"/>
          <w:szCs w:val="18"/>
          <w:b w:val="1"/>
          <w:bCs w:val="1"/>
          <w:color w:val="auto"/>
        </w:rPr>
        <w:t xml:space="preserve"> Efficacy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173990</wp:posOffset>
            </wp:positionV>
            <wp:extent cx="3042920" cy="2442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4292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Mars Phase 2a Single-Arm Clinical Trial</w:t>
      </w:r>
    </w:p>
    <w:p>
      <w:pPr>
        <w:spacing w:after="0" w:line="229" w:lineRule="exact"/>
        <w:rPr>
          <w:sz w:val="20"/>
          <w:szCs w:val="20"/>
          <w:color w:val="auto"/>
        </w:rPr>
      </w:pPr>
    </w:p>
    <w:p>
      <w:pPr>
        <w:ind w:right="40" w:firstLine="1018"/>
        <w:spacing w:after="0" w:line="257" w:lineRule="auto"/>
        <w:rPr>
          <w:sz w:val="20"/>
          <w:szCs w:val="20"/>
          <w:color w:val="auto"/>
        </w:rPr>
      </w:pPr>
      <w:r>
        <w:rPr>
          <w:rFonts w:ascii="Times New Roman" w:cs="Times New Roman" w:eastAsia="Times New Roman" w:hAnsi="Times New Roman"/>
          <w:sz w:val="18"/>
          <w:szCs w:val="18"/>
          <w:color w:val="auto"/>
        </w:rPr>
        <w:t>Mars was a Phase 2a single-arm clinical trial which evaluated the safety and efficacy of TP-03 for the treatment of Demodex blepharitis completed in 2019 in Mexico City, Mexico at a well-established site for ocular therapy trials. Subjects were treated with TP-03 (pilot formulation) BID for 28 days and followed to 90 days (62 days post-treatment). A total of 18 subjects were enrolled in the trial, with 15 patients receiving treatment beyond Day</w:t>
      </w:r>
    </w:p>
    <w:p>
      <w:pPr>
        <w:spacing w:after="0" w:line="1" w:lineRule="exact"/>
        <w:rPr>
          <w:sz w:val="20"/>
          <w:szCs w:val="20"/>
          <w:color w:val="auto"/>
        </w:rPr>
      </w:pPr>
    </w:p>
    <w:p>
      <w:pPr>
        <w:ind w:firstLine="8"/>
        <w:spacing w:after="0" w:line="255" w:lineRule="auto"/>
        <w:tabs>
          <w:tab w:leader="none" w:pos="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of the 15 subjects who received treatment completed the trial through Day 28. Twelve of the 15 subjects continued through 90 days (62 days post-treatment) and three subjects did not continue the trial after Day 28. In data described below, one subject was lost to follow-up after Day 2, one subject missed the Day 7 visit and one subject missed the Day 14 visit.</w:t>
      </w:r>
    </w:p>
    <w:p>
      <w:pPr>
        <w:spacing w:after="0" w:line="186"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Exploratory endpoints included collarette grading score and mite density, as assessed by microscopic evaluation of plucked lashes. As this was an exploratory Phase 2a trial, no primary or secondary endpoints were pre-specified. We utilized the data from the exploratory endpoints to determine collarette cure and mite eradication rates. We defined collarette cure as collarette count of 10 or fewer, consistent with prior studies in the field. We defined mite eradication as zero mites per lash.</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109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2" w:name="page113"/>
    <w:bookmarkEnd w:id="112"/>
    <w:p>
      <w:pPr>
        <w:ind w:left="1020"/>
        <w:spacing w:after="0"/>
        <w:rPr>
          <w:sz w:val="20"/>
          <w:szCs w:val="20"/>
          <w:color w:val="auto"/>
        </w:rPr>
      </w:pPr>
      <w:r>
        <w:rPr>
          <w:rFonts w:ascii="Times New Roman" w:cs="Times New Roman" w:eastAsia="Times New Roman" w:hAnsi="Times New Roman"/>
          <w:sz w:val="18"/>
          <w:szCs w:val="18"/>
          <w:color w:val="auto"/>
        </w:rPr>
        <w:t>The following figure illustrates representative photos of two Mars subjects at baseline and Day 28 who exhibited a collarette cure:</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19: Two Mars Trial Subjects at Baseline and Day 28 Who Exhibited a Collarette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173990</wp:posOffset>
            </wp:positionV>
            <wp:extent cx="3351530" cy="27343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5153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1018"/>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compared to baseline by Day 14 with 54% of subjects (7 of 13 subjects, p &lt; 0.05) exhibiting a cure, at Day 28 with 86% of subjects (12 of 14 subjects, p &lt; 0.05) exhibiting a cure, and post-treatment at Day 60 with 83% of subjects (10 of 12 subjects, p &lt; 0.05) exhibiting a cure and at Day 90 with 83% of subjects (10 of 12 subjects, p &lt; 0.05) exhibiting a cure.</w:t>
      </w:r>
    </w:p>
    <w:p>
      <w:pPr>
        <w:spacing w:after="0" w:line="176"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The proportion of subjects who exhibited mite eradication was statistically significant compared to baseline at Day 14 with 31% of subjects (4 of 13 subjects, p &lt; 0.05) exhibiting eradication, at Day 28 with 57% of subjects (8 of 14 subjects, p &lt; 0.05) exhibiting eradication, and post-treatment at Day 60 with 50% of subjects (6 of 12 subjects, p &lt; 0.05) exhibiting eradication and Day 90 with 83% of subjects (10 of 12 subjects, p &lt; 0.05) exhibiting eradication.</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 shows the data for each visit day:</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Figures 20 and 21: Mars Phase 2a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203190" cy="21431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0319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113" w:name="page114"/>
    <w:bookmarkEnd w:id="113"/>
    <w:p>
      <w:pPr>
        <w:ind w:left="1020"/>
        <w:spacing w:after="0"/>
        <w:rPr>
          <w:sz w:val="20"/>
          <w:szCs w:val="20"/>
          <w:color w:val="auto"/>
        </w:rPr>
      </w:pPr>
      <w:r>
        <w:rPr>
          <w:rFonts w:ascii="Times New Roman" w:cs="Times New Roman" w:eastAsia="Times New Roman" w:hAnsi="Times New Roman"/>
          <w:sz w:val="18"/>
          <w:szCs w:val="18"/>
          <w:color w:val="auto"/>
        </w:rPr>
        <w:t>There were no adverse events reported and TP-03 was well tolerated. No subjects discontinued the trial due to adverse events.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Jupiter Phase 2b Trial</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Jupiter was a Phase 2b randomized, controlled, double-blind trial which evaluated the safety and efficacy of TP-03 for the treatment of Demodex blepharitis completed in 2019 in Mexico City, Mexico at a well-established site for ocular therapy trials. Subjects were treated with either TP-03 (pilot formulation) or with a vehicle control BID for 28 days. Subjects were followed to 90 days (62 days post-treatment) to evaluate post-treatment duration of effect. The primary endpoint was mite density for the treatment group as compared to the mite density for the vehicle control group at Day 28 and the secondary endpoint was collarette grade as compared to the collarette grade for the vehicle control group at Day 28. We utilized the collarette grading and mite density data to determine collarette cure and mite eradication rates. The definitions of collarette cure and mite eradication in the Jupiter trial were consistent with those used in the Mars trial. A total of 60 subjects were enrolled in the trial, with 51 subjects receiving treatment through Day 28 and 49 subjects completing the trial through Day 90.</w:t>
      </w:r>
    </w:p>
    <w:p>
      <w:pPr>
        <w:spacing w:after="0" w:line="192"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for TP-03 compared to vehicle control at Day 14 (78% vs. 44% subjects, p = 0.020), Day 28 (88% vs. 22%, p &lt; 0.001) and post-treatment at Day 60 (95% vs. 26%, p &lt; 0.001) and Day 90 (96% vs. 15%, p &lt; 0.001).</w:t>
      </w:r>
    </w:p>
    <w:p>
      <w:pPr>
        <w:spacing w:after="0" w:line="176" w:lineRule="exact"/>
        <w:rPr>
          <w:sz w:val="20"/>
          <w:szCs w:val="20"/>
          <w:color w:val="auto"/>
        </w:rPr>
      </w:pPr>
    </w:p>
    <w:p>
      <w:pPr>
        <w:jc w:val="both"/>
        <w:ind w:firstLine="1018"/>
        <w:spacing w:after="0" w:line="312" w:lineRule="auto"/>
        <w:rPr>
          <w:sz w:val="20"/>
          <w:szCs w:val="20"/>
          <w:color w:val="auto"/>
        </w:rPr>
      </w:pPr>
      <w:r>
        <w:rPr>
          <w:rFonts w:ascii="Times New Roman" w:cs="Times New Roman" w:eastAsia="Times New Roman" w:hAnsi="Times New Roman"/>
          <w:sz w:val="17"/>
          <w:szCs w:val="17"/>
          <w:color w:val="auto"/>
        </w:rPr>
        <w:t>The proportion of subjects who exhibited mite eradication was statistically significant for TP-03 compared to vehicle control at Day 14 (35% vs. 4% subjects, p = 0.009), Day 28 (67% vs. 26%, p = 0.005) and post-treatment at Day 60 (85% vs. 7%, p &lt; 0.001) and Day 90 (68% vs. 19%, p = 0.001).</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figures show the collarette cure and mite eradication rates for each visit day:</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Figures 22 and 23: Jupiter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77790" cy="2082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7779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560" w:firstLine="1018"/>
        <w:spacing w:after="0" w:line="282" w:lineRule="auto"/>
        <w:rPr>
          <w:sz w:val="20"/>
          <w:szCs w:val="20"/>
          <w:color w:val="auto"/>
        </w:rPr>
      </w:pPr>
      <w:r>
        <w:rPr>
          <w:rFonts w:ascii="Times New Roman" w:cs="Times New Roman" w:eastAsia="Times New Roman" w:hAnsi="Times New Roman"/>
          <w:sz w:val="18"/>
          <w:szCs w:val="18"/>
          <w:color w:val="auto"/>
        </w:rPr>
        <w:t>There were no serious adverse events reported and TP-03 was well tolerated. Any adverse events were not related to treatment and no subjects discontinued the trial due to adverse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Trials With Updated Protocol and Formulation Designed to Support Pivotal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 Phase 2a Trial</w:t>
      </w:r>
    </w:p>
    <w:p>
      <w:pPr>
        <w:spacing w:after="0" w:line="22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Io was a Phase 2a single-arm trial which evaluated the safety and efficacy of TP-03 for the treatment of Demodex blepharitis completed in 2020 in Mexico City, Mexico at a well-established site for ocular therapy trials. The design of the Io trial took into account feedback from the FDA, and accordingly we subsequently defined collarette cure rate as a more stringent standard of less than or equal to two collarettes on the eyelid. The definition of mite eradication, defined as zero mites per lash, remained consistent with that of the Mars and Jupiter trials. In the Io trial we also utilized for the first time in clinical trials the formulation of TP-03 which is expected to support our NDA submission for Demodex blepharitis. The Io trial design, as well as the formulation of TP-03 utilized,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4" w:name="page115"/>
    <w:bookmarkEnd w:id="114"/>
    <w:p>
      <w:pPr>
        <w:ind w:right="100"/>
        <w:spacing w:after="0" w:line="261" w:lineRule="auto"/>
        <w:rPr>
          <w:sz w:val="20"/>
          <w:szCs w:val="20"/>
          <w:color w:val="auto"/>
        </w:rPr>
      </w:pPr>
      <w:r>
        <w:rPr>
          <w:rFonts w:ascii="Times New Roman" w:cs="Times New Roman" w:eastAsia="Times New Roman" w:hAnsi="Times New Roman"/>
          <w:sz w:val="18"/>
          <w:szCs w:val="18"/>
          <w:color w:val="auto"/>
        </w:rPr>
        <w:t>are consistent with the design and formulation to be utilized in our Saturn-1 Phase 2b/3 trial. The primary efficacy endpoint was the proportion of patients experiencing a cure based on collarette grade, or collarette cure, at Day 42. The secondary endpoint was the mite eradication rate at Day 42. A total of 18 subjects were enrolled in the trial, all of whom were crossed over from the vehicle control group of the Jupiter trial. In data described below, three subjects missed the Day 7 visit, one subject missed the Day 14 visit and one subject missed the Day 28 visit.</w:t>
      </w:r>
    </w:p>
    <w:p>
      <w:pPr>
        <w:spacing w:after="0" w:line="180"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for TP-03 compared to baseline by Day 14 with 29% of subjects (5 of 17 subjects, p &lt; 0.05), at Day 28 with 71% of subjects (12 of 17 subjects, p &lt; 0.05) and at Day 42 with 72% of subjects (13 of 18 subjects, p &lt; 0.05).</w:t>
      </w:r>
    </w:p>
    <w:p>
      <w:pPr>
        <w:spacing w:after="0" w:line="176"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mite eradication was statistically significant for TP-03 compared to baseline by Day 14 with 47% of subjects (8 of 17 subjects, p &lt; 0.05), at Day 28 with 59% of subjects (10 of 17 subjects, p &lt; 0.05) and at Day 42 with 78% of subjects (14 of 18 subjects, p &lt; 0.05).</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figures present the collarette cure and mite eradication rates for each visit day: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Figures 24 and 25: Io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173990</wp:posOffset>
            </wp:positionV>
            <wp:extent cx="5126355" cy="1808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2635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All 18 subjects completed the trial through Day 42 of dosing. There were no serious adverse events reported and TP-03 was well tolerated. No subjects discontinued the trial due to adverse events. The most common adverse event included mild transient burning after administration for less than 10 seconds.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treatment emergent adverse events for the trial: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26: Summary of Treatment Emergent Adverse Events</w:t>
      </w:r>
    </w:p>
    <w:p>
      <w:pPr>
        <w:spacing w:after="0" w:line="22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Adverse Event</w:t>
            </w: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N=18</w:t>
            </w:r>
          </w:p>
        </w:tc>
        <w:tc>
          <w:tcPr>
            <w:tcW w:w="0" w:type="dxa"/>
            <w:vAlign w:val="bottom"/>
          </w:tcPr>
          <w:p>
            <w:pPr>
              <w:spacing w:after="0"/>
              <w:rPr>
                <w:sz w:val="1"/>
                <w:szCs w:val="1"/>
                <w:color w:val="auto"/>
              </w:rPr>
            </w:pPr>
          </w:p>
        </w:tc>
      </w:tr>
      <w:tr>
        <w:trPr>
          <w:trHeight w:val="173"/>
        </w:trPr>
        <w:tc>
          <w:tcPr>
            <w:tcW w:w="5560" w:type="dxa"/>
            <w:vAlign w:val="bottom"/>
            <w:gridSpan w:val="2"/>
            <w:vMerge w:val="continue"/>
          </w:tcPr>
          <w:p>
            <w:pPr>
              <w:spacing w:after="0"/>
              <w:rPr>
                <w:sz w:val="15"/>
                <w:szCs w:val="15"/>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 (%)</w:t>
            </w:r>
          </w:p>
        </w:tc>
        <w:tc>
          <w:tcPr>
            <w:tcW w:w="0" w:type="dxa"/>
            <w:vAlign w:val="bottom"/>
          </w:tcPr>
          <w:p>
            <w:pPr>
              <w:spacing w:after="0"/>
              <w:rPr>
                <w:sz w:val="1"/>
                <w:szCs w:val="1"/>
                <w:color w:val="auto"/>
              </w:rPr>
            </w:pPr>
          </w:p>
        </w:tc>
      </w:tr>
      <w:tr>
        <w:trPr>
          <w:trHeight w:val="223"/>
        </w:trPr>
        <w:tc>
          <w:tcPr>
            <w:tcW w:w="5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Transient burning</w:t>
            </w: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(22%)</w:t>
            </w:r>
          </w:p>
        </w:tc>
        <w:tc>
          <w:tcPr>
            <w:tcW w:w="0" w:type="dxa"/>
            <w:vAlign w:val="bottom"/>
          </w:tcPr>
          <w:p>
            <w:pPr>
              <w:spacing w:after="0"/>
              <w:rPr>
                <w:sz w:val="1"/>
                <w:szCs w:val="1"/>
                <w:color w:val="auto"/>
              </w:rPr>
            </w:pP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Transient blurriness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(6%)</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Europa Phase 2b Trial</w:t>
      </w:r>
    </w:p>
    <w:p>
      <w:pPr>
        <w:spacing w:after="0" w:line="229" w:lineRule="exact"/>
        <w:rPr>
          <w:sz w:val="20"/>
          <w:szCs w:val="20"/>
          <w:color w:val="auto"/>
        </w:rPr>
      </w:pPr>
    </w:p>
    <w:p>
      <w:pPr>
        <w:ind w:right="280" w:firstLine="1018"/>
        <w:spacing w:after="0" w:line="261" w:lineRule="auto"/>
        <w:rPr>
          <w:sz w:val="20"/>
          <w:szCs w:val="20"/>
          <w:color w:val="auto"/>
        </w:rPr>
      </w:pPr>
      <w:r>
        <w:rPr>
          <w:rFonts w:ascii="Times New Roman" w:cs="Times New Roman" w:eastAsia="Times New Roman" w:hAnsi="Times New Roman"/>
          <w:sz w:val="18"/>
          <w:szCs w:val="18"/>
          <w:color w:val="auto"/>
        </w:rPr>
        <w:t>Europa was a Phase 2b randomized, controlled, double-blind trial, which evaluated the safety and efficacy of TP-03 for the treatment of Demodex blepharitis completed in 2020 in Mexico City, Mexico at a well-established site for ocular therapy trials. Like the Io trial, the Europa trial was designed with the same protocols and formulation as will be utilized in our Saturn-1 Phase 2b/3 trial. Subjects were treated with either TP-03 or with a vehicle control BID for 42 days. A total of 54 subjects were enrolled in the trial with 34 subjects completing the trial through Day 42.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5" w:name="page116"/>
    <w:bookmarkEnd w:id="115"/>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The primary efficacy endpoint was the proportion of patients experiencing a cure based on collarette grade of two or fewer collarettes on the eyelid, or collarette cure, as compared to the vehicle control, at Day 42. Secondary efficacy endpoints included (1) mite eradication compared to vehicle control (defined as zero mites per lash) at Day 42, and (2) a composite cure rate of collarette cure and zero lid erythema (redness) compared to vehicle control. Subjects were also asked to rate the comfort of the trial eye drop at Day 42.</w:t>
      </w:r>
    </w:p>
    <w:p>
      <w:pPr>
        <w:spacing w:after="0" w:line="180"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for TP-03 compared to vehicle control at Day 28 (72% vs 11% subjects, p &lt; 0.001) and Day 42 (80% vs. 16%, p &lt; 0.001).</w:t>
      </w:r>
    </w:p>
    <w:p>
      <w:pPr>
        <w:spacing w:after="0" w:line="162" w:lineRule="exact"/>
        <w:rPr>
          <w:sz w:val="20"/>
          <w:szCs w:val="20"/>
          <w:color w:val="auto"/>
        </w:rPr>
      </w:pPr>
    </w:p>
    <w:p>
      <w:pPr>
        <w:ind w:right="300" w:firstLine="1018"/>
        <w:spacing w:after="0" w:line="282" w:lineRule="auto"/>
        <w:rPr>
          <w:sz w:val="20"/>
          <w:szCs w:val="20"/>
          <w:color w:val="auto"/>
        </w:rPr>
      </w:pPr>
      <w:r>
        <w:rPr>
          <w:rFonts w:ascii="Times New Roman" w:cs="Times New Roman" w:eastAsia="Times New Roman" w:hAnsi="Times New Roman"/>
          <w:sz w:val="18"/>
          <w:szCs w:val="18"/>
          <w:color w:val="auto"/>
        </w:rPr>
        <w:t>The proportion of subjects who exhibited a mite eradication was statistically significant for TP-03 compared to vehicle control at Day 28 (56% vs 11% subjects, p = 0.006) and Day 42 (73% vs. 21%, p = 0.003).</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figures show the collarette cure and mite eradication rates for each visit day:</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Figures 27 and 28: Europa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173990</wp:posOffset>
            </wp:positionV>
            <wp:extent cx="6163310" cy="22802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6331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firstLine="1018"/>
        <w:spacing w:after="0" w:line="312" w:lineRule="auto"/>
        <w:rPr>
          <w:sz w:val="20"/>
          <w:szCs w:val="20"/>
          <w:color w:val="auto"/>
        </w:rPr>
      </w:pPr>
      <w:r>
        <w:rPr>
          <w:rFonts w:ascii="Times New Roman" w:cs="Times New Roman" w:eastAsia="Times New Roman" w:hAnsi="Times New Roman"/>
          <w:sz w:val="17"/>
          <w:szCs w:val="17"/>
          <w:color w:val="auto"/>
        </w:rPr>
        <w:t>As provided in the figures below, the proportion of subjects who exhibited composite cure rate of zero lid erythema combined with collarette cure was statistically significant for TP-03 compared to vehicle control at Day 28 (67% vs 11% subjects, p &lt; 0.001) and Day 42 (73% vs. 11%, p &lt; 0.001).</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16" w:name="page117"/>
    <w:bookmarkEnd w:id="116"/>
    <w:p>
      <w:pPr>
        <w:ind w:left="1020"/>
        <w:spacing w:after="0"/>
        <w:rPr>
          <w:sz w:val="20"/>
          <w:szCs w:val="20"/>
          <w:color w:val="auto"/>
        </w:rPr>
      </w:pPr>
      <w:r>
        <w:rPr>
          <w:rFonts w:ascii="Times New Roman" w:cs="Times New Roman" w:eastAsia="Times New Roman" w:hAnsi="Times New Roman"/>
          <w:sz w:val="18"/>
          <w:szCs w:val="18"/>
          <w:color w:val="auto"/>
        </w:rPr>
        <w:t>The following figure shows data for each visit day:</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29: Composite Cure Rate was Statistically Significant for TP-03 Compared to Vehicle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173990</wp:posOffset>
            </wp:positionV>
            <wp:extent cx="2837180" cy="2160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3718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The figure below shows how subjects rated drop comfort at each visit in each of the active and vehicle control groups. The bars shows the percentage of patients who rated the drop as either “very comfortable,” “slightly comfortable” or “neither comfortable or uncomfortable” in both the active and vehicle control groups for each visit day. There was only one subject, in the vehicle group, that rated the drop as “very uncomfortable” and only at Days 14 and 28. All other subjects that did not rate the drop as “very comfortable”, “slightly comfortable” or “neither comfortable or uncomfortable” rated the drop as “slightly uncomfortable.” At Day 7, the drop was rated as “slightly uncomfortable” by 6/22 (27.3%) in the active group, 2/20 (10.0%) in the vehicle control group and 8/42 (19.0%) overall.</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figure shows the drop comfort ratings at each visit day:</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30: Comfort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173990</wp:posOffset>
            </wp:positionV>
            <wp:extent cx="2820035" cy="1834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2003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 subjects discontinued the trial due to an adverse event and TP-03 was well tolerated. All adverse events were mild in severity.</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17" w:name="page118"/>
    <w:bookmarkEnd w:id="117"/>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treatment related or possibly related adverse events for the trial:</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31: No Subjects Discontinued Europa Trial Due to Adverse Event</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1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Vehicle</w:t>
            </w: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Adverse Event</w:t>
            </w:r>
          </w:p>
        </w:tc>
        <w:tc>
          <w:tcPr>
            <w:tcW w:w="13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N=23</w:t>
            </w:r>
          </w:p>
        </w:tc>
        <w:tc>
          <w:tcPr>
            <w:tcW w:w="11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N=20</w:t>
            </w:r>
          </w:p>
        </w:tc>
        <w:tc>
          <w:tcPr>
            <w:tcW w:w="0" w:type="dxa"/>
            <w:vAlign w:val="bottom"/>
          </w:tcPr>
          <w:p>
            <w:pPr>
              <w:spacing w:after="0"/>
              <w:rPr>
                <w:sz w:val="1"/>
                <w:szCs w:val="1"/>
                <w:color w:val="auto"/>
              </w:rPr>
            </w:pPr>
          </w:p>
        </w:tc>
      </w:tr>
      <w:tr>
        <w:trPr>
          <w:trHeight w:val="173"/>
        </w:trPr>
        <w:tc>
          <w:tcPr>
            <w:tcW w:w="5400" w:type="dxa"/>
            <w:vAlign w:val="bottom"/>
            <w:gridSpan w:val="2"/>
            <w:vMerge w:val="continue"/>
          </w:tcPr>
          <w:p>
            <w:pPr>
              <w:spacing w:after="0"/>
              <w:rPr>
                <w:sz w:val="15"/>
                <w:szCs w:val="15"/>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 (%)</w:t>
            </w:r>
          </w:p>
        </w:tc>
        <w:tc>
          <w:tcPr>
            <w:tcW w:w="11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 (%)</w:t>
            </w:r>
          </w:p>
        </w:tc>
        <w:tc>
          <w:tcPr>
            <w:tcW w:w="0" w:type="dxa"/>
            <w:vAlign w:val="bottom"/>
          </w:tcPr>
          <w:p>
            <w:pPr>
              <w:spacing w:after="0"/>
              <w:rPr>
                <w:sz w:val="1"/>
                <w:szCs w:val="1"/>
                <w:color w:val="auto"/>
              </w:rPr>
            </w:pPr>
          </w:p>
        </w:tc>
      </w:tr>
      <w:tr>
        <w:trPr>
          <w:trHeight w:val="223"/>
        </w:trPr>
        <w:tc>
          <w:tcPr>
            <w:tcW w:w="5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Transient burning</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(13%)</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 (4%)</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Transient eye redness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(4%)</w:t>
            </w:r>
          </w:p>
        </w:tc>
        <w:tc>
          <w:tcPr>
            <w:tcW w:w="14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Transient blurriness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(4%)</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Dysgeusia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(4%)</w:t>
            </w:r>
          </w:p>
        </w:tc>
        <w:tc>
          <w:tcPr>
            <w:tcW w:w="140" w:type="dxa"/>
            <w:vAlign w:val="bottom"/>
          </w:tcPr>
          <w:p>
            <w:pPr>
              <w:spacing w:after="0"/>
              <w:rPr>
                <w:sz w:val="20"/>
                <w:szCs w:val="20"/>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TP-03 Safety Profile From Phase 2 Clinical Trials</w:t>
      </w:r>
    </w:p>
    <w:p>
      <w:pPr>
        <w:spacing w:after="0" w:line="229" w:lineRule="exact"/>
        <w:rPr>
          <w:sz w:val="20"/>
          <w:szCs w:val="20"/>
          <w:color w:val="auto"/>
        </w:rPr>
      </w:pPr>
    </w:p>
    <w:p>
      <w:pPr>
        <w:ind w:right="180" w:firstLine="1018"/>
        <w:spacing w:after="0" w:line="255" w:lineRule="auto"/>
        <w:rPr>
          <w:sz w:val="20"/>
          <w:szCs w:val="20"/>
          <w:color w:val="auto"/>
        </w:rPr>
      </w:pPr>
      <w:r>
        <w:rPr>
          <w:rFonts w:ascii="Times New Roman" w:cs="Times New Roman" w:eastAsia="Times New Roman" w:hAnsi="Times New Roman"/>
          <w:sz w:val="18"/>
          <w:szCs w:val="18"/>
          <w:color w:val="auto"/>
        </w:rPr>
        <w:t>Our Phase 2 trial data indicates that TP-03 was well tolerated with no significant adverse events leading to treatment discontinuation across the four trials. A total of 82 subjects have received one or more doses of TP-03 and have had at least one follow-up visit; while 52 subjects received the vehicle control. Only nine subjects treated with TP-03 had treatment-related adverse events, versus one subject treated with the vehicle control. The most common treatment-related adverse events, or TRAEs, reported were burning after administration, which was reported in seven subjects (8.5%) receiving TP-03 versus one subject (1.9%) receiving the vehicle control. Other TRAEs reported for subjects treated with TP-03 were blurred vision in two subjects (2.4%), dysgeusia in one subject (1.2%), and instillation site erythema in one subject (1.2%); with no corresponding TRAEs reported in subjects treated with vehicle.</w:t>
      </w:r>
    </w:p>
    <w:p>
      <w:pPr>
        <w:spacing w:after="0" w:line="189" w:lineRule="exact"/>
        <w:rPr>
          <w:sz w:val="20"/>
          <w:szCs w:val="20"/>
          <w:color w:val="auto"/>
        </w:rPr>
      </w:pPr>
    </w:p>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Adverse events deemed unrelated to treatment occurred in five subjects treated with TP-03, with diarrhea reported in two subjects (2.4%), hypertension reported in one subject (1.2%), cataract operation reported in one subject (1.2%), and pharyngotonsillitis reported in one subject (1.2%).</w:t>
      </w:r>
    </w:p>
    <w:p>
      <w:pPr>
        <w:spacing w:after="0" w:line="162" w:lineRule="exact"/>
        <w:rPr>
          <w:sz w:val="20"/>
          <w:szCs w:val="20"/>
          <w:color w:val="auto"/>
        </w:rPr>
      </w:pPr>
    </w:p>
    <w:p>
      <w:pPr>
        <w:ind w:right="240" w:firstLine="1018"/>
        <w:spacing w:after="0" w:line="282" w:lineRule="auto"/>
        <w:rPr>
          <w:sz w:val="20"/>
          <w:szCs w:val="20"/>
          <w:color w:val="auto"/>
        </w:rPr>
      </w:pPr>
      <w:r>
        <w:rPr>
          <w:rFonts w:ascii="Times New Roman" w:cs="Times New Roman" w:eastAsia="Times New Roman" w:hAnsi="Times New Roman"/>
          <w:sz w:val="18"/>
          <w:szCs w:val="18"/>
          <w:color w:val="auto"/>
        </w:rPr>
        <w:t>For subjects treated with the vehicle control, the six subjects reported adverse events unrelated to treatment, which consisted of diarrhea in three subjects (5.7%) and viral upper respiratory tract infection in three subjects (5.7%).</w:t>
      </w:r>
    </w:p>
    <w:p>
      <w:pPr>
        <w:spacing w:after="0" w:line="162"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Furthermore, there was little or no change in mean corrected distance visual acuity across all four trials, and only one subject treated with TP-03 showed a worsening of 0.22 logMAR from baseline to Day 28 in the left eye. This subject did not return for their follow-up visit on Day 42. Intraocular pressure was recorded in the Mars, Jupiter and Europa trials, and there were only minor reported changes observed in both the active and the vehicle control. The most common clinically significant slit lamp examination finding was an increase from baseline in corneal staining. The increases in staining were typically transient, occurring at only a single visit, and, in the controlled trials, occurred more often in subjects treated with the vehicle control versus subjects treated with TP-03. The only other slit lamp examination finding was conjunctival hyperemia in one subject receiving TP-03 at Day seven and one subject receiving the vehicle control at Day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 Recurrence Following End of Treatment Course</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Subjects from the Mars and active arm of the Jupiter trials were followed for one year after enrollment. Combined interim data for recurrence of clinical grade Demodex blepharitis was defined as a collarette score of two or more, and mite density of one or more per lash. The data show a persistent treatment effect of TP-03 for six months or greater for collarette score, with meaningful recurrence of collarettes occurring after six months with the recurrence increasing considerably one year after treatment. Mites recurred more quickly than collarettes, consistent with collarettes being composed of mite byproducts. Subsequent to initial treatment, we believe that TP-03 may be utilized by patients and ECPs for intermittent re-treatment based on the disease recurrence observed.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Ongoing and Planned Pivotal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Saturn-1 and Saturn-2 Trials</w:t>
      </w:r>
    </w:p>
    <w:p>
      <w:pPr>
        <w:spacing w:after="0" w:line="22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Saturn-1 is a randomized, controlled, double-blind Phase 2b/3 trial. In September 2020, we have commenced the trial to evaluate the safety and efficacy of TP-03 for the treatment of Demodex blepharitis in multiple centers in the United States. Target enrollment for the trial is at least 350 subjects, enrolled 1:1 between a BID dose of TP-03 and a vehicle control. Saturn-1 is designed for subjects to receive treatment for 42 days and be subsequently followed for safety under a separate protocol for one year. The primary efficacy endpoint is proportion of subjects with cure based on a collarette grade of zero (≤ 2) at Day 43. The two secondary endpoints are (1) proportion of subjects with Demodex eradication (zero mites per lash) at Day 43 and (2) proportion of subjects with a composite of collarette and erythema cure at Day 43 (collarette grade of zero combined with erythema score of zero). Top-line data for Saturn-1 is anticipated in 2021, subject to the impact of the ongoing COVID-19 pandemic.</w:t>
      </w:r>
    </w:p>
    <w:p>
      <w:pPr>
        <w:spacing w:after="0" w:line="18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Saturn-2 is designed to be a confirmatory Phase 3 trial that we plan to initiate promptly after completing enrollment in Saturn-1. It is a randomized, controlled, double-blind trial to evaluate the safety and efficacy of TP-03 for the treatment of Demodex blepharitis in multiple centers in the Unites States. Target enrollment for the trial is approximately 350 subjects, enrolled 1:1 between a BID dose TP-03 arm and a vehicle control. Saturn-2 is designed for subjects to be followed for 43 days and receive treatment for 42 days. The primary efficacy endpoint is proportion of subjects with cure based on a collarette grade of zero at Day 43. The two secondary endpoints are (1) proportion of subjects with Demodex eradication (zero mites per lash) at Day 43 and (2) proportion of subjects with a composite of collarette and erythema cure at Day 43 (collarette grade of zero combined with erythema score of zero). Enrollment of Saturn-2 is expected to begin in 2021, subject to the impact of the ongoing COVID-19 pandemic.</w:t>
      </w:r>
    </w:p>
    <w:p>
      <w:pPr>
        <w:spacing w:after="0" w:line="189"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The protocol, including the subject inclusion and exclusion criteria and endpoints, and formulation are designed to be consistent with those of our Io and Europa Phase 2 trials. We have received a “no-objection” letter from the FDA regarding the trial design for Saturn-1 and Saturn-2 has a highly comparable design to that of Saturn-1. We expect that the data form the Saturn-1 and Saturn-2 trials will support our NDA filing for TP-03 in Demodex blepharitis.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TP-03 for Meibomian Gland Disease</w:t>
      </w:r>
    </w:p>
    <w:p>
      <w:pPr>
        <w:spacing w:after="0" w:line="22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 xml:space="preserve">Beyond Demodex blepharitis, we intend to explore the clinical potential for TP-03 in MGD, a chronic abnormality of the meibomian glands. MGD is commonly characterized in part by a widespread clogging of the meibomian glands that can result in tear film deficiency, and is one of the leading causes of dry eye disease. In the United States, MGD prevalence has been found to be approximately two-thirds of the estimated 34 million dry eye patient population. One species of Demodex mite,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is known to infest the meibomian gland, and clinical signs of MGD have been shown to be correlated with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infestation. While dry eye is a multi-factorial disease, TP-03 is designed to relieve some of the key elements associated with MGD by virtue of causing the death of the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mites.</w:t>
      </w:r>
    </w:p>
    <w:p>
      <w:pPr>
        <w:spacing w:after="0" w:line="187"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There are no FDA-approved therapeutics for MGD. MGD is currently treated with a variety of over-the-counter remedies such as tea tree oil, lid wipes and artificial tears, as well as off-label prescription products for dry eye. MGD is also treated with in-office device procedures for gland expression (de-clogging) by an ECP. Despite these existing treatments, there is still a significant and unmet need for an effective prescription therapeutic in MGD.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19" w:name="page120"/>
    <w:bookmarkEnd w:id="119"/>
    <w:p>
      <w:pPr>
        <w:ind w:left="1020"/>
        <w:spacing w:after="0"/>
        <w:rPr>
          <w:sz w:val="20"/>
          <w:szCs w:val="20"/>
          <w:color w:val="auto"/>
        </w:rPr>
      </w:pPr>
      <w:r>
        <w:rPr>
          <w:rFonts w:ascii="Times New Roman" w:cs="Times New Roman" w:eastAsia="Times New Roman" w:hAnsi="Times New Roman"/>
          <w:sz w:val="18"/>
          <w:szCs w:val="18"/>
          <w:color w:val="auto"/>
        </w:rPr>
        <w:t>The following figures show a representation of Demodex mites infesting the meibomian gland: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32: Demodex Mites Infesting the Meibomian 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77790" cy="2468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7779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Additional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TP-04 Topical Formulation for the Treatment of Rosacea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Rosacea</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There are two phenotypes for rosacea: patients who present with papulopustular rosacea, or PPR, and patients who do not (non-PPR), with approximately 55% of patients presenting with the PPR phenotype and 45% presenting with the non-PPR phenotype. According to primary research we conducted of dermatologists, of patients who are being treated with topicals for rosacea, an estimated 18% of overall rosacea patients are seeking treatments, with PPR patients generally more likely to seek treatment given the noticeable symptoms.</w:t>
      </w:r>
    </w:p>
    <w:p>
      <w:pPr>
        <w:spacing w:after="0" w:line="189" w:lineRule="exact"/>
        <w:rPr>
          <w:sz w:val="20"/>
          <w:szCs w:val="20"/>
          <w:color w:val="auto"/>
        </w:rPr>
      </w:pPr>
    </w:p>
    <w:p>
      <w:pPr>
        <w:ind w:right="140" w:firstLine="1018"/>
        <w:spacing w:after="0" w:line="254" w:lineRule="auto"/>
        <w:rPr>
          <w:sz w:val="20"/>
          <w:szCs w:val="20"/>
          <w:color w:val="auto"/>
        </w:rPr>
      </w:pPr>
      <w:r>
        <w:rPr>
          <w:rFonts w:ascii="Times New Roman" w:cs="Times New Roman" w:eastAsia="Times New Roman" w:hAnsi="Times New Roman"/>
          <w:sz w:val="18"/>
          <w:szCs w:val="18"/>
          <w:color w:val="auto"/>
        </w:rPr>
        <w:t xml:space="preserve">The cause of rosacea remains unclear but there is increasing evidence that Demodex mites play a role in the disease. Studies have found a correlation between Demodex infestation and rosacea, with a higher density of Demodex mites found in the skin of rosacea patients than in controls. A proposed theory suggests that the </w:t>
      </w:r>
      <w:r>
        <w:rPr>
          <w:rFonts w:ascii="Times New Roman" w:cs="Times New Roman" w:eastAsia="Times New Roman" w:hAnsi="Times New Roman"/>
          <w:sz w:val="18"/>
          <w:szCs w:val="18"/>
          <w:i w:val="1"/>
          <w:iCs w:val="1"/>
          <w:color w:val="auto"/>
        </w:rPr>
        <w:t>bacillus oleronius</w:t>
      </w:r>
      <w:r>
        <w:rPr>
          <w:rFonts w:ascii="Times New Roman" w:cs="Times New Roman" w:eastAsia="Times New Roman" w:hAnsi="Times New Roman"/>
          <w:sz w:val="18"/>
          <w:szCs w:val="18"/>
          <w:color w:val="auto"/>
        </w:rPr>
        <w:t xml:space="preserve"> bacteria has a pathogenic role, contributing to skin inflammation and the signs and symptoms of rosacea; these bacteria are also known to be sensitive to the antibiotics typically prescribed to treat rosacea. Meanwhile, Demodex mites have been shown to carry </w:t>
      </w:r>
      <w:r>
        <w:rPr>
          <w:rFonts w:ascii="Times New Roman" w:cs="Times New Roman" w:eastAsia="Times New Roman" w:hAnsi="Times New Roman"/>
          <w:sz w:val="18"/>
          <w:szCs w:val="18"/>
          <w:i w:val="1"/>
          <w:iCs w:val="1"/>
          <w:color w:val="auto"/>
        </w:rPr>
        <w:t>bacillus oleronius</w:t>
      </w:r>
      <w:r>
        <w:rPr>
          <w:rFonts w:ascii="Times New Roman" w:cs="Times New Roman" w:eastAsia="Times New Roman" w:hAnsi="Times New Roman"/>
          <w:sz w:val="18"/>
          <w:szCs w:val="18"/>
          <w:color w:val="auto"/>
        </w:rPr>
        <w:t xml:space="preserve"> in their digestive tracts, suggesting that Demodex may contribute to rosacea by being a transporter for the bacteria that causes the disease. Furthering that point, there is evidence to suggest that </w:t>
      </w:r>
      <w:r>
        <w:rPr>
          <w:rFonts w:ascii="Times New Roman" w:cs="Times New Roman" w:eastAsia="Times New Roman" w:hAnsi="Times New Roman"/>
          <w:sz w:val="18"/>
          <w:szCs w:val="18"/>
          <w:i w:val="1"/>
          <w:iCs w:val="1"/>
          <w:color w:val="auto"/>
        </w:rPr>
        <w:t>bacillus oleronius</w:t>
      </w:r>
      <w:r>
        <w:rPr>
          <w:rFonts w:ascii="Times New Roman" w:cs="Times New Roman" w:eastAsia="Times New Roman" w:hAnsi="Times New Roman"/>
          <w:sz w:val="18"/>
          <w:szCs w:val="18"/>
          <w:color w:val="auto"/>
        </w:rPr>
        <w:t xml:space="preserve"> forms a symbiotic relationship with Demodex, and that both species must be present in order to cause the signs and symptoms of rosacea. Other bacteria such as </w:t>
      </w:r>
      <w:r>
        <w:rPr>
          <w:rFonts w:ascii="Times New Roman" w:cs="Times New Roman" w:eastAsia="Times New Roman" w:hAnsi="Times New Roman"/>
          <w:sz w:val="18"/>
          <w:szCs w:val="18"/>
          <w:i w:val="1"/>
          <w:iCs w:val="1"/>
          <w:color w:val="auto"/>
        </w:rPr>
        <w:t>staphylococcus epidermidis</w:t>
      </w:r>
      <w:r>
        <w:rPr>
          <w:rFonts w:ascii="Times New Roman" w:cs="Times New Roman" w:eastAsia="Times New Roman" w:hAnsi="Times New Roman"/>
          <w:sz w:val="18"/>
          <w:szCs w:val="18"/>
          <w:color w:val="auto"/>
        </w:rPr>
        <w:t>, also carried by Demodex mites, may play a role in the disease as well. In fact, Soolantra, the current standard of care for rosacea, has an anti-parasitic and Demodex targeting mechanism, suggesting that the clearance of Demodex plays a role in resolving the signs of symptoms of rosacea.</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Options and Their Limitations</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Rosacea is currently treated through topical anti-parasitic creams like ivermectin and other topicals including azelaic acid, and antibiotics like metronidazole, as well as other mechanisms such as alpha agonists. An estimated 50% of rosacea patients are on at least one prescription topical treatment. The current standard of care, Soolantra, is a branded anti-parasitic drug composed of 1% ivermectin cream, which targets Demodex mites but is only modestly effective, takes 8 to 12 weeks to show efficacy and is expensive at around approximately $500 wholesale acquisition cost, or WAC, for a 30-day supply.</w:t>
      </w:r>
    </w:p>
    <w:p>
      <w:pPr>
        <w:spacing w:after="0" w:line="183"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Other treatments in development include Sol-Gel’s Epsolay, a topical cream containing 5% encapsulated benzoyl peroxide, and Foamix’s FMX103, a topical foam containing 1.5% minocycline, for the treatment of Subtype II rosacea, characterized by small, dome-shaped erythematous papules that resemble acne but are associated with burning and stinging sensations.</w:t>
      </w:r>
    </w:p>
    <w:p>
      <w:pPr>
        <w:spacing w:after="0" w:line="176"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While current treatments address the symptoms of the disease by reducing redness and decreasing papules and pustules, for the majority of patients, complete clearance of these features is not currently achievable and there still exists an unmet medical need.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TP-04 Topical Formulation for Rosacea</w:t>
      </w:r>
    </w:p>
    <w:p>
      <w:pPr>
        <w:spacing w:after="0" w:line="229"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To address this unmet need in the rosacea market, lotilaner is being developed as a topical dermatology product, TP-04, initially for the treatment of PPR. It is designed to be active after topical administration in skin with no systemic activity. Lotilaner’s mechanism of targeting and killing Demodex mites has been established through our preclinical study and clinical trials evaluating TP-03 in Demodex blepharitis, which is why we believe it may be effective in another Demodex driven condition. We believe we can improve upon existing treatments in the market, like Soolantra, with an API that is more effective (longer half-life, more lipophilic, greater therapeutic window). We believe a longer half-life is expected to lead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 We further believe there is potential for TP-04 to be evaluated in combination with topical anti-inflammatory agents or vasoconstrictors.</w:t>
      </w:r>
    </w:p>
    <w:p>
      <w:pPr>
        <w:spacing w:after="0" w:line="190" w:lineRule="exact"/>
        <w:rPr>
          <w:sz w:val="20"/>
          <w:szCs w:val="20"/>
          <w:color w:val="auto"/>
        </w:rPr>
      </w:pPr>
    </w:p>
    <w:p>
      <w:pPr>
        <w:ind w:right="240" w:firstLine="1018"/>
        <w:spacing w:after="0" w:line="258" w:lineRule="auto"/>
        <w:rPr>
          <w:sz w:val="20"/>
          <w:szCs w:val="20"/>
          <w:color w:val="auto"/>
        </w:rPr>
      </w:pPr>
      <w:r>
        <w:rPr>
          <w:rFonts w:ascii="Times New Roman" w:cs="Times New Roman" w:eastAsia="Times New Roman" w:hAnsi="Times New Roman"/>
          <w:sz w:val="18"/>
          <w:szCs w:val="18"/>
          <w:color w:val="auto"/>
        </w:rPr>
        <w:t xml:space="preserve">We intend to leverage data from TP-03 preclinical studies and augment with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and pharmacodynamics testing we are conducting to identify a lead formulation of TP-04 that maximizes dermal levels of drugs and which we believe can compare favorably to Soolantra. We plan to evaluate whether TP-04 is safe and effective at treating the symptoms of PPR in a Phase 1/2 trial outside the United States, which is expected to begin enrollment in 2021. Prior to commencing clinical trials in the United States for TP-04, we will need to obtain an IND from the FDA. We have not conducted any preclinical studies to date and plan to conduct a preclinical study in 2020 to evaluate formulation for the Phase 1/2 trial.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TP-05 Oral Formulation for the Prophylactic Protection against Lyme Disease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Lyme Disease</w:t>
      </w:r>
    </w:p>
    <w:p>
      <w:pPr>
        <w:spacing w:after="0" w:line="22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Lyme disease is the most common vector-borne disease in the United States, caused by infection of Borrelia bacteria following bite by a tick vector, predominantly ticks of the Ixodes genus (namely Ixodes scapularis in the United States). Estimates of annual cases of Lyme disease in the United States range from approximately 300,000 to 400,000, with many cases being misdiagnosed or diagnosed late. According to 2018 data from the U.S. Centers for Disease Control, or CDC, in 2018, over 30 million people in the United States are at risk of contracting Lyme disease, with over 20 million of those people residing in states that have a “high incidence” of Lyme disease per the CDC; and the geographic footprint of Lyme disease carrying ticks is expanding. Lyme disease occurs most commonly in geographical areas where the Ixodes scapularis tick is prevalent, namely in the Northeast of the United States. Lyme disease also occurs in certain parts of Europe, typically resulting from a different Ixodes species vector.</w:t>
      </w:r>
    </w:p>
    <w:p>
      <w:pPr>
        <w:spacing w:after="0" w:line="18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mechanism of Lyme disease infection is well understood. Borrelia bacteria colonizes the salivary glands of the ticks, and the infected saliva is transmitted to the human host when a tick attaches to a person for feeding. The probability of Borrelia transmission, and therefore the risk of Lyme disease, increases with the duration of the tick’s attachment. Borrelia is rarely transferred during the first or even second day of feeding but transfers quite efficiently during and after the third day of feeding. This window from the time of bite to the time of transmission offers an opportunity for intervention to prevent Lyme disease.</w:t>
      </w:r>
    </w:p>
    <w:p>
      <w:pPr>
        <w:spacing w:after="0" w:line="183" w:lineRule="exact"/>
        <w:rPr>
          <w:sz w:val="20"/>
          <w:szCs w:val="20"/>
          <w:color w:val="auto"/>
        </w:rPr>
      </w:pPr>
    </w:p>
    <w:p>
      <w:pPr>
        <w:ind w:right="180" w:firstLine="1018"/>
        <w:spacing w:after="0" w:line="261" w:lineRule="auto"/>
        <w:rPr>
          <w:sz w:val="20"/>
          <w:szCs w:val="20"/>
          <w:color w:val="auto"/>
        </w:rPr>
      </w:pPr>
      <w:r>
        <w:rPr>
          <w:rFonts w:ascii="Times New Roman" w:cs="Times New Roman" w:eastAsia="Times New Roman" w:hAnsi="Times New Roman"/>
          <w:sz w:val="18"/>
          <w:szCs w:val="18"/>
          <w:color w:val="auto"/>
        </w:rPr>
        <w:t>Lyme disease can be a serious condition that may affect multiple bodily systems and produce a broad range of symptoms. Early symptoms include a localized rash, fever and fatigue. More severe, sometimes chronic, symptoms may evolve 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Lyme Prophylaxis Options and Their Limitations</w:t>
      </w:r>
    </w:p>
    <w:p>
      <w:pPr>
        <w:spacing w:after="0" w:line="229"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Borrelia post-bite.</w:t>
      </w:r>
    </w:p>
    <w:p>
      <w:pPr>
        <w:spacing w:after="0" w:line="176" w:lineRule="exact"/>
        <w:rPr>
          <w:sz w:val="20"/>
          <w:szCs w:val="20"/>
          <w:color w:val="auto"/>
        </w:rPr>
      </w:pPr>
    </w:p>
    <w:p>
      <w:pPr>
        <w:ind w:right="300" w:firstLine="1018"/>
        <w:spacing w:after="0" w:line="261" w:lineRule="auto"/>
        <w:rPr>
          <w:sz w:val="20"/>
          <w:szCs w:val="20"/>
          <w:color w:val="auto"/>
        </w:rPr>
      </w:pPr>
      <w:r>
        <w:rPr>
          <w:rFonts w:ascii="Times New Roman" w:cs="Times New Roman" w:eastAsia="Times New Roman" w:hAnsi="Times New Roman"/>
          <w:sz w:val="18"/>
          <w:szCs w:val="18"/>
          <w:color w:val="auto"/>
        </w:rPr>
        <w:t>Moreover, there are currently no FDA-approved therapeutics for the prevention of Lyme disease. A vaccine for Lyme disease, LYMERix, was developed and launched by SmithKline Beecham in 1999. Approximately 1.5 million doses of the vaccine were sold in 1999, but the product was quickly pulled from the market following negative press and class action litigation claiming a dangerous side effect profile. We are aware of a second vaccine currently under development by Valneva for Lyme disease, VLA-15.</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is significant unmet need for a safe, effective and easy to use prophylactic for at-risk individuals in Lyme disease.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TP-05 Oral Formulation for the Prophylactic Protection against Lyme Disease</w:t>
      </w:r>
    </w:p>
    <w:p>
      <w:pPr>
        <w:spacing w:after="0" w:line="22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Since Borrelia is usually transferred during the second or third day following a tick bite, our approach is to eradicate the tick before it can transmit the bacteria. To do this, we are developing TP-05 as an oral formulation of lotilaner. We are targeting 30 days of prophylactic protection against Lyme disease with a single oral dose of TP-05. Given that lotilaner was developed specifically, in part, to eradicate ticks with systemic administration to companion animals, the pharmacology of lotilaner in Lyme prophylaxis is well understood. Similar to its mechanism against Demodex, lotilaner is a potent non-competitive antagonist of tick GABA-Cl channels. Antagonism of these channels in ticks induces paralysis and eventual death. The high preference for insect and arachnid GABA-Cl channels over mammalian channels promotes the safety profile of the molecule. Extensive preclinical systemic toxicology and safety pharmacology studies have been performed by third parties to date with a favorable safety profile and support advancing TP-05 into clinical development. Lotilaner has a long, approximate 30-day systemic half-life in dogs, which we believe could provide for a convenient monthly administration.</w:t>
      </w:r>
    </w:p>
    <w:p>
      <w:pPr>
        <w:spacing w:after="0" w:line="200" w:lineRule="exact"/>
        <w:rPr>
          <w:sz w:val="20"/>
          <w:szCs w:val="20"/>
          <w:color w:val="auto"/>
        </w:rPr>
      </w:pPr>
    </w:p>
    <w:p>
      <w:pPr>
        <w:spacing w:after="0" w:line="208" w:lineRule="exact"/>
        <w:rPr>
          <w:sz w:val="20"/>
          <w:szCs w:val="20"/>
          <w:color w:val="auto"/>
        </w:rPr>
      </w:pPr>
    </w:p>
    <w:p>
      <w:pPr>
        <w:ind w:right="260" w:firstLine="1018"/>
        <w:spacing w:after="0" w:line="258" w:lineRule="auto"/>
        <w:rPr>
          <w:sz w:val="20"/>
          <w:szCs w:val="20"/>
          <w:color w:val="auto"/>
        </w:rPr>
      </w:pPr>
      <w:r>
        <w:rPr>
          <w:rFonts w:ascii="Times New Roman" w:cs="Times New Roman" w:eastAsia="Times New Roman" w:hAnsi="Times New Roman"/>
          <w:sz w:val="18"/>
          <w:szCs w:val="18"/>
          <w:color w:val="auto"/>
        </w:rPr>
        <w:t>We have identified a lead formulation of TP-05 for Phase 1/2 trials. For TP-05 and its use in Lyme prophylaxis, we intend to leverage data from our TP-03 preclinical studies as well as third-party preclinical studies (and will not conduct our own preclinical studies to support our Phase 1/2 clinical trial). Subject to feedback from the FDA, we intend to evaluate whether TP-05 is safe and effective at killing ticks in a planned Phase 1/2 trial, which is expected to begin enrollment in 2021. Prior to commencing clinical trials in the United States for TP-05 for the potential Lyme prophylaxis, we will need to submit an IND with the FDA.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Malaria</w:t>
      </w:r>
    </w:p>
    <w:p>
      <w:pPr>
        <w:spacing w:after="0" w:line="229"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Malaria is one of the world's highest unmet public health needs, with approximately 228 million cases and more than 400,000 deaths caused by malaria worldwide in 2018 alone. The disease is caused by several species of plasmodium, a parasite transmitted to humans by a mosquito vector. Symptoms and outcomes include fever, vomiting, fatigue, seizure, coma and death. The disease is widespread in tropical and subtropical regions near the equator, with sub-Saharan Africa, parts of Asia and parts of Latin America impacted the most. The majority of deaths occur in Africa.</w:t>
      </w:r>
    </w:p>
    <w:p>
      <w:pPr>
        <w:spacing w:after="0" w:line="180"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There has been a massive years-long effort to combat malaria using a variety of techniques, including administration of multiple types of prophylactic and therapeutic drugs, insecticide spraying and mosquito nets. While worldwide rates of malaria have dropped over the last two decades, meaningful reduction in malaria rates has stalled since approximately 2015. It is widely hoped that new vector control and prophylactic modalities will play an important role in further reducing the burden of the disease.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TP-05 Oral Formulation, Long-acting Endectocide for Community Malaria Reduction</w:t>
      </w:r>
    </w:p>
    <w:p>
      <w:pPr>
        <w:spacing w:after="0" w:line="229" w:lineRule="exact"/>
        <w:rPr>
          <w:sz w:val="20"/>
          <w:szCs w:val="20"/>
          <w:color w:val="auto"/>
        </w:rPr>
      </w:pPr>
    </w:p>
    <w:p>
      <w:pPr>
        <w:ind w:right="160" w:firstLine="1018"/>
        <w:spacing w:after="0" w:line="255" w:lineRule="auto"/>
        <w:rPr>
          <w:sz w:val="20"/>
          <w:szCs w:val="20"/>
          <w:color w:val="auto"/>
        </w:rPr>
      </w:pPr>
      <w:r>
        <w:rPr>
          <w:rFonts w:ascii="Times New Roman" w:cs="Times New Roman" w:eastAsia="Times New Roman" w:hAnsi="Times New Roman"/>
          <w:sz w:val="18"/>
          <w:szCs w:val="18"/>
          <w:color w:val="auto"/>
        </w:rPr>
        <w:t>The malaria community, including, the World Health Organization, Medicines for Malaria Venture, Bill and Melinda Gates Foundation and others, has called for the development of a long-acting endectocide, or antiparasitic drug active against endoparasites such as plasmodium, for the control and reduction of malaria in endemic regions. An endectocide for malaria is a drug taken by a person that causes the death or incapacity of a mosquito before it can infect another person. With mass drug administration, which is a common approach for other anti-malarial medications, a community could attain herd protection against spread of malaria using an endectocide. For instance, a modeling study published in PNAS in 2018 showed that mass administration of an isoxazoline endectocide could reduce community malaria rates by as much as 65% with administration to just 30% of a community’s population.</w:t>
      </w:r>
    </w:p>
    <w:p>
      <w:pPr>
        <w:spacing w:after="0" w:line="189" w:lineRule="exact"/>
        <w:rPr>
          <w:sz w:val="20"/>
          <w:szCs w:val="20"/>
          <w:color w:val="auto"/>
        </w:rPr>
      </w:pPr>
    </w:p>
    <w:p>
      <w:pPr>
        <w:jc w:val="both"/>
        <w:ind w:right="380" w:firstLine="1018"/>
        <w:spacing w:after="0" w:line="266" w:lineRule="auto"/>
        <w:rPr>
          <w:sz w:val="20"/>
          <w:szCs w:val="20"/>
          <w:color w:val="auto"/>
        </w:rPr>
      </w:pPr>
      <w:r>
        <w:rPr>
          <w:rFonts w:ascii="Times New Roman" w:cs="Times New Roman" w:eastAsia="Times New Roman" w:hAnsi="Times New Roman"/>
          <w:sz w:val="18"/>
          <w:szCs w:val="18"/>
          <w:color w:val="auto"/>
        </w:rPr>
        <w:t>The pharmacology of lotilaner in malaria control is well understood. Similar to its mechanism against Demodex and ticks, lotilaner is a potent non-competitive antagonist of GABA-Cl channels in mosquitos. We are aware of at least one preclinical study which has shown that lotilaner is highly potent at killing or neutralizing multiple Anopheles mosquito vectors at over a 99% mosquito death rate.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119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2" w:name="page123"/>
    <w:bookmarkEnd w:id="122"/>
    <w:p>
      <w:pPr>
        <w:ind w:firstLine="1018"/>
        <w:spacing w:after="0" w:line="266" w:lineRule="auto"/>
        <w:rPr>
          <w:sz w:val="20"/>
          <w:szCs w:val="20"/>
          <w:color w:val="auto"/>
        </w:rPr>
      </w:pPr>
      <w:r>
        <w:rPr>
          <w:rFonts w:ascii="Times New Roman" w:cs="Times New Roman" w:eastAsia="Times New Roman" w:hAnsi="Times New Roman"/>
          <w:sz w:val="18"/>
          <w:szCs w:val="18"/>
          <w:color w:val="auto"/>
        </w:rPr>
        <w:t>For TP-05 and its use in malaria community reduction, we intend to leverage data from our TP-03 preclinical studies as well as third-party preclinical studies (and will not conduct our own preclinical studies to support our Phase 1/2 clinical trial). We intend to evaluate whether TP-05 is safe and effective at killing mosquitos in a planned Phase 1/2 trial, which is expected to begin enrollment in 2021.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Chemistry, Manufacturing and Controls</w:t>
      </w:r>
    </w:p>
    <w:p>
      <w:pPr>
        <w:spacing w:after="0" w:line="229" w:lineRule="exact"/>
        <w:rPr>
          <w:sz w:val="20"/>
          <w:szCs w:val="20"/>
          <w:color w:val="auto"/>
        </w:rPr>
      </w:pPr>
    </w:p>
    <w:p>
      <w:pPr>
        <w:ind w:right="200" w:firstLine="1018"/>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and currently have no plans to establish facilities for manufacturing, storing, distributing or testing our product candidates. We rely and expect to continue to rely for the foreseeable future on CMOs to manufacture and supply our preclinical and clinical materials to be used during the development of our product candidates. We have assembled a team of employees and consultants to oversee our technical quality and CMOs.</w:t>
      </w:r>
    </w:p>
    <w:p>
      <w:pPr>
        <w:spacing w:after="0" w:line="180"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The product candidate TP-03 is a presentation of lotilaner, the API, formulated into a topical eye drop formulation. Only one dose strength of TP-03 is currently being developed, 0.25% lotilaner solution. Since TP-03 is an anti-infective, only one strength, the maximum formulatable (0.25%), is required to be evaluated clinically.</w:t>
      </w:r>
    </w:p>
    <w:p>
      <w:pPr>
        <w:spacing w:after="0" w:line="176" w:lineRule="exact"/>
        <w:rPr>
          <w:sz w:val="20"/>
          <w:szCs w:val="20"/>
          <w:color w:val="auto"/>
        </w:rPr>
      </w:pPr>
    </w:p>
    <w:p>
      <w:pPr>
        <w:ind w:right="300" w:firstLine="1018"/>
        <w:spacing w:after="0" w:line="289" w:lineRule="auto"/>
        <w:rPr>
          <w:sz w:val="20"/>
          <w:szCs w:val="20"/>
          <w:color w:val="auto"/>
        </w:rPr>
      </w:pPr>
      <w:r>
        <w:rPr>
          <w:rFonts w:ascii="Times New Roman" w:cs="Times New Roman" w:eastAsia="Times New Roman" w:hAnsi="Times New Roman"/>
          <w:sz w:val="17"/>
          <w:szCs w:val="17"/>
          <w:color w:val="auto"/>
        </w:rPr>
        <w:t>We believe that our supply of TP-03 is sufficient to complete Saturn-1, and that our supply of cGMP lotilaner is sufficient to complete Saturn-2. We believe that the existing capacity of our current API supplier will be sufficient to support commercial scale-up, validation and commercial launch activities if TP-03 is approved. Our current supplier currently manufactures cGMP lotilaner at multiple geographically distinct facilities.</w:t>
      </w:r>
    </w:p>
    <w:p>
      <w:pPr>
        <w:spacing w:after="0" w:line="158"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Although we have relied on a single supplier for both non-clinical and clinical supply for lotilaner under cGMP protocols and a single CMO to manufacture TP-03 and to perform analytical testing services, it is our intent to identify and qualify additional manufacturers to provide lotilaner and drug product manufacturing and analytical testing services, if possible, prior to submission of our NDA for TP-03. The drug product manufacturing is a compounding and aseptic filling operation that we believe could be transferred to additional CMOs as necessary. We are evaluating a supplier for TP-04 topical formuation for rosacea and have identified a supplier for TP-05 oral formulation for Phase 1/2 trials for Lyme disease and malaria.</w:t>
      </w:r>
    </w:p>
    <w:p>
      <w:pPr>
        <w:spacing w:after="0" w:line="183"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Our third-party service providers, our third-party supply chain providers, their facilities and the TP-03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TP-03 to assess compliance with applicable regulations. Our failure, or the failure of our third-party providers and supply chain providers, to comply with such statutory and regulatory requirements could 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clinical supplies of TP-03 or our other product candidates. Contract manufacturers at times encounter difficulties involving production yields, quality control and quality assurance, as well as shortages of qualified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existing approaches and new therapies that may become available in the future. We believe that the key competitive factors affecting the success of any of our product candidates will include efficacy, combinability, safety profile, convenience, cost, level of promotional activity devoted to them and intellectual property protection.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120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3" w:name="page124"/>
    <w:bookmarkEnd w:id="123"/>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and off-label remedies such as tea tree oil, lid wipes and artificial tears. We are aware of other companies developing prescription therapies for blepharitis, including Azura Ophthalmics, Aperta Biosciences, LLC, Eyevance Pharmaceuticals, Formosa Pharmaceuticals, Inc., Hovione Scientia, Nicox SA, Novaliq GmbH, Premark Pharma and Quorum Innovations. To our knowledge, Aperta Biosciences, LLC is the only company currently focused on Demodex blepharitis and Nicox SA and Premark Pharma are the only companies with blepharitis programs that have completed Phase 2 trials.</w:t>
      </w:r>
    </w:p>
    <w:p>
      <w:pPr>
        <w:spacing w:after="0" w:line="18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In light of our stage of development, we have not yet established a commercial organization or distribution capabilities. If TP-03 receives marketing approval, we plan to commercialize TP-03 in the United States by developing our own sales organization targeting a subset of the approximately 25,000 prescribing ECPs in the United States. Throughout our commercialization efforts, we intend to educate ECPs on Demodex blepharitis and how to diagnose it with a simple slit lamp examination. Given the importance of increasing awareness and educating patients with blepharitis, we also anticipate deploying focused DTC marketing campaigns for TP-03. We expect to conduct most of the buildout of this organization following NDA submission and approval of TP-03, if obtained. Outside the United States, we intend to establish commercialization strategies for TP-03 as we approach possible commercial approval in each market, which may include collaborations with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spacing w:after="0" w:line="189" w:lineRule="exact"/>
        <w:rPr>
          <w:sz w:val="20"/>
          <w:szCs w:val="20"/>
          <w:color w:val="auto"/>
        </w:rPr>
      </w:pPr>
    </w:p>
    <w:p>
      <w:pPr>
        <w:ind w:right="280" w:firstLine="1018"/>
        <w:spacing w:after="0" w:line="256" w:lineRule="auto"/>
        <w:rPr>
          <w:sz w:val="20"/>
          <w:szCs w:val="20"/>
          <w:color w:val="auto"/>
        </w:rPr>
      </w:pPr>
      <w:r>
        <w:rPr>
          <w:rFonts w:ascii="Times New Roman" w:cs="Times New Roman" w:eastAsia="Times New Roman" w:hAnsi="Times New Roman"/>
          <w:sz w:val="18"/>
          <w:szCs w:val="18"/>
          <w:color w:val="auto"/>
        </w:rPr>
        <w:t>The term of individual patents varies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restore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187"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TP-03, TP-04, TP-05 or future pipeline product candidates and alternative technologies. Some of our issued patents and patent applications are exclusively licensed to us in therapeutic fields of use from Elanco. The patents and patent applications owned by or licensed to us worldwide include approximately 36 issued patents and approximately 23 pending patent applications.</w:t>
      </w:r>
    </w:p>
    <w:p>
      <w:pPr>
        <w:spacing w:after="0" w:line="183"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We in-license certain of such patents and patent applications from Elanco. These patents and patent applications relate to lotilaner and are issued or pending in, for example, the United States, Australia, Brazil, Canada, Chile, China, several European territories, India, Japan, Mexico, New Zealand, the Russian Federation, and Taiwan. The licensed-in portfolio includes approximately 36 issued patents and approximately 4 pending patent applications and include composition of matter claims. The estimated natural expiration date of the issued in-licensed patents is approximately 2029 with a potential extension until 2032.</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121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24" w:name="page125"/>
    <w:bookmarkEnd w:id="124"/>
    <w:p>
      <w:pPr>
        <w:ind w:right="140" w:firstLine="1018"/>
        <w:spacing w:after="0" w:line="258" w:lineRule="auto"/>
        <w:rPr>
          <w:sz w:val="20"/>
          <w:szCs w:val="20"/>
          <w:color w:val="auto"/>
        </w:rPr>
      </w:pPr>
      <w:r>
        <w:rPr>
          <w:rFonts w:ascii="Times New Roman" w:cs="Times New Roman" w:eastAsia="Times New Roman" w:hAnsi="Times New Roman"/>
          <w:sz w:val="18"/>
          <w:szCs w:val="18"/>
          <w:color w:val="auto"/>
        </w:rPr>
        <w:t xml:space="preserve">Approximately 16 of our owned pending patent applications relate to our TP-03 product, and include treatment and composition of matter claims (e.g., isoxazoline parasiticides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other conditions). These pending patent applications include applications in the United States, Australia, Brazil, Canada, China, Europe, Israel, India, Japan, South Korea, Mexico, New Zealand, the Russian Federation, South Africa, and the Patent Cooperation Treaty (PCT). If patents issue on these pending applications of ours, the estimated natural expiration dates are between approximately 2038 and 2040.</w:t>
      </w:r>
    </w:p>
    <w:p>
      <w:pPr>
        <w:spacing w:after="0" w:line="183" w:lineRule="exact"/>
        <w:rPr>
          <w:sz w:val="20"/>
          <w:szCs w:val="20"/>
          <w:color w:val="auto"/>
        </w:rPr>
      </w:pPr>
    </w:p>
    <w:p>
      <w:pPr>
        <w:ind w:right="240" w:firstLine="1018"/>
        <w:spacing w:after="0" w:line="261" w:lineRule="auto"/>
        <w:rPr>
          <w:sz w:val="20"/>
          <w:szCs w:val="20"/>
          <w:color w:val="auto"/>
        </w:rPr>
      </w:pPr>
      <w:r>
        <w:rPr>
          <w:rFonts w:ascii="Times New Roman" w:cs="Times New Roman" w:eastAsia="Times New Roman" w:hAnsi="Times New Roman"/>
          <w:sz w:val="18"/>
          <w:szCs w:val="18"/>
          <w:color w:val="auto"/>
        </w:rPr>
        <w:t>While estimated expiration dates and descriptions of patents and patent applications are listed above, the actual protection afforded by a patent varies on a product-by-product basis, from country-to-country, and depends upon many factors, including the type of patent, the scope of its coverage, patent term adjustments, the availability of regulatory-related extensions, disclaimers, the availability of legal remedies in a particular country, and the validity and enforceability of the patent.</w:t>
      </w:r>
    </w:p>
    <w:p>
      <w:pPr>
        <w:spacing w:after="0" w:line="180" w:lineRule="exact"/>
        <w:rPr>
          <w:sz w:val="20"/>
          <w:szCs w:val="20"/>
          <w:color w:val="auto"/>
        </w:rPr>
      </w:pPr>
    </w:p>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183" w:lineRule="exact"/>
        <w:rPr>
          <w:sz w:val="20"/>
          <w:szCs w:val="20"/>
          <w:color w:val="auto"/>
        </w:rPr>
      </w:pPr>
    </w:p>
    <w:p>
      <w:pPr>
        <w:ind w:right="580" w:firstLine="1018"/>
        <w:spacing w:after="0" w:line="266" w:lineRule="auto"/>
        <w:rPr>
          <w:sz w:val="20"/>
          <w:szCs w:val="20"/>
          <w:color w:val="auto"/>
        </w:rPr>
      </w:pPr>
      <w:r>
        <w:rPr>
          <w:rFonts w:ascii="Times New Roman" w:cs="Times New Roman" w:eastAsia="Times New Roman" w:hAnsi="Times New Roman"/>
          <w:sz w:val="18"/>
          <w:szCs w:val="18"/>
          <w:color w:val="auto"/>
        </w:rPr>
        <w:t>We also protect our brand through trademark rights. We are the registered owner of two U.S. pending trademark applications for the trademarks TARSUS and TARSUS PHARMACEUTICALS. In order to supplement the protection of our brand, we also own at least one registered internet domain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Eye and Derm Elanco Agreement</w:t>
      </w:r>
    </w:p>
    <w:p>
      <w:pPr>
        <w:spacing w:after="0" w:line="229" w:lineRule="exact"/>
        <w:rPr>
          <w:sz w:val="20"/>
          <w:szCs w:val="20"/>
          <w:color w:val="auto"/>
        </w:rPr>
      </w:pPr>
    </w:p>
    <w:p>
      <w:pPr>
        <w:ind w:right="140" w:firstLine="1018"/>
        <w:spacing w:after="0" w:line="274" w:lineRule="auto"/>
        <w:rPr>
          <w:sz w:val="20"/>
          <w:szCs w:val="20"/>
          <w:color w:val="auto"/>
        </w:rPr>
      </w:pPr>
      <w:r>
        <w:rPr>
          <w:rFonts w:ascii="Times New Roman" w:cs="Times New Roman" w:eastAsia="Times New Roman" w:hAnsi="Times New Roman"/>
          <w:sz w:val="17"/>
          <w:szCs w:val="17"/>
          <w:color w:val="auto"/>
        </w:rPr>
        <w:t>In January 2019, we entered into the Eye and Derm Elanco Agreement granting us an exclusive, worldwide, sublicensable license to certain intellectual property for the development, marketing, and commercialization of lotilaner for the treatment, palliation, prevention or cure of any eye or skin disease or condition in humans.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 under the Eye and Derm Elanco Agreement in our TP-03 and TP-04 product candidates. We are permitted to have certain third parties manufacture lotilaner for us and, upon Elanco consent, additional third parties.</w:t>
      </w:r>
    </w:p>
    <w:p>
      <w:pPr>
        <w:spacing w:after="0" w:line="173" w:lineRule="exact"/>
        <w:rPr>
          <w:sz w:val="20"/>
          <w:szCs w:val="20"/>
          <w:color w:val="auto"/>
        </w:rPr>
      </w:pPr>
    </w:p>
    <w:p>
      <w:pPr>
        <w:ind w:right="60" w:firstLine="1018"/>
        <w:spacing w:after="0" w:line="253" w:lineRule="auto"/>
        <w:rPr>
          <w:sz w:val="20"/>
          <w:szCs w:val="20"/>
          <w:color w:val="auto"/>
        </w:rPr>
      </w:pPr>
      <w:r>
        <w:rPr>
          <w:rFonts w:ascii="Times New Roman" w:cs="Times New Roman" w:eastAsia="Times New Roman" w:hAnsi="Times New Roman"/>
          <w:sz w:val="18"/>
          <w:szCs w:val="18"/>
          <w:color w:val="auto"/>
        </w:rPr>
        <w:t>We made an upfront payment to Elanco at contract execution, which we recorded within “research and development” expense within our statements of operations for the year ended December 31, 2019. In accordance with the terms of the Eye and Derm Elanco Agreement, we are obligated to make further payments to Elanco upon our achievement of various clinical milestones up to an aggregate maximum of $6.0 million and various sales milestones up to an aggregate maximum of $79.0 million.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treat or cure any eye or skin disease or condition in humans.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(i) expiration of the last-to-expire of the licensed patents which has at least one valid claim, (ii) the expiration of regulatory exclusivity and (iii) ten years after the first commercial sale of such licensed product in such country. The Eye and Derm Elanco Agreement shall expire on a licensed product-by-licensed product and country-by-country basis upon the expiration of the applicable royalty term with respect to such licensed product in such country. The achievement deadlines for eye-related diligence milestones range between 18 months after contract execution to six years after contract execution. The achievement deadlines for dermatological diligence milestones range between 24 months after contract execution to nine years after contract execution.</w:t>
      </w:r>
    </w:p>
    <w:p>
      <w:pPr>
        <w:spacing w:after="0" w:line="187"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Either party may terminate the Eye and Derm Elanco Agreement upon a material breach by the other party, solely in the country pertaining to such breach, that is not cured within 60 days after receiving written notice thereof. If we fail to comply with our development obligations under the Eye and Derm Elanco Agreement, and fail to remedy such failure or cure such breach within 60 days, Elanco will have the right to terminate the Eye and Derm Elanco Agreement. If we fail to meet any diligence milestones by the achievement deadlines set forth in the Eye and Derm Elanco Agreement for any reason other than those outside of our reasonable control, and such milestones remain unmet for 120 days after Elanco notifies us thereof, Elanco may terminate the Eye and Derm Elanco Agreement. 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Elanco terminates the Eye and Derm Elanco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5" w:name="page126"/>
    <w:bookmarkEnd w:id="125"/>
    <w:p>
      <w:pPr>
        <w:ind w:right="20"/>
        <w:spacing w:after="0" w:line="256" w:lineRule="auto"/>
        <w:rPr>
          <w:sz w:val="20"/>
          <w:szCs w:val="20"/>
          <w:color w:val="auto"/>
        </w:rPr>
      </w:pPr>
      <w:r>
        <w:rPr>
          <w:rFonts w:ascii="Times New Roman" w:cs="Times New Roman" w:eastAsia="Times New Roman" w:hAnsi="Times New Roman"/>
          <w:sz w:val="18"/>
          <w:szCs w:val="18"/>
          <w:color w:val="auto"/>
        </w:rPr>
        <w:t>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Elanco may also terminate the Eye and Derm Elanco Agreement if we, our affiliates or sublicensees initiate proceedings to oppose Elanco's licensed patents and such proceeding is not withdrawn within 30 days of Elanco providing notice to us; provided that Elanco may not terminate the Eye and Derm Elanco Agreement for a challenge by a sublicensee if we terminate the sublicense with such sublicensee within such 30 day period.</w:t>
      </w:r>
    </w:p>
    <w:p>
      <w:pPr>
        <w:spacing w:after="0" w:line="187"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Under the terms of the Eye and Derm Elanco Agreement, we grant to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spacing w:after="0" w:line="187"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Human Uses Elanco Agreement</w:t>
      </w:r>
    </w:p>
    <w:p>
      <w:pPr>
        <w:spacing w:after="0" w:line="22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In September 2020, we entered into the All Human Uses Elanco Agreement granting us an exclusive, worldwide, sublicensable license to certain intellectual property for the development, marketing, and commercialization of lotilaner for all applications in humans other than the treatment, palliation, prevention or cure of any eye or skin disease or condition.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 consent, additional third parties.</w:t>
      </w:r>
    </w:p>
    <w:p>
      <w:pPr>
        <w:spacing w:after="0" w:line="18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Pursuant to the terms of the All Human Uses Elanco Agreement, we issued 1,652,346 shares of our common stock to Elanco, which we recorded within “research and development” expense within our statements of operations for the year ended December 31, 2020. In accordance with the terms of the All Human Uses Elanco Agreement, we are obligated to make further payments to Elanco upon our achievement of various clinical milestones up to an aggregate maximum of $4.5 million and various sales milestones up to an aggregate maximum of $77.0 million. We may owe further sales milestone payments to Elanco for sales in certain countries.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applications in humans other than to treat or cure any eye or skin disease or condition.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(a) expiration of the last-to-expire of the licensed patents which has at least one valid claim, (b) the expiration of regulatory exclusivity, and (c) ten years after the first commercial sale of such licensed product in such country. The System All Human Uses ic Elanco Agreement shall expire on a licensed product-by-licensed product and country-by-country basis upon the expiration of the applicable royalty term with respect to such licensed product in such country. The achievement deadlines for diligence milestones range between 24 months after contract execution to six years after contract execution.</w:t>
      </w:r>
    </w:p>
    <w:p>
      <w:pPr>
        <w:spacing w:after="0" w:line="187"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Either party may terminate the All Human Uses Elanco Agreement upon a material breach by the other party, solely in the country pertaining to such breach, that is not cured within 60 days after receiving written notice from the other party. If we fail to comply with our development obligations under the All Human Uses Elanco Agreement, and fail to remedy such failure or cure such breach within 60 days, Elanco will have the right to terminate the All Human Uses Elanco Agreement. If we fail to meet any diligence milestones by the achievement deadlines set forth in the All Human Uses Elanco Agreement for any reason other than those outside of our reasonable control, and such milestones remain unmet for 120 days after Elanco notifies us of the failure to meet such diligence milestone, Elanco may terminate the All Human Uses Elanco Agreement.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Elanco may also terminate the All Human Uses Elanco Agreement if we, our affiliates or sublicensees initiate proceedings to oppose Elanco's licensed patents and such proceeding is not withdrawn within 30 days of Elanco providing notice to us; provided that Elanco may not terminate the All Human Uses Elanco Agreement for a challenge by a sublicensee if we terminate the sublicense with such sublicensee within such 30 day period.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123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6" w:name="page127"/>
    <w:bookmarkEnd w:id="126"/>
    <w:p>
      <w:pPr>
        <w:ind w:firstLine="1018"/>
        <w:spacing w:after="0" w:line="256" w:lineRule="auto"/>
        <w:rPr>
          <w:sz w:val="20"/>
          <w:szCs w:val="20"/>
          <w:color w:val="auto"/>
        </w:rPr>
      </w:pPr>
      <w:r>
        <w:rPr>
          <w:rFonts w:ascii="Times New Roman" w:cs="Times New Roman" w:eastAsia="Times New Roman" w:hAnsi="Times New Roman"/>
          <w:sz w:val="18"/>
          <w:szCs w:val="18"/>
          <w:color w:val="auto"/>
        </w:rPr>
        <w:t>Under the terms of the All Human Uses Elanco Agreement, we grant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applications, seed treatment applications and urban pest applications related to structural, turf, lawns and gardens. We also grant to Elanco an exclusive, royalty-free, perpetual license to any intellectual property we conceive from our use of lotilaner for all applications in non-human animals, agricultural applications, seed treatment applications and urban pest applications related to structural, turf, lawns and gardens.</w:t>
      </w:r>
    </w:p>
    <w:p>
      <w:pPr>
        <w:spacing w:after="0" w:line="187"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United States and other countries, as appropriate, along with subsequent compliance with appropriate federal, state, local and foreign statutes and regulations, require the expenditure of substantial time and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Regulation</w:t>
      </w:r>
    </w:p>
    <w:p>
      <w:pPr>
        <w:spacing w:after="0" w:line="22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In the United States, we are subject to extensive regulation by the FDA, which regulates drugs under the Federal Food, Drug, and Cosmetic Act, or the FDCA, and its implementing regulations. FDA approval is required before any new unapproved drug or dosage form, including a new use of a previously approved drug, can be marketed in the United States.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spacing w:after="0" w:line="194" w:lineRule="exact"/>
        <w:rPr>
          <w:sz w:val="20"/>
          <w:szCs w:val="20"/>
          <w:color w:val="auto"/>
        </w:rPr>
      </w:pPr>
    </w:p>
    <w:p>
      <w:pPr>
        <w:ind w:right="20" w:firstLine="1018"/>
        <w:spacing w:after="0" w:line="282" w:lineRule="auto"/>
        <w:rPr>
          <w:sz w:val="20"/>
          <w:szCs w:val="20"/>
          <w:color w:val="auto"/>
        </w:rPr>
      </w:pPr>
      <w:r>
        <w:rPr>
          <w:rFonts w:ascii="Times New Roman" w:cs="Times New Roman" w:eastAsia="Times New Roman" w:hAnsi="Times New Roman"/>
          <w:sz w:val="18"/>
          <w:szCs w:val="18"/>
          <w:color w:val="auto"/>
        </w:rPr>
        <w:t>Our product candidates are considered small molecule drugs and must be approved by the FDA through the NDA process before they may be legally marketed in the United States. The process generally involves the following:</w:t>
      </w:r>
    </w:p>
    <w:p>
      <w:pPr>
        <w:spacing w:after="0" w:line="162" w:lineRule="exact"/>
        <w:rPr>
          <w:sz w:val="20"/>
          <w:szCs w:val="20"/>
          <w:color w:val="auto"/>
        </w:rPr>
      </w:pPr>
    </w:p>
    <w:p>
      <w:pPr>
        <w:ind w:left="1520" w:right="100" w:hanging="378"/>
        <w:spacing w:after="0" w:line="282" w:lineRule="auto"/>
        <w:tabs>
          <w:tab w:leader="none" w:pos="1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161" w:lineRule="exact"/>
        <w:rPr>
          <w:rFonts w:ascii="Times New Roman" w:cs="Times New Roman" w:eastAsia="Times New Roman" w:hAnsi="Times New Roman"/>
          <w:sz w:val="18"/>
          <w:szCs w:val="18"/>
          <w:color w:val="auto"/>
        </w:rPr>
      </w:pPr>
    </w:p>
    <w:p>
      <w:pPr>
        <w:ind w:left="1520" w:right="100" w:hanging="378"/>
        <w:spacing w:after="0" w:line="282" w:lineRule="auto"/>
        <w:tabs>
          <w:tab w:leader="none" w:pos="1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in the United States and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or independent ethics committee at each clinical trial site before each trial may be initiated;</w:t>
      </w:r>
    </w:p>
    <w:p>
      <w:pPr>
        <w:spacing w:after="0" w:line="225" w:lineRule="exact"/>
        <w:rPr>
          <w:rFonts w:ascii="Times New Roman" w:cs="Times New Roman" w:eastAsia="Times New Roman" w:hAnsi="Times New Roman"/>
          <w:sz w:val="18"/>
          <w:szCs w:val="18"/>
          <w:color w:val="auto"/>
        </w:rPr>
      </w:pPr>
    </w:p>
    <w:p>
      <w:pPr>
        <w:jc w:val="both"/>
        <w:ind w:left="1520" w:right="120" w:hanging="378"/>
        <w:spacing w:after="0" w:line="266" w:lineRule="auto"/>
        <w:tabs>
          <w:tab w:leader="none" w:pos="1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GCP, requirements and other clinical trial-related regulations to establish substantial evidence of the safety and efficacy of the investigational product for each proposed indication;</w:t>
      </w:r>
    </w:p>
    <w:p>
      <w:pPr>
        <w:spacing w:after="0" w:line="17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submission for review;</w:t>
      </w:r>
    </w:p>
    <w:p>
      <w:pPr>
        <w:spacing w:after="0" w:line="215" w:lineRule="exact"/>
        <w:rPr>
          <w:rFonts w:ascii="Times New Roman" w:cs="Times New Roman" w:eastAsia="Times New Roman" w:hAnsi="Times New Roman"/>
          <w:sz w:val="18"/>
          <w:szCs w:val="18"/>
          <w:color w:val="auto"/>
        </w:rPr>
      </w:pPr>
    </w:p>
    <w:p>
      <w:pPr>
        <w:ind w:left="5480" w:hanging="117"/>
        <w:spacing w:after="0"/>
        <w:tabs>
          <w:tab w:leader="none" w:pos="54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7" w:name="page128"/>
    <w:bookmarkEnd w:id="127"/>
    <w:p>
      <w:pPr>
        <w:ind w:left="1520" w:right="80" w:hanging="378"/>
        <w:spacing w:after="0" w:line="282" w:lineRule="auto"/>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where the drug will be produced to assess compliance with cGMP requirements, and of selected clinical investigational sites to assess compliance with GCD;</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and/or clinical trial sites that generated the data in support of the NDA filing;</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w:t>
      </w:r>
    </w:p>
    <w:p>
      <w:pPr>
        <w:spacing w:after="0" w:line="225" w:lineRule="exact"/>
        <w:rPr>
          <w:rFonts w:ascii="Times New Roman" w:cs="Times New Roman" w:eastAsia="Times New Roman" w:hAnsi="Times New Roman"/>
          <w:sz w:val="18"/>
          <w:szCs w:val="18"/>
          <w:color w:val="auto"/>
        </w:rPr>
      </w:pPr>
    </w:p>
    <w:p>
      <w:pPr>
        <w:ind w:left="1520" w:hanging="378"/>
        <w:spacing w:after="0" w:line="282" w:lineRule="auto"/>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consideration of the views of any FDA advisory committee, prior to any commercial marketing or sale of the drug in the United States; and</w:t>
      </w:r>
    </w:p>
    <w:p>
      <w:pPr>
        <w:spacing w:after="0" w:line="161" w:lineRule="exact"/>
        <w:rPr>
          <w:rFonts w:ascii="Times New Roman" w:cs="Times New Roman" w:eastAsia="Times New Roman" w:hAnsi="Times New Roman"/>
          <w:sz w:val="18"/>
          <w:szCs w:val="18"/>
          <w:color w:val="auto"/>
        </w:rPr>
      </w:pPr>
    </w:p>
    <w:p>
      <w:pPr>
        <w:ind w:left="1520" w:right="640" w:hanging="378"/>
        <w:spacing w:after="0" w:line="282" w:lineRule="auto"/>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REMS and the potential requirement to conduct post-approval studies.</w:t>
      </w:r>
    </w:p>
    <w:p>
      <w:pPr>
        <w:spacing w:after="0" w:line="162"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IND Submission</w:t>
      </w:r>
    </w:p>
    <w:p>
      <w:pPr>
        <w:spacing w:after="0" w:line="229"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Before testing any drug product candidate in humans, the product candidate must undergo rigorous preclinical testing. The preclinical developmental stage generally involves laboratory evaluations of drug 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United States.</w:t>
      </w:r>
    </w:p>
    <w:p>
      <w:pPr>
        <w:spacing w:after="0" w:line="183"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spacing w:after="0" w:line="194" w:lineRule="exact"/>
        <w:rPr>
          <w:sz w:val="20"/>
          <w:szCs w:val="20"/>
          <w:color w:val="auto"/>
        </w:rPr>
      </w:pPr>
    </w:p>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United States.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125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28" w:name="page129"/>
    <w:bookmarkEnd w:id="128"/>
    <w:p>
      <w:pPr>
        <w:ind w:right="180" w:firstLine="1018"/>
        <w:spacing w:after="0" w:line="282" w:lineRule="auto"/>
        <w:rPr>
          <w:sz w:val="20"/>
          <w:szCs w:val="20"/>
          <w:color w:val="auto"/>
        </w:rPr>
      </w:pPr>
      <w:r>
        <w:rPr>
          <w:rFonts w:ascii="Times New Roman" w:cs="Times New Roman" w:eastAsia="Times New Roman" w:hAnsi="Times New Roman"/>
          <w:sz w:val="18"/>
          <w:szCs w:val="18"/>
          <w:color w:val="auto"/>
        </w:rPr>
        <w:t>Clinical trials in the United States generally are conducted in three sequential phases, known as Phase 1, Phase 2 and Phase 3. Although the phases are usually conducted sequentially, they may overlap or be combined.</w:t>
      </w:r>
    </w:p>
    <w:p>
      <w:pPr>
        <w:spacing w:after="0" w:line="162" w:lineRule="exact"/>
        <w:rPr>
          <w:sz w:val="20"/>
          <w:szCs w:val="20"/>
          <w:color w:val="auto"/>
        </w:rPr>
      </w:pPr>
    </w:p>
    <w:p>
      <w:pPr>
        <w:ind w:left="1520" w:hanging="378"/>
        <w:spacing w:after="0" w:line="261" w:lineRule="auto"/>
        <w:tabs>
          <w:tab w:leader="none" w:pos="1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in humans, the side effects associated with increasing doses, and if possible, to gain early evidence on effectiveness.</w:t>
      </w:r>
    </w:p>
    <w:p>
      <w:pPr>
        <w:spacing w:after="0" w:line="179" w:lineRule="exact"/>
        <w:rPr>
          <w:rFonts w:ascii="Times New Roman" w:cs="Times New Roman" w:eastAsia="Times New Roman" w:hAnsi="Times New Roman"/>
          <w:sz w:val="18"/>
          <w:szCs w:val="18"/>
          <w:color w:val="auto"/>
        </w:rPr>
      </w:pPr>
    </w:p>
    <w:p>
      <w:pPr>
        <w:ind w:left="1520" w:right="300" w:hanging="378"/>
        <w:spacing w:after="0" w:line="266" w:lineRule="auto"/>
        <w:tabs>
          <w:tab w:leader="none" w:pos="1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75" w:lineRule="exact"/>
        <w:rPr>
          <w:rFonts w:ascii="Times New Roman" w:cs="Times New Roman" w:eastAsia="Times New Roman" w:hAnsi="Times New Roman"/>
          <w:sz w:val="18"/>
          <w:szCs w:val="18"/>
          <w:color w:val="auto"/>
        </w:rPr>
      </w:pPr>
    </w:p>
    <w:p>
      <w:pPr>
        <w:ind w:left="1520" w:hanging="378"/>
        <w:spacing w:after="0" w:line="261" w:lineRule="auto"/>
        <w:tabs>
          <w:tab w:leader="none" w:pos="1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p>
      <w:pPr>
        <w:spacing w:after="0" w:line="179" w:lineRule="exact"/>
        <w:rPr>
          <w:rFonts w:ascii="Times New Roman" w:cs="Times New Roman" w:eastAsia="Times New Roman" w:hAnsi="Times New Roman"/>
          <w:sz w:val="18"/>
          <w:szCs w:val="18"/>
          <w:color w:val="auto"/>
        </w:rPr>
      </w:pPr>
    </w:p>
    <w:p>
      <w:pPr>
        <w:jc w:val="both"/>
        <w:ind w:left="1520" w:right="160" w:hanging="378"/>
        <w:spacing w:after="0" w:line="266" w:lineRule="auto"/>
        <w:tabs>
          <w:tab w:leader="none" w:pos="1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p>
      <w:pPr>
        <w:spacing w:after="0" w:line="175" w:lineRule="exact"/>
        <w:rPr>
          <w:rFonts w:ascii="Times New Roman" w:cs="Times New Roman" w:eastAsia="Times New Roman" w:hAnsi="Times New Roman"/>
          <w:sz w:val="18"/>
          <w:szCs w:val="18"/>
          <w:color w:val="auto"/>
        </w:rPr>
      </w:pPr>
    </w:p>
    <w:p>
      <w:pPr>
        <w:ind w:left="1520" w:right="100" w:hanging="378"/>
        <w:spacing w:after="0" w:line="282" w:lineRule="auto"/>
        <w:tabs>
          <w:tab w:leader="none" w:pos="1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2b/3 clinical trial has elements of a late Phase 2 trial and a Phase 3 trial. We have designated Saturn-1 as a Phase 2b/3 trial as it is both our first multi-center trial based in the United States, and also a pivotal trial for the United States.</w:t>
      </w:r>
    </w:p>
    <w:p>
      <w:pPr>
        <w:spacing w:after="0" w:line="162"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ind w:right="280" w:firstLine="1018"/>
        <w:spacing w:after="0" w:line="261"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spacing w:after="0" w:line="180"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Review and Marketing Approval</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United States.</w:t>
      </w:r>
    </w:p>
    <w:p>
      <w:pPr>
        <w:spacing w:after="0" w:line="189"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126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9" w:name="page130"/>
    <w:bookmarkEnd w:id="129"/>
    <w:p>
      <w:pPr>
        <w:ind w:firstLine="1018"/>
        <w:spacing w:after="0" w:line="255" w:lineRule="auto"/>
        <w:rPr>
          <w:sz w:val="20"/>
          <w:szCs w:val="20"/>
          <w:color w:val="auto"/>
        </w:rPr>
      </w:pPr>
      <w:r>
        <w:rPr>
          <w:rFonts w:ascii="Times New Roman" w:cs="Times New Roman" w:eastAsia="Times New Roman" w:hAnsi="Times New Roman"/>
          <w:sz w:val="18"/>
          <w:szCs w:val="18"/>
          <w:color w:val="auto"/>
        </w:rPr>
        <w:t>The FDA reviews all submitted NDAs before it accepts them for filing to determine if they are sufficiently complete to permit a substantive review, and the FDA may request additional information rather than accepting the NDA for filing. The FDA must make a decision on accepting an NDA for filing within 60 days of receipt. Once the submission is accepted for filing, the FDA begins an in-depth review of the NDA. Under PDUFA, the FDA has agreed to certain performance goals in the review of NDAs through a two-tiered classification system, standard review and priority review. 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spacing w:after="0" w:line="189"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7"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3" w:lineRule="exact"/>
        <w:rPr>
          <w:sz w:val="20"/>
          <w:szCs w:val="20"/>
          <w:color w:val="auto"/>
        </w:rPr>
      </w:pPr>
    </w:p>
    <w:p>
      <w:pPr>
        <w:jc w:val="both"/>
        <w:ind w:right="120" w:firstLine="1018"/>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w:t>
      </w:r>
    </w:p>
    <w:p>
      <w:pPr>
        <w:spacing w:after="0" w:line="180"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89"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spacing w:after="0" w:line="183"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127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Although physicians may prescribe legally available drugs for off-label uses, manufacturers may not market or promote such uses.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Prescription drug promotional materials must be submitted to the FDA in conjunction with their first use or first publication.</w:t>
      </w:r>
    </w:p>
    <w:p>
      <w:pPr>
        <w:spacing w:after="0" w:line="207"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0"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188"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7" w:lineRule="exact"/>
        <w:rPr>
          <w:sz w:val="20"/>
          <w:szCs w:val="20"/>
          <w:color w:val="auto"/>
        </w:rPr>
      </w:pPr>
    </w:p>
    <w:p>
      <w:pPr>
        <w:ind w:left="1520" w:right="240" w:hanging="378"/>
        <w:spacing w:after="0" w:line="282" w:lineRule="auto"/>
        <w:tabs>
          <w:tab w:leader="none" w:pos="1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suspension of the approval,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5" w:lineRule="exact"/>
        <w:rPr>
          <w:rFonts w:ascii="Times New Roman" w:cs="Times New Roman" w:eastAsia="Times New Roman" w:hAnsi="Times New Roman"/>
          <w:sz w:val="18"/>
          <w:szCs w:val="18"/>
          <w:color w:val="auto"/>
        </w:rPr>
      </w:pPr>
    </w:p>
    <w:p>
      <w:pPr>
        <w:ind w:left="5480" w:hanging="117"/>
        <w:spacing w:after="0"/>
        <w:tabs>
          <w:tab w:leader="none" w:pos="548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ind w:right="100" w:firstLine="1018"/>
        <w:spacing w:after="0" w:line="277" w:lineRule="auto"/>
        <w:rPr>
          <w:sz w:val="20"/>
          <w:szCs w:val="20"/>
          <w:color w:val="auto"/>
        </w:rPr>
      </w:pPr>
      <w:r>
        <w:rPr>
          <w:rFonts w:ascii="Times New Roman" w:cs="Times New Roman" w:eastAsia="Times New Roman" w:hAnsi="Times New Roman"/>
          <w:sz w:val="17"/>
          <w:szCs w:val="17"/>
          <w:color w:val="auto"/>
        </w:rPr>
        <w:t>Pharmaceutical companies are subject to additional healthcare regulation and enforcement by the federal government and by authorities in the states and foreign jurisdictions in which they conduct their business.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68"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76" w:lineRule="exact"/>
        <w:rPr>
          <w:sz w:val="20"/>
          <w:szCs w:val="20"/>
          <w:color w:val="auto"/>
        </w:rPr>
      </w:pPr>
    </w:p>
    <w:p>
      <w:pPr>
        <w:ind w:left="1520" w:right="80" w:hanging="378"/>
        <w:spacing w:after="0" w:line="256" w:lineRule="auto"/>
        <w:tabs>
          <w:tab w:leader="none" w:pos="1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makes it illegal for any person, including a prescription drug manufacturer (or a party acting on its behalf), to knowingly and willfully solicit, receive, offer or pay any remuneration, directly or indirectly, in cash or in kind, to induce or reward either the referral of an individual for, or the purchase, lease, order or recommendation of an item or service for which payment may be made, in whole or in part, under a federal healthcare program, such as Medicare or Medicaid. Moreover, the government may assert that a claim including items or services resulting from a violation of the federal Anti-Kickback Statute constitutes a false or fraudulent claim for purposes of the civil False Claims Act;</w:t>
      </w:r>
    </w:p>
    <w:p>
      <w:pPr>
        <w:spacing w:after="0" w:line="187" w:lineRule="exact"/>
        <w:rPr>
          <w:rFonts w:ascii="Times New Roman" w:cs="Times New Roman" w:eastAsia="Times New Roman" w:hAnsi="Times New Roman"/>
          <w:sz w:val="18"/>
          <w:szCs w:val="18"/>
          <w:color w:val="auto"/>
        </w:rPr>
      </w:pPr>
    </w:p>
    <w:p>
      <w:pPr>
        <w:ind w:left="1520" w:right="20" w:hanging="378"/>
        <w:spacing w:after="0" w:line="281" w:lineRule="auto"/>
        <w:tabs>
          <w:tab w:leader="none" w:pos="15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imposes civil penalties, sometimes pursued through civil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164" w:lineRule="exact"/>
        <w:rPr>
          <w:rFonts w:ascii="Times New Roman" w:cs="Times New Roman" w:eastAsia="Times New Roman" w:hAnsi="Times New Roman"/>
          <w:sz w:val="17"/>
          <w:szCs w:val="17"/>
          <w:color w:val="auto"/>
        </w:rPr>
      </w:pPr>
    </w:p>
    <w:p>
      <w:pPr>
        <w:ind w:left="1520" w:right="420" w:hanging="378"/>
        <w:spacing w:after="0" w:line="261" w:lineRule="auto"/>
        <w:tabs>
          <w:tab w:leader="none" w:pos="1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179" w:lineRule="exact"/>
        <w:rPr>
          <w:rFonts w:ascii="Times New Roman" w:cs="Times New Roman" w:eastAsia="Times New Roman" w:hAnsi="Times New Roman"/>
          <w:sz w:val="18"/>
          <w:szCs w:val="18"/>
          <w:color w:val="auto"/>
        </w:rPr>
      </w:pPr>
    </w:p>
    <w:p>
      <w:pPr>
        <w:jc w:val="both"/>
        <w:ind w:left="1520" w:hanging="378"/>
        <w:spacing w:after="0" w:line="266" w:lineRule="auto"/>
        <w:tabs>
          <w:tab w:leader="none" w:pos="1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175" w:lineRule="exact"/>
        <w:rPr>
          <w:rFonts w:ascii="Times New Roman" w:cs="Times New Roman" w:eastAsia="Times New Roman" w:hAnsi="Times New Roman"/>
          <w:sz w:val="18"/>
          <w:szCs w:val="18"/>
          <w:color w:val="auto"/>
        </w:rPr>
      </w:pPr>
    </w:p>
    <w:p>
      <w:pPr>
        <w:ind w:left="1520" w:right="140" w:hanging="378"/>
        <w:spacing w:after="0" w:line="282" w:lineRule="auto"/>
        <w:tabs>
          <w:tab w:leader="none" w:pos="1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61" w:lineRule="exact"/>
        <w:rPr>
          <w:rFonts w:ascii="Times New Roman" w:cs="Times New Roman" w:eastAsia="Times New Roman" w:hAnsi="Times New Roman"/>
          <w:sz w:val="18"/>
          <w:szCs w:val="18"/>
          <w:color w:val="auto"/>
        </w:rPr>
      </w:pPr>
    </w:p>
    <w:p>
      <w:pPr>
        <w:ind w:left="1520" w:right="260" w:hanging="378"/>
        <w:spacing w:after="0" w:line="282" w:lineRule="auto"/>
        <w:tabs>
          <w:tab w:leader="none" w:pos="1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 including off-label or pre-approval promotion;</w:t>
      </w:r>
    </w:p>
    <w:p>
      <w:pPr>
        <w:spacing w:after="0" w:line="161" w:lineRule="exact"/>
        <w:rPr>
          <w:rFonts w:ascii="Times New Roman" w:cs="Times New Roman" w:eastAsia="Times New Roman" w:hAnsi="Times New Roman"/>
          <w:sz w:val="18"/>
          <w:szCs w:val="18"/>
          <w:color w:val="auto"/>
        </w:rPr>
      </w:pPr>
    </w:p>
    <w:p>
      <w:pPr>
        <w:ind w:left="1520" w:right="60" w:hanging="378"/>
        <w:spacing w:after="0" w:line="258" w:lineRule="auto"/>
        <w:tabs>
          <w:tab w:leader="none" w:pos="1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CMS information regarding direct or indirect payments and other transfers of value to physicians and teaching hospitals (and certain other practitioners beginning in 2022), as well as information regarding ownership and investment interests held by physicians and their immediate family members; and</w:t>
      </w:r>
    </w:p>
    <w:p>
      <w:pPr>
        <w:spacing w:after="0" w:line="183" w:lineRule="exact"/>
        <w:rPr>
          <w:rFonts w:ascii="Times New Roman" w:cs="Times New Roman" w:eastAsia="Times New Roman" w:hAnsi="Times New Roman"/>
          <w:sz w:val="18"/>
          <w:szCs w:val="18"/>
          <w:color w:val="auto"/>
        </w:rPr>
      </w:pPr>
    </w:p>
    <w:p>
      <w:pPr>
        <w:ind w:left="1520" w:hanging="378"/>
        <w:spacing w:after="0" w:line="254" w:lineRule="auto"/>
        <w:tabs>
          <w:tab w:leader="none" w:pos="1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 governmental third-party payors,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82" w:lineRule="exact"/>
        <w:rPr>
          <w:rFonts w:ascii="Times New Roman" w:cs="Times New Roman" w:eastAsia="Times New Roman" w:hAnsi="Times New Roman"/>
          <w:sz w:val="18"/>
          <w:szCs w:val="18"/>
          <w:color w:val="auto"/>
        </w:rPr>
      </w:pPr>
    </w:p>
    <w:p>
      <w:pPr>
        <w:ind w:left="5480" w:hanging="117"/>
        <w:spacing w:after="0"/>
        <w:tabs>
          <w:tab w:leader="none" w:pos="548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2" w:name="page133"/>
    <w:bookmarkEnd w:id="132"/>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Additionally, California recently enacted legislation that has been dubbed the first “GDPR-like” law in the United States.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187" w:lineRule="exact"/>
        <w:rPr>
          <w:sz w:val="20"/>
          <w:szCs w:val="20"/>
          <w:color w:val="auto"/>
        </w:rPr>
      </w:pPr>
    </w:p>
    <w:p>
      <w:pPr>
        <w:ind w:right="400" w:firstLine="1018"/>
        <w:spacing w:after="0" w:line="282" w:lineRule="auto"/>
        <w:rPr>
          <w:sz w:val="20"/>
          <w:szCs w:val="20"/>
          <w:color w:val="auto"/>
        </w:rPr>
      </w:pPr>
      <w:r>
        <w:rPr>
          <w:rFonts w:ascii="Times New Roman" w:cs="Times New Roman" w:eastAsia="Times New Roman" w:hAnsi="Times New Roman"/>
          <w:sz w:val="18"/>
          <w:szCs w:val="18"/>
          <w:color w:val="auto"/>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62" w:lineRule="exact"/>
        <w:rPr>
          <w:sz w:val="20"/>
          <w:szCs w:val="20"/>
          <w:color w:val="auto"/>
        </w:rPr>
      </w:pPr>
    </w:p>
    <w:p>
      <w:pPr>
        <w:ind w:right="540" w:firstLine="1018"/>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We may also be subject to state laws that require pharmaceutical companies to comply with the pharmaceutical industry’s voluntary compliance guidelines and the relevant compliance guidance promulgated by the federal government, as well as state laws that require drug manufacturers to report information related to payments and other transfers of value to physicians and other healthcare providers, marketing expenditures or drug pricing. In addition, we may be subject to state and local laws that require the registration of pharmaceutical sales representatives.</w:t>
      </w:r>
    </w:p>
    <w:p>
      <w:pPr>
        <w:spacing w:after="0" w:line="180" w:lineRule="exact"/>
        <w:rPr>
          <w:sz w:val="20"/>
          <w:szCs w:val="20"/>
          <w:color w:val="auto"/>
        </w:rPr>
      </w:pPr>
    </w:p>
    <w:p>
      <w:pPr>
        <w:ind w:right="160" w:firstLine="1018"/>
        <w:spacing w:after="0" w:line="256"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Equivalent, and similarly detailed, obligations will apply to the conduct of clinical trials in third countries including the EU.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Patent-Term Restoration and Marketing Exclusivity</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33" w:name="page134"/>
    <w:bookmarkEnd w:id="133"/>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Under the current regime all suspected unexpected serious adverse reactions to the investigated drug that occur during the clinical trial have to be reported to the NCA and ECs of the Member State where they occurred.</w:t>
      </w:r>
    </w:p>
    <w:p>
      <w:pPr>
        <w:spacing w:after="0" w:line="189"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27"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Pursuant to the currently applicable Clinical Trials Directive 2001/20/EC and the Directive 2005/28/EC on GCP, in order to undertake a clinical trial in a European Union member state, an applicant must obtain approval from the competent national authority of the European Union member state in which the clinical trial is to be conducted, or in multiple member states if the clinical trial is to be conducted in a number of member states. The EEA is comprised of the 27 Member States of the European Union and the three members of the EFTA pillar of the EEA, Iceland, Liechtenstein and Norway. Furthermore, the applicant may only start a clinical trial at a specific site after the competent ethics committee has issued a favorable opinion. The clinical trial application must be accompanied by an IMP dossier with supporting information prescribed by Directive 2001/20/EC and Directive 2005/28/EC and corresponding national laws of the member states and further detailed in applicable guidance documents.</w:t>
      </w:r>
    </w:p>
    <w:p>
      <w:pPr>
        <w:spacing w:after="0" w:line="189" w:lineRule="exact"/>
        <w:rPr>
          <w:sz w:val="20"/>
          <w:szCs w:val="20"/>
          <w:color w:val="auto"/>
        </w:rPr>
      </w:pPr>
    </w:p>
    <w:p>
      <w:pPr>
        <w:jc w:val="both"/>
        <w:ind w:right="100" w:firstLine="1018"/>
        <w:spacing w:after="0" w:line="255" w:lineRule="auto"/>
        <w:rPr>
          <w:sz w:val="20"/>
          <w:szCs w:val="20"/>
          <w:color w:val="auto"/>
        </w:rPr>
      </w:pPr>
      <w:r>
        <w:rPr>
          <w:rFonts w:ascii="Times New Roman" w:cs="Times New Roman" w:eastAsia="Times New Roman" w:hAnsi="Times New Roman"/>
          <w:sz w:val="18"/>
          <w:szCs w:val="18"/>
          <w:color w:val="auto"/>
        </w:rPr>
        <w:t>In April 2014, the European Union adopted a new Clinical Trials Regulation (EU) No 536/2014, but it is not yet applicable in the European Union. The new legislation, which will be directly applicable in all European Union member states, aims to streamline the approval of clinical trials in the European Union by applying consistent rules and harmonizing the approvals process throughout the European Union. For instance, the new Clinical Trials Regulation provides for a streamlined application procedure via a single-entry point facilitating a harmonized assessment across multiple member states.</w:t>
      </w:r>
    </w:p>
    <w:p>
      <w:pPr>
        <w:spacing w:after="0" w:line="3"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timing of implementation of the new Clinical Trials Regulation will be dependent on the development and launch of a fully functional clinical trials portal and database, which would be confirmed by an independent audit. The new legislation will come into effect six months after the European Commission publishes a confirmation of full functionality of the clinical trials information system. The website indicated that the audit was expected to commence in December 2020.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4" w:name="page135"/>
    <w:bookmarkEnd w:id="134"/>
    <w:p>
      <w:pPr>
        <w:ind w:right="260" w:firstLine="1018"/>
        <w:spacing w:after="0" w:line="282" w:lineRule="auto"/>
        <w:rPr>
          <w:sz w:val="20"/>
          <w:szCs w:val="20"/>
          <w:color w:val="auto"/>
        </w:rPr>
      </w:pPr>
      <w:r>
        <w:rPr>
          <w:rFonts w:ascii="Times New Roman" w:cs="Times New Roman" w:eastAsia="Times New Roman" w:hAnsi="Times New Roman"/>
          <w:sz w:val="18"/>
          <w:szCs w:val="18"/>
          <w:color w:val="auto"/>
        </w:rPr>
        <w:t>Parties conducting certain clinical trials in the European Union must, as in the United States, post clinical trial information at the EudraCT website: https://eudract.ema.europa.eu.</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right="120" w:firstLine="1018"/>
        <w:spacing w:after="0" w:line="282" w:lineRule="auto"/>
        <w:rPr>
          <w:sz w:val="20"/>
          <w:szCs w:val="20"/>
          <w:color w:val="auto"/>
        </w:rPr>
      </w:pPr>
      <w:r>
        <w:rPr>
          <w:rFonts w:ascii="Times New Roman" w:cs="Times New Roman" w:eastAsia="Times New Roman" w:hAnsi="Times New Roman"/>
          <w:sz w:val="18"/>
          <w:szCs w:val="18"/>
          <w:color w:val="auto"/>
        </w:rPr>
        <w:t>In the EEA, medicinal products can only be commercialized after obtaining a Marketing Authorization, or MA. There are a number of types of marketing authorizations.</w:t>
      </w:r>
    </w:p>
    <w:p>
      <w:pPr>
        <w:spacing w:after="0" w:line="162" w:lineRule="exact"/>
        <w:rPr>
          <w:sz w:val="20"/>
          <w:szCs w:val="20"/>
          <w:color w:val="auto"/>
        </w:rPr>
      </w:pPr>
    </w:p>
    <w:p>
      <w:pPr>
        <w:ind w:left="1520" w:right="20" w:hanging="378"/>
        <w:spacing w:after="0" w:line="254" w:lineRule="auto"/>
        <w:tabs>
          <w:tab w:leader="none" w:pos="1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is adopted by the European Commission in the form of a decision through the Centralized Procedure. The decision, which is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p>
      <w:pPr>
        <w:spacing w:after="0" w:line="188" w:lineRule="exact"/>
        <w:rPr>
          <w:rFonts w:ascii="Times New Roman" w:cs="Times New Roman" w:eastAsia="Times New Roman" w:hAnsi="Times New Roman"/>
          <w:sz w:val="18"/>
          <w:szCs w:val="18"/>
          <w:color w:val="auto"/>
        </w:rPr>
      </w:pPr>
    </w:p>
    <w:p>
      <w:pPr>
        <w:ind w:left="15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88" w:lineRule="exact"/>
        <w:rPr>
          <w:rFonts w:ascii="Times New Roman" w:cs="Times New Roman" w:eastAsia="Times New Roman" w:hAnsi="Times New Roman"/>
          <w:sz w:val="18"/>
          <w:szCs w:val="18"/>
          <w:color w:val="auto"/>
        </w:rPr>
      </w:pPr>
    </w:p>
    <w:p>
      <w:pPr>
        <w:ind w:left="1520" w:right="20" w:hanging="378"/>
        <w:spacing w:after="0" w:line="253" w:lineRule="auto"/>
        <w:tabs>
          <w:tab w:leader="none" w:pos="1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 based on the Mutual Recognition Procedure or the Decentralised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or SmPC, and a draft of the labeling and package leaflet, which are sent to the other Member States (referred to as the Concerned Member States) for their approval. If the Concerned Member States raise no objections, based on a potential serious risk to public health, to the assessment, SPC, labeling or packaging proposed by the Reference Member State, the product is subsequently granted a national MA in all the Member States (i.e., in the Reference Member State and the Concerned Member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ind w:right="120" w:firstLine="1018"/>
        <w:spacing w:after="0" w:line="255"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or by Medicare’s contractors and drug plans. These entities decides whether and to what extent a new product will be covered and reimbursed under Medicare, and private third-party payors often follow their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89" w:lineRule="exact"/>
        <w:rPr>
          <w:sz w:val="20"/>
          <w:szCs w:val="20"/>
          <w:color w:val="auto"/>
        </w:rPr>
      </w:pPr>
    </w:p>
    <w:p>
      <w:pPr>
        <w:ind w:right="220" w:firstLine="1018"/>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5" w:name="page136"/>
    <w:bookmarkEnd w:id="135"/>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83"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3"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In addition, in order to be eligible to have its products paid for with federal funds under the Medicaid and Medicare Part B programs and purchased by certain federal agencies and grantees, a manufacturer also must participate in the VA FSS pricing program. Under this program, the manufacturer is obligated to make its innovator and single source products available for procurement on an FSS contract and charge a price to four federal agencies, U.S. Department of Veterans Affairs, U.S.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89" w:lineRule="exact"/>
        <w:rPr>
          <w:sz w:val="20"/>
          <w:szCs w:val="20"/>
          <w:color w:val="auto"/>
        </w:rPr>
      </w:pPr>
    </w:p>
    <w:p>
      <w:pPr>
        <w:ind w:right="240" w:firstLine="1018"/>
        <w:spacing w:after="0" w:line="261" w:lineRule="auto"/>
        <w:rPr>
          <w:sz w:val="20"/>
          <w:szCs w:val="20"/>
          <w:color w:val="auto"/>
        </w:rPr>
      </w:pPr>
      <w:r>
        <w:rPr>
          <w:rFonts w:ascii="Times New Roman" w:cs="Times New Roman" w:eastAsia="Times New Roman" w:hAnsi="Times New Roman"/>
          <w:sz w:val="18"/>
          <w:szCs w:val="18"/>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80"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was passed, which substantially changed the way healthcare is financed by both the government and private insurers, and significantly impacts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Affordable Care Act made several changes to the Medicaid Drug Rebate Program, including increasing pharmaceutical manufacturers’ rebate liability by raising the minimum basic Medicaid rebate. The Affordable Care Act also expanded the universe of Medicaid utilization subject to drug rebates by requiring pharmaceutical manufacturers to pay rebates on Medicaid managed care utilization and by enlarging the population potentially eligible for Medicaid drug benefits. Effective April 1, 2022, Medicaid rebate liability will be expanded to include the territories of the United States as well.</w:t>
      </w:r>
    </w:p>
    <w:p>
      <w:pPr>
        <w:spacing w:after="0" w:line="192" w:lineRule="exact"/>
        <w:rPr>
          <w:sz w:val="20"/>
          <w:szCs w:val="20"/>
          <w:color w:val="auto"/>
        </w:rPr>
      </w:pPr>
    </w:p>
    <w:p>
      <w:pPr>
        <w:ind w:firstLine="1018"/>
        <w:spacing w:after="0" w:line="274" w:lineRule="auto"/>
        <w:rPr>
          <w:sz w:val="20"/>
          <w:szCs w:val="20"/>
          <w:color w:val="auto"/>
        </w:rPr>
      </w:pPr>
      <w:r>
        <w:rPr>
          <w:rFonts w:ascii="Times New Roman" w:cs="Times New Roman" w:eastAsia="Times New Roman" w:hAnsi="Times New Roman"/>
          <w:sz w:val="17"/>
          <w:szCs w:val="17"/>
          <w:color w:val="auto"/>
        </w:rPr>
        <w:t>There have been judicial challenges to certain aspects of the Affordable Care Act, as well as efforts by Congress to repeal or replace, and by the Trump administration to alter the implementation of, certain aspects of the Affordable Care Act. For example, on December 22, 2017, President Trump signed into law new federal tax legislation commonly referred to as the Tax Cuts and Jobs Act (the Tax Act)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36" w:name="page137"/>
    <w:bookmarkEnd w:id="136"/>
    <w:p>
      <w:pPr>
        <w:ind w:right="60"/>
        <w:spacing w:after="0" w:line="272" w:lineRule="auto"/>
        <w:rPr>
          <w:sz w:val="20"/>
          <w:szCs w:val="20"/>
          <w:color w:val="auto"/>
        </w:rPr>
      </w:pPr>
      <w:r>
        <w:rPr>
          <w:rFonts w:ascii="Times New Roman" w:cs="Times New Roman" w:eastAsia="Times New Roman" w:hAnsi="Times New Roman"/>
          <w:sz w:val="17"/>
          <w:szCs w:val="17"/>
          <w:color w:val="auto"/>
        </w:rPr>
        <w:t>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in mid-2021. Additionally, the Further Consolidated Appropriations Act of 2020, Pub. L. No. 116-94, permanently eliminated, effective January 1, 2020, the Affordable Care Act-mandated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w:t>
      </w:r>
    </w:p>
    <w:p>
      <w:pPr>
        <w:spacing w:after="0" w:line="172"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These changes included aggregate reductions to Medicare payments to providers of 2% per fiscal year, effective April 1, 2013, which, due to subsequent legislative amendments, will stay in effect through 2030 unless additional Congressional action is taken, with the exception of a temporary suspension of the 2% cut in Medicare payments from May 1, 2020 through December 31, 2020, pursuant to the CARES Act signed into law in March 2020 and designed to provide financial support and resources to individuals and businesses affected by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Additionally, there has been heightened governmental scrutiny over the manner in which drug manufacturers set prices for their marketed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which has resulted in several Congressional inquiries and proposed and enacted federal and state legislation designed to, among other things,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bring more transparency to product pricing, review the relationship between pricing and manufacturer patient programs, and reform government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methodologies for drug products. For example, at the federal level, the Trump administration’s budget for fiscal year 2021 includes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 billion allowance to support legislative proposals seeking to reduce drug prices, increase competition, lower out-of-pocket drug costs for patients,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patient access to lower-cost generic and biosimilar drugs. On March 10, 2020, the Trump administration sent “principles” for drug pricing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Congress, calling for legislation that would, among other things, cap Medicare Part D beneficiary out-of-pocket pharmacy expenses, provide an option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 Medicare Part D beneficiary monthly out-of-pocket expenses, and place limits on pharmaceutical price increases. On July 24, 2020, President Trump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several executive orders directed toward lowering drug prices. On October 9, 2019, HHS, OIG and CMS issued two proposed rules that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modifications to the Federal Anti-Kickback Statute, Civil Monetary Penalties Law and Physician Self-Referral Law (or the Stark Law) regulations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promote value-based and coordinated care arrangements. At the state level, legislatures have increasingly passed legislation and implemented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to control pharmaceutical and biological product pricing, including price or patient reimbursement constraints, discounts, restrictions on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access and marketing cost disclosure and transparency measures, and, in some cases, designed to encourage importation from other countries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bulk purchasing.</w:t>
      </w:r>
    </w:p>
    <w:p>
      <w:pPr>
        <w:spacing w:after="0" w:line="207"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Moreover,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600" w:firstLine="1018"/>
        <w:spacing w:after="0" w:line="282" w:lineRule="auto"/>
        <w:rPr>
          <w:sz w:val="20"/>
          <w:szCs w:val="20"/>
          <w:color w:val="auto"/>
        </w:rPr>
      </w:pPr>
      <w:r>
        <w:rPr>
          <w:rFonts w:ascii="Times New Roman" w:cs="Times New Roman" w:eastAsia="Times New Roman" w:hAnsi="Times New Roman"/>
          <w:sz w:val="18"/>
          <w:szCs w:val="18"/>
          <w:color w:val="auto"/>
        </w:rPr>
        <w:t>As of June 30, 2020, we had 12 employees, all of whom were full-time employees, and seven of whom were engaged in research and development activities. None of our employees are represented by a labor union or covered under a collective bargaining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right="440" w:firstLine="1018"/>
        <w:spacing w:after="0" w:line="266" w:lineRule="auto"/>
        <w:rPr>
          <w:sz w:val="20"/>
          <w:szCs w:val="20"/>
          <w:color w:val="auto"/>
        </w:rPr>
      </w:pPr>
      <w:r>
        <w:rPr>
          <w:rFonts w:ascii="Times New Roman" w:cs="Times New Roman" w:eastAsia="Times New Roman" w:hAnsi="Times New Roman"/>
          <w:sz w:val="18"/>
          <w:szCs w:val="18"/>
          <w:color w:val="auto"/>
        </w:rPr>
        <w:t>We currently lease 10,879 square feet of office and laboratory space in Irvine, California under a lease that expires in January 2024. We believe that this space is sufficient to meet our needs for the foreseeable future and that any additional space we may require will be available on commercially reasonable terms.</w:t>
      </w:r>
    </w:p>
    <w:p>
      <w:pPr>
        <w:spacing w:after="0" w:line="176"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We also lease 3,290 square feet of office and laboratory space in Irvine, California under an existing lease that expires in April 2022. We plan to sublease this space.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20" w:firstLine="1018"/>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June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7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80" w:type="dxa"/>
            <w:vAlign w:val="bottom"/>
            <w:tcBorders>
              <w:top w:val="single" w:sz="8" w:color="auto"/>
            </w:tcBorders>
          </w:tcPr>
          <w:p>
            <w:pPr>
              <w:spacing w:after="0"/>
              <w:rPr>
                <w:sz w:val="16"/>
                <w:szCs w:val="16"/>
                <w:color w:val="auto"/>
              </w:rPr>
            </w:pP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Bobak Azamian, M.D., Ph.D.</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 M. Greenstein</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Seshadri Neervannan, Ph.D.</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Aziz Mottiwala</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4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Holdbrook</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Clinical Affairs</w:t>
            </w:r>
          </w:p>
        </w:tc>
      </w:tr>
      <w:tr>
        <w:trPr>
          <w:trHeight w:val="30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Ackermann, Ph.D.</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Chairperson of the Board</w:t>
            </w: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Bhaskar Chaudhuri, Ph.D.</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Goldberg, M.D.</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Link, Ph.D.</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Tester</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Bobak Azamian, M.D., Ph.D.</w:t>
      </w:r>
      <w:r>
        <w:rPr>
          <w:rFonts w:ascii="Times New Roman" w:cs="Times New Roman" w:eastAsia="Times New Roman" w:hAnsi="Times New Roman"/>
          <w:sz w:val="18"/>
          <w:szCs w:val="18"/>
          <w:color w:val="auto"/>
        </w:rPr>
        <w:t>, is our co-founder and has served as our President since our inception, as our Chief Executive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2018 and as a member of our board of directors since December 2016.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co-Chairman and Chief Executive Officer of Vibrato Medical, Inc., a medical device company developing wearable treatments for peripheral arterial disease.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He also completed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spacing w:after="0" w:line="182"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Leo M. Greenstein </w:t>
      </w:r>
      <w:r>
        <w:rPr>
          <w:rFonts w:ascii="Times New Roman" w:cs="Times New Roman" w:eastAsia="Times New Roman" w:hAnsi="Times New Roman"/>
          <w:sz w:val="18"/>
          <w:szCs w:val="18"/>
          <w:color w:val="auto"/>
        </w:rPr>
        <w:t>has served as our Chief Financial Officer since April 2020. Mr. Greenstein previously served as Senior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and Corporate Controller at Spectrum Pharmaceuticals, Inc., a publicly-traded oncology pharmaceutical company from September 2013 until April 2020. Prior to Spectrum Pharmaceuticals, Mr. Greenstein served as Vice President of Finance and Corporate Controller at Endologix, Inc., a publicly-traded medical device company, from May 2011 to September 2013, and Senior Director of Finance and SEC Reporting at Clarient, Inc., a then publicly-traded advanced oncology diagnostics services company, from June 2007 to April 2011, inclusive of his finance role with its then-majority shareholder.</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Mr. Greenstein spent eight years in Big-4 Public Accounting, beginning with Arthur Andersen LLP in September 1999 and ending with PriceWaterhouseCoopers LLP in June 2007. Mr. Greenstein received a B.A. in Accounting from Arcadia University and Juris Doctorate from the Temple University Beasley School of Law. He is an active attorney and member of the State Bar of California and is an active Certified Public Accountant in California.</w:t>
      </w:r>
    </w:p>
    <w:p>
      <w:pPr>
        <w:spacing w:after="0" w:line="185" w:lineRule="exact"/>
        <w:rPr>
          <w:sz w:val="20"/>
          <w:szCs w:val="20"/>
          <w:color w:val="auto"/>
        </w:rPr>
      </w:pPr>
    </w:p>
    <w:p>
      <w:pPr>
        <w:ind w:right="100" w:firstLine="10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Seshadri Neervannan, Ph.D. </w:t>
      </w:r>
      <w:r>
        <w:rPr>
          <w:rFonts w:ascii="Times New Roman" w:cs="Times New Roman" w:eastAsia="Times New Roman" w:hAnsi="Times New Roman"/>
          <w:sz w:val="18"/>
          <w:szCs w:val="18"/>
          <w:color w:val="auto"/>
        </w:rPr>
        <w:t>has served as our Chief Operating Officer since July 2020. Dr. Neervannan previously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Global Pharmaceutical Development, from March 2015 to July 2020 at Allergan, and Vice President, Pharmaceutical Development, from January 2007 to February 2015 at Allergan Inc., a global pharmaceutical company. Prior to Allergan he was Director of Pharmaceutics R&amp;D, at Amgen Inc., a biotechnology company, from February 1999 to January 2007. From November 1994 to February 1999, Dr. 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9" w:name="page140"/>
    <w:bookmarkEnd w:id="139"/>
    <w:p>
      <w:pPr>
        <w:ind w:firstLine="10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Aziz Mottiwala </w:t>
      </w:r>
      <w:r>
        <w:rPr>
          <w:rFonts w:ascii="Times New Roman" w:cs="Times New Roman" w:eastAsia="Times New Roman" w:hAnsi="Times New Roman"/>
          <w:sz w:val="18"/>
          <w:szCs w:val="18"/>
          <w:color w:val="auto"/>
        </w:rPr>
        <w:t>has served as our Chief Commercial Officer since August 2020. Mr. Mottiwala has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OneOC, a non-profit organization based in Orange County, California since March 2018. Mr. Mottiwala previously served as Chief Commercial Officer of Opiant Pharmaceutical, Inc., or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or Avanir, a pharmaceutical company specializing in medicines to treat nervous system disorders from July 2017 to September 2019. Prior to Avanir, Mr. Mottiwala spent over ten years at Allergan, a global pharmaceutical company, in various roles from December 2006 to July 2017, most recently as Vice President of Marketing for Allergan’s eye car portfolio from January 2014 to July 2017. Mr. Mottiwala holds a Bachelor of Science degree in Biochemistry from the University of California San Diego and an MBA in Marketing and Finance from the Marshall School of Business at the University of Southern California.</w:t>
      </w:r>
    </w:p>
    <w:p>
      <w:pPr>
        <w:spacing w:after="0" w:line="188" w:lineRule="exact"/>
        <w:rPr>
          <w:sz w:val="20"/>
          <w:szCs w:val="20"/>
          <w:color w:val="auto"/>
        </w:rPr>
      </w:pPr>
    </w:p>
    <w:p>
      <w:pPr>
        <w:ind w:right="20" w:firstLine="10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Holdbrook </w:t>
      </w:r>
      <w:r>
        <w:rPr>
          <w:rFonts w:ascii="Times New Roman" w:cs="Times New Roman" w:eastAsia="Times New Roman" w:hAnsi="Times New Roman"/>
          <w:sz w:val="18"/>
          <w:szCs w:val="18"/>
          <w:color w:val="auto"/>
        </w:rPr>
        <w:t>has served as our Vice President of Clinical Affairs since November 2018. Prior to this Mr. Holdbrook was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consultant from October 2017 to November 2018 and served as Senior/Executive Director for Oculeve, which was acquired by Allergan, from May 2014 to October 2017. Mr. Holdbrook received a B.A. from the University of California at San Diego.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ind w:right="180" w:firstLine="10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Ackermann, Ph.D. </w:t>
      </w:r>
      <w:r>
        <w:rPr>
          <w:rFonts w:ascii="Times New Roman" w:cs="Times New Roman" w:eastAsia="Times New Roman" w:hAnsi="Times New Roman"/>
          <w:sz w:val="18"/>
          <w:szCs w:val="18"/>
          <w:color w:val="auto"/>
        </w:rPr>
        <w:t>has served as a member of our board of directors and as chairperson of our board of directors since July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Ackermann has been the Chief Executive Officer of Presidio Medical, Inc. since September 2017 and chairman of the board of Oyster Point Pharma since October 2017. Prior to that, he was Vice President, Neurostimulation for Allergan from August 2015 to June 2017 after serving as Chief Executive Officer of Oculeve, which was acquired by Allergan, from June 2012 to August 2015. Dr. Ackermann received a B.E. in biomedical engineering from Vanderbilt University and a M.S. and Ph.D. in biomedical engineering from Case Western Reserve University. We believe Dr. Ackermann is qualified to serve on our board of directors because of his substantial business and academic experience in the medical device and pharmaceutical development industries.</w:t>
      </w:r>
    </w:p>
    <w:p>
      <w:pPr>
        <w:spacing w:after="0" w:line="183"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Bhaskar Chaudhuri, Ph.D. </w:t>
      </w:r>
      <w:r>
        <w:rPr>
          <w:rFonts w:ascii="Times New Roman" w:cs="Times New Roman" w:eastAsia="Times New Roman" w:hAnsi="Times New Roman"/>
          <w:sz w:val="18"/>
          <w:szCs w:val="18"/>
          <w:color w:val="auto"/>
        </w:rPr>
        <w:t>has served as a member of our board of directors since December 2019. Dr. Chaudhuri has more than 20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pharmaceutical management, research and development. Since June 2011, he has been the Operating Partner at Frazier Healthcare Ventures. Prior to that time, Dr. Chaudhuri served as President of Valeant Pharmaceuticals International, Inc. from January 2009 to September 2010. Prior to joining Valeant, Dr. Chaudhuri served for seven years as President and Chief Executive Officer of Dow Pharmaceutical Sciences, Inc. and as a member of its board of directors from 2003 to 2008, at which time Dow was acquired by Valeant. Prior to that, Dr. Chaudhuri served as Executive Vice President of Scientific Affairs at Bertek Pharmaceuticals, Inc., a subsidiary of Mylan N.V., from 1998 to 2000. Prior to his positions at Bertek, Dr. Chaudhuri served as the General Manager of the Dermatology Division of Mylan. Dr. Chaudhuri joined Mylan through the acquisition of Penederm, Inc., where he worked from 1992 to 1998 in a number of senior positions before becoming the Vice President of Research and Development. Dr. Chaudhuri currently serves on the boards of directors of Arcutis Biotherapeutics, Inc., since June 2016, Teligent Pharmaceuticals, Inc. since November 2010 and Vyome Biosciences, Ltd. since June 2015. He also serves on the Advisory Board of the Berman Institute of John Hopkins University. Dr. Chaudhuri holds a Bachelor of Science degree in Pharmacy and an M.S. in Industrial Pharmacy from Jadavpur University and a Ph.D. in Pharmaceutics form the University of Louisiana. We believe Dr. Chaudhuri’s qualifications to serve on the Board of Directors include his many years of experience in the pharmaceutical industry, including his prior positions in senior executive roles at major pharmaceutical companies.</w:t>
      </w:r>
    </w:p>
    <w:p>
      <w:pPr>
        <w:spacing w:after="0" w:line="187"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Goldberg, M.D. </w:t>
      </w:r>
      <w:r>
        <w:rPr>
          <w:rFonts w:ascii="Times New Roman" w:cs="Times New Roman" w:eastAsia="Times New Roman" w:hAnsi="Times New Roman"/>
          <w:sz w:val="18"/>
          <w:szCs w:val="18"/>
          <w:color w:val="auto"/>
        </w:rPr>
        <w:t>has served as a member of our board of directors since August 2020. Since February 2016, Dr. Goldberg has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principal of Vivo Capital, a global healthcare investment firm that focuses exclusively on the life sciences industry. Prior to this, Dr. Goldberg was a consultant at McKinsey &amp; Company from September 2014 to February 2016, where he served pharmaceutical, medical device, and biotechnology companies across a range of strategy, M&amp;A, sales, marketing, and product development topics. Dr. Goldberg is a U.S. board-certified physician in both Critical Care Medicine and Emergency Medicine. He recently served as an Instructor in Medicine at the Mayo Clinic College of Medicine in Rochester, MN, from January 2013 to June 2013,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JAMA,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and the University of Arizona and currently at the Washington Township Medical Foundation. We believe Dr. Goldberg’s qualifications to serve on the Board of Directors include his many years of experience in strategy and product development in the pharmaceutical industry, and his experience investing in pharmaceutical companies.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40" w:name="page141"/>
    <w:bookmarkEnd w:id="140"/>
    <w:p>
      <w:pPr>
        <w:ind w:right="20" w:firstLine="1018"/>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William J. Link, Ph.D. </w:t>
      </w:r>
      <w:r>
        <w:rPr>
          <w:rFonts w:ascii="Times New Roman" w:cs="Times New Roman" w:eastAsia="Times New Roman" w:hAnsi="Times New Roman"/>
          <w:sz w:val="17"/>
          <w:szCs w:val="17"/>
          <w:color w:val="auto"/>
        </w:rPr>
        <w:t>has served as a member of our board of directors since January 2017. Dr. Link is a managing director and co-founder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both Flying L Partners, a venture capital firm formed in 2016 to focus on investing primarily in the ophthalmic space, and Versant Venture Management LLC, a life science venture capital firm investing in early stage healthcare companies. Prior to co-founding Versant in 1999, Dr. Link was a general partner at Brentwood Venture Capital. From 1987 to 1997, Dr. Link was founder, chairman, and Chief Executive Officer of Chiron Vision Corporation (acquired by Bausch &amp; Lomb). He also founded and served as President of American Medical Optics (acquired by Allergan). Dr. Link served as a director of Advanced Medical Optics (acquired by Abbott) from 2002 to 2009 and Inogen from 2003 to February 2014. Before entering the healthcare industry,</w:t>
      </w:r>
    </w:p>
    <w:p>
      <w:pPr>
        <w:spacing w:after="0" w:line="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Dr. Link was an assistant professor in the Department of Surgery at the Indiana University School of Medicine. He has been a member of the board of directors of Edwards Lifesciences Corporation since May 2009, Second Sight Medical Products from 2003 to May 31, 2020, Glaukos Corporation since 2001, and Oyster Point Pharma since July 2015.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spacing w:after="0" w:line="183" w:lineRule="exact"/>
        <w:rPr>
          <w:sz w:val="20"/>
          <w:szCs w:val="20"/>
          <w:color w:val="auto"/>
        </w:rPr>
      </w:pPr>
    </w:p>
    <w:p>
      <w:pPr>
        <w:ind w:right="80" w:firstLine="10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Jason Tester </w:t>
      </w:r>
      <w:r>
        <w:rPr>
          <w:rFonts w:ascii="Times New Roman" w:cs="Times New Roman" w:eastAsia="Times New Roman" w:hAnsi="Times New Roman"/>
          <w:sz w:val="18"/>
          <w:szCs w:val="18"/>
          <w:color w:val="auto"/>
        </w:rPr>
        <w:t>has served as a member of our board of directors since March 2018. Since September 2017 Mr. Tester has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the Horowitz Group. From September 2008 to August 2017 Mr. Tester was Chief Financial Officer of AcuFocus, an ophthalmic medical device company. From July 2007 to May 2008, Mr. Tester was Vice President of Jefferies &amp; Company, a healthcare investment bank. Mr. Tester holds an MBA in finance from the Emory University Goizueta Business School, a Master of Accountancy with a specialization in taxation and a Bachelor of Business Administration from the University of Georgia. We believe that Mr. Tester is qualified to serve on our board of directors because of his financial and accounting expertise and his experience in the life science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right="140" w:firstLine="1018"/>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authorized to have six members and currently consists of six members, who were elected pursuant to the amended and restated voting agreement that we entered into with certain holders of our common stock and certain holders of our preferred stock and the related provisions of our amended and restated certificate of incorporation.</w:t>
      </w:r>
    </w:p>
    <w:p>
      <w:pPr>
        <w:spacing w:after="0" w:line="176" w:lineRule="exact"/>
        <w:rPr>
          <w:sz w:val="20"/>
          <w:szCs w:val="20"/>
          <w:color w:val="auto"/>
        </w:rPr>
      </w:pPr>
    </w:p>
    <w:p>
      <w:pPr>
        <w:ind w:right="160" w:firstLine="1018"/>
        <w:spacing w:after="0" w:line="266" w:lineRule="auto"/>
        <w:rPr>
          <w:sz w:val="20"/>
          <w:szCs w:val="20"/>
          <w:color w:val="auto"/>
        </w:rPr>
      </w:pPr>
      <w:r>
        <w:rPr>
          <w:rFonts w:ascii="Times New Roman" w:cs="Times New Roman" w:eastAsia="Times New Roman" w:hAnsi="Times New Roman"/>
          <w:sz w:val="18"/>
          <w:szCs w:val="18"/>
          <w:color w:val="auto"/>
        </w:rPr>
        <w:t>The provisions of this voting agreement will terminate upon the completion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76"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our amended and restated certificate of incorporation and amended and restated bylaws that will be in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Class I directors will be</w:t>
            </w:r>
          </w:p>
        </w:tc>
        <w:tc>
          <w:tcPr>
            <w:tcW w:w="8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their terms will expire at the annual meeting of stockholders to be</w:t>
            </w:r>
          </w:p>
        </w:tc>
      </w:tr>
      <w:tr>
        <w:trPr>
          <w:trHeight w:val="234"/>
        </w:trPr>
        <w:tc>
          <w:tcPr>
            <w:tcW w:w="22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held in 2021;</w:t>
            </w: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Class II directors will be</w:t>
            </w: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w:t>
            </w:r>
          </w:p>
        </w:tc>
        <w:tc>
          <w:tcPr>
            <w:tcW w:w="5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their terms will expire at the annual meeting of stockholders to be</w:t>
            </w:r>
          </w:p>
        </w:tc>
      </w:tr>
      <w:tr>
        <w:trPr>
          <w:trHeight w:val="234"/>
        </w:trPr>
        <w:tc>
          <w:tcPr>
            <w:tcW w:w="22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held in 2022; and</w:t>
            </w: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Class III directors will be</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w:t>
            </w:r>
          </w:p>
        </w:tc>
        <w:tc>
          <w:tcPr>
            <w:tcW w:w="55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and their terms will expire at the annual meeting of stockholders to be</w:t>
            </w:r>
          </w:p>
        </w:tc>
      </w:tr>
      <w:tr>
        <w:trPr>
          <w:trHeight w:val="234"/>
        </w:trPr>
        <w:tc>
          <w:tcPr>
            <w:tcW w:w="22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held in 2023.</w:t>
            </w: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8"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0"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be in effect upon the completion of this offering provide that only our board of directors can fill vacant directorships, including newly-created seats. Any additional directorships resulting from an increase in the authorized number of directors would be distributed pro rata among the three classes so that, as nearly as possible, each class would consist of one-third of the authorized number of directors.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41" w:name="page142"/>
    <w:bookmarkEnd w:id="141"/>
    <w:p>
      <w:pPr>
        <w:ind w:right="340" w:firstLine="1018"/>
        <w:spacing w:after="0" w:line="266" w:lineRule="auto"/>
        <w:rPr>
          <w:sz w:val="20"/>
          <w:szCs w:val="20"/>
          <w:color w:val="auto"/>
        </w:rPr>
      </w:pPr>
      <w:r>
        <w:rPr>
          <w:rFonts w:ascii="Times New Roman" w:cs="Times New Roman" w:eastAsia="Times New Roman" w:hAnsi="Times New Roman"/>
          <w:sz w:val="18"/>
          <w:szCs w:val="18"/>
          <w:color w:val="auto"/>
        </w:rPr>
        <w:t>The classification of our board of directors may have the effect of delaying or preventing changes in our control or management. See the section titled “Description of Capital Stock — Anti-Takeover Provisions — Certificate of Incorporation and Bylaw Provisions” elsewhere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we anticipate that our common stock will be listed on Nasdaq.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nominating and corporate governance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9"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87" w:lineRule="exact"/>
        <w:rPr>
          <w:sz w:val="20"/>
          <w:szCs w:val="20"/>
          <w:color w:val="auto"/>
        </w:rPr>
      </w:pPr>
    </w:p>
    <w:p>
      <w:pPr>
        <w:jc w:val="both"/>
        <w:ind w:right="120" w:firstLine="1018"/>
        <w:spacing w:after="0" w:line="257"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affiliations, including family relationships, our board of directors has determined that , representing of our directors, do not have a relationship that would interfere with the exercise of independent judgment in carrying out the responsibilities of a director and that each of these directors is “independent” as that term is defined under the rules of Nasdaq, including in the case of all the members of our audit committee, the independence criteria set forth in Rule 10A-3 under the Exchange Act, and in the case of all the members of our compensation committee, the independence criteria set forth in Rule 10C-1 under the Exchange Act.</w:t>
      </w:r>
    </w:p>
    <w:p>
      <w:pPr>
        <w:spacing w:after="0" w:line="187" w:lineRule="exact"/>
        <w:rPr>
          <w:sz w:val="20"/>
          <w:szCs w:val="20"/>
          <w:color w:val="auto"/>
        </w:rPr>
      </w:pPr>
    </w:p>
    <w:p>
      <w:pPr>
        <w:ind w:right="280" w:firstLine="1018"/>
        <w:spacing w:after="0" w:line="258"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his or her independence, including the beneficial ownership of our capital stock by each non-employee director, and the transactions involving them described in the section titled “Certain Relationships and Related Party Transactions” elsewhere in this prospectus. There are no family relationships among any of our directors or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Our board of directors is currently chaired by Dr. Ackermann.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Azamian serves as our President and Chief Executive Officer while Dr. Ackermann serves as the chairperson of our board of directors but is not an officer of the Company. We currently expect and intend the positions of chairperson of our board of directors and Chief Executive Officer to continue to be held by two individuals in the future.</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139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our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Our board of directors will establish an audit committee, a compensation committee and a nominating and corporate governance committee prior to the completion of this offering. Our board of directors may establish other committees to facilitate the management of our business. Our board of directors and its committees will set schedules for meeting throughout the year and can also hold special meetings and act by written consent from time to time, as appropriate. Our board of directors expects to delegate various responsibilities and authority to committees as generally described below. The committees will regularly report on their activities and actions to the full board of directors. Each member of each committee of our board of directors will qualify as an independent director in accordance with the listing standards of Nasdaq. Each committee of our board of directors will have a written charter approved by our board of directors. Upon the completion of this offering, copies of each charter will be posted on our website at www.tarsusrx.com under the Investor Relations section. The inclusion of our website address in this prospectus does not include or incorporate by reference the information on our website into this prospectus. Members will serve on these committees until their resignation or until otherwise determined by our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1020"/>
        <w:spacing w:after="0"/>
        <w:tabs>
          <w:tab w:leader="none" w:pos="4700" w:val="left"/>
          <w:tab w:leader="none" w:pos="5560" w:val="left"/>
          <w:tab w:leader="none" w:pos="6580" w:val="left"/>
        </w:tabs>
        <w:rPr>
          <w:sz w:val="20"/>
          <w:szCs w:val="20"/>
          <w:color w:val="auto"/>
        </w:rPr>
      </w:pPr>
      <w:r>
        <w:rPr>
          <w:rFonts w:ascii="Times New Roman" w:cs="Times New Roman" w:eastAsia="Times New Roman" w:hAnsi="Times New Roman"/>
          <w:sz w:val="18"/>
          <w:szCs w:val="18"/>
          <w:color w:val="auto"/>
        </w:rPr>
        <w:t>The members of our audit committee 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 each of whom can read and understand fundamental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Each member of our audit committee is independent under the rules and regulations of the SEC and the listing standards of</w:t>
      </w:r>
    </w:p>
    <w:p>
      <w:pPr>
        <w:spacing w:after="0" w:line="9" w:lineRule="exact"/>
        <w:rPr>
          <w:sz w:val="20"/>
          <w:szCs w:val="20"/>
          <w:color w:val="auto"/>
        </w:rPr>
      </w:pPr>
    </w:p>
    <w:p>
      <w:pPr>
        <w:spacing w:after="0"/>
        <w:tabs>
          <w:tab w:leader="none" w:pos="3680" w:val="left"/>
          <w:tab w:leader="none" w:pos="10660" w:val="left"/>
        </w:tabs>
        <w:rPr>
          <w:sz w:val="20"/>
          <w:szCs w:val="20"/>
          <w:color w:val="auto"/>
        </w:rPr>
      </w:pPr>
      <w:r>
        <w:rPr>
          <w:rFonts w:ascii="Times New Roman" w:cs="Times New Roman" w:eastAsia="Times New Roman" w:hAnsi="Times New Roman"/>
          <w:sz w:val="18"/>
          <w:szCs w:val="18"/>
          <w:color w:val="auto"/>
        </w:rPr>
        <w:t>applicable to audit committee members.</w:t>
      </w:r>
      <w:r>
        <w:rPr>
          <w:sz w:val="20"/>
          <w:szCs w:val="20"/>
          <w:color w:val="auto"/>
        </w:rPr>
        <w:tab/>
      </w:r>
      <w:r>
        <w:rPr>
          <w:rFonts w:ascii="Times New Roman" w:cs="Times New Roman" w:eastAsia="Times New Roman" w:hAnsi="Times New Roman"/>
          <w:sz w:val="18"/>
          <w:szCs w:val="18"/>
          <w:color w:val="auto"/>
        </w:rPr>
        <w:t>is the chair of the audit committee. Our board of directors has determined that each of</w:t>
      </w:r>
      <w:r>
        <w:rPr>
          <w:sz w:val="20"/>
          <w:szCs w:val="20"/>
          <w:color w:val="auto"/>
        </w:rPr>
        <w:tab/>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qualify as an audit committee financial expert within the meaning of SEC regulations and meet the financial sophistication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w:t>
      </w:r>
    </w:p>
    <w:p>
      <w:pPr>
        <w:spacing w:after="0" w:line="207"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Our audit committee will assist our board of directors with its oversight of the integrity of our financial statements; our compliance with legal and regulatory requirements; the qualifications, independence and performance of the independent registered public accounting firm; the design and implementation of our risk assessment and risk management. Among other things, our audit committee is responsible for reviewing and discussing with our management the adequacy and effectiveness of our disclosure controls and procedures. The audit committee also will discuss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certain aspects of our financial affairs. Our audit committee is responsible for establishing and overseeing procedures for the receipt, retention and treatment of any complaints regarding accounting, internal accounting controls or auditing matters, as well as for the confidential and anonymous submissions by our employees of concerns regarding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terms and fees and all permissible non-audit engagements with the independent auditor. Our audit committee will review and oversee all related person transactions in accordance with our policies and procedures.</w:t>
      </w:r>
    </w:p>
    <w:p>
      <w:pPr>
        <w:spacing w:after="0" w:line="187" w:lineRule="exact"/>
        <w:rPr>
          <w:sz w:val="20"/>
          <w:szCs w:val="20"/>
          <w:color w:val="auto"/>
        </w:rPr>
      </w:pPr>
    </w:p>
    <w:p>
      <w:pPr>
        <w:ind w:right="280" w:firstLine="1018"/>
        <w:spacing w:after="0" w:line="312" w:lineRule="auto"/>
        <w:rPr>
          <w:sz w:val="20"/>
          <w:szCs w:val="20"/>
          <w:color w:val="auto"/>
        </w:rPr>
      </w:pPr>
      <w:r>
        <w:rPr>
          <w:rFonts w:ascii="Times New Roman" w:cs="Times New Roman" w:eastAsia="Times New Roman" w:hAnsi="Times New Roman"/>
          <w:sz w:val="17"/>
          <w:szCs w:val="17"/>
          <w:color w:val="auto"/>
        </w:rPr>
        <w:t>Our audit committee operates under a written charter that satisfies the applicable rules of the SEC and the listing standards of Nasdaq. We believe that the composition of our audit committee will meet the requirements for independence under current Nasdaq and SEC rules and regulations.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The members of our compensation committee are , and . is the chair of the compensation committee. Each member of our compensation committee is independent under the rules and regulations of the SEC and the listing standards of Nasdaq applicable to compensation committee members. Our compensation committee will assist our board of directors with its oversight of the forms and amount of compensation for our executive officers (including officers reporting under Section 16 of the Exchange Act ), the administration of our equity and non-equity incentive plans for employees and other service providers and certain other matters related to our compensation programs. Our compensation committee, among other responsibilities, evaluates the performance of our chief executive officer and, in consultation with him, evaluates the performance of our other executive officers (including officers reporting under Section 16 of the Exchange Act ).</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140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43" w:name="page144"/>
    <w:bookmarkEnd w:id="143"/>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of the SEC and the listing standards of Nasdaq. We believe that the composition of our compensation committee will meet the requirements for independence under current Nasdaq and SEC rules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left="1020"/>
        <w:spacing w:after="0"/>
        <w:tabs>
          <w:tab w:leader="none" w:pos="7080" w:val="left"/>
          <w:tab w:leader="none" w:pos="7920" w:val="left"/>
          <w:tab w:leader="none" w:pos="8960" w:val="left"/>
        </w:tabs>
        <w:rPr>
          <w:sz w:val="20"/>
          <w:szCs w:val="20"/>
          <w:color w:val="auto"/>
        </w:rPr>
      </w:pPr>
      <w:r>
        <w:rPr>
          <w:rFonts w:ascii="Times New Roman" w:cs="Times New Roman" w:eastAsia="Times New Roman" w:hAnsi="Times New Roman"/>
          <w:sz w:val="18"/>
          <w:szCs w:val="18"/>
          <w:color w:val="auto"/>
        </w:rPr>
        <w:t>The members of our nominating and corporate governance committee 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7"/>
          <w:szCs w:val="17"/>
          <w:color w:val="auto"/>
        </w:rPr>
        <w:t>. Each member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and governance committee is independent under the rules and regulations of the SEC and the listing standards of Nasdaq, applicable to</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nominating and governance committee members. is the chair of the nominating and corporate governance committee. Our nominating and corporate governance committee will assist our board of directors with its oversight of and identification of individuals qualified to become 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200" w:lineRule="exact"/>
        <w:rPr>
          <w:sz w:val="20"/>
          <w:szCs w:val="20"/>
          <w:color w:val="auto"/>
        </w:rPr>
      </w:pPr>
    </w:p>
    <w:p>
      <w:pPr>
        <w:spacing w:after="0" w:line="205"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rules of the SEC and the listing standards of Nasdaq. We believe that the composition of our nominating and corporate governance committee will meet the requirements for independence under current Nasdaq and SEC rules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100" w:firstLine="1018"/>
        <w:spacing w:after="0" w:line="266" w:lineRule="auto"/>
        <w:rPr>
          <w:sz w:val="20"/>
          <w:szCs w:val="20"/>
          <w:color w:val="auto"/>
        </w:rPr>
      </w:pPr>
      <w:r>
        <w:rPr>
          <w:rFonts w:ascii="Times New Roman" w:cs="Times New Roman" w:eastAsia="Times New Roman" w:hAnsi="Times New Roman"/>
          <w:sz w:val="18"/>
          <w:szCs w:val="18"/>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right="220" w:firstLine="1018"/>
        <w:spacing w:after="0" w:line="255" w:lineRule="auto"/>
        <w:rPr>
          <w:sz w:val="20"/>
          <w:szCs w:val="20"/>
          <w:color w:val="auto"/>
        </w:rPr>
      </w:pPr>
      <w:r>
        <w:rPr>
          <w:rFonts w:ascii="Times New Roman" w:cs="Times New Roman" w:eastAsia="Times New Roman" w:hAnsi="Times New Roman"/>
          <w:sz w:val="18"/>
          <w:szCs w:val="18"/>
          <w:color w:val="auto"/>
        </w:rPr>
        <w:t>Our board of directors will adopt a Code of Conduct, or the Conduct Code, prior to the completion of this offering. The Conduct Code will apply to all of our employees, officers, directors, contractors, consultants, suppliers and agents. Upon the completion of this offering, the full text of the Conduct Code will be posted on our website at www.tarsusrx.com under the Investor Relations section. We intend to disclose future amendments to, or waivers of, the Conduct Code, as and to the extent required by SEC regulations, at the same location on our website identified above or in public filings. Information contained on our website is not incorporated by reference into this prospectus, and you should not consider information contained on our website to be part of this prospectus or in deciding whether to purchase shares of our common stock. We have included our website address in this prospectus solely as an inactive textual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Prior to this offering, we have not implemented a formal policy with respect to compensation payable to our non-employee directors. Other than as set forth in the table and described more fully below, we did not pay any compensation, including equity awards, to any of our non-employee directors in 2019. We also reimburse our directors for expenses associated with attending meetings of our board of directors and its committees. Following the completion of this offering, we expect to implement an annual cash and equity compensation program for our non-employee directors.</w:t>
      </w:r>
    </w:p>
    <w:p>
      <w:pPr>
        <w:spacing w:after="0" w:line="180" w:lineRule="exact"/>
        <w:rPr>
          <w:sz w:val="20"/>
          <w:szCs w:val="20"/>
          <w:color w:val="auto"/>
        </w:rPr>
      </w:pPr>
    </w:p>
    <w:p>
      <w:pPr>
        <w:ind w:right="48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compensation that we paid to Michael Ackermann, our only non-employee director who received compensation during the year ended December 31, 2019.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80" w:type="dxa"/>
            <w:vAlign w:val="bottom"/>
            <w:gridSpan w:val="3"/>
            <w:vMerge w:val="restart"/>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38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5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1580" w:type="dxa"/>
            <w:vAlign w:val="bottom"/>
            <w:gridSpan w:val="3"/>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9"/>
                <w:szCs w:val="19"/>
                <w:color w:val="auto"/>
              </w:rPr>
            </w:pPr>
          </w:p>
        </w:tc>
        <w:tc>
          <w:tcPr>
            <w:tcW w:w="12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512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40"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Directors who are also our employees or officers receive no additional compensation for their service as directors. See the section titled “Executive Compensation” elsewhere in this prospectus for additional information about the compensation of our employee directors.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141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for the fiscal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3"/>
                <w:szCs w:val="13"/>
                <w:color w:val="auto"/>
              </w:rPr>
            </w:pPr>
          </w:p>
        </w:tc>
        <w:tc>
          <w:tcPr>
            <w:tcW w:w="10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10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Bobak Azamian, MD, PhD</w:t>
            </w: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116,137</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12,240</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312,240</w:t>
            </w: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 Holdbrook</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58,219</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12,240</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262,240</w:t>
            </w:r>
          </w:p>
        </w:tc>
        <w:tc>
          <w:tcPr>
            <w:tcW w:w="0" w:type="dxa"/>
            <w:vAlign w:val="bottom"/>
          </w:tcPr>
          <w:p>
            <w:pPr>
              <w:spacing w:after="0"/>
              <w:rPr>
                <w:sz w:val="1"/>
                <w:szCs w:val="1"/>
                <w:color w:val="auto"/>
              </w:rPr>
            </w:pPr>
          </w:p>
        </w:tc>
      </w:tr>
      <w:tr>
        <w:trPr>
          <w:trHeight w:val="23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Vice President, Clinical Affairs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9512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3" w:lineRule="exact"/>
        <w:rPr>
          <w:sz w:val="20"/>
          <w:szCs w:val="20"/>
          <w:color w:val="auto"/>
        </w:rPr>
      </w:pPr>
    </w:p>
    <w:p>
      <w:pPr>
        <w:ind w:left="380" w:right="220" w:hanging="372"/>
        <w:spacing w:after="0" w:line="261" w:lineRule="auto"/>
        <w:tabs>
          <w:tab w:leader="none" w:pos="3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Leo Greenstein, Sesha Neervannan and Aziz Mottiwala were not executive officers prior to 2020 and, accordingly, are not named executive officers with respect to our fiscal year ended December 31, 2019.</w:t>
      </w:r>
    </w:p>
    <w:p>
      <w:pPr>
        <w:spacing w:after="0" w:line="162"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performance award earned with respect to prior fiscal year but paid in fiscal year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Explanation of Compensation Arrangements with our Named Executive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 and Annual Incentive Opportunities</w:t>
      </w:r>
    </w:p>
    <w:p>
      <w:pPr>
        <w:spacing w:after="0" w:line="227"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The base salaries of all of our named executive officers are reviewed from time to time and adjusted when our board of directors or compensation committee determines an adjustment is appropriate. For our 2019 fiscal year, the base salary was $300,000 for Dr. Azamian and $250,000 for Mr. Holdbrook.</w:t>
      </w:r>
    </w:p>
    <w:p>
      <w:pPr>
        <w:spacing w:after="0" w:line="176" w:lineRule="exact"/>
        <w:rPr>
          <w:sz w:val="20"/>
          <w:szCs w:val="20"/>
          <w:color w:val="auto"/>
        </w:rPr>
      </w:pPr>
    </w:p>
    <w:p>
      <w:pPr>
        <w:ind w:right="220" w:firstLine="1018"/>
        <w:spacing w:after="0" w:line="256" w:lineRule="auto"/>
        <w:rPr>
          <w:sz w:val="20"/>
          <w:szCs w:val="20"/>
          <w:color w:val="auto"/>
        </w:rPr>
      </w:pPr>
      <w:r>
        <w:rPr>
          <w:rFonts w:ascii="Times New Roman" w:cs="Times New Roman" w:eastAsia="Times New Roman" w:hAnsi="Times New Roman"/>
          <w:sz w:val="18"/>
          <w:szCs w:val="18"/>
          <w:color w:val="auto"/>
        </w:rPr>
        <w:t>Each of our named executive officers is eligible to earn an incentive bonus for each of our fiscal years, with such bonus awarded based on individual performance goals, as well as corporate goals related to our product development and advancement of clinical studies established by our chief executive officer and approved by our board of directors. During our fiscal year ended December 31, 2019, our named executive officers were eligible to earn cash incentive bonuses based on a combination of corporate and individual goals. We require that participants continue to be employed through the payment date to receive a bonus. For our 2019 fiscal year, the target bonus rate (as a percentage of base salary) was 30% for Dr. Azamian and 20% for Mr. Holdbrook.</w:t>
      </w:r>
    </w:p>
    <w:p>
      <w:pPr>
        <w:spacing w:after="0" w:line="187" w:lineRule="exact"/>
        <w:rPr>
          <w:sz w:val="20"/>
          <w:szCs w:val="20"/>
          <w:color w:val="auto"/>
        </w:rPr>
      </w:pPr>
    </w:p>
    <w:p>
      <w:pPr>
        <w:ind w:right="100" w:firstLine="1018"/>
        <w:spacing w:after="0" w:line="282" w:lineRule="auto"/>
        <w:rPr>
          <w:sz w:val="20"/>
          <w:szCs w:val="20"/>
          <w:color w:val="auto"/>
        </w:rPr>
      </w:pPr>
      <w:r>
        <w:rPr>
          <w:rFonts w:ascii="Times New Roman" w:cs="Times New Roman" w:eastAsia="Times New Roman" w:hAnsi="Times New Roman"/>
          <w:sz w:val="18"/>
          <w:szCs w:val="18"/>
          <w:color w:val="auto"/>
        </w:rPr>
        <w:t>Pursuant to his letter agreement with us, Dr. Azamian is eligible to receive certain acceleration benefits in the event of our change in control, as described in the footnotes to the “Outstanding Equity Awards at 2019 Fiscal Year-End” table.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7"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We offer stock options to our employees, including our named executive officers,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 prepared by third party valuation firms. Generally, our stock options granted to new hires have vested as to 25% of the total number of option shares on the first anniversary of the award and in equal monthly installments over the following 36 months.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7" w:lineRule="exact"/>
        <w:rPr>
          <w:sz w:val="20"/>
          <w:szCs w:val="20"/>
          <w:color w:val="auto"/>
        </w:rPr>
      </w:pPr>
    </w:p>
    <w:p>
      <w:pPr>
        <w:ind w:right="360" w:firstLine="1018"/>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health and welfare plans to the same extent as our full-time employees generally. We generally do not provide our named executive officers with perquisites or other personal benefits. We contract with Trinet, a professional employer organization that helps us administer pay and benefits, among other things.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227" w:lineRule="exact"/>
        <w:rPr>
          <w:sz w:val="20"/>
          <w:szCs w:val="20"/>
          <w:color w:val="auto"/>
        </w:rPr>
      </w:pPr>
    </w:p>
    <w:p>
      <w:pPr>
        <w:jc w:val="both"/>
        <w:ind w:right="20" w:firstLine="1018"/>
        <w:spacing w:after="0" w:line="266" w:lineRule="auto"/>
        <w:rPr>
          <w:sz w:val="20"/>
          <w:szCs w:val="20"/>
          <w:color w:val="auto"/>
        </w:rPr>
      </w:pPr>
      <w:r>
        <w:rPr>
          <w:rFonts w:ascii="Times New Roman" w:cs="Times New Roman" w:eastAsia="Times New Roman" w:hAnsi="Times New Roman"/>
          <w:sz w:val="18"/>
          <w:szCs w:val="18"/>
          <w:color w:val="auto"/>
        </w:rPr>
        <w:t>We have established a 401(k) tax-deferred savings plan through Trinet, which permits participants, including our named executive officers, to make contributions by salary deduction pursuant to Section 401(k) of the Internal Revenue Code. We are responsible for administrative costs of the 401(k) plan.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142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Year-End</w:t>
      </w:r>
    </w:p>
    <w:p>
      <w:pPr>
        <w:spacing w:after="0" w:line="229" w:lineRule="exact"/>
        <w:rPr>
          <w:sz w:val="20"/>
          <w:szCs w:val="20"/>
          <w:color w:val="auto"/>
        </w:rPr>
      </w:pPr>
    </w:p>
    <w:p>
      <w:pPr>
        <w:ind w:right="34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unexercised option and all unvested stock held by each of our named executive officers as of December 31, 2019.</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vesting schedule applicable to each outstanding award is described in the footnotes to the table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800" w:type="dxa"/>
            <w:vAlign w:val="bottom"/>
            <w:gridSpan w:val="2"/>
            <w:vMerge w:val="continue"/>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266,685(1)</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586,708(1)</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10/26/2028</w:t>
            </w:r>
          </w:p>
        </w:tc>
        <w:tc>
          <w:tcPr>
            <w:tcW w:w="0" w:type="dxa"/>
            <w:vAlign w:val="bottom"/>
          </w:tcPr>
          <w:p>
            <w:pPr>
              <w:spacing w:after="0"/>
              <w:rPr>
                <w:sz w:val="1"/>
                <w:szCs w:val="1"/>
                <w:color w:val="auto"/>
              </w:rPr>
            </w:pPr>
          </w:p>
        </w:tc>
      </w:tr>
      <w:tr>
        <w:trPr>
          <w:trHeight w:val="23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Holdbrook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432,291(2)</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190,209(2)</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0.0001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9512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380" w:right="300" w:hanging="372"/>
        <w:spacing w:after="0" w:line="261" w:lineRule="auto"/>
        <w:tabs>
          <w:tab w:leader="none" w:pos="3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vests in 48 substantially equal monthly installments beginning on September 15, 2018 provided Dr. Azamian remains in continuous service through each such vesting date. The option will also become fully vested on an accelerated basis if Dr. Azamian remains in continuous service through a change in control.</w:t>
      </w:r>
    </w:p>
    <w:p>
      <w:pPr>
        <w:spacing w:after="0" w:line="162" w:lineRule="exact"/>
        <w:rPr>
          <w:rFonts w:ascii="Times New Roman" w:cs="Times New Roman" w:eastAsia="Times New Roman" w:hAnsi="Times New Roman"/>
          <w:sz w:val="14"/>
          <w:szCs w:val="14"/>
          <w:color w:val="auto"/>
        </w:rPr>
      </w:pPr>
    </w:p>
    <w:p>
      <w:pPr>
        <w:ind w:left="380" w:right="200" w:hanging="372"/>
        <w:spacing w:after="0" w:line="261" w:lineRule="auto"/>
        <w:tabs>
          <w:tab w:leader="none" w:pos="3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vests in 36 substantially equal monthly installments beginning on November 1, 2017, provided Mr. Holdbrook remains in continuous service through each such vesting date. The option will also become fully vested on an accelerated basis if Mr. Holdbrook remains in continuous service through a change in control.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229" w:lineRule="exact"/>
        <w:rPr>
          <w:sz w:val="20"/>
          <w:szCs w:val="20"/>
          <w:color w:val="auto"/>
        </w:rPr>
      </w:pPr>
    </w:p>
    <w:p>
      <w:pPr>
        <w:ind w:right="220" w:firstLine="1018"/>
        <w:spacing w:after="0" w:line="256" w:lineRule="auto"/>
        <w:rPr>
          <w:sz w:val="20"/>
          <w:szCs w:val="20"/>
          <w:color w:val="auto"/>
        </w:rPr>
      </w:pPr>
      <w:r>
        <w:rPr>
          <w:rFonts w:ascii="Times New Roman" w:cs="Times New Roman" w:eastAsia="Times New Roman" w:hAnsi="Times New Roman"/>
          <w:sz w:val="18"/>
          <w:szCs w:val="18"/>
          <w:color w:val="auto"/>
        </w:rPr>
        <w:t>The restricted shares and option to purchase shares of our Common Stock held by Dr. Azamian fully vest in the event we are subject to a change in control. Change in control means our consummation of a merger or consolidation with or into another entity or our dissolution, liquidation or winding up. The foregoing notwithstanding, our merger or consolidation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our stockholders immediately prior to the merger or consolidation in substantially the same proportions as their ownership of the voting power of our capital stock immediately prior to the merger or consolidation.</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Neither Dr. Azamian nor Mr. Holdbrook are eligible for any severance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229" w:lineRule="exact"/>
        <w:rPr>
          <w:sz w:val="20"/>
          <w:szCs w:val="20"/>
          <w:color w:val="auto"/>
        </w:rPr>
      </w:pPr>
    </w:p>
    <w:p>
      <w:pPr>
        <w:ind w:right="120" w:firstLine="1018"/>
        <w:spacing w:after="0" w:line="281" w:lineRule="auto"/>
        <w:rPr>
          <w:sz w:val="20"/>
          <w:szCs w:val="20"/>
          <w:color w:val="auto"/>
        </w:rPr>
      </w:pPr>
      <w:r>
        <w:rPr>
          <w:rFonts w:ascii="Times New Roman" w:cs="Times New Roman" w:eastAsia="Times New Roman" w:hAnsi="Times New Roman"/>
          <w:sz w:val="17"/>
          <w:szCs w:val="17"/>
          <w:color w:val="auto"/>
        </w:rPr>
        <w:t>Our board of directors intends to adopt our 2020 Plan prior to the offering, and it will be submitted to our stockholders for approval. We expect that our 2020 Plan will become effective immediately on adoption although no awards will be made under it until the effective date of the registration statement of which this prospectus is a part. Our 2020 Plan is intended to replace our 2016 Plan. However, awards outstanding under our 2016 Plan will continue to be governed by their existing terms. Although not yet adopted, we expect that our 2020 Plan will have the features described below.</w:t>
      </w:r>
    </w:p>
    <w:p>
      <w:pPr>
        <w:spacing w:after="0" w:line="162"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number of shares of our common stock available for issuance under our 2020 Plan will equal the sum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up to shares remaining available for issuance under our 2016 Plan, or issued pursuant to or subject to awards granted under, our 2016 Plan. The number of shares reserved for issuance under our 2020 Plan will be increased automatically on the first business day of each of our fiscal years, commencing in 2021 and ending in 2030, by a number equal to the smallest of:</w:t>
      </w:r>
    </w:p>
    <w:p>
      <w:pPr>
        <w:sectPr>
          <w:pgSz w:w="11900" w:h="16838" w:orient="portrait"/>
          <w:cols w:equalWidth="0" w:num="1">
            <w:col w:w="11240"/>
          </w:cols>
          <w:pgMar w:left="320" w:top="549" w:right="339" w:bottom="1440" w:gutter="0" w:footer="0" w:header="0"/>
        </w:sectPr>
      </w:pP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ectPr>
          <w:pgSz w:w="11900" w:h="16838" w:orient="portrait"/>
          <w:cols w:equalWidth="0" w:num="2">
            <w:col w:w="1340" w:space="720"/>
            <w:col w:w="9180"/>
          </w:cols>
          <w:pgMar w:left="320" w:top="549" w:right="339" w:bottom="1440" w:gutter="0" w:footer="0" w:header="0"/>
          <w:type w:val="continuous"/>
        </w:sectPr>
      </w:pP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 the shares of common stock outstanding on the last business day of the prior fiscal year; or</w:t>
      </w:r>
    </w:p>
    <w:p>
      <w:pPr>
        <w:spacing w:after="0" w:line="200" w:lineRule="exact"/>
        <w:rPr>
          <w:sz w:val="20"/>
          <w:szCs w:val="20"/>
          <w:color w:val="auto"/>
        </w:rPr>
      </w:pPr>
    </w:p>
    <w:p>
      <w:pPr>
        <w:sectPr>
          <w:pgSz w:w="11900" w:h="16838" w:orient="portrait"/>
          <w:cols w:equalWidth="0" w:num="2">
            <w:col w:w="1200" w:space="500"/>
            <w:col w:w="9540"/>
          </w:cols>
          <w:pgMar w:left="320" w:top="549" w:right="339" w:bottom="1440" w:gutter="0" w:footer="0" w:header="0"/>
          <w:type w:val="continuous"/>
        </w:sectPr>
      </w:pP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determined by our board of directors.</w:t>
      </w:r>
    </w:p>
    <w:p>
      <w:pPr>
        <w:spacing w:after="0" w:line="200" w:lineRule="exact"/>
        <w:rPr>
          <w:sz w:val="20"/>
          <w:szCs w:val="20"/>
          <w:color w:val="auto"/>
        </w:rPr>
      </w:pPr>
    </w:p>
    <w:p>
      <w:pPr>
        <w:sectPr>
          <w:pgSz w:w="11900" w:h="16838" w:orient="portrait"/>
          <w:cols w:equalWidth="0" w:num="2">
            <w:col w:w="1200" w:space="320"/>
            <w:col w:w="9720"/>
          </w:cols>
          <w:pgMar w:left="320" w:top="549" w:right="339" w:bottom="1440" w:gutter="0" w:footer="0" w:header="0"/>
          <w:type w:val="continuous"/>
        </w:sectPr>
      </w:pPr>
    </w:p>
    <w:p>
      <w:pPr>
        <w:spacing w:after="0" w:line="25"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In general, to the extent that any awards under our 2020 Plan are forfeited, terminate, expire or lapse without the issuance of shares, or if we repurchase the shares subject to awards granted under our 2020 Plan, those shares will again become available for issuance under our 2020 Plan, as will shares applied to pay the exercise or purchase price of an award or to satisfy tax withholding obligations related to any award.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143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46" w:name="page147"/>
    <w:bookmarkEnd w:id="146"/>
    <w:p>
      <w:pPr>
        <w:ind w:firstLine="10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of our board of directors will administer our 2020 Plan. The compensation committee will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discretion to make all decisions relating to our 2020 Plan and outstanding awards, including repricing outstanding options and modifying outstanding awards in other ways.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non-employee directors, consultants and advisors will be eligible to participate in our 2020 Plan.</w:t>
      </w:r>
    </w:p>
    <w:p>
      <w:pPr>
        <w:sectPr>
          <w:pgSz w:w="11900" w:h="16838" w:orient="portrait"/>
          <w:cols w:equalWidth="0" w:num="1">
            <w:col w:w="11240"/>
          </w:cols>
          <w:pgMar w:left="320" w:top="551" w:right="339" w:bottom="1440" w:gutter="0" w:footer="0" w:header="0"/>
        </w:sectPr>
      </w:pPr>
    </w:p>
    <w:p>
      <w:pPr>
        <w:spacing w:after="0" w:line="227"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Under our 2020 Plan, the aggregate grant date fair value of awards granted to our non-employee directors may not exceed $ one fiscal year, except that the grant date fair value of awards granted to newly appointed non-employee directors may not exceed $ year in which such non-employee director is initially appointed to our board of directors.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ind w:right="100"/>
        <w:spacing w:after="0" w:line="282" w:lineRule="auto"/>
        <w:rPr>
          <w:sz w:val="20"/>
          <w:szCs w:val="20"/>
          <w:color w:val="auto"/>
        </w:rPr>
      </w:pPr>
      <w:r>
        <w:rPr>
          <w:rFonts w:ascii="Times New Roman" w:cs="Times New Roman" w:eastAsia="Times New Roman" w:hAnsi="Times New Roman"/>
          <w:sz w:val="18"/>
          <w:szCs w:val="18"/>
          <w:color w:val="auto"/>
        </w:rPr>
        <w:t>in any in the fiscal</w:t>
      </w:r>
    </w:p>
    <w:p>
      <w:pPr>
        <w:spacing w:after="0" w:line="375" w:lineRule="exact"/>
        <w:rPr>
          <w:sz w:val="20"/>
          <w:szCs w:val="20"/>
          <w:color w:val="auto"/>
        </w:rPr>
      </w:pPr>
    </w:p>
    <w:p>
      <w:pPr>
        <w:sectPr>
          <w:pgSz w:w="11900" w:h="16838" w:orient="portrait"/>
          <w:cols w:equalWidth="0" w:num="2">
            <w:col w:w="9940" w:space="320"/>
            <w:col w:w="980"/>
          </w:cols>
          <w:pgMar w:left="320" w:top="551"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Our 2020 Plan will provide for the following types of awards:</w:t>
      </w:r>
    </w:p>
    <w:p>
      <w:pPr>
        <w:sectPr>
          <w:pgSz w:w="11900" w:h="16838" w:orient="portrait"/>
          <w:cols w:equalWidth="0" w:num="1">
            <w:col w:w="11240"/>
          </w:cols>
          <w:pgMar w:left="320" w:top="551" w:right="339" w:bottom="1440" w:gutter="0" w:footer="0" w:header="0"/>
          <w:type w:val="continuous"/>
        </w:sectPr>
      </w:pP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and nonstatutory stock options;</w:t>
      </w:r>
    </w:p>
    <w:p>
      <w:pPr>
        <w:spacing w:after="0" w:line="200" w:lineRule="exact"/>
        <w:rPr>
          <w:sz w:val="20"/>
          <w:szCs w:val="20"/>
          <w:color w:val="auto"/>
        </w:rPr>
      </w:pPr>
    </w:p>
    <w:p>
      <w:pPr>
        <w:sectPr>
          <w:pgSz w:w="11900" w:h="16838" w:orient="portrait"/>
          <w:cols w:equalWidth="0" w:num="2">
            <w:col w:w="1200" w:space="320"/>
            <w:col w:w="9720"/>
          </w:cols>
          <w:pgMar w:left="320" w:top="551"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appreciation rights;</w:t>
      </w:r>
    </w:p>
    <w:p>
      <w:pPr>
        <w:spacing w:after="0" w:line="200" w:lineRule="exact"/>
        <w:rPr>
          <w:sz w:val="20"/>
          <w:szCs w:val="20"/>
          <w:color w:val="auto"/>
        </w:rPr>
      </w:pPr>
    </w:p>
    <w:p>
      <w:pPr>
        <w:sectPr>
          <w:pgSz w:w="11900" w:h="16838" w:orient="portrait"/>
          <w:cols w:equalWidth="0" w:num="2">
            <w:col w:w="1200" w:space="320"/>
            <w:col w:w="9720"/>
          </w:cols>
          <w:pgMar w:left="320" w:top="551"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shares; and</w:t>
      </w:r>
    </w:p>
    <w:p>
      <w:pPr>
        <w:spacing w:after="0" w:line="200" w:lineRule="exact"/>
        <w:rPr>
          <w:sz w:val="20"/>
          <w:szCs w:val="20"/>
          <w:color w:val="auto"/>
        </w:rPr>
      </w:pPr>
    </w:p>
    <w:p>
      <w:pPr>
        <w:sectPr>
          <w:pgSz w:w="11900" w:h="16838" w:orient="portrait"/>
          <w:cols w:equalWidth="0" w:num="2">
            <w:col w:w="1200" w:space="320"/>
            <w:col w:w="9720"/>
          </w:cols>
          <w:pgMar w:left="320" w:top="551"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0" w:lineRule="exact"/>
        <w:rPr>
          <w:sz w:val="20"/>
          <w:szCs w:val="20"/>
          <w:color w:val="auto"/>
        </w:rPr>
      </w:pPr>
    </w:p>
    <w:p>
      <w:pPr>
        <w:sectPr>
          <w:pgSz w:w="11900" w:h="16838" w:orient="portrait"/>
          <w:cols w:equalWidth="0" w:num="2">
            <w:col w:w="1200" w:space="320"/>
            <w:col w:w="9720"/>
          </w:cols>
          <w:pgMar w:left="320" w:top="551" w:right="339" w:bottom="1440" w:gutter="0" w:footer="0" w:header="0"/>
          <w:type w:val="continuous"/>
        </w:sectPr>
      </w:pPr>
    </w:p>
    <w:p>
      <w:pPr>
        <w:spacing w:after="0" w:line="23" w:lineRule="exact"/>
        <w:rPr>
          <w:sz w:val="20"/>
          <w:szCs w:val="20"/>
          <w:color w:val="auto"/>
        </w:rPr>
      </w:pPr>
    </w:p>
    <w:p>
      <w:pPr>
        <w:ind w:right="80" w:firstLine="10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Options and Stock Appreciation Rights. </w:t>
      </w:r>
      <w:r>
        <w:rPr>
          <w:rFonts w:ascii="Times New Roman" w:cs="Times New Roman" w:eastAsia="Times New Roman" w:hAnsi="Times New Roman"/>
          <w:sz w:val="18"/>
          <w:szCs w:val="18"/>
          <w:color w:val="auto"/>
        </w:rPr>
        <w:t>The exercise price for options granted under our 2020 Plan may not be less than 100%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our common stock on the grant date. Optionees will be permitted to pay the exercise price in cash or, with the consent of the compensation committee:</w:t>
      </w:r>
    </w:p>
    <w:p>
      <w:pPr>
        <w:spacing w:after="0" w:line="175" w:lineRule="exact"/>
        <w:rPr>
          <w:sz w:val="20"/>
          <w:szCs w:val="20"/>
          <w:color w:val="auto"/>
        </w:rPr>
      </w:pPr>
    </w:p>
    <w:p>
      <w:pPr>
        <w:ind w:left="1520" w:hanging="378"/>
        <w:spacing w:after="0"/>
        <w:tabs>
          <w:tab w:leader="none" w:pos="1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shares of common stock that the optionee already owns;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immediate sale of shares through a broker approved by us;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instructing us to withhold a number of shares having an aggregate fair market value that does not exceed the exercise price; or</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other methods permitted by applicable law.</w:t>
      </w:r>
    </w:p>
    <w:p>
      <w:pPr>
        <w:spacing w:after="0" w:line="225"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76" w:lineRule="exact"/>
        <w:rPr>
          <w:sz w:val="20"/>
          <w:szCs w:val="20"/>
          <w:color w:val="auto"/>
        </w:rPr>
      </w:pPr>
    </w:p>
    <w:p>
      <w:pPr>
        <w:jc w:val="both"/>
        <w:ind w:right="160" w:firstLine="1018"/>
        <w:spacing w:after="0" w:line="266" w:lineRule="auto"/>
        <w:rPr>
          <w:sz w:val="20"/>
          <w:szCs w:val="20"/>
          <w:color w:val="auto"/>
        </w:rPr>
      </w:pPr>
      <w:r>
        <w:rPr>
          <w:rFonts w:ascii="Times New Roman" w:cs="Times New Roman" w:eastAsia="Times New Roman" w:hAnsi="Times New Roman"/>
          <w:sz w:val="18"/>
          <w:szCs w:val="18"/>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74"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Shares and Stock Units. </w:t>
      </w:r>
      <w:r>
        <w:rPr>
          <w:rFonts w:ascii="Times New Roman" w:cs="Times New Roman" w:eastAsia="Times New Roman" w:hAnsi="Times New Roman"/>
          <w:sz w:val="18"/>
          <w:szCs w:val="18"/>
          <w:color w:val="auto"/>
        </w:rPr>
        <w:t>Restricted shares and stock units may be awarded under our 2020 Plan in return for any lawful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80"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we are a party to a merger, consolidation or certain change in control transactions, outstanding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our 2020 Plan, and all shares acquired under our 2020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182" w:lineRule="exact"/>
        <w:rPr>
          <w:sz w:val="20"/>
          <w:szCs w:val="20"/>
          <w:color w:val="auto"/>
        </w:rPr>
      </w:pPr>
    </w:p>
    <w:p>
      <w:pPr>
        <w:ind w:left="1520" w:hanging="378"/>
        <w:spacing w:after="0"/>
        <w:tabs>
          <w:tab w:leader="none" w:pos="1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assumption or substitution of an award by a surviving entity or its parent;</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an award without payment of any consideration, provided that the optionee shall be notified of such treatment;</w:t>
      </w:r>
    </w:p>
    <w:p>
      <w:pPr>
        <w:spacing w:after="0" w:line="215" w:lineRule="exact"/>
        <w:rPr>
          <w:rFonts w:ascii="Times New Roman" w:cs="Times New Roman" w:eastAsia="Times New Roman" w:hAnsi="Times New Roman"/>
          <w:sz w:val="18"/>
          <w:szCs w:val="18"/>
          <w:color w:val="auto"/>
        </w:rPr>
      </w:pPr>
    </w:p>
    <w:p>
      <w:pPr>
        <w:ind w:left="5480" w:hanging="117"/>
        <w:spacing w:after="0"/>
        <w:tabs>
          <w:tab w:leader="none" w:pos="548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147" w:name="page148"/>
    <w:bookmarkEnd w:id="147"/>
    <w:p>
      <w:pPr>
        <w:ind w:left="1520" w:right="180" w:hanging="378"/>
        <w:spacing w:after="0" w:line="266" w:lineRule="auto"/>
        <w:tabs>
          <w:tab w:leader="none" w:pos="1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vested portion of an award (and any portion that becomes vested as of the effective time of the transaction) in exchange for a payment equal to the excess, if any, of the value that the holder of each share of our common stock receives in the transaction over (if applicable) the exercise price otherwise payable in connection with the award; or</w:t>
      </w:r>
    </w:p>
    <w:p>
      <w:pPr>
        <w:spacing w:after="0" w:line="175" w:lineRule="exact"/>
        <w:rPr>
          <w:rFonts w:ascii="Times New Roman" w:cs="Times New Roman" w:eastAsia="Times New Roman" w:hAnsi="Times New Roman"/>
          <w:sz w:val="18"/>
          <w:szCs w:val="18"/>
          <w:color w:val="auto"/>
        </w:rPr>
      </w:pPr>
    </w:p>
    <w:p>
      <w:pPr>
        <w:ind w:left="1520" w:right="60" w:hanging="378"/>
        <w:spacing w:after="0" w:line="282" w:lineRule="auto"/>
        <w:tabs>
          <w:tab w:leader="none" w:pos="1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any reacquisition or repurchase rights held by us with respect to an award of restricted shares to the surviving entity or its parent (with proportionate adjustments made to the price per share to be paid upon exercise of such rights).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compensation committee is not required to treat all awards, or portions thereof, in the same manner.</w:t>
      </w:r>
    </w:p>
    <w:p>
      <w:pPr>
        <w:spacing w:after="0" w:line="225"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change in control includes:</w:t>
      </w:r>
    </w:p>
    <w:p>
      <w:pPr>
        <w:spacing w:after="0" w:line="225" w:lineRule="exact"/>
        <w:rPr>
          <w:sz w:val="20"/>
          <w:szCs w:val="20"/>
          <w:color w:val="auto"/>
        </w:rPr>
      </w:pPr>
    </w:p>
    <w:p>
      <w:pPr>
        <w:ind w:left="1520" w:hanging="378"/>
        <w:spacing w:after="0"/>
        <w:tabs>
          <w:tab w:leader="none" w:pos="15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acquiring beneficial ownership of more than 50% of our total voting power;</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our assets; or</w:t>
      </w:r>
    </w:p>
    <w:p>
      <w:pPr>
        <w:spacing w:after="0" w:line="225" w:lineRule="exact"/>
        <w:rPr>
          <w:rFonts w:ascii="Times New Roman" w:cs="Times New Roman" w:eastAsia="Times New Roman" w:hAnsi="Times New Roman"/>
          <w:sz w:val="18"/>
          <w:szCs w:val="18"/>
          <w:color w:val="auto"/>
        </w:rPr>
      </w:pPr>
    </w:p>
    <w:p>
      <w:pPr>
        <w:ind w:left="1520" w:right="540" w:hanging="378"/>
        <w:spacing w:after="0" w:line="282" w:lineRule="auto"/>
        <w:tabs>
          <w:tab w:leader="none" w:pos="15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after which our voting securities represent 50% or less of the total voting power of the surviving or acquiring entity.</w:t>
      </w:r>
    </w:p>
    <w:p>
      <w:pPr>
        <w:spacing w:after="0" w:line="160" w:lineRule="exact"/>
        <w:rPr>
          <w:sz w:val="20"/>
          <w:szCs w:val="20"/>
          <w:color w:val="auto"/>
        </w:rPr>
      </w:pPr>
    </w:p>
    <w:p>
      <w:pPr>
        <w:ind w:right="160" w:firstLine="10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Capitalization. </w:t>
      </w:r>
      <w:r>
        <w:rPr>
          <w:rFonts w:ascii="Times New Roman" w:cs="Times New Roman" w:eastAsia="Times New Roman" w:hAnsi="Times New Roman"/>
          <w:sz w:val="18"/>
          <w:szCs w:val="18"/>
          <w:color w:val="auto"/>
        </w:rPr>
        <w:t>In the event of certain changes in our capital structure without our receipt of consideration, such as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or dividend paid in common stock, proportionate adjustments will automatically be made to:</w:t>
      </w:r>
    </w:p>
    <w:p>
      <w:pPr>
        <w:spacing w:after="0" w:line="160" w:lineRule="exact"/>
        <w:rPr>
          <w:sz w:val="20"/>
          <w:szCs w:val="20"/>
          <w:color w:val="auto"/>
        </w:rPr>
      </w:pPr>
    </w:p>
    <w:p>
      <w:pPr>
        <w:ind w:left="1520" w:right="380" w:hanging="378"/>
        <w:spacing w:after="0" w:line="282" w:lineRule="auto"/>
        <w:tabs>
          <w:tab w:leader="none" w:pos="15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shares available for issuance under our 2020 Plan, including the maximum number and kind of shares that may be issued upon the exercise of incentive stock options;</w:t>
      </w:r>
    </w:p>
    <w:p>
      <w:pPr>
        <w:spacing w:after="0" w:line="161" w:lineRule="exact"/>
        <w:rPr>
          <w:rFonts w:ascii="Times New Roman" w:cs="Times New Roman" w:eastAsia="Times New Roman" w:hAnsi="Times New Roman"/>
          <w:sz w:val="18"/>
          <w:szCs w:val="18"/>
          <w:color w:val="auto"/>
        </w:rPr>
      </w:pPr>
    </w:p>
    <w:p>
      <w:pPr>
        <w:ind w:left="1520" w:right="560" w:hanging="378"/>
        <w:spacing w:after="0" w:line="282" w:lineRule="auto"/>
        <w:tabs>
          <w:tab w:leader="none" w:pos="15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shares covered by, and exercise price, base price or purchase price, if any, applicable to each outstanding stock award; and</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shares by which the share reserve may increase automatically each year.</w:t>
      </w:r>
    </w:p>
    <w:p>
      <w:pPr>
        <w:spacing w:after="0" w:line="225"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74"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i w:val="1"/>
          <w:iCs w:val="1"/>
          <w:color w:val="auto"/>
        </w:rPr>
        <w:t>Amendments or Termination</w:t>
      </w:r>
      <w:r>
        <w:rPr>
          <w:rFonts w:ascii="Times New Roman" w:cs="Times New Roman" w:eastAsia="Times New Roman" w:hAnsi="Times New Roman"/>
          <w:sz w:val="18"/>
          <w:szCs w:val="18"/>
          <w:color w:val="auto"/>
        </w:rPr>
        <w:t>. Our board of directors may amend, suspend or terminate our 2020 Plan at any time. If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amends our 2020 Plan, it does not need stockholder approval of the amendment unless required by applicable law, regulation or rules. Our 2020 Plan will terminate automatically 10 years after the later of the date when our board of directors adopted our 2020 Plan or approved the latest share increase that was also approved by our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Plan</w:t>
      </w:r>
    </w:p>
    <w:p>
      <w:pPr>
        <w:spacing w:after="0" w:line="229"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Our board of directors adopted our 2016 Plan in December 2016, and it was approved by our stockholders on January 17, 2017. No further awards will be made under our 2016 Plan after this offering; however, awards outstanding under our 2016 Plan will continue to be governed by their existing terms.</w:t>
      </w:r>
    </w:p>
    <w:p>
      <w:pPr>
        <w:spacing w:after="0" w:line="174"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As of December 31, 2019 and June 30, 2020, we have reserved 19,832,815 shares of our common stock, respectively,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our 2016 Plan, all of which may be issued as incentive stock options. As of December 31, 2019, options to purchase 2,207,154 shares of our common stock, at exercise prices ranging from $0.0001 to $0.06 per share, or a weighted-average exercise price of $0.04 per share were outstanding under our 2016 Plan, and 15,975,661 shares of our common stock remained available for future issuance. As of June 30, 2020, options to purchase 9,141,330 shares of our common stock, at exercise prices ranging from $0.0001 to $0.27 per share, or a weighted-average exercise price of $0.22 per share were outstanding under our 2016 Plan, and 8,533,485 shares of our common stock remained available for future issuance. Unissued shares subject to awards that expire or are cancelled, shares reacquired by us and shares withheld in payment of the purchase price or exercise price of an award or in satisfaction of withholding taxes will again become available for issuance under our 2016 Plan or, following consummation of this offering, under our 2020 Plan.</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145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48" w:name="page149"/>
    <w:bookmarkEnd w:id="148"/>
    <w:p>
      <w:pPr>
        <w:jc w:val="both"/>
        <w:ind w:firstLine="1018"/>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has administered our 2016 Plan since its adoption; however, following this offering,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of our board of directors will generally administer our 2016 Plan. The administrator has complete discretion to make all decisions relating to our 2016 Plan and outstanding awards.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non-employee members of our board of directors and consultants are eligible to participate in our 2016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only employees are eligible to receive incentive stock options.</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2016 Plan provides for the following types of awards granted with respect to shares of our common stock:</w:t>
      </w:r>
    </w:p>
    <w:p>
      <w:pPr>
        <w:spacing w:after="0" w:line="227" w:lineRule="exact"/>
        <w:rPr>
          <w:sz w:val="20"/>
          <w:szCs w:val="20"/>
          <w:color w:val="auto"/>
        </w:rPr>
      </w:pPr>
    </w:p>
    <w:p>
      <w:pPr>
        <w:ind w:left="1520" w:hanging="378"/>
        <w:spacing w:after="0"/>
        <w:tabs>
          <w:tab w:leader="none" w:pos="15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and nonstatutory stock options to purchase shares of our common stock; and</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award or sale of shares of our common stock, including restricted shares.</w:t>
      </w:r>
    </w:p>
    <w:p>
      <w:pPr>
        <w:spacing w:after="0" w:line="223" w:lineRule="exact"/>
        <w:rPr>
          <w:sz w:val="20"/>
          <w:szCs w:val="20"/>
          <w:color w:val="auto"/>
        </w:rPr>
      </w:pPr>
    </w:p>
    <w:p>
      <w:pPr>
        <w:ind w:right="140" w:firstLine="10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exercise price for options granted under our 2016 Plan is determined by our board of directors, but may not be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market value of our common stock on the grant date. Optionees may pay the exercise price in cash or cash equivalents or by one, or any combination of, the following forms of payment, as permitted by the administrator in its sole discretion:</w:t>
      </w:r>
    </w:p>
    <w:p>
      <w:pPr>
        <w:spacing w:after="0" w:line="175" w:lineRule="exact"/>
        <w:rPr>
          <w:sz w:val="20"/>
          <w:szCs w:val="20"/>
          <w:color w:val="auto"/>
        </w:rPr>
      </w:pPr>
    </w:p>
    <w:p>
      <w:pPr>
        <w:ind w:left="1520" w:hanging="378"/>
        <w:spacing w:after="0"/>
        <w:tabs>
          <w:tab w:leader="none" w:pos="15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of common stock that the optionee already owns;</w:t>
      </w:r>
    </w:p>
    <w:p>
      <w:pPr>
        <w:spacing w:after="0" w:line="225" w:lineRule="exact"/>
        <w:rPr>
          <w:rFonts w:ascii="Times New Roman" w:cs="Times New Roman" w:eastAsia="Times New Roman" w:hAnsi="Times New Roman"/>
          <w:sz w:val="18"/>
          <w:szCs w:val="18"/>
          <w:color w:val="auto"/>
        </w:rPr>
      </w:pPr>
    </w:p>
    <w:p>
      <w:pPr>
        <w:ind w:left="1520" w:hanging="378"/>
        <w:spacing w:after="0" w:line="282" w:lineRule="auto"/>
        <w:tabs>
          <w:tab w:leader="none" w:pos="15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full-recourse promissory note, with the option shares pledged as security against the principal and accrued interest on the note;</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immediate sale of the option shares through a company-approved broker, if the shares of our common stock are publicly traded;</w:t>
      </w:r>
    </w:p>
    <w:p>
      <w:pPr>
        <w:spacing w:after="0" w:line="225" w:lineRule="exact"/>
        <w:rPr>
          <w:rFonts w:ascii="Times New Roman" w:cs="Times New Roman" w:eastAsia="Times New Roman" w:hAnsi="Times New Roman"/>
          <w:sz w:val="18"/>
          <w:szCs w:val="18"/>
          <w:color w:val="auto"/>
        </w:rPr>
      </w:pPr>
    </w:p>
    <w:p>
      <w:pPr>
        <w:ind w:left="1520" w:right="40" w:hanging="378"/>
        <w:spacing w:after="0" w:line="266" w:lineRule="auto"/>
        <w:tabs>
          <w:tab w:leader="none" w:pos="15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 or</w:t>
      </w:r>
    </w:p>
    <w:p>
      <w:pPr>
        <w:spacing w:after="0" w:line="17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methods permitted by the Delaware General Corporation Law, as amended.</w:t>
      </w:r>
    </w:p>
    <w:p>
      <w:pPr>
        <w:spacing w:after="0" w:line="225"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optionee’s service terminates.</w:t>
      </w:r>
    </w:p>
    <w:p>
      <w:pPr>
        <w:spacing w:after="0" w:line="174" w:lineRule="exact"/>
        <w:rPr>
          <w:sz w:val="20"/>
          <w:szCs w:val="20"/>
          <w:color w:val="auto"/>
        </w:rPr>
      </w:pPr>
    </w:p>
    <w:p>
      <w:pPr>
        <w:ind w:firstLine="1018"/>
        <w:spacing w:after="0" w:line="267" w:lineRule="auto"/>
        <w:rPr>
          <w:sz w:val="20"/>
          <w:szCs w:val="20"/>
          <w:color w:val="auto"/>
        </w:rPr>
      </w:pP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Restricted shares may be awarded or sold under our 2016 Plan in return for cash or cash equivalents or, as permitted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in its sole discretion, in exchange for services rendered to us, by delivery of a full-recourse promissory note or through any other means permitted by applicable law. Restricted shares vest as determined by the administrator.</w:t>
      </w:r>
    </w:p>
    <w:p>
      <w:pPr>
        <w:spacing w:after="0" w:line="173" w:lineRule="exact"/>
        <w:rPr>
          <w:sz w:val="20"/>
          <w:szCs w:val="20"/>
          <w:color w:val="auto"/>
        </w:rPr>
      </w:pPr>
    </w:p>
    <w:p>
      <w:pPr>
        <w:jc w:val="both"/>
        <w:ind w:firstLine="1018"/>
        <w:spacing w:after="0" w:line="290" w:lineRule="auto"/>
        <w:rPr>
          <w:sz w:val="20"/>
          <w:szCs w:val="20"/>
          <w:color w:val="auto"/>
        </w:rPr>
      </w:pPr>
      <w:r>
        <w:rPr>
          <w:rFonts w:ascii="Times New Roman" w:cs="Times New Roman" w:eastAsia="Times New Roman" w:hAnsi="Times New Roman"/>
          <w:sz w:val="17"/>
          <w:szCs w:val="17"/>
          <w:i w:val="1"/>
          <w:iCs w:val="1"/>
          <w:color w:val="auto"/>
        </w:rPr>
        <w:t>Corporate Transactions</w:t>
      </w:r>
      <w:r>
        <w:rPr>
          <w:rFonts w:ascii="Times New Roman" w:cs="Times New Roman" w:eastAsia="Times New Roman" w:hAnsi="Times New Roman"/>
          <w:sz w:val="17"/>
          <w:szCs w:val="17"/>
          <w:color w:val="auto"/>
        </w:rPr>
        <w:t>. In the event that we are a party to a merger or consolidation or in the event of a sale of all or substantially all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or assets, awards granted under our 2016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157" w:lineRule="exact"/>
        <w:rPr>
          <w:sz w:val="20"/>
          <w:szCs w:val="20"/>
          <w:color w:val="auto"/>
        </w:rPr>
      </w:pPr>
    </w:p>
    <w:p>
      <w:pPr>
        <w:ind w:left="1520" w:hanging="378"/>
        <w:spacing w:after="0"/>
        <w:tabs>
          <w:tab w:leader="none" w:pos="1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assumption or substitution of an award by the surviving entity or its parent;</w:t>
      </w:r>
    </w:p>
    <w:p>
      <w:pPr>
        <w:spacing w:after="0" w:line="225" w:lineRule="exact"/>
        <w:rPr>
          <w:rFonts w:ascii="Times New Roman" w:cs="Times New Roman" w:eastAsia="Times New Roman" w:hAnsi="Times New Roman"/>
          <w:sz w:val="18"/>
          <w:szCs w:val="18"/>
          <w:color w:val="auto"/>
        </w:rPr>
      </w:pPr>
    </w:p>
    <w:p>
      <w:pPr>
        <w:ind w:left="1520" w:right="20" w:hanging="378"/>
        <w:spacing w:after="0" w:line="282" w:lineRule="auto"/>
        <w:tabs>
          <w:tab w:leader="none" w:pos="1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vested portion of the award in exchange for a payment equal to the excess, if any, of the value of the shares subject to the award over any exercise price per share applicable to the award;</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award without payment of any consideration;</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the optionee’s right to exercise the option during a limited period of time preceding the completion of the transaction; or</w:t>
      </w:r>
    </w:p>
    <w:p>
      <w:pPr>
        <w:spacing w:after="0" w:line="236" w:lineRule="exact"/>
        <w:rPr>
          <w:rFonts w:ascii="Times New Roman" w:cs="Times New Roman" w:eastAsia="Times New Roman" w:hAnsi="Times New Roman"/>
          <w:sz w:val="17"/>
          <w:szCs w:val="17"/>
          <w:color w:val="auto"/>
        </w:rPr>
      </w:pPr>
    </w:p>
    <w:p>
      <w:pPr>
        <w:ind w:left="1520" w:hanging="378"/>
        <w:spacing w:after="0"/>
        <w:tabs>
          <w:tab w:leader="none" w:pos="1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any right the optionee has to exercise the option prior to vesting in the shares subject to the option.</w:t>
      </w:r>
    </w:p>
    <w:p>
      <w:pPr>
        <w:spacing w:after="0" w:line="215" w:lineRule="exact"/>
        <w:rPr>
          <w:rFonts w:ascii="Times New Roman" w:cs="Times New Roman" w:eastAsia="Times New Roman" w:hAnsi="Times New Roman"/>
          <w:sz w:val="18"/>
          <w:szCs w:val="18"/>
          <w:color w:val="auto"/>
        </w:rPr>
      </w:pPr>
    </w:p>
    <w:p>
      <w:pPr>
        <w:ind w:left="5480" w:hanging="117"/>
        <w:spacing w:after="0"/>
        <w:tabs>
          <w:tab w:leader="none" w:pos="548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149" w:name="page150"/>
    <w:bookmarkEnd w:id="149"/>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The administrator is not obligated to treat all awards in the same manner. The administrator has the discretion, at any time, to provide that an award under our 2016 Plan will vest on an accelerated basis in connection with a corporate transaction or to amend or modify an award so long as such amendment or modification is not inconsistent with the terms of the 2016 Plan or would not result in the impairment of a participant’s rights without the participant’s consent.</w:t>
      </w:r>
    </w:p>
    <w:p>
      <w:pPr>
        <w:spacing w:after="0" w:line="178"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Changes in Capitalization. </w:t>
      </w:r>
      <w:r>
        <w:rPr>
          <w:rFonts w:ascii="Times New Roman" w:cs="Times New Roman" w:eastAsia="Times New Roman" w:hAnsi="Times New Roman"/>
          <w:sz w:val="18"/>
          <w:szCs w:val="18"/>
          <w:color w:val="auto"/>
        </w:rPr>
        <w:t>In the event of certain specified changes in the capital structure of our common stock, such as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stock dividend, reclassification or any other increase or decrease in the number of issued shares of stock effective without receipt of consideration by us, proportionate adjustments will automatically be made in (i) each of the number and kind of shares available for future grants under our 2016 Plan, (ii) the number and kind of shares covered by each outstanding option and all restricted shares, (iii) the exercise price per share subject to each outstanding option and (iv) any repurchase price applicable to shares granted under our 2016 Plan. In the event of an extraordinary cash divided that has a material effect on the fair market value of our common stock, a recapitalization, spin-off or other similar occurrence, the administrator at its sole discretion may make appropriate adjustments to one or more of the items described above.</w:t>
      </w:r>
    </w:p>
    <w:p>
      <w:pPr>
        <w:spacing w:after="0" w:line="183" w:lineRule="exact"/>
        <w:rPr>
          <w:sz w:val="20"/>
          <w:szCs w:val="20"/>
          <w:color w:val="auto"/>
        </w:rPr>
      </w:pPr>
    </w:p>
    <w:p>
      <w:pPr>
        <w:ind w:right="40" w:firstLine="1018"/>
        <w:spacing w:after="0" w:line="257" w:lineRule="auto"/>
        <w:rPr>
          <w:sz w:val="20"/>
          <w:szCs w:val="20"/>
          <w:color w:val="auto"/>
        </w:rPr>
      </w:pPr>
      <w:r>
        <w:rPr>
          <w:rFonts w:ascii="Times New Roman" w:cs="Times New Roman" w:eastAsia="Times New Roman" w:hAnsi="Times New Roman"/>
          <w:sz w:val="18"/>
          <w:szCs w:val="18"/>
          <w:i w:val="1"/>
          <w:iCs w:val="1"/>
          <w:color w:val="auto"/>
        </w:rPr>
        <w:t>Amendments or Termination</w:t>
      </w:r>
      <w:r>
        <w:rPr>
          <w:rFonts w:ascii="Times New Roman" w:cs="Times New Roman" w:eastAsia="Times New Roman" w:hAnsi="Times New Roman"/>
          <w:sz w:val="18"/>
          <w:szCs w:val="18"/>
          <w:color w:val="auto"/>
        </w:rPr>
        <w:t>. The administrator may at any time amend, suspend or terminate our 2016 Plan, subject to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case of an amendment if the amendment increases the number of shares available for issuance or materially changes the class of persons eligible to receive incentive stock options. Our 2016 Plan will terminate automatically ten years after the later of the date when our board of directors adopted the plan or the date when our board of directors most recently approved an increase in the number of shares reserved thereunder which was also approved by our stockholders, provided, however, that in any event, it will terminate upon the completion of this offering, but as noted above, awards outstanding under our 2016 Plan will remain outstanding and will continue to be governed by their existing terms.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7"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expect that our board of directors will adopt a 2020 ESPP prior to this offering. If adopted, our 2020 ESPP will be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our stockholders. We expect that our 2020 ESPP will become effective as of the effective date of the registration statement of which this prospectus is a part. Our 2020 ESPP is intended to qualify under Section 423 of the Internal Revenue Code. Although not yet adopted, we expect that our 2020 ESPP will have the features described below.</w:t>
      </w:r>
    </w:p>
    <w:p>
      <w:pPr>
        <w:spacing w:after="0" w:line="180" w:lineRule="exact"/>
        <w:rPr>
          <w:sz w:val="20"/>
          <w:szCs w:val="20"/>
          <w:color w:val="auto"/>
        </w:rPr>
      </w:pPr>
    </w:p>
    <w:p>
      <w:pPr>
        <w:ind w:right="120" w:firstLine="10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shares of our common stock will be reserved for issuance under our 2020 ESPP. The number of shares reserved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our 2020 ESPP will automatically be increased on the first business day of each of our fiscal years, commencing in 2021 and ending in 2040, by a number equal to the least of:</w:t>
      </w:r>
    </w:p>
    <w:p>
      <w:pPr>
        <w:spacing w:after="0" w:line="175" w:lineRule="exact"/>
        <w:rPr>
          <w:sz w:val="20"/>
          <w:szCs w:val="20"/>
          <w:color w:val="auto"/>
        </w:rPr>
      </w:pPr>
    </w:p>
    <w:p>
      <w:pPr>
        <w:ind w:left="2060" w:hanging="918"/>
        <w:spacing w:after="0"/>
        <w:tabs>
          <w:tab w:leader="none" w:pos="2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shares of common stock outstanding on the last business day of the prior fiscal year; or</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determined by our board of directors.</w:t>
      </w:r>
    </w:p>
    <w:p>
      <w:pPr>
        <w:spacing w:after="0" w:line="225"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The number of shares reserved under our 2020 ESPP will automatically be adjusted in the event of a stock split, stock dividend or a reverse stock split (including an adjustment to the per-purchase period share limit).</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compensation committee of our board of directors will administer our 2020 ESPP.</w:t>
      </w:r>
    </w:p>
    <w:p>
      <w:pPr>
        <w:spacing w:after="0" w:line="225" w:lineRule="exact"/>
        <w:rPr>
          <w:sz w:val="20"/>
          <w:szCs w:val="20"/>
          <w:color w:val="auto"/>
        </w:rPr>
      </w:pPr>
    </w:p>
    <w:p>
      <w:pPr>
        <w:ind w:right="520" w:firstLine="10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All of our employees will be eligible to participate if we employ them for more than 20 hours per week and for five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per year. Eligible employees may begin participating in our 2020 ESPP at the start of any offering period.</w:t>
      </w:r>
    </w:p>
    <w:p>
      <w:pPr>
        <w:spacing w:after="0" w:line="158"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Offering Periods. </w:t>
      </w:r>
      <w:r>
        <w:rPr>
          <w:rFonts w:ascii="Times New Roman" w:cs="Times New Roman" w:eastAsia="Times New Roman" w:hAnsi="Times New Roman"/>
          <w:sz w:val="18"/>
          <w:szCs w:val="18"/>
          <w:color w:val="auto"/>
        </w:rPr>
        <w:t>Each offering period will last a number of months determined by the compensation committee, not to exceed 27 months.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offering period will begin periodically, as determined by the compensation committee. Offering periods may overlap or may be consecutive. Unless otherwise determined by the compensation committee, two offering periods of six months’ duration will begin in each year on May 1 and November 1. However, if so determined by the compensation committee, the first offering period may start on the effective date of the registration statement related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this offering and will end on</w:t>
            </w:r>
          </w:p>
        </w:tc>
        <w:tc>
          <w:tcPr>
            <w:tcW w:w="4200" w:type="dxa"/>
            <w:vAlign w:val="bottom"/>
          </w:tcPr>
          <w:p>
            <w:pPr>
              <w:jc w:val="right"/>
              <w:ind w:right="281"/>
              <w:spacing w:after="0"/>
              <w:rPr>
                <w:sz w:val="20"/>
                <w:szCs w:val="20"/>
                <w:color w:val="auto"/>
              </w:rPr>
            </w:pPr>
            <w:r>
              <w:rPr>
                <w:rFonts w:ascii="Times New Roman" w:cs="Times New Roman" w:eastAsia="Times New Roman" w:hAnsi="Times New Roman"/>
                <w:sz w:val="18"/>
                <w:szCs w:val="18"/>
                <w:color w:val="auto"/>
              </w:rPr>
              <w:t>, 2021, with the first purchase date occurring on</w:t>
            </w:r>
          </w:p>
        </w:tc>
        <w:tc>
          <w:tcPr>
            <w:tcW w:w="4620" w:type="dxa"/>
            <w:vAlign w:val="bottom"/>
          </w:tcPr>
          <w:p>
            <w:pPr>
              <w:jc w:val="right"/>
              <w:ind w:right="3650"/>
              <w:spacing w:after="0"/>
              <w:rPr>
                <w:sz w:val="20"/>
                <w:szCs w:val="20"/>
                <w:color w:val="auto"/>
              </w:rPr>
            </w:pPr>
            <w:r>
              <w:rPr>
                <w:rFonts w:ascii="Times New Roman" w:cs="Times New Roman" w:eastAsia="Times New Roman" w:hAnsi="Times New Roman"/>
                <w:sz w:val="18"/>
                <w:szCs w:val="18"/>
                <w:color w:val="auto"/>
              </w:rPr>
              <w:t>, 2021.</w:t>
            </w:r>
          </w:p>
        </w:tc>
      </w:tr>
      <w:tr>
        <w:trPr>
          <w:trHeight w:val="453"/>
        </w:trPr>
        <w:tc>
          <w:tcPr>
            <w:tcW w:w="2440" w:type="dxa"/>
            <w:vAlign w:val="bottom"/>
          </w:tcPr>
          <w:p>
            <w:pPr>
              <w:spacing w:after="0"/>
              <w:rPr>
                <w:sz w:val="24"/>
                <w:szCs w:val="24"/>
                <w:color w:val="auto"/>
              </w:rPr>
            </w:pPr>
          </w:p>
        </w:tc>
        <w:tc>
          <w:tcPr>
            <w:tcW w:w="4200" w:type="dxa"/>
            <w:vAlign w:val="bottom"/>
          </w:tcPr>
          <w:p>
            <w:pPr>
              <w:jc w:val="right"/>
              <w:ind w:right="66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147</w:t>
            </w:r>
            <w:r>
              <w:rPr>
                <w:rFonts w:ascii="Times New Roman" w:cs="Times New Roman" w:eastAsia="Times New Roman" w:hAnsi="Times New Roman"/>
                <w:sz w:val="22"/>
                <w:szCs w:val="22"/>
                <w:color w:val="auto"/>
              </w:rPr>
              <w:t>-</w:t>
            </w:r>
          </w:p>
        </w:tc>
        <w:tc>
          <w:tcPr>
            <w:tcW w:w="4620" w:type="dxa"/>
            <w:vAlign w:val="bottom"/>
          </w:tcPr>
          <w:p>
            <w:pPr>
              <w:spacing w:after="0"/>
              <w:rPr>
                <w:sz w:val="24"/>
                <w:szCs w:val="24"/>
                <w:color w:val="auto"/>
              </w:rPr>
            </w:pPr>
          </w:p>
        </w:tc>
      </w:tr>
      <w:tr>
        <w:trPr>
          <w:trHeight w:val="103"/>
        </w:trPr>
        <w:tc>
          <w:tcPr>
            <w:tcW w:w="244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4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50" w:name="page151"/>
    <w:bookmarkEnd w:id="150"/>
    <w:p>
      <w:pPr>
        <w:ind w:right="200" w:firstLine="101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Amount of Contributions. </w:t>
      </w:r>
      <w:r>
        <w:rPr>
          <w:rFonts w:ascii="Times New Roman" w:cs="Times New Roman" w:eastAsia="Times New Roman" w:hAnsi="Times New Roman"/>
          <w:sz w:val="17"/>
          <w:szCs w:val="17"/>
          <w:color w:val="auto"/>
        </w:rPr>
        <w:t>Our 2020 ESPP will permit each eligible employee to purchase common stock through payroll deductions.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payroll deductions may not exceed 15% of the employee’s cash compensation. Each participant may purchase up to the number of shares</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determined by our board of directors on any purchase date, not to exceed shares. The value of the shares purchased in any calendar year may not exceed $25,000. Participants may withdraw their contributions at any time before stock is purchased.</w:t>
      </w:r>
    </w:p>
    <w:p>
      <w:pPr>
        <w:spacing w:after="0" w:line="179" w:lineRule="exact"/>
        <w:rPr>
          <w:sz w:val="20"/>
          <w:szCs w:val="20"/>
          <w:color w:val="auto"/>
        </w:rPr>
      </w:pPr>
    </w:p>
    <w:p>
      <w:pPr>
        <w:jc w:val="both"/>
        <w:ind w:right="40" w:firstLine="10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Price. </w:t>
      </w:r>
      <w:r>
        <w:rPr>
          <w:rFonts w:ascii="Times New Roman" w:cs="Times New Roman" w:eastAsia="Times New Roman" w:hAnsi="Times New Roman"/>
          <w:sz w:val="18"/>
          <w:szCs w:val="18"/>
          <w:color w:val="auto"/>
        </w:rPr>
        <w:t>The price of each share of common stock purchased under our 2020 ESPP will not be less than 85% of the lower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per share of common stock on the first day of the applicable offering period (or, in the case of the first offering period, the price at which one share of common stock is offered to the public in this offering) or the fair market value per share of common stock on the purchase date.</w:t>
      </w:r>
    </w:p>
    <w:p>
      <w:pPr>
        <w:spacing w:after="0" w:line="173" w:lineRule="exact"/>
        <w:rPr>
          <w:sz w:val="20"/>
          <w:szCs w:val="20"/>
          <w:color w:val="auto"/>
        </w:rPr>
      </w:pPr>
    </w:p>
    <w:p>
      <w:pPr>
        <w:ind w:firstLine="101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Other Provisions. </w:t>
      </w:r>
      <w:r>
        <w:rPr>
          <w:rFonts w:ascii="Times New Roman" w:cs="Times New Roman" w:eastAsia="Times New Roman" w:hAnsi="Times New Roman"/>
          <w:sz w:val="17"/>
          <w:szCs w:val="17"/>
          <w:color w:val="auto"/>
        </w:rPr>
        <w:t>Employees may end their participation in our 2020 ESPP at any time. Participation ends automatically upon termination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with us. If we experience a change in control, our 2020 ESPP will end and shares will be purchased with the payroll deductions accumulated to date by participating employees. Our board of directors or our compensation committee may amend or terminate our 2020 ESPP at any time.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148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1" w:right="399" w:bottom="1440" w:gutter="0" w:footer="0" w:header="0"/>
        </w:sectPr>
      </w:pPr>
    </w:p>
    <w:bookmarkStart w:id="151" w:name="page152"/>
    <w:bookmarkEnd w:id="1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2017 to which we have been a party in which the amount involved exceeded $120,000 and in which any of our executive officers, directors or beneficial holders of more than 5% of our capital stock (or any immediate family member of, or person sharing the household with, any of these individuals or entities), which we collectively refer to as a related person, had or will have a direct or indirect material interest, other than compensation arrangements which are described in “Management — Director Compensation” and “Executive Compensation.” We believe that all of these transactions were on terms as favorable as could have been obtained from unrelated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Common Stock</w:t>
      </w:r>
    </w:p>
    <w:p>
      <w:pPr>
        <w:spacing w:after="0" w:line="229"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From January 2017 to March 2018, we issued and sold an aggregate of 19,890,000 shares of our common stock at a cash purchase price of $0.0001 per share for an aggregate purchase price of approximately $1,989.00.</w:t>
      </w:r>
    </w:p>
    <w:p>
      <w:pPr>
        <w:spacing w:after="0" w:line="162"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sold to our directors, executive officers and holders of more than 5% of our capital stock:</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12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4380" w:type="dxa"/>
            <w:vAlign w:val="bottom"/>
            <w:gridSpan w:val="2"/>
            <w:vMerge w:val="continue"/>
          </w:tcPr>
          <w:p>
            <w:pPr>
              <w:spacing w:after="0"/>
              <w:rPr>
                <w:sz w:val="15"/>
                <w:szCs w:val="15"/>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Bobak Azamian</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9,000,000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Michael Ackermann</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9,000,000</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J. Link</w:t>
            </w:r>
          </w:p>
        </w:tc>
        <w:tc>
          <w:tcPr>
            <w:tcW w:w="18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William J. Link</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1,000,000</w:t>
            </w:r>
          </w:p>
        </w:tc>
        <w:tc>
          <w:tcPr>
            <w:tcW w:w="3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229"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In March and May 2018, we issued and sold an aggregate of 11,698,716 shares of our Series A Preferred Stock at a cash purchase price of $0.312 per share for an aggregate purchase price of approximately $3.6 million. These shares of Series A Preferred Stock will convert into an aggregate of 11,698,716 shares of Common Stock upon the completion of this offering.</w:t>
      </w:r>
    </w:p>
    <w:p>
      <w:pPr>
        <w:spacing w:after="0" w:line="176" w:lineRule="exact"/>
        <w:rPr>
          <w:sz w:val="20"/>
          <w:szCs w:val="20"/>
          <w:color w:val="auto"/>
        </w:rPr>
      </w:pPr>
    </w:p>
    <w:p>
      <w:pPr>
        <w:ind w:right="6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purchases of shares of our Series A Preferred Stock by our executive officers, directors and holders of more than 5% of our capital stock:</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12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80" w:type="dxa"/>
            <w:vAlign w:val="bottom"/>
            <w:gridSpan w:val="2"/>
            <w:vMerge w:val="continue"/>
          </w:tcPr>
          <w:p>
            <w:pPr>
              <w:spacing w:after="0"/>
              <w:rPr>
                <w:sz w:val="15"/>
                <w:szCs w:val="15"/>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5"/>
        </w:trPr>
        <w:tc>
          <w:tcPr>
            <w:tcW w:w="42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Entities affiliated with Horowitz Limited</w:t>
            </w:r>
          </w:p>
        </w:tc>
        <w:tc>
          <w:tcPr>
            <w:tcW w:w="140" w:type="dxa"/>
            <w:vAlign w:val="bottom"/>
            <w:tcBorders>
              <w:top w:val="single" w:sz="8" w:color="CFF0FC"/>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Partnership VIII </w:t>
            </w:r>
            <w:r>
              <w:rPr>
                <w:rFonts w:ascii="Times New Roman" w:cs="Times New Roman" w:eastAsia="Times New Roman" w:hAnsi="Times New Roman"/>
                <w:sz w:val="15"/>
                <w:szCs w:val="15"/>
                <w:color w:val="auto"/>
              </w:rPr>
              <w:t>(1)</w:t>
            </w:r>
          </w:p>
        </w:tc>
        <w:tc>
          <w:tcPr>
            <w:tcW w:w="18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Jason Tester</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10,977,563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3,424,999.66</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Jason Tester </w:t>
            </w:r>
            <w:r>
              <w:rPr>
                <w:rFonts w:ascii="Times New Roman" w:cs="Times New Roman" w:eastAsia="Times New Roman" w:hAnsi="Times New Roman"/>
                <w:sz w:val="15"/>
                <w:szCs w:val="15"/>
                <w:color w:val="auto"/>
              </w:rPr>
              <w:t>(2)</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Jason Tester</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160,256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49,999.97</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18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Michael Ackermann</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400,641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Bobak Azamian</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160,256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49,999.87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9512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1" w:lineRule="exact"/>
        <w:rPr>
          <w:sz w:val="20"/>
          <w:szCs w:val="20"/>
          <w:color w:val="auto"/>
        </w:rPr>
      </w:pPr>
    </w:p>
    <w:p>
      <w:pPr>
        <w:ind w:left="380" w:right="60" w:hanging="372"/>
        <w:spacing w:after="0" w:line="233" w:lineRule="auto"/>
        <w:tabs>
          <w:tab w:leader="none" w:pos="3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the Horowitz Limited Partnership VIII, who purchased shares of Series A Preferred Stock include the Horowitz Limited Partnership VIII and the Adam S Horowitz Revocable Trust. Jason Tester is an affiliate of Horowitz Limited Partnership VIII.</w:t>
      </w:r>
    </w:p>
    <w:p>
      <w:pPr>
        <w:ind w:left="380" w:hanging="372"/>
        <w:spacing w:after="0"/>
        <w:tabs>
          <w:tab w:leader="none" w:pos="3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the Jason Tester who purchased shares of Series A Preferred Stock includes the Tester Living Trust.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Convertible Notes</w:t>
      </w:r>
    </w:p>
    <w:p>
      <w:pPr>
        <w:spacing w:after="0" w:line="229"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Throughout 2019, we issued various convertible notes with an aggregate principle amount of $2.0 million, or the 2019 Notes. All principal and interest accrued under the 2019 Notes was converted at various discounts into shares of Series B Preferred Stock in connection with the closing of our Series B preferred stock financing in December 2019.</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149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2" w:name="page153"/>
    <w:bookmarkEnd w:id="152"/>
    <w:p>
      <w:pPr>
        <w:jc w:val="both"/>
        <w:ind w:right="280"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principal amount plus accrued interest of the 2019 Notes that was converted, the number of shares of Series B Preferred Stock issued upon conversion of such notes to our executive officers, directors and holders of more than 5% of our capital stock, and their respective affiliates upon conversion of such notes and the aggregate purchase price for such notes: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13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Promissory Note</w:t>
            </w:r>
          </w:p>
        </w:tc>
        <w:tc>
          <w:tcPr>
            <w:tcW w:w="13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140" w:type="dxa"/>
            <w:vAlign w:val="bottom"/>
          </w:tcPr>
          <w:p>
            <w:pPr>
              <w:spacing w:after="0"/>
              <w:rPr>
                <w:sz w:val="12"/>
                <w:szCs w:val="12"/>
                <w:color w:val="auto"/>
              </w:rPr>
            </w:pPr>
          </w:p>
        </w:tc>
        <w:tc>
          <w:tcPr>
            <w:tcW w:w="14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3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73"/>
        </w:trPr>
        <w:tc>
          <w:tcPr>
            <w:tcW w:w="4380" w:type="dxa"/>
            <w:vAlign w:val="bottom"/>
            <w:gridSpan w:val="2"/>
            <w:vMerge w:val="continue"/>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Interest ($)</w:t>
            </w: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5"/>
        </w:trPr>
        <w:tc>
          <w:tcPr>
            <w:tcW w:w="42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Entities affiliated with Horowitz Limited</w:t>
            </w:r>
          </w:p>
        </w:tc>
        <w:tc>
          <w:tcPr>
            <w:tcW w:w="140" w:type="dxa"/>
            <w:vAlign w:val="bottom"/>
            <w:tcBorders>
              <w:top w:val="single" w:sz="8" w:color="CFF0FC"/>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Partnership VIII </w:t>
            </w:r>
            <w:r>
              <w:rPr>
                <w:rFonts w:ascii="Times New Roman" w:cs="Times New Roman" w:eastAsia="Times New Roman" w:hAnsi="Times New Roman"/>
                <w:sz w:val="15"/>
                <w:szCs w:val="15"/>
                <w:color w:val="auto"/>
              </w:rPr>
              <w:t>(1)</w:t>
            </w: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Jason Tester</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1,930,070.20</w:t>
            </w: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1,881,896</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Jason Tester </w:t>
            </w:r>
            <w:r>
              <w:rPr>
                <w:rFonts w:ascii="Times New Roman" w:cs="Times New Roman" w:eastAsia="Times New Roman" w:hAnsi="Times New Roman"/>
                <w:sz w:val="15"/>
                <w:szCs w:val="15"/>
                <w:color w:val="auto"/>
              </w:rPr>
              <w:t>(2)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Tester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28,176.15</w:t>
            </w:r>
          </w:p>
        </w:tc>
        <w:tc>
          <w:tcPr>
            <w:tcW w:w="1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27,473</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Bobak Azamian</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14,162.48</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13,001</w:t>
            </w: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Ackermann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70,440.52</w:t>
            </w: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68,682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9512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1" w:lineRule="exact"/>
        <w:rPr>
          <w:sz w:val="20"/>
          <w:szCs w:val="20"/>
          <w:color w:val="auto"/>
        </w:rPr>
      </w:pPr>
    </w:p>
    <w:p>
      <w:pPr>
        <w:ind w:left="380" w:right="460" w:hanging="372"/>
        <w:spacing w:after="0" w:line="261" w:lineRule="auto"/>
        <w:tabs>
          <w:tab w:leader="none" w:pos="3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Horowitz Limited Partnership VIII whose convertible promissory notes converted into shares of our Series B Preferred Stock include the Horowitz Limited Partnership VIII and the Adam S Horowitz Revocable Trust. Jason Tester is an affiliate of Horowitz Limited Partnership VIII.</w:t>
      </w:r>
    </w:p>
    <w:p>
      <w:pPr>
        <w:spacing w:after="0" w:line="162"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Jason Tester whose convertible promissory notes converted into shares of our Series B Preferred Stock include the Tester Living Trust.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229" w:lineRule="exact"/>
        <w:rPr>
          <w:sz w:val="20"/>
          <w:szCs w:val="20"/>
          <w:color w:val="auto"/>
        </w:rPr>
      </w:pPr>
    </w:p>
    <w:p>
      <w:pPr>
        <w:ind w:right="280" w:firstLine="1018"/>
        <w:spacing w:after="0" w:line="261" w:lineRule="auto"/>
        <w:rPr>
          <w:sz w:val="20"/>
          <w:szCs w:val="20"/>
          <w:color w:val="auto"/>
        </w:rPr>
      </w:pPr>
      <w:r>
        <w:rPr>
          <w:rFonts w:ascii="Times New Roman" w:cs="Times New Roman" w:eastAsia="Times New Roman" w:hAnsi="Times New Roman"/>
          <w:sz w:val="18"/>
          <w:szCs w:val="18"/>
          <w:color w:val="auto"/>
        </w:rPr>
        <w:t>In December 2019, we issued and sold an aggregate of 47,587,571 shares of our Series B Preferred Stock (exclusive of 1,991,052 shares issued upon the conversion of the 2019 Notes) at a cash purchase price of $1.2104 per share for an aggregate purchase price of approximately</w:t>
      </w:r>
    </w:p>
    <w:p>
      <w:pPr>
        <w:spacing w:after="0" w:line="253" w:lineRule="auto"/>
        <w:rPr>
          <w:sz w:val="20"/>
          <w:szCs w:val="20"/>
          <w:color w:val="auto"/>
        </w:rPr>
      </w:pPr>
      <w:r>
        <w:rPr>
          <w:rFonts w:ascii="Times New Roman" w:cs="Times New Roman" w:eastAsia="Times New Roman" w:hAnsi="Times New Roman"/>
          <w:sz w:val="18"/>
          <w:szCs w:val="18"/>
          <w:color w:val="auto"/>
        </w:rPr>
        <w:t>$57.6 million. These shares of Series B Preferred Stock, together with the shares issued upon conversion of the 2019 Notes, will convert into an aggregate of 49,578,623 shares of common stock upon the completion of this offering. The table below sets forth the number of shares of Series B Preferred Stock sold to our directors, executive officers and holders of more than 5% of our capital stock (not including the 1,991,052 shares of Series B Preferred Stock issued upon the conversion of the 2019 Notes):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48"/>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12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80" w:type="dxa"/>
            <w:vAlign w:val="bottom"/>
            <w:gridSpan w:val="2"/>
            <w:vMerge w:val="continue"/>
          </w:tcPr>
          <w:p>
            <w:pPr>
              <w:spacing w:after="0"/>
              <w:rPr>
                <w:sz w:val="15"/>
                <w:szCs w:val="15"/>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Vivo Capital Fund IX, L.P.</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Andrew Goldberg </w:t>
            </w:r>
            <w:r>
              <w:rPr>
                <w:rFonts w:ascii="Times New Roman" w:cs="Times New Roman" w:eastAsia="Times New Roman" w:hAnsi="Times New Roman"/>
                <w:sz w:val="15"/>
                <w:szCs w:val="15"/>
                <w:color w:val="auto"/>
                <w:w w:val="99"/>
              </w:rPr>
              <w:t>(1)</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20,654,329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24,999,999.83</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Frazier Life Sciences IX, L.P.</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xml:space="preserve">Bhaskar Chaudhuri </w:t>
            </w:r>
            <w:r>
              <w:rPr>
                <w:rFonts w:ascii="Times New Roman" w:cs="Times New Roman" w:eastAsia="Times New Roman" w:hAnsi="Times New Roman"/>
                <w:sz w:val="15"/>
                <w:szCs w:val="15"/>
                <w:color w:val="auto"/>
              </w:rPr>
              <w:t>(2)</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10,327,164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12,499,999.31</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Flying L Investments XI, LLC</w:t>
            </w:r>
          </w:p>
        </w:tc>
        <w:tc>
          <w:tcPr>
            <w:tcW w:w="18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William J. Link</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8,261,731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9,999,999.21</w:t>
            </w: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Visionary Venture Fund </w:t>
            </w:r>
            <w:r>
              <w:rPr>
                <w:rFonts w:ascii="Times New Roman" w:cs="Times New Roman" w:eastAsia="Times New Roman" w:hAnsi="Times New Roman"/>
                <w:sz w:val="15"/>
                <w:szCs w:val="15"/>
                <w:color w:val="auto"/>
              </w:rPr>
              <w:t>(3)</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6,196,298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7,499,999.11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1" w:lineRule="exact"/>
        <w:rPr>
          <w:sz w:val="20"/>
          <w:szCs w:val="20"/>
          <w:color w:val="auto"/>
        </w:rPr>
      </w:pPr>
    </w:p>
    <w:p>
      <w:pPr>
        <w:ind w:left="380" w:hanging="372"/>
        <w:spacing w:after="0"/>
        <w:tabs>
          <w:tab w:leader="none" w:pos="3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Goldberg was designated by Vivo Capital Fund IX, L.P. but does not have any voting or investment control over the shares held by Vivo Capital Fund IX, L.P.</w:t>
      </w:r>
    </w:p>
    <w:p>
      <w:pPr>
        <w:spacing w:after="0" w:line="17"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Chaudhuri was designated by Frazier Life Sciences IX, L.P. but does not have any voting or investment control over the shares held by Frazier Life Sciences IX, L.P.</w:t>
      </w:r>
    </w:p>
    <w:p>
      <w:pPr>
        <w:ind w:left="380" w:right="440" w:hanging="372"/>
        <w:spacing w:after="0" w:line="239" w:lineRule="auto"/>
        <w:tabs>
          <w:tab w:leader="none" w:pos="3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Visionary Venture Fund holding shares of our Series B Preferred Stock which are aggregated for purposes of reporting share ownership information include Visionary Venture Fund II, LP and Visionary Venture Fund II (QP), 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with (i) certain holders of our capital stock, including entities affiliated with Mr. Tester, (ii) entities affiliated with Visionary Venture Fund, (iii) Vivo Capital Fund IX, L.P., (iv) Frazier Life Sciences IX, L.P., (v) Flying L Investments XI, LLC, (vi) Michael Ackermann and (vii) Dr. Azamian.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 Registration Rights” elsewhere in this prospectus for additional information regarding these registration rights.</w:t>
      </w:r>
    </w:p>
    <w:p>
      <w:pPr>
        <w:spacing w:after="0" w:line="1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150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are party to an amended and restated voting agreement with certain holders of our capital stock, including (i) entities affiliated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Tester, (ii) entities affiliated with Visionary Venture Fund, (iii) Vivo Capital Fund IX, L.P., (iv) Frazier Life Sciences IX, L.P., (v) Flying L Investments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 LLC, (vi) Michael Ackermann and (vii) Dr. Azamian. Under our voting agreement, certain holders of our capital stock have agreed as to the manner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they will vote their shares of our capital stock on certain matters, including with respect to the election of directors. The voting agreement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 upon the completion of this offering, at which time there will be no further contractual obligations regarding the manner in which shares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voted with respect to the election of our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and Co-Sale Agreement</w:t>
      </w:r>
    </w:p>
    <w:p>
      <w:pPr>
        <w:spacing w:after="0" w:line="229"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We are party to an amended and restated first refusal and co-sale agreement with certain holders of our capital stock, including (i) entities affiliated with Mr. Tester, (ii) entities affiliated with Visionary Venture Fund, (iii) Vivo Capital Fund IX, L.P., (iv) Frazier Life Sciences IX, L.P., (v) Flying L Investments XI, LLC, (vi) Michael Ackermann and (vii) Dr. Azamian. Under our first refusal and co-sale agreement, certain holders of our capital stock have the right of first refusal and co-sale relating to the shares of our common stock held by the parties to the agreement. Upon the consummation of this offering our first refusal and co-sale agreement will terminate.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each of our directors and executive officers, in addition to the indemnification provided for in our restated certificate of incorporation and amended and restated bylaws. The indemnification agreements and our restated certificate of incorporation and amended and restated bylaws that will be in effect upon the completion of this offering require us to indemnify our directors, executive officers and certain controlling persons to the fullest extent permitted by Delaware law. See the section titled “Executive Compensation — Limitation of Liability and Indemnification” elsewhere in this prospectus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with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Leo Greenstein Offer Letter</w:t>
      </w:r>
    </w:p>
    <w:p>
      <w:pPr>
        <w:spacing w:after="0" w:line="22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On March 15, 2020 we entered into an Offer Letter with Leo Greenstein to serve as our Chief Financial Officer pursuant to which Mr. Greenstein is entitled to receive an annual base salary of $360,000, an annual incentive bonus with a target equal to 35% of his annual base salary, a signing bonus of $40,000 and an option to purchase 1,041,077 shares of our common stock. Pursuant to his Offer Letter, Mr. Greenstein is eligible to receive severance benefits upon an involuntary termination of his employment. If the involuntary termination is prior to or more than 12 months after a change in control, he is eligible to receive severance consisting of six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18 months of base salary and company-paid continued benefits coverage, plus a bonus payment equal to (i) a prorated portion of his target bonus for the year in which his termination occurs and (ii) 150% of such target bonus. As of August 31, 2020, Mr. Greenstein has exercised 500,000 shares of common stock pursuant to his option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Seshadri Neervannan Offer Letter</w:t>
      </w:r>
    </w:p>
    <w:p>
      <w:pPr>
        <w:spacing w:after="0" w:line="22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On June 4, 2020 we entered into an Offer Letter with Seshadri Neervannan to serve as our Chief Operating Officer pursuant to which Mr. Neervannan is entitled to receive an annual base salary of $400,000, an annual incentive bonus with a target equal to 35% of his annual base salary, a signing bonus of $75,000 (50% of which will be paid on January 31, 2021 and 50% of which will be paid on July 31, 2021) and an option to purchase 1,735,128 shares of our common stock. Pursuant to his Offer Letter, Mr. Neervannan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12 months of base salary and company-paid continued benefits coverage, plus a bonus payment equal to (i) a prorated portion of his target bonus for the year in which his termination occurs and (ii) 100% of such target bonus. As of August 31, 2020, Mr. Neervannan has exercised 370,370 shares of common stock pursuant to his option grant.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151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i w:val="1"/>
          <w:iCs w:val="1"/>
          <w:color w:val="auto"/>
        </w:rPr>
        <w:t>Aziz Mottiwala Offer Letter</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On June 22, 2020 we entered into an Offer Letter with Aziz Mottiwala to serve as our Chief Commercial Officer pursuant to which Mr. Mottiwala is entitled to receive an annual base salary of $360,000, an annual incentive bonus with a target equal to 35% of his annual base salary, a signing bonus of $100,000 (50% of which was paid on August 25, 2020 and 50% of which will be paid on February 10, 2021) and an option to purchase 778,329 shares of our common stock. Pursuant to his Offer Letter, Mr. Mottiwala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12 months of base salary and company-paid continued benefits coverage, plus a bonus payment equal to (i) a prorated portion of his target bonus for the year in which his termination occurs and (ii) 100% of such target bonus. As of August 31, 2020, Mr. Mottiwala has exercised 400,000 shares of common stock pursuant to his option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8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152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right="56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August 31, 2020 and as adjusted to reflect the sale of common stock offered by us in this offering, for:</w:t>
      </w:r>
    </w:p>
    <w:p>
      <w:pPr>
        <w:spacing w:after="0" w:line="162" w:lineRule="exact"/>
        <w:rPr>
          <w:sz w:val="20"/>
          <w:szCs w:val="20"/>
          <w:color w:val="auto"/>
        </w:rPr>
      </w:pPr>
    </w:p>
    <w:p>
      <w:pPr>
        <w:ind w:left="1400" w:hanging="380"/>
        <w:spacing w:after="0"/>
        <w:tabs>
          <w:tab w:leader="none" w:pos="14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both"/>
        <w:ind w:right="200" w:firstLine="1018"/>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6" w:lineRule="exact"/>
        <w:rPr>
          <w:sz w:val="20"/>
          <w:szCs w:val="20"/>
          <w:color w:val="auto"/>
        </w:rPr>
      </w:pPr>
    </w:p>
    <w:p>
      <w:pPr>
        <w:ind w:right="240" w:firstLine="1018"/>
        <w:spacing w:after="0" w:line="261" w:lineRule="auto"/>
        <w:rPr>
          <w:sz w:val="20"/>
          <w:szCs w:val="20"/>
          <w:color w:val="auto"/>
        </w:rPr>
      </w:pPr>
      <w:r>
        <w:rPr>
          <w:rFonts w:ascii="Times New Roman" w:cs="Times New Roman" w:eastAsia="Times New Roman" w:hAnsi="Times New Roman"/>
          <w:sz w:val="18"/>
          <w:szCs w:val="18"/>
          <w:color w:val="auto"/>
        </w:rPr>
        <w:t>Applicable percentage ownership is based on 82,398,827 shares of common stock outstanding as of August 31, 2020, after giving effect to the conversion of all outstanding shares of preferred stock as of that date into an aggregate of 61,277,339 shares of our common stock. For purposes of</w:t>
      </w:r>
    </w:p>
    <w:p>
      <w:pPr>
        <w:ind w:right="480"/>
        <w:spacing w:after="0" w:line="250" w:lineRule="auto"/>
        <w:rPr>
          <w:sz w:val="20"/>
          <w:szCs w:val="20"/>
          <w:color w:val="auto"/>
        </w:rPr>
      </w:pPr>
      <w:r>
        <w:rPr>
          <w:rFonts w:ascii="Times New Roman" w:cs="Times New Roman" w:eastAsia="Times New Roman" w:hAnsi="Times New Roman"/>
          <w:sz w:val="18"/>
          <w:szCs w:val="18"/>
          <w:color w:val="auto"/>
        </w:rPr>
        <w:t>computing percentage ownership after this offering, we have assumed that (i) shares of common stock will be issued by us in this offering; (ii) the underwriters will not exercise their option to purchase up to additional shares and (iii) none of our executive officers, directors or</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stockholders who beneficially own more than five percent of our common stock will participate in this offering. In computing the number of shares of common stock beneficially owned by a person or entity and the percentage ownership of that person or entity, we deemed to be outstanding all shares of common stock subject to options held by that person or entity that are currently exercisable or that will become exercisable within 60 days of August 31, 2020. We did not deem these shares outstanding, however, such shares were included for the purpose of computing the percentage ownership of any other person or entity.</w:t>
      </w:r>
    </w:p>
    <w:p>
      <w:pPr>
        <w:spacing w:after="0" w:line="187"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Tarsus Pharmaceuticals, Inc., 15440 Laguna Canyon Road, Irvine, California 92618.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73"/>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80" w:type="dxa"/>
            <w:vAlign w:val="bottom"/>
            <w:tcBorders>
              <w:bottom w:val="single" w:sz="8" w:color="auto"/>
            </w:tcBorders>
            <w:gridSpan w:val="3"/>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156"/>
        </w:trPr>
        <w:tc>
          <w:tcPr>
            <w:tcW w:w="5780" w:type="dxa"/>
            <w:vAlign w:val="bottom"/>
            <w:gridSpan w:val="2"/>
            <w:vMerge w:val="continue"/>
          </w:tcPr>
          <w:p>
            <w:pPr>
              <w:spacing w:after="0"/>
              <w:rPr>
                <w:sz w:val="13"/>
                <w:szCs w:val="13"/>
                <w:color w:val="auto"/>
              </w:rPr>
            </w:pPr>
          </w:p>
        </w:tc>
        <w:tc>
          <w:tcPr>
            <w:tcW w:w="136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2"/>
          </w:tcPr>
          <w:p>
            <w:pPr>
              <w:jc w:val="right"/>
              <w:ind w:right="33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3"/>
                <w:szCs w:val="13"/>
                <w:color w:val="auto"/>
              </w:rPr>
            </w:pPr>
          </w:p>
        </w:tc>
        <w:tc>
          <w:tcPr>
            <w:tcW w:w="1380" w:type="dxa"/>
            <w:vAlign w:val="bottom"/>
            <w:gridSpan w:val="2"/>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Bobak Azamian </w:t>
            </w:r>
            <w:r>
              <w:rPr>
                <w:rFonts w:ascii="Times New Roman" w:cs="Times New Roman" w:eastAsia="Times New Roman" w:hAnsi="Times New Roman"/>
                <w:sz w:val="15"/>
                <w:szCs w:val="15"/>
                <w:color w:val="auto"/>
              </w:rPr>
              <w:t>(1)</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10,472,756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Michael Ackermann </w:t>
            </w:r>
            <w:r>
              <w:rPr>
                <w:rFonts w:ascii="Times New Roman" w:cs="Times New Roman" w:eastAsia="Times New Roman" w:hAnsi="Times New Roman"/>
                <w:sz w:val="15"/>
                <w:szCs w:val="15"/>
                <w:color w:val="auto"/>
              </w:rPr>
              <w:t>(2)</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10,863,094</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Jason Tester </w:t>
            </w:r>
            <w:r>
              <w:rPr>
                <w:rFonts w:ascii="Times New Roman" w:cs="Times New Roman" w:eastAsia="Times New Roman" w:hAnsi="Times New Roman"/>
                <w:sz w:val="15"/>
                <w:szCs w:val="15"/>
                <w:color w:val="auto"/>
              </w:rPr>
              <w:t>(3)</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12,671,731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Andrew Goldberg</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William J. Link </w:t>
            </w:r>
            <w:r>
              <w:rPr>
                <w:rFonts w:ascii="Times New Roman" w:cs="Times New Roman" w:eastAsia="Times New Roman" w:hAnsi="Times New Roman"/>
                <w:sz w:val="15"/>
                <w:szCs w:val="15"/>
                <w:color w:val="auto"/>
              </w:rPr>
              <w:t>(4)</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9,261,731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Bhaskar Chaudhuri</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Leo M. Greenstein </w:t>
            </w:r>
            <w:r>
              <w:rPr>
                <w:rFonts w:ascii="Times New Roman" w:cs="Times New Roman" w:eastAsia="Times New Roman" w:hAnsi="Times New Roman"/>
                <w:sz w:val="15"/>
                <w:szCs w:val="15"/>
                <w:color w:val="auto"/>
              </w:rPr>
              <w:t>(5)</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870,370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Seshadri Neervannan </w:t>
            </w:r>
            <w:r>
              <w:rPr>
                <w:rFonts w:ascii="Times New Roman" w:cs="Times New Roman" w:eastAsia="Times New Roman" w:hAnsi="Times New Roman"/>
                <w:sz w:val="15"/>
                <w:szCs w:val="15"/>
                <w:color w:val="auto"/>
              </w:rPr>
              <w:t>(6)</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740,740</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Aziz Mottiwala </w:t>
            </w:r>
            <w:r>
              <w:rPr>
                <w:rFonts w:ascii="Times New Roman" w:cs="Times New Roman" w:eastAsia="Times New Roman" w:hAnsi="Times New Roman"/>
                <w:sz w:val="15"/>
                <w:szCs w:val="15"/>
                <w:color w:val="auto"/>
              </w:rPr>
              <w:t>(7)</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414,062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Mark Holdbrook </w:t>
            </w:r>
            <w:r>
              <w:rPr>
                <w:rFonts w:ascii="Times New Roman" w:cs="Times New Roman" w:eastAsia="Times New Roman" w:hAnsi="Times New Roman"/>
                <w:sz w:val="15"/>
                <w:szCs w:val="15"/>
                <w:color w:val="auto"/>
              </w:rPr>
              <w:t>(8)</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637,406</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(10 persons) </w:t>
            </w:r>
            <w:r>
              <w:rPr>
                <w:rFonts w:ascii="Times New Roman" w:cs="Times New Roman" w:eastAsia="Times New Roman" w:hAnsi="Times New Roman"/>
                <w:sz w:val="15"/>
                <w:szCs w:val="15"/>
                <w:color w:val="auto"/>
              </w:rPr>
              <w:t>(9)</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45,931,890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Horowitz Limited Partnership VIII </w:t>
            </w:r>
            <w:r>
              <w:rPr>
                <w:rFonts w:ascii="Times New Roman" w:cs="Times New Roman" w:eastAsia="Times New Roman" w:hAnsi="Times New Roman"/>
                <w:sz w:val="15"/>
                <w:szCs w:val="15"/>
                <w:color w:val="auto"/>
              </w:rPr>
              <w:t>(10)</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12,859,459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Vivo Capital Fund IX, L.P. </w:t>
            </w:r>
            <w:r>
              <w:rPr>
                <w:rFonts w:ascii="Times New Roman" w:cs="Times New Roman" w:eastAsia="Times New Roman" w:hAnsi="Times New Roman"/>
                <w:sz w:val="15"/>
                <w:szCs w:val="15"/>
                <w:color w:val="auto"/>
              </w:rPr>
              <w:t>(11)</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20,654,329</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Flying L Investments XI, LLC </w:t>
            </w:r>
            <w:r>
              <w:rPr>
                <w:rFonts w:ascii="Times New Roman" w:cs="Times New Roman" w:eastAsia="Times New Roman" w:hAnsi="Times New Roman"/>
                <w:sz w:val="15"/>
                <w:szCs w:val="15"/>
                <w:color w:val="auto"/>
              </w:rPr>
              <w:t>(12)</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8,261,731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Frazier Life Sciences IX, L.P. </w:t>
            </w:r>
            <w:r>
              <w:rPr>
                <w:rFonts w:ascii="Times New Roman" w:cs="Times New Roman" w:eastAsia="Times New Roman" w:hAnsi="Times New Roman"/>
                <w:sz w:val="15"/>
                <w:szCs w:val="15"/>
                <w:color w:val="auto"/>
              </w:rPr>
              <w:t>(13)</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10,327,164</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Visionary Venture Fund </w:t>
            </w:r>
            <w:r>
              <w:rPr>
                <w:rFonts w:ascii="Times New Roman" w:cs="Times New Roman" w:eastAsia="Times New Roman" w:hAnsi="Times New Roman"/>
                <w:sz w:val="15"/>
                <w:szCs w:val="15"/>
                <w:color w:val="auto"/>
              </w:rPr>
              <w:t>(14)</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6,196,298</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9512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21" w:lineRule="exact"/>
        <w:rPr>
          <w:sz w:val="20"/>
          <w:szCs w:val="20"/>
          <w:color w:val="auto"/>
        </w:rPr>
      </w:pPr>
    </w:p>
    <w:p>
      <w:pPr>
        <w:ind w:left="380" w:right="200" w:hanging="372"/>
        <w:spacing w:after="0" w:line="233" w:lineRule="auto"/>
        <w:tabs>
          <w:tab w:leader="none" w:pos="3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13,001 shares of common stock held directly by Dr. Azamian (ii) 1,299,499 shares of common stock issuable pursuant to options held directly by Dr. Azamian exercisable within 60 days of August 31, 2020, and (iii) 9,160,256 shares of common stock held by Bobak Azamian, as Trustee of the Bobak Azamian Living Trust, established April 16, 2018.</w:t>
      </w: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Azamian is a trustee the Bobak Azamian Living Trust, established April 16, 2018 and has voting and investment control with respect to these shares.</w:t>
      </w:r>
    </w:p>
    <w:p>
      <w:pPr>
        <w:spacing w:after="0" w:line="182" w:lineRule="exact"/>
        <w:rPr>
          <w:rFonts w:ascii="Times New Roman" w:cs="Times New Roman" w:eastAsia="Times New Roman" w:hAnsi="Times New Roman"/>
          <w:sz w:val="14"/>
          <w:szCs w:val="14"/>
          <w:color w:val="auto"/>
        </w:rPr>
      </w:pPr>
    </w:p>
    <w:p>
      <w:pPr>
        <w:ind w:left="5480" w:hanging="117"/>
        <w:spacing w:after="0"/>
        <w:tabs>
          <w:tab w:leader="none" w:pos="548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6" w:name="page157"/>
    <w:bookmarkEnd w:id="156"/>
    <w:p>
      <w:pPr>
        <w:ind w:left="372" w:right="100" w:hanging="372"/>
        <w:spacing w:after="0" w:line="261" w:lineRule="auto"/>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9,127,966 shares of common stock held directly by Dr. Ackermann and (ii) 1,735,128 shares of common stock issuable pursuant to options held directly by Dr. Ackermann exercisable within 60 days of August 31, 2020.</w:t>
      </w:r>
    </w:p>
    <w:p>
      <w:pPr>
        <w:spacing w:after="0" w:line="230" w:lineRule="exact"/>
        <w:rPr>
          <w:rFonts w:ascii="Times New Roman" w:cs="Times New Roman" w:eastAsia="Times New Roman" w:hAnsi="Times New Roman"/>
          <w:sz w:val="14"/>
          <w:szCs w:val="14"/>
          <w:color w:val="auto"/>
        </w:rPr>
      </w:pPr>
    </w:p>
    <w:p>
      <w:pPr>
        <w:ind w:left="372" w:hanging="372"/>
        <w:spacing w:after="0" w:line="236" w:lineRule="auto"/>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12,484,002 shares of common stock held by Horowitz Limited Partnership VIII and (ii) 187,729 shares of common stock held by the Tester Living Trust. Mr. Tester is a trustee of the Tester Living Trust, and has voting and investment control with respect to these shares.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w:t>
      </w:r>
    </w:p>
    <w:p>
      <w:pPr>
        <w:spacing w:after="0" w:line="217" w:lineRule="exact"/>
        <w:rPr>
          <w:rFonts w:ascii="Times New Roman" w:cs="Times New Roman" w:eastAsia="Times New Roman" w:hAnsi="Times New Roman"/>
          <w:sz w:val="14"/>
          <w:szCs w:val="14"/>
          <w:color w:val="auto"/>
        </w:rPr>
      </w:pPr>
    </w:p>
    <w:p>
      <w:pPr>
        <w:jc w:val="both"/>
        <w:ind w:left="372" w:hanging="372"/>
        <w:spacing w:after="0" w:line="241" w:lineRule="auto"/>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1,000,000 shares of common stock held directly by Dr. Link and (ii) 8,261,731 shares of common stock owned by Flying L Investments XI, LLC. Dr. Link is the Manager of Flying L Investments XI, LLC, and in his capacity as such, Dr. Link may be deemed to have sole voting and investment power over shares held by Flying L Investments XI, LLC. Dr. Link disclaims beneficial ownership of the shares held by Flying L Investments XI, LLC except to the extent of his pecuniary interest in such shares.</w:t>
      </w:r>
    </w:p>
    <w:p>
      <w:pPr>
        <w:spacing w:after="0" w:line="176" w:lineRule="exact"/>
        <w:rPr>
          <w:rFonts w:ascii="Times New Roman" w:cs="Times New Roman" w:eastAsia="Times New Roman" w:hAnsi="Times New Roman"/>
          <w:sz w:val="14"/>
          <w:szCs w:val="14"/>
          <w:color w:val="auto"/>
        </w:rPr>
      </w:pPr>
    </w:p>
    <w:p>
      <w:pPr>
        <w:ind w:left="372" w:right="360" w:hanging="372"/>
        <w:spacing w:after="0" w:line="261" w:lineRule="auto"/>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500,000 shares of common stock held directly by Mr. Greenstein and (ii) 370,370 shares of common stock issuable pursuant to options held directly by Mr. Greenstein exercisable within 60 days of August 31, 2020.</w:t>
      </w:r>
    </w:p>
    <w:p>
      <w:pPr>
        <w:spacing w:after="0" w:line="162" w:lineRule="exact"/>
        <w:rPr>
          <w:rFonts w:ascii="Times New Roman" w:cs="Times New Roman" w:eastAsia="Times New Roman" w:hAnsi="Times New Roman"/>
          <w:sz w:val="14"/>
          <w:szCs w:val="14"/>
          <w:color w:val="auto"/>
        </w:rPr>
      </w:pPr>
    </w:p>
    <w:p>
      <w:pPr>
        <w:ind w:left="372" w:right="220" w:hanging="372"/>
        <w:spacing w:after="0" w:line="261" w:lineRule="auto"/>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370,370 shares of common stock held directly by Mr. Neervannan and (ii) 370,370 shares of common stock issuable pursuant to options held directly by Mr. Neervannan exercisable within 60 days of August 31, 2020.</w:t>
      </w:r>
    </w:p>
    <w:p>
      <w:pPr>
        <w:spacing w:after="0" w:line="162" w:lineRule="exact"/>
        <w:rPr>
          <w:rFonts w:ascii="Times New Roman" w:cs="Times New Roman" w:eastAsia="Times New Roman" w:hAnsi="Times New Roman"/>
          <w:sz w:val="14"/>
          <w:szCs w:val="14"/>
          <w:color w:val="auto"/>
        </w:rPr>
      </w:pPr>
    </w:p>
    <w:p>
      <w:pPr>
        <w:ind w:left="372" w:right="500" w:hanging="372"/>
        <w:spacing w:after="0" w:line="261" w:lineRule="auto"/>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400,000 shares of common stock held directly by Mr. Mottiwala and (ii) 14,062 shares of common stock issuable pursuant to options held directly by Mr. Mottiwala exercisable within 60 days of August 31, 2020.</w:t>
      </w:r>
    </w:p>
    <w:p>
      <w:pPr>
        <w:spacing w:after="0" w:line="162" w:lineRule="exact"/>
        <w:rPr>
          <w:rFonts w:ascii="Times New Roman" w:cs="Times New Roman" w:eastAsia="Times New Roman" w:hAnsi="Times New Roman"/>
          <w:sz w:val="14"/>
          <w:szCs w:val="14"/>
          <w:color w:val="auto"/>
        </w:rPr>
      </w:pPr>
    </w:p>
    <w:p>
      <w:pPr>
        <w:ind w:left="372" w:hanging="372"/>
        <w:spacing w:after="0"/>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637,406 shares of common stock issuable pursuant to options held directly by Mr. Holdbrook exercisable within 60 days of August 31, 2020.</w:t>
      </w:r>
    </w:p>
    <w:p>
      <w:pPr>
        <w:spacing w:after="0" w:line="203" w:lineRule="exact"/>
        <w:rPr>
          <w:rFonts w:ascii="Times New Roman" w:cs="Times New Roman" w:eastAsia="Times New Roman" w:hAnsi="Times New Roman"/>
          <w:sz w:val="14"/>
          <w:szCs w:val="14"/>
          <w:color w:val="auto"/>
        </w:rPr>
      </w:pPr>
    </w:p>
    <w:p>
      <w:pPr>
        <w:ind w:left="372" w:hanging="372"/>
        <w:spacing w:after="0"/>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footnotes (1) through (8) above.</w:t>
      </w:r>
    </w:p>
    <w:p>
      <w:pPr>
        <w:spacing w:after="0" w:line="203" w:lineRule="exact"/>
        <w:rPr>
          <w:rFonts w:ascii="Times New Roman" w:cs="Times New Roman" w:eastAsia="Times New Roman" w:hAnsi="Times New Roman"/>
          <w:sz w:val="14"/>
          <w:szCs w:val="14"/>
          <w:color w:val="auto"/>
        </w:rPr>
      </w:pPr>
    </w:p>
    <w:p>
      <w:pPr>
        <w:ind w:left="372" w:hanging="372"/>
        <w:spacing w:after="0"/>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12,484,002 shares of common stock held by Horowitz Limited Partnership VIII and (ii) 375,457 shares of common stock held by Adam S. Horowitz Revocable Trust.</w:t>
      </w:r>
    </w:p>
    <w:p>
      <w:pPr>
        <w:spacing w:after="0" w:line="3" w:lineRule="exact"/>
        <w:rPr>
          <w:rFonts w:ascii="Times New Roman" w:cs="Times New Roman" w:eastAsia="Times New Roman" w:hAnsi="Times New Roman"/>
          <w:sz w:val="14"/>
          <w:szCs w:val="14"/>
          <w:color w:val="auto"/>
        </w:rPr>
      </w:pPr>
    </w:p>
    <w:p>
      <w:pPr>
        <w:ind w:left="372"/>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 The principal business address of Horowitz Limited Partnership VIII is 27241 La Paz Road, Suite B, Laguna Niguel, CA 92677.</w:t>
      </w:r>
    </w:p>
    <w:p>
      <w:pPr>
        <w:spacing w:after="0" w:line="176" w:lineRule="exact"/>
        <w:rPr>
          <w:rFonts w:ascii="Times New Roman" w:cs="Times New Roman" w:eastAsia="Times New Roman" w:hAnsi="Times New Roman"/>
          <w:sz w:val="14"/>
          <w:szCs w:val="14"/>
          <w:color w:val="auto"/>
        </w:rPr>
      </w:pPr>
    </w:p>
    <w:p>
      <w:pPr>
        <w:ind w:left="372" w:right="180" w:hanging="372"/>
        <w:spacing w:after="0"/>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20,654,329 shares of common stock held of record by Vivo Capital Fund IX, L.P. Vivo Capital IX, LLC is the general partner of Vivo Capital Fund IX, L.P. The voting members of Vivo Capital IX, LLC are Frank Kung, Albert Cha, Edgar Engleman, Shan Fu and Chen Yu. None of such voting members have individual voting or investment power with respect to these shares and each of whom disclaims beneficial ownership of such shares. The principal business address of Vivo Capital IX, LLC is 192 Lytton Avenue, Palo Alto, CA 94301.</w:t>
      </w:r>
    </w:p>
    <w:p>
      <w:pPr>
        <w:spacing w:after="0" w:line="327" w:lineRule="exact"/>
        <w:rPr>
          <w:rFonts w:ascii="Times New Roman" w:cs="Times New Roman" w:eastAsia="Times New Roman" w:hAnsi="Times New Roman"/>
          <w:sz w:val="14"/>
          <w:szCs w:val="14"/>
          <w:color w:val="auto"/>
        </w:rPr>
      </w:pPr>
    </w:p>
    <w:p>
      <w:pPr>
        <w:ind w:left="372" w:right="160" w:hanging="372"/>
        <w:spacing w:after="0"/>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8,261,731 shares of common stock owned by Flying L Investments XI, LLC. Dr. Link is the Manager of Flying L Investments XI, LLC, and in his capacity as such, Dr. Link may be deemed to have sole voting and investment power over shares held by Flying L Investments XI, LLC. Dr. Link disclaims beneficial ownership of the shares held by Flying L Investments XI, LLC except to the extent of his pecuniary interest in such shares. The principal business address of Flying L Investments XI, LLC is 11 Linda Isle, Newport Beach, CA 92660.</w:t>
      </w:r>
    </w:p>
    <w:p>
      <w:pPr>
        <w:spacing w:after="0" w:line="327" w:lineRule="exact"/>
        <w:rPr>
          <w:rFonts w:ascii="Times New Roman" w:cs="Times New Roman" w:eastAsia="Times New Roman" w:hAnsi="Times New Roman"/>
          <w:sz w:val="14"/>
          <w:szCs w:val="14"/>
          <w:color w:val="auto"/>
        </w:rPr>
      </w:pPr>
    </w:p>
    <w:p>
      <w:pPr>
        <w:ind w:left="372" w:right="20" w:hanging="372"/>
        <w:spacing w:after="0" w:line="236" w:lineRule="auto"/>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10,327,164 shares of common stock owned by Frazier Life Sciences IX, L.P., or FLS LP. The general partner of FLS LP is FHMLS IX, L.P., and the general partner of FHMLS IX, L.P. is FHMLS IX, LLC. James Topper and Patrick J. Heron are the sole managing members of FHMLS IX, LLC, and share voting and investment power with respect to such shares held by FLS LP. Dr. Topper and Mr. Heron disclaim beneficial ownership of such shares except to the extent of their pecuniary interest in such shares. The principal business address of Frazier Life Sciences IX, L.P. is Two Union Square, 601 Union St., Suite 3200, Seattle, WA 98101.</w:t>
      </w:r>
    </w:p>
    <w:p>
      <w:pPr>
        <w:spacing w:after="0" w:line="176" w:lineRule="exact"/>
        <w:rPr>
          <w:rFonts w:ascii="Times New Roman" w:cs="Times New Roman" w:eastAsia="Times New Roman" w:hAnsi="Times New Roman"/>
          <w:sz w:val="14"/>
          <w:szCs w:val="14"/>
          <w:color w:val="auto"/>
        </w:rPr>
      </w:pPr>
    </w:p>
    <w:p>
      <w:pPr>
        <w:ind w:left="372" w:right="160" w:hanging="372"/>
        <w:spacing w:after="0" w:line="236" w:lineRule="auto"/>
        <w:tabs>
          <w:tab w:leader="none" w:pos="3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4,662,095 shares of common stock held by Visionary Venture Fund II (QP), LP and (ii) 1,534,203 shares of common stock owned by Visionary Venture Fund II, LP. VMP Investments, Inc. is the manager of Visionary Venture Fund II, LP and Visionary Venture Fund II (QP). Jeffry K Weinhuff is the President of VMP Investments, Inc. and disclaims beneficial ownership of the shares held by Visionary Venture Fund II, LP and Visionary Venture Fund II (QP) except to the extent of his pecuniary interest in such shares. The principal business address of Visionary Venture Fund II, LP is 65 Enterprise, Suite 330, Aliso Viejo, CA 92656.</w:t>
      </w:r>
    </w:p>
    <w:p>
      <w:pPr>
        <w:spacing w:after="0" w:line="172" w:lineRule="exact"/>
        <w:rPr>
          <w:rFonts w:ascii="Times New Roman" w:cs="Times New Roman" w:eastAsia="Times New Roman" w:hAnsi="Times New Roman"/>
          <w:sz w:val="14"/>
          <w:szCs w:val="14"/>
          <w:color w:val="auto"/>
        </w:rPr>
      </w:pPr>
    </w:p>
    <w:p>
      <w:pPr>
        <w:ind w:left="5472" w:hanging="117"/>
        <w:spacing w:after="0"/>
        <w:tabs>
          <w:tab w:leader="none" w:pos="547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92"/>
          </w:cols>
          <w:pgMar w:left="328" w:top="549" w:right="379" w:bottom="1440" w:gutter="0" w:footer="0" w:header="0"/>
        </w:sectPr>
      </w:pPr>
    </w:p>
    <w:bookmarkStart w:id="157" w:name="page158"/>
    <w:bookmarkEnd w:id="15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A description of our capital stock and the material terms and provisions of our amended and restated certificate of incorporation and amended and restated bylaws that will be in effect upon the completion of this offering and affecting the rights of holders of our capital stock is set forth below. The forms of our amended and restated certificate of incorporation and our amended and restated bylaws to be adopted in connection with this offering are filed as exhibits to the registration statement relating to this prospectus.</w:t>
      </w:r>
    </w:p>
    <w:p>
      <w:pPr>
        <w:spacing w:after="0" w:line="187" w:lineRule="exact"/>
        <w:rPr>
          <w:sz w:val="20"/>
          <w:szCs w:val="20"/>
          <w:color w:val="auto"/>
        </w:rPr>
      </w:pPr>
    </w:p>
    <w:p>
      <w:pPr>
        <w:ind w:right="180" w:firstLine="1018"/>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62" w:lineRule="exact"/>
        <w:rPr>
          <w:sz w:val="20"/>
          <w:szCs w:val="20"/>
          <w:color w:val="auto"/>
        </w:rPr>
      </w:pPr>
    </w:p>
    <w:p>
      <w:pPr>
        <w:ind w:left="1020"/>
        <w:spacing w:after="0"/>
        <w:tabs>
          <w:tab w:leader="none" w:pos="7600" w:val="left"/>
        </w:tabs>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w:t>
      </w:r>
      <w:r>
        <w:rPr>
          <w:sz w:val="20"/>
          <w:szCs w:val="20"/>
          <w:color w:val="auto"/>
        </w:rPr>
        <w:tab/>
      </w:r>
      <w:r>
        <w:rPr>
          <w:rFonts w:ascii="Times New Roman" w:cs="Times New Roman" w:eastAsia="Times New Roman" w:hAnsi="Times New Roman"/>
          <w:sz w:val="18"/>
          <w:szCs w:val="18"/>
          <w:color w:val="auto"/>
        </w:rPr>
        <w:t>shares, all with a par value of $0.0001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w:t>
      </w:r>
    </w:p>
    <w:p>
      <w:pPr>
        <w:sectPr>
          <w:pgSz w:w="11900" w:h="16838" w:orient="portrait"/>
          <w:cols w:equalWidth="0" w:num="1">
            <w:col w:w="11180"/>
          </w:cols>
          <w:pgMar w:left="320" w:top="333" w:right="399" w:bottom="1440" w:gutter="0" w:footer="0" w:header="0"/>
        </w:sectPr>
      </w:pPr>
    </w:p>
    <w:p>
      <w:pPr>
        <w:spacing w:after="0" w:line="207"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are designated common stock; and</w:t>
      </w:r>
    </w:p>
    <w:p>
      <w:pPr>
        <w:spacing w:after="0" w:line="200" w:lineRule="exact"/>
        <w:rPr>
          <w:sz w:val="20"/>
          <w:szCs w:val="20"/>
          <w:color w:val="auto"/>
        </w:rPr>
      </w:pPr>
    </w:p>
    <w:p>
      <w:pPr>
        <w:sectPr>
          <w:pgSz w:w="11900" w:h="16838" w:orient="portrait"/>
          <w:cols w:equalWidth="0" w:num="2">
            <w:col w:w="1560" w:space="720"/>
            <w:col w:w="8900"/>
          </w:cols>
          <w:pgMar w:left="320" w:top="333" w:right="399" w:bottom="1440" w:gutter="0" w:footer="0" w:header="0"/>
          <w:type w:val="continuous"/>
        </w:sectPr>
      </w:pPr>
    </w:p>
    <w:p>
      <w:pPr>
        <w:spacing w:after="0" w:line="37"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are designated preferred stock.</w:t>
      </w:r>
    </w:p>
    <w:p>
      <w:pPr>
        <w:spacing w:after="0" w:line="200" w:lineRule="exact"/>
        <w:rPr>
          <w:sz w:val="20"/>
          <w:szCs w:val="20"/>
          <w:color w:val="auto"/>
        </w:rPr>
      </w:pPr>
    </w:p>
    <w:p>
      <w:pPr>
        <w:sectPr>
          <w:pgSz w:w="11900" w:h="16838" w:orient="portrait"/>
          <w:cols w:equalWidth="0" w:num="2">
            <w:col w:w="1560" w:space="720"/>
            <w:col w:w="8900"/>
          </w:cols>
          <w:pgMar w:left="320" w:top="333" w:right="399" w:bottom="1440" w:gutter="0" w:footer="0" w:header="0"/>
          <w:type w:val="continuous"/>
        </w:sectPr>
      </w:pPr>
    </w:p>
    <w:p>
      <w:pPr>
        <w:spacing w:after="0" w:line="37" w:lineRule="exact"/>
        <w:rPr>
          <w:sz w:val="20"/>
          <w:szCs w:val="20"/>
          <w:color w:val="auto"/>
        </w:rPr>
      </w:pPr>
    </w:p>
    <w:p>
      <w:pPr>
        <w:ind w:right="80" w:firstLine="1018"/>
        <w:spacing w:after="0" w:line="282" w:lineRule="auto"/>
        <w:rPr>
          <w:sz w:val="20"/>
          <w:szCs w:val="20"/>
          <w:color w:val="auto"/>
        </w:rPr>
      </w:pPr>
      <w:r>
        <w:rPr>
          <w:rFonts w:ascii="Times New Roman" w:cs="Times New Roman" w:eastAsia="Times New Roman" w:hAnsi="Times New Roman"/>
          <w:sz w:val="18"/>
          <w:szCs w:val="18"/>
          <w:color w:val="auto"/>
        </w:rPr>
        <w:t>As of June 30, 2020, after giving effect to the conversion of all outstanding shares of preferred stock into an aggregate of our common stock, there were outstanding: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w:t>
      </w:r>
    </w:p>
    <w:p>
      <w:pPr>
        <w:spacing w:after="0" w:line="452" w:lineRule="exact"/>
        <w:rPr>
          <w:sz w:val="20"/>
          <w:szCs w:val="20"/>
          <w:color w:val="auto"/>
        </w:rPr>
      </w:pPr>
    </w:p>
    <w:p>
      <w:pPr>
        <w:sectPr>
          <w:pgSz w:w="11900" w:h="16838" w:orient="portrait"/>
          <w:cols w:equalWidth="0" w:num="2">
            <w:col w:w="9820" w:space="720"/>
            <w:col w:w="640"/>
          </w:cols>
          <w:pgMar w:left="320" w:top="333" w:right="39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firstLine="765"/>
        <w:spacing w:after="0" w:line="282" w:lineRule="auto"/>
        <w:rPr>
          <w:sz w:val="20"/>
          <w:szCs w:val="20"/>
          <w:color w:val="auto"/>
        </w:rPr>
      </w:pPr>
      <w:r>
        <w:rPr>
          <w:rFonts w:ascii="Times New Roman" w:cs="Times New Roman" w:eastAsia="Times New Roman" w:hAnsi="Times New Roman"/>
          <w:sz w:val="18"/>
          <w:szCs w:val="18"/>
          <w:color w:val="auto"/>
        </w:rPr>
        <w:t>shares of our common stock held of record by 48 stockholders, including are subject to our right of repurchase;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shares of restricted common stock that</w:t>
      </w:r>
    </w:p>
    <w:p>
      <w:pPr>
        <w:spacing w:after="0" w:line="452" w:lineRule="exact"/>
        <w:rPr>
          <w:sz w:val="20"/>
          <w:szCs w:val="20"/>
          <w:color w:val="auto"/>
        </w:rPr>
      </w:pPr>
    </w:p>
    <w:p>
      <w:pPr>
        <w:sectPr>
          <w:pgSz w:w="11900" w:h="16838" w:orient="portrait"/>
          <w:cols w:equalWidth="0" w:num="3">
            <w:col w:w="1200" w:space="320"/>
            <w:col w:w="6120" w:space="720"/>
            <w:col w:w="2820"/>
          </w:cols>
          <w:pgMar w:left="320" w:top="333" w:right="399"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shares of our common stock issuable upon exercise of outstanding stock options.</w:t>
      </w:r>
    </w:p>
    <w:p>
      <w:pPr>
        <w:spacing w:after="0" w:line="200" w:lineRule="exact"/>
        <w:rPr>
          <w:sz w:val="20"/>
          <w:szCs w:val="20"/>
          <w:color w:val="auto"/>
        </w:rPr>
      </w:pPr>
    </w:p>
    <w:p>
      <w:pPr>
        <w:sectPr>
          <w:pgSz w:w="11900" w:h="16838" w:orient="portrait"/>
          <w:cols w:equalWidth="0" w:num="2">
            <w:col w:w="1560" w:space="720"/>
            <w:col w:w="8900"/>
          </w:cols>
          <w:pgMar w:left="320" w:top="333" w:right="3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right="100" w:firstLine="1018"/>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jc w:val="both"/>
        <w:ind w:right="380" w:firstLine="1018"/>
        <w:spacing w:after="0" w:line="266" w:lineRule="auto"/>
        <w:rPr>
          <w:sz w:val="20"/>
          <w:szCs w:val="20"/>
          <w:color w:val="auto"/>
        </w:rPr>
      </w:pPr>
      <w:r>
        <w:rPr>
          <w:rFonts w:ascii="Times New Roman" w:cs="Times New Roman" w:eastAsia="Times New Roman" w:hAnsi="Times New Roman"/>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155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ectPr>
          <w:pgSz w:w="11900" w:h="16838" w:orient="portrait"/>
          <w:cols w:equalWidth="0" w:num="1">
            <w:col w:w="11220"/>
          </w:cols>
          <w:pgMar w:left="320" w:top="549" w:right="359" w:bottom="1440" w:gutter="0" w:footer="0" w:header="0"/>
        </w:sectPr>
      </w:pPr>
    </w:p>
    <w:p>
      <w:pPr>
        <w:spacing w:after="0" w:line="229" w:lineRule="exact"/>
        <w:rPr>
          <w:sz w:val="20"/>
          <w:szCs w:val="20"/>
          <w:color w:val="auto"/>
        </w:rPr>
      </w:pPr>
    </w:p>
    <w:p>
      <w:pPr>
        <w:ind w:right="80" w:firstLine="1018"/>
        <w:spacing w:after="0" w:line="282" w:lineRule="auto"/>
        <w:rPr>
          <w:sz w:val="20"/>
          <w:szCs w:val="20"/>
          <w:color w:val="auto"/>
        </w:rPr>
      </w:pPr>
      <w:r>
        <w:rPr>
          <w:rFonts w:ascii="Times New Roman" w:cs="Times New Roman" w:eastAsia="Times New Roman" w:hAnsi="Times New Roman"/>
          <w:sz w:val="18"/>
          <w:szCs w:val="18"/>
          <w:color w:val="auto"/>
        </w:rPr>
        <w:t>As of June 30, 2020, there were options to purchase granted under our 2016 Plan.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outstanding, all of which were subject to options</w:t>
      </w:r>
    </w:p>
    <w:p>
      <w:pPr>
        <w:spacing w:after="0" w:line="437" w:lineRule="exact"/>
        <w:rPr>
          <w:sz w:val="20"/>
          <w:szCs w:val="20"/>
          <w:color w:val="auto"/>
        </w:rPr>
      </w:pPr>
    </w:p>
    <w:p>
      <w:pPr>
        <w:sectPr>
          <w:pgSz w:w="11900" w:h="16838" w:orient="portrait"/>
          <w:cols w:equalWidth="0" w:num="2">
            <w:col w:w="4840" w:space="720"/>
            <w:col w:w="5660"/>
          </w:cols>
          <w:pgMar w:left="320" w:top="549"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1020"/>
        <w:spacing w:after="0"/>
        <w:tabs>
          <w:tab w:leader="none" w:pos="5880" w:val="left"/>
        </w:tabs>
        <w:rPr>
          <w:sz w:val="20"/>
          <w:szCs w:val="20"/>
          <w:color w:val="auto"/>
        </w:rPr>
      </w:pPr>
      <w:r>
        <w:rPr>
          <w:rFonts w:ascii="Times New Roman" w:cs="Times New Roman" w:eastAsia="Times New Roman" w:hAnsi="Times New Roman"/>
          <w:sz w:val="18"/>
          <w:szCs w:val="18"/>
          <w:color w:val="auto"/>
        </w:rPr>
        <w:t>Following the completion of this offering, the holders of</w:t>
      </w:r>
      <w:r>
        <w:rPr>
          <w:sz w:val="20"/>
          <w:szCs w:val="20"/>
          <w:color w:val="auto"/>
        </w:rPr>
        <w:tab/>
      </w:r>
      <w:r>
        <w:rPr>
          <w:rFonts w:ascii="Times New Roman" w:cs="Times New Roman" w:eastAsia="Times New Roman" w:hAnsi="Times New Roman"/>
          <w:sz w:val="17"/>
          <w:szCs w:val="17"/>
          <w:color w:val="auto"/>
        </w:rPr>
        <w:t>shares of our common stock issued upon the conversion of our preferred</w:t>
      </w:r>
    </w:p>
    <w:p>
      <w:pPr>
        <w:sectPr>
          <w:pgSz w:w="11900" w:h="16838" w:orient="portrait"/>
          <w:cols w:equalWidth="0" w:num="1">
            <w:col w:w="11220"/>
          </w:cols>
          <w:pgMar w:left="320" w:top="549" w:right="359" w:bottom="1440" w:gutter="0" w:footer="0" w:header="0"/>
          <w:type w:val="continuous"/>
        </w:sectPr>
      </w:pPr>
    </w:p>
    <w:p>
      <w:pPr>
        <w:spacing w:after="0" w:line="27"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7"/>
          <w:szCs w:val="17"/>
          <w:color w:val="auto"/>
        </w:rPr>
        <w:t>stock will be entitled to contractual rights to require us to register those shares under the Securities Act. These registration rights are provided under the terms of our amended and restated investors’ rights agreement between us and the holders of these shares, which we entered into on December 13, 2019.</w:t>
      </w:r>
    </w:p>
    <w:p>
      <w:pPr>
        <w:spacing w:after="0" w:line="157"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We will pay all expenses relating to any demand or piggyback registration described below, other than underwriting discounts and commissions. The registration rights terminate upon the earliest to occur of: (i) the fifth anniversary of the completion of this offering; (ii) a liquidation event; or (iii) with respect to the registration rights of an individual holder, such earlier time after this offering at which the holder (a) can sell all of its shares in compliance with Rule 144(b)(1)(i) or (b) holds one percent or less of our outstanding common stock and all shares held by the holder can be sold in any three-month period without registration in compliance with Rule 144.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The holders of the registrable securities will be entitled to certain demand registration rights. At any time beginning six months following the effectiveness of this offering, the holders of 30% or more of the registrable securities then outstanding may make a written request that we register some or all of their registrable securities, subject to certain specified conditions and exceptions. We are required to use commercially reasonable efforts to effect the registration and will pay all registration expenses, other than underwriting discounts and commissions, related to any demand registration. Such request for registration must cover securities with an aggregate offering price of at least $20,000,000. We are not obligated to effect more than two of these registrations.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holders of our registrable securities were entitled to, and the necessary percentage of holders waived, their rights to notice of this offering and to include their registrable securities in this offering. If we propose to register any of our securities under the Securities Act either for our own account or for the account of other stockholders in another offering, the holders of shares having registration rights will, subject to certain exceptions, be entitled to include their shares in our registration statement, provided that the underwriters of any such offering have the right to limit the number of shares included in the registration. These registration rights are subject to specified other conditions and limitations as set forth in our amended and restated investors’ rights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At any time after we are qualified to file a registration statement on Form S-3, and subject to limitations and conditions specified in the amended and restated investors’ rights agreement, the holders of 25% or more of the registrable securities then outstanding may make a written request that we prepare and file a registration statement on Form S-3 under the Securities Act covering their shares, so long as the aggregate price to the public is at least $10,000,000. We are not obligated to effect more than two of these Form S-3 registrations in any 12-month period. Such holders will pay pro rata all expenses related to filing a registration statement on Form S-3.</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156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220" w:firstLine="1018"/>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83" w:lineRule="exact"/>
        <w:rPr>
          <w:sz w:val="20"/>
          <w:szCs w:val="20"/>
          <w:color w:val="auto"/>
        </w:rPr>
      </w:pPr>
    </w:p>
    <w:p>
      <w:pPr>
        <w:ind w:left="1520" w:hanging="378"/>
        <w:spacing w:after="0"/>
        <w:tabs>
          <w:tab w:leader="none" w:pos="1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time that the interested stockholder became an interested stockholder;</w:t>
      </w:r>
    </w:p>
    <w:p>
      <w:pPr>
        <w:spacing w:after="0" w:line="225" w:lineRule="exact"/>
        <w:rPr>
          <w:rFonts w:ascii="Times New Roman" w:cs="Times New Roman" w:eastAsia="Times New Roman" w:hAnsi="Times New Roman"/>
          <w:sz w:val="18"/>
          <w:szCs w:val="18"/>
          <w:color w:val="auto"/>
        </w:rPr>
      </w:pPr>
    </w:p>
    <w:p>
      <w:pPr>
        <w:ind w:left="1520" w:hanging="378"/>
        <w:spacing w:after="0" w:line="258" w:lineRule="auto"/>
        <w:tabs>
          <w:tab w:leader="none" w:pos="1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ind w:left="1520" w:right="80" w:hanging="378"/>
        <w:spacing w:after="0" w:line="266" w:lineRule="auto"/>
        <w:tabs>
          <w:tab w:leader="none" w:pos="1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76"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229"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174" w:lineRule="exact"/>
        <w:rPr>
          <w:sz w:val="20"/>
          <w:szCs w:val="20"/>
          <w:color w:val="auto"/>
        </w:rPr>
      </w:pPr>
    </w:p>
    <w:p>
      <w:pPr>
        <w:ind w:left="1520" w:right="160" w:hanging="378"/>
        <w:spacing w:after="0" w:line="258" w:lineRule="auto"/>
        <w:tabs>
          <w:tab w:leader="none" w:pos="1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amended and restated certificate of incorporation and amended and restated bylaws will authorize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83" w:lineRule="exact"/>
        <w:rPr>
          <w:rFonts w:ascii="Times New Roman" w:cs="Times New Roman" w:eastAsia="Times New Roman" w:hAnsi="Times New Roman"/>
          <w:sz w:val="18"/>
          <w:szCs w:val="18"/>
          <w:color w:val="auto"/>
        </w:rPr>
      </w:pPr>
    </w:p>
    <w:p>
      <w:pPr>
        <w:ind w:left="1520" w:right="80" w:hanging="378"/>
        <w:spacing w:after="0" w:line="258" w:lineRule="auto"/>
        <w:tabs>
          <w:tab w:leader="none" w:pos="1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amended and restated certificate of incorporation and amended and restated bylaws will provide that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will be classified into three classes of directors, each of which will hold office for a three-year term. In addition, directors may only be removed from the board of directors for cause and only by the approval of 66 2/3% of our then-outstanding shares of our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83" w:lineRule="exact"/>
        <w:rPr>
          <w:rFonts w:ascii="Times New Roman" w:cs="Times New Roman" w:eastAsia="Times New Roman" w:hAnsi="Times New Roman"/>
          <w:sz w:val="18"/>
          <w:szCs w:val="18"/>
          <w:color w:val="auto"/>
        </w:rPr>
      </w:pPr>
    </w:p>
    <w:p>
      <w:pPr>
        <w:ind w:left="1520" w:right="20" w:hanging="378"/>
        <w:spacing w:after="0" w:line="258" w:lineRule="auto"/>
        <w:tabs>
          <w:tab w:leader="none" w:pos="1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Our amended and restated certificate of incorporation will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176" w:lineRule="exact"/>
        <w:rPr>
          <w:rFonts w:ascii="Times New Roman" w:cs="Times New Roman" w:eastAsia="Times New Roman" w:hAnsi="Times New Roman"/>
          <w:sz w:val="18"/>
          <w:szCs w:val="18"/>
          <w:color w:val="auto"/>
        </w:rPr>
      </w:pPr>
    </w:p>
    <w:p>
      <w:pPr>
        <w:ind w:left="5480" w:hanging="117"/>
        <w:spacing w:after="0"/>
        <w:tabs>
          <w:tab w:leader="none" w:pos="548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0" w:name="page161"/>
    <w:bookmarkEnd w:id="160"/>
    <w:p>
      <w:pPr>
        <w:ind w:left="1520" w:right="40" w:hanging="378"/>
        <w:spacing w:after="0" w:line="258" w:lineRule="auto"/>
        <w:tabs>
          <w:tab w:leader="none" w:pos="15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 restated bylaws will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3" w:lineRule="exact"/>
        <w:rPr>
          <w:rFonts w:ascii="Times New Roman" w:cs="Times New Roman" w:eastAsia="Times New Roman" w:hAnsi="Times New Roman"/>
          <w:sz w:val="18"/>
          <w:szCs w:val="18"/>
          <w:color w:val="auto"/>
        </w:rPr>
      </w:pPr>
    </w:p>
    <w:p>
      <w:pPr>
        <w:ind w:left="1520" w:right="120" w:hanging="378"/>
        <w:spacing w:after="0" w:line="258" w:lineRule="auto"/>
        <w:tabs>
          <w:tab w:leader="none" w:pos="15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will have, the authority, without further action by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issue up to 10,000,000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discourage an attempt to obtain control of us by means of a merger, tender offer, proxy contest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certificate of incorporation will provide that the Court of Chancery of the State of Delaware will be the exclusive forum for any derivative action or proceeding brought on our behalf; any action asserting a breach of fiduciary duty owed by any of our directors, officers, employees or stockholders to us or our stockholders;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in our certificate of incorporation to be inapplicable or unenforceable. These choice of forum provisions will not apply to claims arising under the Securities Act, the Exchange Act, or any other claim for which federal courts have exclusive jurisdiction. Furthermore, our certificate of incorporation that will become effective upon the closing of this offering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w:t>
      </w:r>
    </w:p>
    <w:p>
      <w:pPr>
        <w:spacing w:after="0" w:line="194" w:lineRule="exact"/>
        <w:rPr>
          <w:sz w:val="20"/>
          <w:szCs w:val="20"/>
          <w:color w:val="auto"/>
        </w:rPr>
      </w:pPr>
    </w:p>
    <w:p>
      <w:pPr>
        <w:ind w:right="280" w:firstLine="1018"/>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such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ectPr>
          <w:pgSz w:w="11900" w:h="16838" w:orient="portrait"/>
          <w:cols w:equalWidth="0" w:num="1">
            <w:col w:w="11220"/>
          </w:cols>
          <w:pgMar w:left="320" w:top="551" w:right="359" w:bottom="1440" w:gutter="0" w:footer="0" w:header="0"/>
        </w:sectPr>
      </w:pPr>
    </w:p>
    <w:p>
      <w:pPr>
        <w:spacing w:after="0" w:line="229" w:lineRule="exact"/>
        <w:rPr>
          <w:sz w:val="20"/>
          <w:szCs w:val="20"/>
          <w:color w:val="auto"/>
        </w:rPr>
      </w:pPr>
    </w:p>
    <w:p>
      <w:pPr>
        <w:ind w:left="720" w:right="40" w:firstLine="298"/>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common stock will be , and its telephone number is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transfer agent’s address is</w:t>
      </w:r>
    </w:p>
    <w:p>
      <w:pPr>
        <w:spacing w:after="0" w:line="448" w:lineRule="exact"/>
        <w:rPr>
          <w:sz w:val="20"/>
          <w:szCs w:val="20"/>
          <w:color w:val="auto"/>
        </w:rPr>
      </w:pPr>
    </w:p>
    <w:p>
      <w:pPr>
        <w:sectPr>
          <w:pgSz w:w="11900" w:h="16838" w:orient="portrait"/>
          <w:cols w:equalWidth="0" w:num="2">
            <w:col w:w="8180" w:space="720"/>
            <w:col w:w="2320"/>
          </w:cols>
          <w:pgMar w:left="320" w:top="55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have applied to list our common stock on the Nasdaq Global Market under the symbol “TARS.”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158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type w:val="continuous"/>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ind w:right="260" w:firstLine="1018"/>
        <w:spacing w:after="0" w:line="261" w:lineRule="auto"/>
        <w:rPr>
          <w:sz w:val="20"/>
          <w:szCs w:val="20"/>
          <w:color w:val="auto"/>
        </w:rPr>
      </w:pPr>
      <w:r>
        <w:rPr>
          <w:rFonts w:ascii="Times New Roman" w:cs="Times New Roman" w:eastAsia="Times New Roman" w:hAnsi="Times New Roman"/>
          <w:sz w:val="18"/>
          <w:szCs w:val="18"/>
          <w:color w:val="auto"/>
        </w:rPr>
        <w:t>Before this offering, there has not been a public market for shares of our common stock and a liquid trading market for our common stock may not develop or be sustained after this offering. Future sales of substantial amounts of shares of our common stock, including shares issued upon the exercise of outstanding options, in the public market following this offering or the possibility of these sales occurring, could cause the prevailing market price for our common stock to fall or impair our ability to raise equity capital through sales of equity securities in the future.</w:t>
      </w:r>
    </w:p>
    <w:p>
      <w:pPr>
        <w:spacing w:after="0" w:line="180"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we will have outstanding shares of our common stock, based on the number of shares outstanding as of . This includes shares of common stock that we are selling in this offering, which shares may be resold in the public</w:t>
      </w:r>
    </w:p>
    <w:p>
      <w:pPr>
        <w:spacing w:after="0"/>
        <w:rPr>
          <w:sz w:val="20"/>
          <w:szCs w:val="20"/>
          <w:color w:val="auto"/>
        </w:rPr>
      </w:pPr>
      <w:r>
        <w:rPr>
          <w:rFonts w:ascii="Times New Roman" w:cs="Times New Roman" w:eastAsia="Times New Roman" w:hAnsi="Times New Roman"/>
          <w:sz w:val="18"/>
          <w:szCs w:val="18"/>
          <w:color w:val="auto"/>
        </w:rPr>
        <w:t>market immediately unless purchased by our affiliates and assuming no additional exercise of outstanding options other than as described elsewhere in this</w:t>
      </w:r>
    </w:p>
    <w:p>
      <w:pPr>
        <w:spacing w:after="0" w:line="200" w:lineRule="exact"/>
        <w:rPr>
          <w:sz w:val="20"/>
          <w:szCs w:val="20"/>
          <w:color w:val="auto"/>
        </w:rPr>
      </w:pP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prospectus and the conversion of all outstanding shares of our preferred stock into an aggregate of shares of our common stock upon the closing of this offering.</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Of these shares, all shares sold in this offering will be freely tradable without restriction under the Securities Act, unless purchased by our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“affiliates,” as that term is defined in Rule 144 under the Securities Act. The remaining shares of common stock that are not sold in this offering will be “restricted securities,” as that term is defined in Rule 144 under the Securities Act, and we expect that substantially all of these restricted securities will be subject to the 180-day lock-up period under the lock-up agreements as described below.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87" w:lineRule="exact"/>
        <w:rPr>
          <w:sz w:val="20"/>
          <w:szCs w:val="20"/>
          <w:color w:val="auto"/>
        </w:rPr>
      </w:pPr>
    </w:p>
    <w:p>
      <w:pPr>
        <w:ind w:right="120" w:firstLine="1018"/>
        <w:spacing w:after="0" w:line="257" w:lineRule="auto"/>
        <w:rPr>
          <w:sz w:val="20"/>
          <w:szCs w:val="20"/>
          <w:color w:val="auto"/>
        </w:rPr>
      </w:pPr>
      <w:r>
        <w:rPr>
          <w:rFonts w:ascii="Times New Roman" w:cs="Times New Roman" w:eastAsia="Times New Roman" w:hAnsi="Times New Roman"/>
          <w:sz w:val="18"/>
          <w:szCs w:val="18"/>
          <w:color w:val="auto"/>
        </w:rPr>
        <w:t>In addition, we, our executive officers and directors, and all of our other security holders have entered into market standoff agreements with us or lock-up agreements with the underwriters under which they have agreed, subject to specific exceptions, not to sell any of our capital stock until at least 180 days after the date of this prospectus, as described below. As a result of these agreements and the provisions of our investors’ rights agreement</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disclosed in “Description of Capital Stock—Registration Rights,” subject to the provisions of Rule 144 or Rule 701, shares will be available for sale in the public market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beginning on the date of this prospectus, the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sold in this offering will be immediately available for sale in the public</w:t>
            </w:r>
          </w:p>
        </w:tc>
      </w:tr>
      <w:tr>
        <w:trPr>
          <w:trHeight w:val="234"/>
        </w:trPr>
        <w:tc>
          <w:tcPr>
            <w:tcW w:w="220" w:type="dxa"/>
            <w:vAlign w:val="bottom"/>
          </w:tcPr>
          <w:p>
            <w:pPr>
              <w:spacing w:after="0"/>
              <w:rPr>
                <w:sz w:val="20"/>
                <w:szCs w:val="20"/>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market, unless purchased by our affiliates;</w:t>
            </w:r>
          </w:p>
        </w:tc>
        <w:tc>
          <w:tcPr>
            <w:tcW w:w="578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beginning 181 days after the date of this prospectus,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 shares will become eligible for sale in the public market, of</w:t>
            </w:r>
          </w:p>
        </w:tc>
      </w:tr>
      <w:tr>
        <w:trPr>
          <w:trHeight w:val="234"/>
        </w:trPr>
        <w:tc>
          <w:tcPr>
            <w:tcW w:w="220" w:type="dxa"/>
            <w:vAlign w:val="bottom"/>
          </w:tcPr>
          <w:p>
            <w:pPr>
              <w:spacing w:after="0"/>
              <w:rPr>
                <w:sz w:val="20"/>
                <w:szCs w:val="20"/>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which</w:t>
            </w:r>
          </w:p>
        </w:tc>
        <w:tc>
          <w:tcPr>
            <w:tcW w:w="8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will be held by affiliates and subject to the volume and other restrictions of Rule 144, as described below; and</w:t>
            </w:r>
          </w:p>
        </w:tc>
      </w:tr>
    </w:tbl>
    <w:p>
      <w:pPr>
        <w:spacing w:after="0" w:line="198" w:lineRule="exact"/>
        <w:rPr>
          <w:sz w:val="20"/>
          <w:szCs w:val="20"/>
          <w:color w:val="auto"/>
        </w:rPr>
      </w:pPr>
    </w:p>
    <w:p>
      <w:pPr>
        <w:ind w:left="1520" w:right="440" w:hanging="378"/>
        <w:spacing w:after="0" w:line="282" w:lineRule="auto"/>
        <w:tabs>
          <w:tab w:leader="none" w:pos="15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the shares will be eligible for sale in the public market from time to time thereafter, subject in some cases to the volume and other restrictions of Rule 144, as described below.</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We cannot estimate the number of shares of our common stock that our existing stockholders will elect to sell under Rule 144.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 90 days preceding, a sale, and we are subject to the periodic reporting requirements of the Exchange Act,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completion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220"/>
          </w:cols>
          <w:pgMar w:left="320" w:top="333" w:right="359" w:bottom="1440" w:gutter="0" w:footer="0" w:header="0"/>
        </w:sectPr>
      </w:pPr>
    </w:p>
    <w:p>
      <w:pPr>
        <w:spacing w:after="0" w:line="1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capital stock then outstanding, which will equal shares immediately after the completion of this offering, assuming no exercise by the underwriters of their option to purchase additional shares; or</w:t>
      </w:r>
    </w:p>
    <w:p>
      <w:pPr>
        <w:spacing w:after="0" w:line="162" w:lineRule="exact"/>
        <w:rPr>
          <w:sz w:val="20"/>
          <w:szCs w:val="20"/>
          <w:color w:val="auto"/>
        </w:rPr>
      </w:pPr>
    </w:p>
    <w:p>
      <w:pPr>
        <w:sectPr>
          <w:pgSz w:w="11900" w:h="16838" w:orient="portrait"/>
          <w:cols w:equalWidth="0" w:num="2">
            <w:col w:w="1200" w:space="320"/>
            <w:col w:w="9700"/>
          </w:cols>
          <w:pgMar w:left="320" w:top="333" w:right="359" w:bottom="1440" w:gutter="0" w:footer="0" w:header="0"/>
          <w:type w:val="continuous"/>
        </w:sectPr>
      </w:pPr>
    </w:p>
    <w:p>
      <w:pPr>
        <w:ind w:left="1520" w:right="20" w:hanging="378"/>
        <w:spacing w:after="0" w:line="282" w:lineRule="auto"/>
        <w:tabs>
          <w:tab w:leader="none" w:pos="1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Nasdaq during the four calendar weeks preceding the filing of a notice on Form 144 with respect to such sale.</w:t>
      </w:r>
    </w:p>
    <w:p>
      <w:pPr>
        <w:spacing w:after="0" w:line="152" w:lineRule="exact"/>
        <w:rPr>
          <w:rFonts w:ascii="Times New Roman" w:cs="Times New Roman" w:eastAsia="Times New Roman" w:hAnsi="Times New Roman"/>
          <w:sz w:val="18"/>
          <w:szCs w:val="18"/>
          <w:color w:val="auto"/>
        </w:rPr>
      </w:pPr>
    </w:p>
    <w:p>
      <w:pPr>
        <w:ind w:left="5480" w:hanging="117"/>
        <w:spacing w:after="0"/>
        <w:tabs>
          <w:tab w:leader="none" w:pos="54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62" w:name="page163"/>
    <w:bookmarkEnd w:id="162"/>
    <w:p>
      <w:pPr>
        <w:ind w:left="1020"/>
        <w:spacing w:after="0"/>
        <w:rPr>
          <w:sz w:val="20"/>
          <w:szCs w:val="20"/>
          <w:color w:val="auto"/>
        </w:rPr>
      </w:pPr>
      <w:r>
        <w:rPr>
          <w:rFonts w:ascii="Times New Roman" w:cs="Times New Roman" w:eastAsia="Times New Roman" w:hAnsi="Times New Roman"/>
          <w:sz w:val="18"/>
          <w:szCs w:val="18"/>
          <w:color w:val="auto"/>
        </w:rPr>
        <w:t>provided, in each case, that we have been subject to the Exchange Act periodic reporting requirements for at least 90 days before the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sales both by affiliates and by non-affiliates must also comply with the manner of sale, current public information and notice provisions of Rule 144.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Any of our employees, directors, officers, consultants, advisors or service providers, other than a person who is deemed to have been one of our affiliates during the immediately preceding 90 days, who purchased shares under a written compensatory plan or contract prior to this offering may be entitled to rely on the resale provisions of Rule 701. Rule 701, as currently in effect, permits resales of shares,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 701. All Rule 701 shares are, however, subject to lock-up agreements and will only become eligible for sale upon the expiration of these lock-up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right="120" w:firstLine="1018"/>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and each of our directors and officers and all of our other security holders have agreed that, without the prior written consent of BofA Securities, Inc. and Jefferies LLC, on behalf of the underwriters, we and they will not, subject to certain exceptions, during the period ending 180 days after the date of this prospectus:</w:t>
      </w:r>
    </w:p>
    <w:p>
      <w:pPr>
        <w:spacing w:after="0" w:line="176" w:lineRule="exact"/>
        <w:rPr>
          <w:sz w:val="20"/>
          <w:szCs w:val="20"/>
          <w:color w:val="auto"/>
        </w:rPr>
      </w:pPr>
    </w:p>
    <w:p>
      <w:pPr>
        <w:ind w:left="1520" w:right="120" w:hanging="378"/>
        <w:spacing w:after="0" w:line="261" w:lineRule="auto"/>
        <w:tabs>
          <w:tab w:leader="none" w:pos="1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whether now owned or hereafter acquired or with respect to which such holder has or acquires the power of disposition, of the Lock-up Securities;</w:t>
      </w:r>
    </w:p>
    <w:p>
      <w:pPr>
        <w:spacing w:after="0" w:line="179" w:lineRule="exact"/>
        <w:rPr>
          <w:rFonts w:ascii="Times New Roman" w:cs="Times New Roman" w:eastAsia="Times New Roman" w:hAnsi="Times New Roman"/>
          <w:sz w:val="18"/>
          <w:szCs w:val="18"/>
          <w:color w:val="auto"/>
        </w:rPr>
      </w:pPr>
    </w:p>
    <w:p>
      <w:pPr>
        <w:ind w:left="1520" w:right="160" w:hanging="378"/>
        <w:spacing w:after="0" w:line="266" w:lineRule="auto"/>
        <w:tabs>
          <w:tab w:leader="none" w:pos="1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or transaction that transfers to another, in whole or in part, directly or indirectly, any of the economic consequences of ownership of the Lock-up Securities, whether any such swap or transaction is to be settled by delivery of our common stock or such other securities, in cash or otherwise; or</w:t>
      </w:r>
    </w:p>
    <w:p>
      <w:pPr>
        <w:spacing w:after="0" w:line="17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5" w:lineRule="exact"/>
        <w:rPr>
          <w:sz w:val="20"/>
          <w:szCs w:val="20"/>
          <w:color w:val="auto"/>
        </w:rPr>
      </w:pPr>
    </w:p>
    <w:p>
      <w:pPr>
        <w:ind w:right="180" w:firstLine="1018"/>
        <w:spacing w:after="0" w:line="258" w:lineRule="auto"/>
        <w:rPr>
          <w:sz w:val="20"/>
          <w:szCs w:val="20"/>
          <w:color w:val="auto"/>
        </w:rPr>
      </w:pPr>
      <w:r>
        <w:rPr>
          <w:rFonts w:ascii="Times New Roman" w:cs="Times New Roman" w:eastAsia="Times New Roman" w:hAnsi="Times New Roman"/>
          <w:sz w:val="18"/>
          <w:szCs w:val="18"/>
          <w:color w:val="auto"/>
        </w:rPr>
        <w:t>Each of our directors and executive officers and the holders of substantially all of our outstanding stock and stock options have also agreed during such 180-period not to make any demand for, or exercise any right with respect to, or confidentially submit or cause to be filed or confidentially submitted any registration statement under the Securities Act with respect to, the registration of shares of our common stock or any securities convertible into or exercisable or exchangeable for shares of our common stock, or warrants or other rights to purchase shares of our common stock or any such securities.</w:t>
      </w:r>
    </w:p>
    <w:p>
      <w:pPr>
        <w:spacing w:after="0" w:line="183"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our initial public offering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160" w:firstLine="1018"/>
        <w:spacing w:after="0" w:line="256" w:lineRule="auto"/>
        <w:rPr>
          <w:sz w:val="20"/>
          <w:szCs w:val="20"/>
          <w:color w:val="auto"/>
        </w:rPr>
      </w:pPr>
      <w:r>
        <w:rPr>
          <w:rFonts w:ascii="Times New Roman" w:cs="Times New Roman" w:eastAsia="Times New Roman" w:hAnsi="Times New Roman"/>
          <w:sz w:val="18"/>
          <w:szCs w:val="18"/>
          <w:color w:val="auto"/>
        </w:rPr>
        <w:t>Under our amended and restated investors’ rights agreement, after the completion of this offering, the holders of up to shares of our common stock will, subject to the lock-up agreements referred to above, be entitled to certain rights, subject to certain conditions, to require us to file registration statements covering their shares or to include their shares in registration statements that we may file for ourselves or other stockholders.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9" w:lineRule="exact"/>
        <w:rPr>
          <w:sz w:val="20"/>
          <w:szCs w:val="20"/>
          <w:color w:val="auto"/>
        </w:rPr>
      </w:pPr>
    </w:p>
    <w:p>
      <w:pPr>
        <w:ind w:left="1020"/>
        <w:spacing w:after="0"/>
        <w:tabs>
          <w:tab w:leader="none" w:pos="7340" w:val="left"/>
        </w:tabs>
        <w:rPr>
          <w:sz w:val="20"/>
          <w:szCs w:val="20"/>
          <w:color w:val="auto"/>
        </w:rPr>
      </w:pPr>
      <w:r>
        <w:rPr>
          <w:rFonts w:ascii="Times New Roman" w:cs="Times New Roman" w:eastAsia="Times New Roman" w:hAnsi="Times New Roman"/>
          <w:sz w:val="18"/>
          <w:szCs w:val="18"/>
          <w:color w:val="auto"/>
        </w:rPr>
        <w:t>As of June 30, 2020, we had outstanding options to purchase an aggregate of</w:t>
      </w:r>
      <w:r>
        <w:rPr>
          <w:sz w:val="20"/>
          <w:szCs w:val="20"/>
          <w:color w:val="auto"/>
        </w:rPr>
        <w:tab/>
      </w:r>
      <w:r>
        <w:rPr>
          <w:rFonts w:ascii="Times New Roman" w:cs="Times New Roman" w:eastAsia="Times New Roman" w:hAnsi="Times New Roman"/>
          <w:sz w:val="17"/>
          <w:szCs w:val="17"/>
          <w:color w:val="auto"/>
        </w:rPr>
        <w:t>shares of our common stock under the 2016 Plan.</w:t>
      </w:r>
    </w:p>
    <w:p>
      <w:pPr>
        <w:spacing w:after="0" w:line="2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Following this offering, we intend to file a registration statement on Form S-8 under the Securities Act to register all of the shares of our common stock subject to options outstanding or reserved for issuance under the 2016 Plan, the 2020 Plan and the 2020 ESPP. We expect to file this registration statement as soon as practicable after the completion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NON-U.S. HOLDERS OF OUR COMMON STOCK</w:t>
      </w:r>
    </w:p>
    <w:p>
      <w:pPr>
        <w:spacing w:after="0" w:line="207"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180" w:lineRule="exact"/>
        <w:rPr>
          <w:sz w:val="20"/>
          <w:szCs w:val="20"/>
          <w:color w:val="auto"/>
        </w:rPr>
      </w:pPr>
    </w:p>
    <w:p>
      <w:pPr>
        <w:ind w:left="1520" w:hanging="378"/>
        <w:spacing w:after="0"/>
        <w:tabs>
          <w:tab w:leader="none" w:pos="15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1520" w:hanging="378"/>
        <w:spacing w:after="0" w:line="282" w:lineRule="auto"/>
        <w:tabs>
          <w:tab w:leader="none" w:pos="15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1520" w:right="20" w:hanging="378"/>
        <w:spacing w:after="0" w:line="266" w:lineRule="auto"/>
        <w:tabs>
          <w:tab w:leader="none" w:pos="15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76"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8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 Foreign Account Tax Compliance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4" w:name="page165"/>
    <w:bookmarkEnd w:id="164"/>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94"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229" w:lineRule="exact"/>
        <w:rPr>
          <w:sz w:val="20"/>
          <w:szCs w:val="20"/>
          <w:color w:val="auto"/>
        </w:rPr>
      </w:pPr>
    </w:p>
    <w:p>
      <w:pPr>
        <w:jc w:val="both"/>
        <w:ind w:right="140" w:firstLine="1018"/>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176" w:lineRule="exact"/>
        <w:rPr>
          <w:sz w:val="20"/>
          <w:szCs w:val="20"/>
          <w:color w:val="auto"/>
        </w:rPr>
      </w:pPr>
    </w:p>
    <w:p>
      <w:pPr>
        <w:ind w:left="1520" w:right="160" w:hanging="378"/>
        <w:spacing w:after="0" w:line="289" w:lineRule="auto"/>
        <w:tabs>
          <w:tab w:leader="none" w:pos="15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157" w:lineRule="exact"/>
        <w:rPr>
          <w:rFonts w:ascii="Times New Roman" w:cs="Times New Roman" w:eastAsia="Times New Roman" w:hAnsi="Times New Roman"/>
          <w:sz w:val="17"/>
          <w:szCs w:val="17"/>
          <w:color w:val="auto"/>
        </w:rPr>
      </w:pPr>
    </w:p>
    <w:p>
      <w:pPr>
        <w:ind w:left="1520" w:right="100" w:hanging="378"/>
        <w:spacing w:after="0" w:line="261" w:lineRule="auto"/>
        <w:tabs>
          <w:tab w:leader="none" w:pos="15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179" w:lineRule="exact"/>
        <w:rPr>
          <w:rFonts w:ascii="Times New Roman" w:cs="Times New Roman" w:eastAsia="Times New Roman" w:hAnsi="Times New Roman"/>
          <w:sz w:val="18"/>
          <w:szCs w:val="18"/>
          <w:color w:val="auto"/>
        </w:rPr>
      </w:pPr>
    </w:p>
    <w:p>
      <w:pPr>
        <w:ind w:left="1520" w:right="180" w:hanging="378"/>
        <w:spacing w:after="0" w:line="282" w:lineRule="auto"/>
        <w:tabs>
          <w:tab w:leader="none" w:pos="15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Foreign Investment in Real Property Tax Act, or FIRPTA, treat the gain as effectively connected with a U.S. trade or business.</w:t>
      </w:r>
    </w:p>
    <w:p>
      <w:pPr>
        <w:spacing w:after="0" w:line="162"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jc w:val="both"/>
        <w:ind w:right="180" w:firstLine="1018"/>
        <w:spacing w:after="0" w:line="261"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80"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76" w:lineRule="exact"/>
        <w:rPr>
          <w:sz w:val="20"/>
          <w:szCs w:val="20"/>
          <w:color w:val="auto"/>
        </w:rPr>
      </w:pPr>
    </w:p>
    <w:p>
      <w:pPr>
        <w:ind w:right="160" w:firstLine="1018"/>
        <w:spacing w:after="0" w:line="256"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87" w:lineRule="exact"/>
        <w:rPr>
          <w:sz w:val="20"/>
          <w:szCs w:val="20"/>
          <w:color w:val="auto"/>
        </w:rPr>
      </w:pPr>
    </w:p>
    <w:p>
      <w:pPr>
        <w:ind w:right="280" w:firstLine="101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87"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right="800" w:firstLine="1018"/>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FATCA on their investment in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9" w:lineRule="exact"/>
        <w:rPr>
          <w:sz w:val="20"/>
          <w:szCs w:val="20"/>
          <w:color w:val="auto"/>
        </w:rPr>
      </w:pPr>
    </w:p>
    <w:p>
      <w:pPr>
        <w:jc w:val="both"/>
        <w:ind w:right="80" w:firstLine="1018"/>
        <w:spacing w:after="0" w:line="266" w:lineRule="auto"/>
        <w:rPr>
          <w:sz w:val="20"/>
          <w:szCs w:val="20"/>
          <w:color w:val="auto"/>
        </w:rPr>
      </w:pPr>
      <w:r>
        <w:rPr>
          <w:rFonts w:ascii="Times New Roman" w:cs="Times New Roman" w:eastAsia="Times New Roman" w:hAnsi="Times New Roman"/>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2" w:lineRule="exact"/>
        <w:rPr>
          <w:sz w:val="20"/>
          <w:szCs w:val="20"/>
          <w:color w:val="auto"/>
        </w:rPr>
      </w:pPr>
    </w:p>
    <w:p>
      <w:pPr>
        <w:ind w:right="100" w:firstLine="1018"/>
        <w:spacing w:after="0" w:line="257"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66" w:name="page167"/>
    <w:bookmarkEnd w:id="16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BofA Securities, Inc., Jefferies LLC and Raymond James &amp; Associates,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214" w:lineRule="exact"/>
        <w:rPr>
          <w:sz w:val="20"/>
          <w:szCs w:val="20"/>
          <w:color w:val="auto"/>
        </w:rPr>
      </w:pPr>
    </w:p>
    <w:p>
      <w:pPr>
        <w:ind w:left="1140"/>
        <w:spacing w:after="0"/>
        <w:tabs>
          <w:tab w:leader="none" w:pos="8740" w:val="left"/>
        </w:tabs>
        <w:rPr>
          <w:sz w:val="20"/>
          <w:szCs w:val="20"/>
          <w:color w:val="auto"/>
        </w:rPr>
      </w:pPr>
      <w:r>
        <w:rPr>
          <w:rFonts w:ascii="Times New Roman" w:cs="Times New Roman" w:eastAsia="Times New Roman" w:hAnsi="Times New Roman"/>
          <w:sz w:val="14"/>
          <w:szCs w:val="14"/>
          <w:b w:val="1"/>
          <w:bCs w:val="1"/>
          <w:color w:val="auto"/>
        </w:rPr>
        <w:t>Underwriter</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00395"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LifeSci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6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14605</wp:posOffset>
            </wp:positionV>
            <wp:extent cx="10115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17145</wp:posOffset>
            </wp:positionV>
            <wp:extent cx="10115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34290</wp:posOffset>
            </wp:positionV>
            <wp:extent cx="10115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46"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right="360" w:firstLine="101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81" w:lineRule="exact"/>
        <w:rPr>
          <w:sz w:val="20"/>
          <w:szCs w:val="20"/>
          <w:color w:val="auto"/>
        </w:rPr>
      </w:pPr>
    </w:p>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20" w:type="dxa"/>
            <w:vAlign w:val="bottom"/>
            <w:tcBorders>
              <w:top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120" w:type="dxa"/>
            <w:vAlign w:val="bottom"/>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 and are payable by us. We have also agreed to reimburse the underwriters for their expenses relating to clearance of this offering with the Financial Industry Regulatory Authority in an amount</w:t>
      </w: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up to $</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to purchase up to</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right="240" w:firstLine="1018"/>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and Jefferies LLC. Specifically, we and these other persons have agreed, with certain limited exceptions, not to directly or indirectly</w:t>
      </w:r>
    </w:p>
    <w:p>
      <w:pPr>
        <w:spacing w:after="0" w:line="180" w:lineRule="exact"/>
        <w:rPr>
          <w:sz w:val="20"/>
          <w:szCs w:val="20"/>
          <w:color w:val="auto"/>
        </w:rPr>
      </w:pPr>
    </w:p>
    <w:p>
      <w:pPr>
        <w:ind w:left="1400" w:hanging="380"/>
        <w:spacing w:after="0"/>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common stock,</w:t>
      </w:r>
    </w:p>
    <w:p>
      <w:pPr>
        <w:spacing w:after="0" w:line="225" w:lineRule="exact"/>
        <w:rPr>
          <w:rFonts w:ascii="Times New Roman" w:cs="Times New Roman" w:eastAsia="Times New Roman" w:hAnsi="Times New Roman"/>
          <w:sz w:val="18"/>
          <w:szCs w:val="18"/>
          <w:color w:val="auto"/>
        </w:rPr>
      </w:pPr>
    </w:p>
    <w:p>
      <w:pPr>
        <w:ind w:left="1400" w:right="20" w:hanging="380"/>
        <w:spacing w:after="0" w:line="282" w:lineRule="auto"/>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61"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5"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BofA Securities, Inc. and Jefferies LLC, in their sole discretion, may release the common stock and other securities subject to the lock-up agreements described above in whole or in part at any time with or without notice. In addition, in the event that one or more stockholders is granted an early release from any restriction on transfer described in the lock-up agreements during the lockup period described therein with respect to our securities in an aggregate amount in excess one percent of our issued and outstanding shares of common stock on an as-</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converted to common stock basis (whether in one or multiple releases), then each stockholder holding in excess of percent of the outstanding shares of our securities on an as-converted to common stock basis, or a Major Holder, will automatically be granted an early release on the same terms from the lock-up restrictions on transfer under the lock-up agreement on a pro-rata basis. In the event of an underwritten primary or secondary public offering or sale of our common stock during the period ending 180 days after the date of this prospectus, such early release shall only apply with respect to such Major Holder’s participation in such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expect the shares to be approved for listing on the Nasdaq Global Market, subject to notice of issuance, under the symbol “TARS.”</w:t>
      </w:r>
    </w:p>
    <w:p>
      <w:pPr>
        <w:spacing w:after="0" w:line="225"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76" w:lineRule="exact"/>
        <w:rPr>
          <w:sz w:val="20"/>
          <w:szCs w:val="20"/>
          <w:color w:val="auto"/>
        </w:rPr>
      </w:pPr>
    </w:p>
    <w:p>
      <w:pPr>
        <w:ind w:left="1400" w:hanging="380"/>
        <w:spacing w:after="0"/>
        <w:tabs>
          <w:tab w:leader="none" w:pos="1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multiples of publicly traded companies that the representatives believe to be comparable to us,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information,</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the prospects for, our company and the industry in which we compete,</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its past and present operations, and the prospects for, and timing of, our future revenues,</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and</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factors in relation to market values and various valuation measures of other companies engaged in activities similar to ours.</w:t>
      </w:r>
    </w:p>
    <w:p>
      <w:pPr>
        <w:spacing w:after="0" w:line="215" w:lineRule="exact"/>
        <w:rPr>
          <w:rFonts w:ascii="Times New Roman" w:cs="Times New Roman" w:eastAsia="Times New Roman" w:hAnsi="Times New Roman"/>
          <w:sz w:val="18"/>
          <w:szCs w:val="18"/>
          <w:color w:val="auto"/>
        </w:rPr>
      </w:pPr>
    </w:p>
    <w:p>
      <w:pPr>
        <w:ind w:left="5480" w:hanging="117"/>
        <w:spacing w:after="0"/>
        <w:tabs>
          <w:tab w:leader="none" w:pos="548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8" w:name="page169"/>
    <w:bookmarkEnd w:id="168"/>
    <w:p>
      <w:pPr>
        <w:ind w:firstLine="1018"/>
        <w:spacing w:after="0" w:line="282" w:lineRule="auto"/>
        <w:rPr>
          <w:sz w:val="20"/>
          <w:szCs w:val="20"/>
          <w:color w:val="auto"/>
        </w:rPr>
      </w:pPr>
      <w:r>
        <w:rPr>
          <w:rFonts w:ascii="Times New Roman" w:cs="Times New Roman" w:eastAsia="Times New Roman" w:hAnsi="Times New Roman"/>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underwriters do not expect to sell more than 5% of the shares in the aggregate to accounts over which they exercise discretionary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540" w:firstLine="1018"/>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92"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right="240" w:firstLine="1018"/>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3"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 and the United Kingdom</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83" w:lineRule="exact"/>
        <w:rPr>
          <w:sz w:val="20"/>
          <w:szCs w:val="20"/>
          <w:color w:val="auto"/>
        </w:rPr>
      </w:pPr>
    </w:p>
    <w:p>
      <w:pPr>
        <w:ind w:left="1400" w:hanging="380"/>
        <w:spacing w:after="0"/>
        <w:tabs>
          <w:tab w:leader="none" w:pos="14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left="1400" w:right="580" w:hanging="380"/>
        <w:spacing w:after="0" w:line="282" w:lineRule="auto"/>
        <w:tabs>
          <w:tab w:leader="none" w:pos="14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61" w:lineRule="exact"/>
        <w:rPr>
          <w:rFonts w:ascii="Times New Roman" w:cs="Times New Roman" w:eastAsia="Times New Roman" w:hAnsi="Times New Roman"/>
          <w:sz w:val="18"/>
          <w:szCs w:val="18"/>
          <w:color w:val="auto"/>
        </w:rPr>
      </w:pPr>
    </w:p>
    <w:p>
      <w:pPr>
        <w:ind w:left="1400" w:right="160" w:hanging="380"/>
        <w:spacing w:after="0" w:line="266" w:lineRule="auto"/>
        <w:tabs>
          <w:tab w:leader="none" w:pos="14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the Company or any representative to publish a prospectus pursuant to Article 3 of the Prospectus Regulation or supplement a prospectus pursuant to Article 23 of the Prospectus Regulation.</w:t>
      </w:r>
    </w:p>
    <w:p>
      <w:pPr>
        <w:spacing w:after="0" w:line="176" w:lineRule="exact"/>
        <w:rPr>
          <w:sz w:val="20"/>
          <w:szCs w:val="20"/>
          <w:color w:val="auto"/>
        </w:rPr>
      </w:pPr>
    </w:p>
    <w:p>
      <w:pPr>
        <w:ind w:right="80" w:firstLine="1018"/>
        <w:spacing w:after="0" w:line="282"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the Company and the representatives that it is a qualified investor within the meaning of the Prospectus Regulation.</w:t>
      </w:r>
    </w:p>
    <w:p>
      <w:pPr>
        <w:spacing w:after="0" w:line="162"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83" w:lineRule="exact"/>
        <w:rPr>
          <w:sz w:val="20"/>
          <w:szCs w:val="20"/>
          <w:color w:val="auto"/>
        </w:rPr>
      </w:pPr>
    </w:p>
    <w:p>
      <w:pPr>
        <w:ind w:right="680" w:firstLine="1018"/>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respective affiliates will rely upon the truth and accuracy of the foregoing representations, acknowledgements and agreements.</w:t>
      </w:r>
    </w:p>
    <w:p>
      <w:pPr>
        <w:spacing w:after="0" w:line="162"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6"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UK, the Prospectus Regulation as it forms part of UK domestic law by virtue of the European Union (Withdrawal) Act 2018.</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right="300" w:firstLine="1018"/>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3" w:lineRule="exact"/>
        <w:rPr>
          <w:sz w:val="20"/>
          <w:szCs w:val="20"/>
          <w:color w:val="auto"/>
        </w:rPr>
      </w:pPr>
    </w:p>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9"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9"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jc w:val="both"/>
        <w:ind w:right="320" w:firstLine="1018"/>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225" w:lineRule="exact"/>
        <w:rPr>
          <w:sz w:val="20"/>
          <w:szCs w:val="20"/>
          <w:color w:val="auto"/>
        </w:rPr>
      </w:pPr>
    </w:p>
    <w:p>
      <w:pPr>
        <w:ind w:left="1400" w:right="500" w:hanging="380"/>
        <w:spacing w:after="0" w:line="312" w:lineRule="auto"/>
        <w:tabs>
          <w:tab w:leader="none" w:pos="14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9" w:lineRule="exact"/>
        <w:rPr>
          <w:rFonts w:ascii="Times New Roman" w:cs="Times New Roman" w:eastAsia="Times New Roman" w:hAnsi="Times New Roman"/>
          <w:sz w:val="17"/>
          <w:szCs w:val="17"/>
          <w:color w:val="auto"/>
        </w:rPr>
      </w:pPr>
    </w:p>
    <w:p>
      <w:pPr>
        <w:ind w:left="1400" w:right="100" w:hanging="380"/>
        <w:spacing w:after="0" w:line="261" w:lineRule="auto"/>
        <w:tabs>
          <w:tab w:leader="none" w:pos="14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79" w:lineRule="exact"/>
        <w:rPr>
          <w:rFonts w:ascii="Times New Roman" w:cs="Times New Roman" w:eastAsia="Times New Roman" w:hAnsi="Times New Roman"/>
          <w:sz w:val="18"/>
          <w:szCs w:val="18"/>
          <w:color w:val="auto"/>
        </w:rPr>
      </w:pPr>
    </w:p>
    <w:p>
      <w:pPr>
        <w:ind w:left="1400" w:right="1080" w:hanging="380"/>
        <w:spacing w:after="0" w:line="282" w:lineRule="auto"/>
        <w:tabs>
          <w:tab w:leader="none" w:pos="14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25" w:lineRule="exact"/>
        <w:rPr>
          <w:rFonts w:ascii="Times New Roman" w:cs="Times New Roman" w:eastAsia="Times New Roman" w:hAnsi="Times New Roman"/>
          <w:sz w:val="18"/>
          <w:szCs w:val="18"/>
          <w:color w:val="auto"/>
        </w:rPr>
      </w:pPr>
    </w:p>
    <w:p>
      <w:pPr>
        <w:ind w:left="1400" w:hanging="380"/>
        <w:spacing w:after="0"/>
        <w:tabs>
          <w:tab w:leader="none" w:pos="14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firstLine="1018"/>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169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The validity of the shares of our common stock offered in this prospectus will be passed upon for us by Gunderson Dettmer Stough Villeneuve Franklin &amp; Hachigian, LLP, San Diego, California. Shearman &amp; Sterling LLP, New York, New York is acting as counsel for the underwriters in connection with this offering. Certain investment partnerships comprised of partners of Gunderson Dettmer Stough Villeneuve Franklin &amp; Hachigian, LLP, own an interest representing less than one percent of the shares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1018"/>
        <w:spacing w:after="0" w:line="26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at December 31, 2018 and 2019, and for each of the two years in the period ended December 31, 2019, as set forth in their report. We’ve included our financial statements in the prospectus and elsewhere in the registration statement in reliance on Ernst &amp; Young LLP’s report, given on their authority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schedules and amendments to the registration statement. Please refer to the registration statement and to the exhibits and schedules for further information with respect to the common stock offered by this prospectus. Statements contained in this prospectus regarding the contents of any contract, agreement or other document are only summaries. With respect to any contract, agreement or document that is filed as an exhibit to the registration statement, you should refer to the exhibit for a copy of the contract, agreement or document, and each statement in this prospectus regarding that contract, agreement or document is qualified by reference to the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 The information on the SEC’s web site is not part of this prospectus, and any references to this web site or any other web site are inactive textual references only.</w:t>
      </w:r>
    </w:p>
    <w:p>
      <w:pPr>
        <w:spacing w:after="0" w:line="194"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Upon completion of this offering, we will become subject to the information and reporting requirements of the Exchange Act, and, in accordance with this law, will be required to file periodic reports, proxy statements and other information with the SEC. These periodic reports, proxy statements and other information will be available on the SEC’s website referred to above. We also maintain a website at www.tarsusrx.com,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170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73" w:name="page174"/>
    <w:bookmarkEnd w:id="17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THE FINANCIAL STATEMENTS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175">
              <w:r>
                <w:rPr>
                  <w:rFonts w:ascii="Times New Roman" w:cs="Times New Roman" w:eastAsia="Times New Roman" w:hAnsi="Times New Roman"/>
                  <w:sz w:val="18"/>
                  <w:szCs w:val="18"/>
                  <w:u w:val="single" w:color="auto"/>
                  <w:color w:val="0000EE"/>
                </w:rPr>
                <w:t>Report of Independent Registered Public Accounting Firm</w:t>
              </w:r>
            </w:hyperlink>
          </w:p>
        </w:tc>
        <w:tc>
          <w:tcPr>
            <w:tcW w:w="5380" w:type="dxa"/>
            <w:vAlign w:val="bottom"/>
          </w:tcPr>
          <w:p>
            <w:pPr>
              <w:spacing w:after="0"/>
              <w:rPr>
                <w:sz w:val="15"/>
                <w:szCs w:val="15"/>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205"/>
        </w:trPr>
        <w:tc>
          <w:tcPr>
            <w:tcW w:w="4860" w:type="dxa"/>
            <w:vAlign w:val="bottom"/>
            <w:vMerge w:val="continue"/>
          </w:tcPr>
          <w:p>
            <w:pPr>
              <w:spacing w:after="0"/>
              <w:rPr>
                <w:sz w:val="17"/>
                <w:szCs w:val="17"/>
                <w:color w:val="auto"/>
              </w:rPr>
            </w:pPr>
          </w:p>
        </w:tc>
        <w:tc>
          <w:tcPr>
            <w:tcW w:w="5380" w:type="dxa"/>
            <w:vAlign w:val="bottom"/>
          </w:tcPr>
          <w:p>
            <w:pPr>
              <w:spacing w:after="0"/>
              <w:rPr>
                <w:sz w:val="17"/>
                <w:szCs w:val="17"/>
                <w:color w:val="auto"/>
              </w:rPr>
            </w:pPr>
          </w:p>
        </w:tc>
        <w:tc>
          <w:tcPr>
            <w:tcW w:w="1000" w:type="dxa"/>
            <w:vAlign w:val="bottom"/>
            <w:tcBorders>
              <w:top w:val="single" w:sz="8" w:color="auto"/>
            </w:tcBorders>
          </w:tcPr>
          <w:p>
            <w:pPr>
              <w:ind w:left="760"/>
              <w:spacing w:after="0" w:line="205"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176">
              <w:r>
                <w:rPr>
                  <w:rFonts w:ascii="Times New Roman" w:cs="Times New Roman" w:eastAsia="Times New Roman" w:hAnsi="Times New Roman"/>
                  <w:sz w:val="18"/>
                  <w:szCs w:val="18"/>
                  <w:u w:val="single" w:color="auto"/>
                  <w:color w:val="0000EE"/>
                </w:rPr>
                <w:t>Balance Sheets</w:t>
              </w:r>
            </w:hyperlink>
          </w:p>
        </w:tc>
        <w:tc>
          <w:tcPr>
            <w:tcW w:w="538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29"/>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177">
              <w:r>
                <w:rPr>
                  <w:rFonts w:ascii="Times New Roman" w:cs="Times New Roman" w:eastAsia="Times New Roman" w:hAnsi="Times New Roman"/>
                  <w:sz w:val="18"/>
                  <w:szCs w:val="18"/>
                  <w:u w:val="single" w:color="auto"/>
                  <w:color w:val="0000EE"/>
                </w:rPr>
                <w:t>Statements of Operations and Comprehensive Loss</w:t>
              </w:r>
            </w:hyperlink>
          </w:p>
        </w:tc>
        <w:tc>
          <w:tcPr>
            <w:tcW w:w="538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30"/>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178">
              <w:r>
                <w:rPr>
                  <w:rFonts w:ascii="Times New Roman" w:cs="Times New Roman" w:eastAsia="Times New Roman" w:hAnsi="Times New Roman"/>
                  <w:sz w:val="18"/>
                  <w:szCs w:val="18"/>
                  <w:u w:val="single" w:color="auto"/>
                  <w:color w:val="0000EE"/>
                </w:rPr>
                <w:t>Statements of Preferred Stock and Stockholders’ Deficit</w:t>
              </w:r>
            </w:hyperlink>
          </w:p>
        </w:tc>
        <w:tc>
          <w:tcPr>
            <w:tcW w:w="538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29"/>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179">
              <w:r>
                <w:rPr>
                  <w:rFonts w:ascii="Times New Roman" w:cs="Times New Roman" w:eastAsia="Times New Roman" w:hAnsi="Times New Roman"/>
                  <w:sz w:val="18"/>
                  <w:szCs w:val="18"/>
                  <w:u w:val="single" w:color="auto"/>
                  <w:color w:val="0000EE"/>
                </w:rPr>
                <w:t>Statements of Cash Flows</w:t>
              </w:r>
            </w:hyperlink>
          </w:p>
        </w:tc>
        <w:tc>
          <w:tcPr>
            <w:tcW w:w="538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34"/>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Notes to Financial Statements</w:t>
              </w:r>
            </w:hyperlink>
          </w:p>
        </w:tc>
        <w:tc>
          <w:tcPr>
            <w:tcW w:w="5380" w:type="dxa"/>
            <w:vAlign w:val="bottom"/>
          </w:tcPr>
          <w:p>
            <w:pPr>
              <w:spacing w:after="0"/>
              <w:rPr>
                <w:sz w:val="20"/>
                <w:szCs w:val="20"/>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675"/>
        </w:trPr>
        <w:tc>
          <w:tcPr>
            <w:tcW w:w="4860" w:type="dxa"/>
            <w:vAlign w:val="bottom"/>
          </w:tcPr>
          <w:p>
            <w:pPr>
              <w:spacing w:after="0"/>
              <w:rPr>
                <w:sz w:val="24"/>
                <w:szCs w:val="24"/>
                <w:color w:val="auto"/>
              </w:rPr>
            </w:pPr>
          </w:p>
        </w:tc>
        <w:tc>
          <w:tcPr>
            <w:tcW w:w="64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71" w:right="319" w:bottom="1440" w:gutter="0" w:footer="0" w:header="0"/>
        </w:sectPr>
      </w:pPr>
    </w:p>
    <w:bookmarkStart w:id="174" w:name="page175"/>
    <w:bookmarkEnd w:id="17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Stockholders and the Board of Directors of Tarsus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40" w:firstLine="499"/>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Tarsus Pharmaceuticals, Inc. (the Company) as of December 31, 2018 and 2019, the related statements of operations and comprehensive loss,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60" w:firstLine="49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firstLine="499"/>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June 30,</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2,355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57,952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53,135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53,135</w:t>
            </w: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Restricted cash</w:t>
            </w:r>
          </w:p>
        </w:tc>
        <w:tc>
          <w:tcPr>
            <w:tcW w:w="7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receivables</w:t>
            </w: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1,549</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7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58,030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54,706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54,706</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of accumulated depreciation</w:t>
            </w:r>
          </w:p>
        </w:tc>
        <w:tc>
          <w:tcPr>
            <w:tcW w:w="7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7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700" w:type="dxa"/>
            <w:vAlign w:val="bottom"/>
            <w:tcBorders>
              <w:top w:val="single" w:sz="8" w:color="auto"/>
              <w:bottom w:val="single" w:sz="8" w:color="auto"/>
            </w:tcBorders>
            <w:shd w:val="clear" w:color="auto" w:fill="CFF0FC"/>
          </w:tcPr>
          <w:p>
            <w:pPr>
              <w:jc w:val="right"/>
              <w:ind w:right="5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58,316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56,239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56,239</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w:t>
            </w: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(DEFICIT) EQUITY</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70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4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2,803</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7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07"/>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700" w:type="dxa"/>
            <w:vAlign w:val="bottom"/>
          </w:tcPr>
          <w:p>
            <w:pPr>
              <w:spacing w:after="0"/>
              <w:rPr>
                <w:sz w:val="17"/>
                <w:szCs w:val="17"/>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7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919</w:t>
            </w:r>
          </w:p>
        </w:tc>
        <w:tc>
          <w:tcPr>
            <w:tcW w:w="1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3,872</w:t>
            </w:r>
          </w:p>
        </w:tc>
        <w:tc>
          <w:tcPr>
            <w:tcW w:w="1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3,872</w:t>
            </w: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10)</w:t>
            </w:r>
          </w:p>
        </w:tc>
        <w:tc>
          <w:tcPr>
            <w:tcW w:w="7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Series A Preferred Stock, $0.001 par value; 11,698,716 shares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authorized, issued and outstanding at December 31, 2018,</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December 31, 2019, and June 30, 2020 (unaudited);</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liquidation preference of $3,650 at December 31, 2018,</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December 31, 2019 and June 30, 2020 (unaudited); no</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authorized, issued or outstanding, pro forma (unaudited)</w:t>
            </w:r>
          </w:p>
        </w:tc>
        <w:tc>
          <w:tcPr>
            <w:tcW w:w="7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3,564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Series B Preferred Stock, $0.001 par value; zero shares authorized,</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issued or outstanding at December 31, 2018 and 50,000,000 shares</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authorized and 49,578,623 shares issued and outstanding at</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December 31, 2019 and June 30, 2020 (unaudited); liquidation</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preference of $0 at December 31, 2018, and $60,010 at</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December 31, 2019 and June 30, 2020, (unaudited); no shares</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authorized, issued or outstanding, pro forma (unaudited)</w:t>
            </w:r>
          </w:p>
        </w:tc>
        <w:tc>
          <w:tcPr>
            <w:tcW w:w="7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59,838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59,838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 $0.0001 par value; 103,000,000 shares authorized;</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19,890,000 shares issued and 15,441,387 outstanding excluding</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4,448,613 shares subject to repurchase at December 31, 2018;</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19,690,000 shares issued and 19,658,055 outstanding excluding</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31,945 shares subject to repurchase at December 31, 2019;</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20,198,000 shares issued and 19,698,000 outstanding with</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500,000 shares subject to repurchase at June 30, 2020 (unaudited);</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103,000,000 shares authorized, 81,475,339 shares issued and</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80,975,339 outstanding with 500,000 shares subject to repurchase</w:t>
            </w:r>
          </w:p>
        </w:tc>
        <w:tc>
          <w:tcPr>
            <w:tcW w:w="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 forma (unaudited)</w:t>
            </w:r>
          </w:p>
        </w:tc>
        <w:tc>
          <w:tcPr>
            <w:tcW w:w="7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7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63,600</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7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(1,364)</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(11,241)</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(11,241)</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 equity</w:t>
            </w: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(1,354)</w:t>
            </w:r>
          </w:p>
        </w:tc>
        <w:tc>
          <w:tcPr>
            <w:tcW w:w="1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(11,035)</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52,367</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preferred stock and stockholders’ (deficit) equity</w:t>
            </w:r>
          </w:p>
        </w:tc>
        <w:tc>
          <w:tcPr>
            <w:tcW w:w="700" w:type="dxa"/>
            <w:vAlign w:val="bottom"/>
            <w:tcBorders>
              <w:bottom w:val="single" w:sz="8" w:color="auto"/>
            </w:tcBorders>
            <w:shd w:val="clear" w:color="auto" w:fill="CFF0FC"/>
          </w:tcPr>
          <w:p>
            <w:pPr>
              <w:jc w:val="right"/>
              <w:ind w:right="5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2,389</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58,316</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56,239</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56,239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gridSpan w:val="4"/>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2,066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1,136</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4,298</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05"/>
        </w:trPr>
        <w:tc>
          <w:tcPr>
            <w:tcW w:w="58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 before other income (expense) and income</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192"/>
        </w:trPr>
        <w:tc>
          <w:tcPr>
            <w:tcW w:w="58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8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per share attributable to common stockholders, basic and diluted</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13,068,854</w:t>
            </w:r>
          </w:p>
        </w:tc>
        <w:tc>
          <w:tcPr>
            <w:tcW w:w="1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17,728,991</w:t>
            </w:r>
          </w:p>
        </w:tc>
        <w:tc>
          <w:tcPr>
            <w:tcW w:w="1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16,580,269</w:t>
            </w:r>
          </w:p>
        </w:tc>
        <w:tc>
          <w:tcPr>
            <w:tcW w:w="1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19,689,426</w:t>
            </w:r>
          </w:p>
        </w:tc>
        <w:tc>
          <w:tcPr>
            <w:tcW w:w="0" w:type="dxa"/>
            <w:vAlign w:val="bottom"/>
          </w:tcPr>
          <w:p>
            <w:pPr>
              <w:spacing w:after="0"/>
              <w:rPr>
                <w:sz w:val="1"/>
                <w:szCs w:val="1"/>
                <w:color w:val="auto"/>
              </w:rPr>
            </w:pPr>
          </w:p>
        </w:tc>
      </w:tr>
      <w:tr>
        <w:trPr>
          <w:trHeight w:val="192"/>
        </w:trPr>
        <w:tc>
          <w:tcPr>
            <w:tcW w:w="58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Pro forma net loss per share attributable to common stockholders,</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and diluted (unaudited)</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 forma</w:t>
            </w: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(unaudited)</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32,008,512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80,966,765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PREFERRED STOCK AND STOCKHOLDERS’ DEFICIT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240"/>
          </w:cols>
          <w:pgMar w:left="320" w:top="333"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040" w:type="dxa"/>
            <w:vAlign w:val="bottom"/>
          </w:tcPr>
          <w:p>
            <w:pPr>
              <w:spacing w:after="0"/>
              <w:rPr>
                <w:sz w:val="24"/>
                <w:szCs w:val="24"/>
                <w:color w:val="auto"/>
              </w:rPr>
            </w:pPr>
          </w:p>
        </w:tc>
        <w:tc>
          <w:tcPr>
            <w:tcW w:w="2040" w:type="dxa"/>
            <w:vAlign w:val="bottom"/>
            <w:tcBorders>
              <w:bottom w:val="single" w:sz="8" w:color="auto"/>
              <w:right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56"/>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2017</w:t>
            </w:r>
          </w:p>
        </w:tc>
        <w:tc>
          <w:tcPr>
            <w:tcW w:w="116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780" w:type="dxa"/>
            <w:vAlign w:val="bottom"/>
            <w:tcBorders>
              <w:right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8"/>
        </w:trPr>
        <w:tc>
          <w:tcPr>
            <w:tcW w:w="4040" w:type="dxa"/>
            <w:vAlign w:val="bottom"/>
            <w:vMerge w:val="continue"/>
          </w:tcPr>
          <w:p>
            <w:pPr>
              <w:spacing w:after="0"/>
              <w:rPr>
                <w:sz w:val="18"/>
                <w:szCs w:val="18"/>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Recognition of stock-based compensation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common stock under stock</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agreements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Vesting of founder shares subject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Lapse of repurchase rights related to common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issued pursuant to early exercises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Series A Preferred Stock for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net of issuance costs of $86</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11,698,716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1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11,698,716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Recognition of stock-based compensation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Vesting of founder shares subject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Lapse of repurchase rights related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 pursuant to early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Series B Preferred Stock upon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1,991,052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Series B Preferred Stock for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net of issuance costs of $172</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47,587,571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57,428</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61,277,339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63,402</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11,698,716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(unaudited)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Recognition of stock-based compensation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 (unaudited)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Vesting of founder shares subject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(unaudited)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Lapse of repurchase rights related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 pursuant to early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exercises (unaudited)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2019 (unaudited)</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11,698,716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61,277,339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63,402</w:t>
            </w: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(unaudited)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Recognition of stock-based compensation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 (unaudited)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Lapse of repurchase rights related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 pursuant to early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exercises (unaudited)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of vested stock options (unaudited)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2020 (unaudited)</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61,277,339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63,402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-6471285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283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-5605780</wp:posOffset>
            </wp:positionV>
            <wp:extent cx="7132320" cy="283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-5039995</wp:posOffset>
            </wp:positionV>
            <wp:extent cx="7132320" cy="283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-4602480</wp:posOffset>
            </wp:positionV>
            <wp:extent cx="713232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-4173855</wp:posOffset>
            </wp:positionV>
            <wp:extent cx="7132320" cy="283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-3470910</wp:posOffset>
            </wp:positionV>
            <wp:extent cx="7132320" cy="2825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-2905125</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2825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145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419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62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1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1040" w:type="dxa"/>
            <w:vAlign w:val="bottom"/>
            <w:tcBorders>
              <w:top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90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8"/>
        </w:trPr>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10,651,388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446"/>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45"/>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6"/>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749,999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6"/>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15,441,387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4"/>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445"/>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46"/>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3,666,667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62"/>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550,001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19,658,055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30"/>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15,441,387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4"/>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446"/>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45"/>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61"/>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375,001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17,816,388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30"/>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19,658,055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34"/>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445"/>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657"/>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31,945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19,698,000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060" w:space="100"/>
            <w:col w:w="5080"/>
          </w:cols>
          <w:pgMar w:left="320" w:top="33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these financial statements.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100" w:type="dxa"/>
            <w:vAlign w:val="bottom"/>
            <w:gridSpan w:val="4"/>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100" w:type="dxa"/>
            <w:vAlign w:val="bottom"/>
            <w:tcBorders>
              <w:bottom w:val="single" w:sz="8" w:color="auto"/>
            </w:tcBorders>
            <w:gridSpan w:val="4"/>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56"/>
        </w:trPr>
        <w:tc>
          <w:tcPr>
            <w:tcW w:w="58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40" w:type="dxa"/>
            <w:vAlign w:val="bottom"/>
          </w:tcPr>
          <w:p>
            <w:pPr>
              <w:spacing w:after="0"/>
              <w:rPr>
                <w:sz w:val="14"/>
                <w:szCs w:val="14"/>
                <w:color w:val="auto"/>
              </w:rPr>
            </w:pPr>
          </w:p>
        </w:tc>
        <w:tc>
          <w:tcPr>
            <w:tcW w:w="720" w:type="dxa"/>
            <w:vAlign w:val="bottom"/>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14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60" w:type="dxa"/>
            <w:vAlign w:val="bottom"/>
          </w:tcPr>
          <w:p>
            <w:pPr>
              <w:spacing w:after="0"/>
              <w:rPr>
                <w:sz w:val="14"/>
                <w:szCs w:val="14"/>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4"/>
                <w:szCs w:val="14"/>
                <w:i w:val="1"/>
                <w:iCs w:val="1"/>
                <w:color w:val="auto"/>
              </w:rPr>
              <w:t>(Note 5)</w:t>
            </w: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xml:space="preserve">Amortization of operating lease right-of-use asset </w:t>
            </w:r>
            <w:r>
              <w:rPr>
                <w:rFonts w:ascii="Times New Roman" w:cs="Times New Roman" w:eastAsia="Times New Roman" w:hAnsi="Times New Roman"/>
                <w:sz w:val="14"/>
                <w:szCs w:val="14"/>
                <w:i w:val="1"/>
                <w:iCs w:val="1"/>
                <w:color w:val="auto"/>
              </w:rPr>
              <w:t>(Note 10(a))</w:t>
            </w:r>
          </w:p>
        </w:tc>
        <w:tc>
          <w:tcPr>
            <w:tcW w:w="7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 xml:space="preserve">Change in fair value of derivative liabilities </w:t>
            </w:r>
            <w:r>
              <w:rPr>
                <w:rFonts w:ascii="Times New Roman" w:cs="Times New Roman" w:eastAsia="Times New Roman" w:hAnsi="Times New Roman"/>
                <w:sz w:val="14"/>
                <w:szCs w:val="14"/>
                <w:i w:val="1"/>
                <w:iCs w:val="1"/>
                <w:color w:val="auto"/>
              </w:rPr>
              <w:t>(Note 9)</w:t>
            </w:r>
          </w:p>
        </w:tc>
        <w:tc>
          <w:tcPr>
            <w:tcW w:w="7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Non-cash related party interest expense</w:t>
            </w:r>
          </w:p>
        </w:tc>
        <w:tc>
          <w:tcPr>
            <w:tcW w:w="7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 xml:space="preserve">Loss on extinguishment of convertible notes </w:t>
            </w:r>
            <w:r>
              <w:rPr>
                <w:rFonts w:ascii="Times New Roman" w:cs="Times New Roman" w:eastAsia="Times New Roman" w:hAnsi="Times New Roman"/>
                <w:sz w:val="14"/>
                <w:szCs w:val="14"/>
                <w:i w:val="1"/>
                <w:iCs w:val="1"/>
                <w:color w:val="auto"/>
              </w:rPr>
              <w:t>(Note 9)</w:t>
            </w:r>
          </w:p>
        </w:tc>
        <w:tc>
          <w:tcPr>
            <w:tcW w:w="7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receivables</w:t>
            </w: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7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non-current assets</w:t>
            </w:r>
          </w:p>
        </w:tc>
        <w:tc>
          <w:tcPr>
            <w:tcW w:w="7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7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1,953</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7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296</w:t>
            </w:r>
          </w:p>
        </w:tc>
        <w:tc>
          <w:tcPr>
            <w:tcW w:w="1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7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(1,183)</w:t>
            </w:r>
          </w:p>
        </w:tc>
        <w:tc>
          <w:tcPr>
            <w:tcW w:w="1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(3,673)</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(2,297)</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(4,553)</w:t>
            </w:r>
          </w:p>
        </w:tc>
        <w:tc>
          <w:tcPr>
            <w:tcW w:w="0" w:type="dxa"/>
            <w:vAlign w:val="bottom"/>
          </w:tcPr>
          <w:p>
            <w:pPr>
              <w:spacing w:after="0"/>
              <w:rPr>
                <w:sz w:val="1"/>
                <w:szCs w:val="1"/>
                <w:color w:val="auto"/>
              </w:rPr>
            </w:pPr>
          </w:p>
        </w:tc>
      </w:tr>
      <w:tr>
        <w:trPr>
          <w:trHeight w:val="155"/>
        </w:trPr>
        <w:tc>
          <w:tcPr>
            <w:tcW w:w="58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55"/>
        </w:trPr>
        <w:tc>
          <w:tcPr>
            <w:tcW w:w="5840" w:type="dxa"/>
            <w:vAlign w:val="bottom"/>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Cash used in investing activities</w:t>
            </w:r>
          </w:p>
        </w:tc>
        <w:tc>
          <w:tcPr>
            <w:tcW w:w="7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(175)</w:t>
            </w:r>
          </w:p>
        </w:tc>
        <w:tc>
          <w:tcPr>
            <w:tcW w:w="14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(145)</w:t>
            </w:r>
          </w:p>
        </w:tc>
        <w:tc>
          <w:tcPr>
            <w:tcW w:w="160" w:type="dxa"/>
            <w:vAlign w:val="bottom"/>
            <w:tcBorders>
              <w:right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40" w:type="dxa"/>
            <w:vAlign w:val="bottom"/>
            <w:shd w:val="clear" w:color="auto" w:fill="CFF0FC"/>
          </w:tcPr>
          <w:p>
            <w:pPr>
              <w:ind w:left="260"/>
              <w:spacing w:after="0" w:line="137" w:lineRule="exact"/>
              <w:rPr>
                <w:sz w:val="20"/>
                <w:szCs w:val="20"/>
                <w:color w:val="auto"/>
              </w:rPr>
            </w:pPr>
            <w:r>
              <w:rPr>
                <w:rFonts w:ascii="Times New Roman" w:cs="Times New Roman" w:eastAsia="Times New Roman" w:hAnsi="Times New Roman"/>
                <w:sz w:val="14"/>
                <w:szCs w:val="14"/>
                <w:color w:val="auto"/>
              </w:rPr>
              <w:t>Proceeds from issuance of Series A Preferred Stock, net of issuance costs</w:t>
            </w:r>
          </w:p>
        </w:tc>
        <w:tc>
          <w:tcPr>
            <w:tcW w:w="72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3,564</w:t>
            </w: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116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5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i w:val="1"/>
                <w:iCs w:val="1"/>
                <w:color w:val="auto"/>
              </w:rPr>
              <w:t>(Note 4)</w:t>
            </w:r>
          </w:p>
        </w:tc>
        <w:tc>
          <w:tcPr>
            <w:tcW w:w="72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tcBorders>
              <w:right w:val="single" w:sz="8" w:color="CFF0FC"/>
            </w:tcBorders>
            <w:gridSpan w:val="2"/>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84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Proceeds from issuance of Series B Preferred Stock, net of issuance costs</w:t>
            </w:r>
          </w:p>
        </w:tc>
        <w:tc>
          <w:tcPr>
            <w:tcW w:w="720" w:type="dxa"/>
            <w:vAlign w:val="bottom"/>
          </w:tcPr>
          <w:p>
            <w:pPr>
              <w:spacing w:after="0"/>
              <w:rPr>
                <w:sz w:val="11"/>
                <w:szCs w:val="11"/>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8"/>
              </w:rPr>
              <w:t>57,456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3"/>
        </w:trPr>
        <w:tc>
          <w:tcPr>
            <w:tcW w:w="584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(Note 4)</w:t>
            </w:r>
          </w:p>
        </w:tc>
        <w:tc>
          <w:tcPr>
            <w:tcW w:w="7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 xml:space="preserve">Proceeds from issuance of convertible notes, net of issuance costs </w:t>
            </w:r>
            <w:r>
              <w:rPr>
                <w:rFonts w:ascii="Times New Roman" w:cs="Times New Roman" w:eastAsia="Times New Roman" w:hAnsi="Times New Roman"/>
                <w:sz w:val="14"/>
                <w:szCs w:val="14"/>
                <w:i w:val="1"/>
                <w:iCs w:val="1"/>
                <w:color w:val="auto"/>
              </w:rPr>
              <w:t>(Note 9)</w:t>
            </w:r>
          </w:p>
        </w:tc>
        <w:tc>
          <w:tcPr>
            <w:tcW w:w="7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1,989</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early exercise of stock options</w:t>
            </w:r>
          </w:p>
        </w:tc>
        <w:tc>
          <w:tcPr>
            <w:tcW w:w="7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55"/>
        </w:trPr>
        <w:tc>
          <w:tcPr>
            <w:tcW w:w="584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3,564</w:t>
            </w:r>
          </w:p>
        </w:tc>
        <w:tc>
          <w:tcPr>
            <w:tcW w:w="14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98"/>
              </w:rPr>
              <w:t>59,445</w:t>
            </w: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7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2,374</w:t>
            </w:r>
          </w:p>
        </w:tc>
        <w:tc>
          <w:tcPr>
            <w:tcW w:w="1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98"/>
              </w:rPr>
              <w:t>55,597</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(1,942)</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(4,817)</w:t>
            </w:r>
          </w:p>
        </w:tc>
        <w:tc>
          <w:tcPr>
            <w:tcW w:w="0" w:type="dxa"/>
            <w:vAlign w:val="bottom"/>
          </w:tcPr>
          <w:p>
            <w:pPr>
              <w:spacing w:after="0"/>
              <w:rPr>
                <w:sz w:val="1"/>
                <w:szCs w:val="1"/>
                <w:color w:val="auto"/>
              </w:rPr>
            </w:pPr>
          </w:p>
        </w:tc>
      </w:tr>
      <w:tr>
        <w:trPr>
          <w:trHeight w:val="155"/>
        </w:trPr>
        <w:tc>
          <w:tcPr>
            <w:tcW w:w="58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year</w:t>
            </w:r>
          </w:p>
        </w:tc>
        <w:tc>
          <w:tcPr>
            <w:tcW w:w="7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2,375</w:t>
            </w:r>
          </w:p>
        </w:tc>
        <w:tc>
          <w:tcPr>
            <w:tcW w:w="14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2,375</w:t>
            </w:r>
          </w:p>
        </w:tc>
        <w:tc>
          <w:tcPr>
            <w:tcW w:w="160" w:type="dxa"/>
            <w:vAlign w:val="bottom"/>
            <w:tcBorders>
              <w:right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57,972</w:t>
            </w:r>
          </w:p>
        </w:tc>
        <w:tc>
          <w:tcPr>
            <w:tcW w:w="0" w:type="dxa"/>
            <w:vAlign w:val="bottom"/>
          </w:tcPr>
          <w:p>
            <w:pPr>
              <w:spacing w:after="0"/>
              <w:rPr>
                <w:sz w:val="1"/>
                <w:szCs w:val="1"/>
                <w:color w:val="auto"/>
              </w:rPr>
            </w:pPr>
          </w:p>
        </w:tc>
      </w:tr>
      <w:tr>
        <w:trPr>
          <w:trHeight w:val="195"/>
        </w:trPr>
        <w:tc>
          <w:tcPr>
            <w:tcW w:w="58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 end of year</w:t>
            </w:r>
          </w:p>
        </w:tc>
        <w:tc>
          <w:tcPr>
            <w:tcW w:w="720" w:type="dxa"/>
            <w:vAlign w:val="bottom"/>
            <w:tcBorders>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2,375</w:t>
            </w:r>
          </w:p>
        </w:tc>
        <w:tc>
          <w:tcPr>
            <w:tcW w:w="14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98"/>
              </w:rPr>
              <w:t>57,972</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433</w:t>
            </w:r>
          </w:p>
        </w:tc>
        <w:tc>
          <w:tcPr>
            <w:tcW w:w="1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53,155</w:t>
            </w:r>
          </w:p>
        </w:tc>
        <w:tc>
          <w:tcPr>
            <w:tcW w:w="0" w:type="dxa"/>
            <w:vAlign w:val="bottom"/>
          </w:tcPr>
          <w:p>
            <w:pPr>
              <w:spacing w:after="0"/>
              <w:rPr>
                <w:sz w:val="1"/>
                <w:szCs w:val="1"/>
                <w:color w:val="auto"/>
              </w:rPr>
            </w:pPr>
          </w:p>
        </w:tc>
      </w:tr>
      <w:tr>
        <w:trPr>
          <w:trHeight w:val="143"/>
        </w:trPr>
        <w:tc>
          <w:tcPr>
            <w:tcW w:w="584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7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2,355</w:t>
            </w:r>
          </w:p>
        </w:tc>
        <w:tc>
          <w:tcPr>
            <w:tcW w:w="140" w:type="dxa"/>
            <w:vAlign w:val="bottom"/>
          </w:tcPr>
          <w:p>
            <w:pPr>
              <w:spacing w:after="0"/>
              <w:rPr>
                <w:sz w:val="14"/>
                <w:szCs w:val="14"/>
                <w:color w:val="auto"/>
              </w:rPr>
            </w:pPr>
          </w:p>
        </w:tc>
        <w:tc>
          <w:tcPr>
            <w:tcW w:w="720" w:type="dxa"/>
            <w:vAlign w:val="bottom"/>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57,952</w:t>
            </w:r>
          </w:p>
        </w:tc>
        <w:tc>
          <w:tcPr>
            <w:tcW w:w="14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413</w:t>
            </w:r>
          </w:p>
        </w:tc>
        <w:tc>
          <w:tcPr>
            <w:tcW w:w="160" w:type="dxa"/>
            <w:vAlign w:val="bottom"/>
          </w:tcPr>
          <w:p>
            <w:pPr>
              <w:spacing w:after="0"/>
              <w:rPr>
                <w:sz w:val="14"/>
                <w:szCs w:val="14"/>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53,135</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Restricted cash</w:t>
            </w:r>
          </w:p>
        </w:tc>
        <w:tc>
          <w:tcPr>
            <w:tcW w:w="7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5840" w:type="dxa"/>
            <w:vAlign w:val="bottom"/>
            <w:tcBorders>
              <w:bottom w:val="single" w:sz="8" w:color="CFF0FC"/>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w:t>
            </w:r>
          </w:p>
        </w:tc>
        <w:tc>
          <w:tcPr>
            <w:tcW w:w="720" w:type="dxa"/>
            <w:vAlign w:val="bottom"/>
            <w:tcBorders>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2,375</w:t>
            </w:r>
          </w:p>
        </w:tc>
        <w:tc>
          <w:tcPr>
            <w:tcW w:w="14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98"/>
              </w:rPr>
              <w:t>57,972</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433</w:t>
            </w:r>
          </w:p>
        </w:tc>
        <w:tc>
          <w:tcPr>
            <w:tcW w:w="1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53,155</w:t>
            </w:r>
          </w:p>
        </w:tc>
        <w:tc>
          <w:tcPr>
            <w:tcW w:w="0" w:type="dxa"/>
            <w:vAlign w:val="bottom"/>
          </w:tcPr>
          <w:p>
            <w:pPr>
              <w:spacing w:after="0"/>
              <w:rPr>
                <w:sz w:val="1"/>
                <w:szCs w:val="1"/>
                <w:color w:val="auto"/>
              </w:rPr>
            </w:pPr>
          </w:p>
        </w:tc>
      </w:tr>
      <w:tr>
        <w:trPr>
          <w:trHeight w:val="143"/>
        </w:trPr>
        <w:tc>
          <w:tcPr>
            <w:tcW w:w="584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Supplemental Disclosures Noncash Investing and Financing Activities:</w:t>
            </w:r>
          </w:p>
        </w:tc>
        <w:tc>
          <w:tcPr>
            <w:tcW w:w="7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ind w:left="500"/>
              <w:spacing w:after="0" w:line="139" w:lineRule="exact"/>
              <w:rPr>
                <w:sz w:val="20"/>
                <w:szCs w:val="20"/>
                <w:color w:val="auto"/>
              </w:rPr>
            </w:pPr>
            <w:r>
              <w:rPr>
                <w:rFonts w:ascii="Times New Roman" w:cs="Times New Roman" w:eastAsia="Times New Roman" w:hAnsi="Times New Roman"/>
                <w:sz w:val="14"/>
                <w:szCs w:val="14"/>
                <w:color w:val="auto"/>
              </w:rPr>
              <w:t>Operating lease right-of-use asset obtained in exchange for operating lease</w:t>
            </w:r>
          </w:p>
        </w:tc>
        <w:tc>
          <w:tcPr>
            <w:tcW w:w="7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2"/>
                <w:szCs w:val="12"/>
                <w:color w:val="auto"/>
              </w:rPr>
            </w:pPr>
          </w:p>
        </w:tc>
        <w:tc>
          <w:tcPr>
            <w:tcW w:w="720" w:type="dxa"/>
            <w:vAlign w:val="bottom"/>
            <w:vMerge w:val="restart"/>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12"/>
                <w:szCs w:val="12"/>
                <w:color w:val="auto"/>
              </w:rPr>
            </w:pPr>
          </w:p>
        </w:tc>
        <w:tc>
          <w:tcPr>
            <w:tcW w:w="2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spacing w:after="0"/>
              <w:rPr>
                <w:sz w:val="12"/>
                <w:szCs w:val="12"/>
                <w:color w:val="auto"/>
              </w:rPr>
            </w:pPr>
          </w:p>
        </w:tc>
        <w:tc>
          <w:tcPr>
            <w:tcW w:w="32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191"/>
        </w:trPr>
        <w:tc>
          <w:tcPr>
            <w:tcW w:w="5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liability</w:t>
            </w:r>
          </w:p>
        </w:tc>
        <w:tc>
          <w:tcPr>
            <w:tcW w:w="7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vMerge w:val="restart"/>
            <w:shd w:val="clear" w:color="auto" w:fill="CFF0FC"/>
          </w:tcPr>
          <w:p>
            <w:pPr>
              <w:ind w:left="500"/>
              <w:spacing w:after="0" w:line="140" w:lineRule="exact"/>
              <w:rPr>
                <w:sz w:val="20"/>
                <w:szCs w:val="20"/>
                <w:color w:val="auto"/>
              </w:rPr>
            </w:pPr>
            <w:r>
              <w:rPr>
                <w:rFonts w:ascii="Times New Roman" w:cs="Times New Roman" w:eastAsia="Times New Roman" w:hAnsi="Times New Roman"/>
                <w:sz w:val="14"/>
                <w:szCs w:val="14"/>
                <w:color w:val="auto"/>
              </w:rPr>
              <w:t>Settlement of derivative liabilities upon conversion of convertible notes</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40" w:type="dxa"/>
            <w:vAlign w:val="bottom"/>
            <w:vMerge w:val="continue"/>
            <w:shd w:val="clear" w:color="auto" w:fill="CFF0FC"/>
          </w:tcPr>
          <w:p>
            <w:pPr>
              <w:spacing w:after="0"/>
              <w:rPr>
                <w:sz w:val="10"/>
                <w:szCs w:val="10"/>
                <w:color w:val="auto"/>
              </w:rPr>
            </w:pPr>
          </w:p>
        </w:tc>
        <w:tc>
          <w:tcPr>
            <w:tcW w:w="720" w:type="dxa"/>
            <w:vAlign w:val="bottom"/>
            <w:vMerge w:val="restart"/>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0"/>
                <w:szCs w:val="10"/>
                <w:color w:val="auto"/>
              </w:rPr>
            </w:pPr>
          </w:p>
        </w:tc>
        <w:tc>
          <w:tcPr>
            <w:tcW w:w="720" w:type="dxa"/>
            <w:vAlign w:val="bottom"/>
            <w:vMerge w:val="restart"/>
            <w:shd w:val="clear" w:color="auto" w:fill="CFF0FC"/>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363</w:t>
            </w:r>
          </w:p>
        </w:tc>
        <w:tc>
          <w:tcPr>
            <w:tcW w:w="14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vMerge w:val="restart"/>
            <w:shd w:val="clear" w:color="auto" w:fill="CFF0FC"/>
          </w:tcPr>
          <w:p>
            <w:pPr>
              <w:spacing w:after="0"/>
              <w:rPr>
                <w:sz w:val="10"/>
                <w:szCs w:val="10"/>
                <w:color w:val="auto"/>
              </w:rPr>
            </w:pPr>
          </w:p>
        </w:tc>
        <w:tc>
          <w:tcPr>
            <w:tcW w:w="320" w:type="dxa"/>
            <w:vAlign w:val="bottom"/>
            <w:vMerge w:val="restart"/>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(Note 9)</w:t>
            </w:r>
          </w:p>
        </w:tc>
        <w:tc>
          <w:tcPr>
            <w:tcW w:w="72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500"/>
              <w:spacing w:after="0" w:line="158" w:lineRule="exact"/>
              <w:rPr>
                <w:sz w:val="20"/>
                <w:szCs w:val="20"/>
                <w:color w:val="auto"/>
              </w:rPr>
            </w:pPr>
            <w:r>
              <w:rPr>
                <w:rFonts w:ascii="Times New Roman" w:cs="Times New Roman" w:eastAsia="Times New Roman" w:hAnsi="Times New Roman"/>
                <w:sz w:val="14"/>
                <w:szCs w:val="14"/>
                <w:color w:val="auto"/>
              </w:rPr>
              <w:t>Additions of property and equipment in accounts payable and other accrued</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840" w:type="dxa"/>
            <w:vAlign w:val="bottom"/>
            <w:vMerge w:val="continue"/>
          </w:tcPr>
          <w:p>
            <w:pPr>
              <w:spacing w:after="0"/>
              <w:rPr>
                <w:sz w:val="10"/>
                <w:szCs w:val="10"/>
                <w:color w:val="auto"/>
              </w:rPr>
            </w:pPr>
          </w:p>
        </w:tc>
        <w:tc>
          <w:tcPr>
            <w:tcW w:w="7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0"/>
                <w:szCs w:val="10"/>
                <w:color w:val="auto"/>
              </w:rPr>
            </w:pPr>
          </w:p>
        </w:tc>
        <w:tc>
          <w:tcPr>
            <w:tcW w:w="720" w:type="dxa"/>
            <w:vAlign w:val="bottom"/>
            <w:vMerge w:val="restart"/>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0"/>
                <w:szCs w:val="10"/>
                <w:color w:val="auto"/>
              </w:rPr>
            </w:pPr>
          </w:p>
        </w:tc>
        <w:tc>
          <w:tcPr>
            <w:tcW w:w="2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0"/>
                <w:szCs w:val="10"/>
                <w:color w:val="auto"/>
              </w:rPr>
            </w:pPr>
          </w:p>
        </w:tc>
        <w:tc>
          <w:tcPr>
            <w:tcW w:w="32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3"/>
        </w:trPr>
        <w:tc>
          <w:tcPr>
            <w:tcW w:w="5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 xml:space="preserve">liabilities </w:t>
            </w:r>
            <w:r>
              <w:rPr>
                <w:rFonts w:ascii="Times New Roman" w:cs="Times New Roman" w:eastAsia="Times New Roman" w:hAnsi="Times New Roman"/>
                <w:sz w:val="14"/>
                <w:szCs w:val="14"/>
                <w:i w:val="1"/>
                <w:iCs w:val="1"/>
                <w:color w:val="auto"/>
              </w:rPr>
              <w:t>(Note 3(b))</w:t>
            </w:r>
          </w:p>
        </w:tc>
        <w:tc>
          <w:tcPr>
            <w:tcW w:w="7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vMerge w:val="restart"/>
            <w:shd w:val="clear" w:color="auto" w:fill="CFF0FC"/>
          </w:tcPr>
          <w:p>
            <w:pPr>
              <w:ind w:left="500"/>
              <w:spacing w:after="0" w:line="140" w:lineRule="exact"/>
              <w:rPr>
                <w:sz w:val="20"/>
                <w:szCs w:val="20"/>
                <w:color w:val="auto"/>
              </w:rPr>
            </w:pPr>
            <w:r>
              <w:rPr>
                <w:rFonts w:ascii="Times New Roman" w:cs="Times New Roman" w:eastAsia="Times New Roman" w:hAnsi="Times New Roman"/>
                <w:sz w:val="14"/>
                <w:szCs w:val="14"/>
                <w:color w:val="auto"/>
              </w:rPr>
              <w:t>Series B Preferred Stock issuance costs in accounts payable and other</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40" w:type="dxa"/>
            <w:vAlign w:val="bottom"/>
            <w:vMerge w:val="continue"/>
            <w:shd w:val="clear" w:color="auto" w:fill="CFF0FC"/>
          </w:tcPr>
          <w:p>
            <w:pPr>
              <w:spacing w:after="0"/>
              <w:rPr>
                <w:sz w:val="10"/>
                <w:szCs w:val="10"/>
                <w:color w:val="auto"/>
              </w:rPr>
            </w:pPr>
          </w:p>
        </w:tc>
        <w:tc>
          <w:tcPr>
            <w:tcW w:w="720" w:type="dxa"/>
            <w:vAlign w:val="bottom"/>
            <w:vMerge w:val="restart"/>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0"/>
                <w:szCs w:val="10"/>
                <w:color w:val="auto"/>
              </w:rPr>
            </w:pPr>
          </w:p>
        </w:tc>
        <w:tc>
          <w:tcPr>
            <w:tcW w:w="720" w:type="dxa"/>
            <w:vAlign w:val="bottom"/>
            <w:vMerge w:val="restart"/>
            <w:shd w:val="clear" w:color="auto" w:fill="CFF0FC"/>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vMerge w:val="restart"/>
            <w:shd w:val="clear" w:color="auto" w:fill="CFF0FC"/>
          </w:tcPr>
          <w:p>
            <w:pPr>
              <w:spacing w:after="0"/>
              <w:rPr>
                <w:sz w:val="10"/>
                <w:szCs w:val="10"/>
                <w:color w:val="auto"/>
              </w:rPr>
            </w:pPr>
          </w:p>
        </w:tc>
        <w:tc>
          <w:tcPr>
            <w:tcW w:w="320" w:type="dxa"/>
            <w:vAlign w:val="bottom"/>
            <w:vMerge w:val="restart"/>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accrued liabilities</w:t>
            </w:r>
          </w:p>
        </w:tc>
        <w:tc>
          <w:tcPr>
            <w:tcW w:w="72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500"/>
              <w:spacing w:after="0"/>
              <w:rPr>
                <w:sz w:val="20"/>
                <w:szCs w:val="20"/>
                <w:color w:val="auto"/>
              </w:rPr>
            </w:pPr>
            <w:r>
              <w:rPr>
                <w:rFonts w:ascii="Times New Roman" w:cs="Times New Roman" w:eastAsia="Times New Roman" w:hAnsi="Times New Roman"/>
                <w:sz w:val="14"/>
                <w:szCs w:val="14"/>
                <w:color w:val="auto"/>
              </w:rPr>
              <w:t xml:space="preserve">Conversion of convertible notes to Series B Preferred Stock </w:t>
            </w:r>
            <w:r>
              <w:rPr>
                <w:rFonts w:ascii="Times New Roman" w:cs="Times New Roman" w:eastAsia="Times New Roman" w:hAnsi="Times New Roman"/>
                <w:sz w:val="14"/>
                <w:szCs w:val="14"/>
                <w:i w:val="1"/>
                <w:iCs w:val="1"/>
                <w:color w:val="auto"/>
              </w:rPr>
              <w:t>(Note 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Borders>
              <w:bottom w:val="single" w:sz="8" w:color="CFF0FC"/>
            </w:tcBorders>
            <w:vMerge w:val="continue"/>
          </w:tcPr>
          <w:p>
            <w:pPr>
              <w:spacing w:after="0"/>
              <w:rPr>
                <w:sz w:val="15"/>
                <w:szCs w:val="15"/>
                <w:color w:val="auto"/>
              </w:rPr>
            </w:pPr>
          </w:p>
        </w:tc>
        <w:tc>
          <w:tcPr>
            <w:tcW w:w="720" w:type="dxa"/>
            <w:vAlign w:val="bottom"/>
            <w:tcBorders>
              <w:bottom w:val="single" w:sz="8" w:color="auto"/>
            </w:tcBorders>
          </w:tcPr>
          <w:p>
            <w:pPr>
              <w:jc w:val="right"/>
              <w:ind w:right="5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2,410</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0"/>
        </w:trPr>
        <w:tc>
          <w:tcPr>
            <w:tcW w:w="5840" w:type="dxa"/>
            <w:vAlign w:val="bottom"/>
            <w:shd w:val="clear" w:color="auto" w:fill="CFF0FC"/>
          </w:tcPr>
          <w:p>
            <w:pPr>
              <w:ind w:left="500"/>
              <w:spacing w:after="0" w:line="120" w:lineRule="exact"/>
              <w:rPr>
                <w:sz w:val="20"/>
                <w:szCs w:val="20"/>
                <w:color w:val="auto"/>
              </w:rPr>
            </w:pPr>
            <w:r>
              <w:rPr>
                <w:rFonts w:ascii="Times New Roman" w:cs="Times New Roman" w:eastAsia="Times New Roman" w:hAnsi="Times New Roman"/>
                <w:sz w:val="13"/>
                <w:szCs w:val="13"/>
                <w:color w:val="auto"/>
              </w:rPr>
              <w:t>Convertible notes issuance costs included in accounts payable and accrued</w:t>
            </w:r>
          </w:p>
        </w:tc>
        <w:tc>
          <w:tcPr>
            <w:tcW w:w="720" w:type="dxa"/>
            <w:vAlign w:val="bottom"/>
            <w:vMerge w:val="restart"/>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0"/>
                <w:szCs w:val="10"/>
                <w:color w:val="auto"/>
              </w:rPr>
            </w:pPr>
          </w:p>
        </w:tc>
        <w:tc>
          <w:tcPr>
            <w:tcW w:w="720" w:type="dxa"/>
            <w:vAlign w:val="bottom"/>
            <w:vMerge w:val="restart"/>
            <w:shd w:val="clear" w:color="auto" w:fill="CFF0FC"/>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0"/>
                <w:szCs w:val="10"/>
                <w:color w:val="auto"/>
              </w:rPr>
            </w:pPr>
          </w:p>
        </w:tc>
        <w:tc>
          <w:tcPr>
            <w:tcW w:w="240" w:type="dxa"/>
            <w:vAlign w:val="bottom"/>
            <w:vMerge w:val="restart"/>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right w:val="single" w:sz="8" w:color="CFF0FC"/>
            </w:tcBorders>
            <w:shd w:val="clear" w:color="auto" w:fill="CFF0FC"/>
          </w:tcPr>
          <w:p>
            <w:pPr>
              <w:spacing w:after="0"/>
              <w:rPr>
                <w:sz w:val="10"/>
                <w:szCs w:val="10"/>
                <w:color w:val="auto"/>
              </w:rPr>
            </w:pPr>
          </w:p>
        </w:tc>
        <w:tc>
          <w:tcPr>
            <w:tcW w:w="320" w:type="dxa"/>
            <w:vAlign w:val="bottom"/>
            <w:vMerge w:val="restart"/>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liabilities</w:t>
            </w:r>
          </w:p>
        </w:tc>
        <w:tc>
          <w:tcPr>
            <w:tcW w:w="72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500"/>
              <w:spacing w:after="0"/>
              <w:rPr>
                <w:sz w:val="20"/>
                <w:szCs w:val="20"/>
                <w:color w:val="auto"/>
              </w:rPr>
            </w:pPr>
            <w:r>
              <w:rPr>
                <w:rFonts w:ascii="Times New Roman" w:cs="Times New Roman" w:eastAsia="Times New Roman" w:hAnsi="Times New Roman"/>
                <w:sz w:val="14"/>
                <w:szCs w:val="14"/>
                <w:color w:val="auto"/>
              </w:rPr>
              <w:t>Deferred offering costs included in accounts payable and accrued liabilities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720" w:type="dxa"/>
            <w:vAlign w:val="bottom"/>
            <w:tcBorders>
              <w:bottom w:val="single" w:sz="8" w:color="auto"/>
            </w:tcBorders>
          </w:tcPr>
          <w:p>
            <w:pPr>
              <w:jc w:val="right"/>
              <w:ind w:right="5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PRESENTATION OF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29"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Tarsus Pharmaceuticals, Inc. (“Tarsus” or the “Company”) is a late clinical-stage biopharmaceutical company focused on the development and commercialization of novel therapeutic candidates to address large market opportunities initially in ophthalmic conditions where there are limited treatment alternatives.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Liquidity Risks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 has no revenue and incurred losses and negative cash flows from operations since inception, resulting in an accumulated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deficit of $6.0 million as of December 31, 2019, and $11.2 million as of June 30, 2020. The Company’s cash and cash equivalents was $2.4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$58.0 million, and $53.1 million as of December 31, 2018, December 31, 2019, and June 30, 2020, respectively, and has historically financed its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through equity capital raises. The Company believes that existing capital resources will be sufficient to meet projected operating requirements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12 months from the date of issuance of the accompanying financial statements, though expects to incur operating losses and negative cash flows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foreseeable future.</w:t>
      </w:r>
    </w:p>
    <w:p>
      <w:pPr>
        <w:spacing w:after="0" w:line="207"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The Company’s operations have consisted primarily of its organization, securing financing, in-licensing intellectual property, and conducting preclinical and clinical studies. The Company faces risks associated with early-stage biotechnology companies whose product candidates are in development that require significant additional research and development efforts, including extensive preclinical and clinical testing and regulatory approval prior to commercialization. These efforts require the Company to expend large amounts of additional capital to complete research and development, achieve research and development objectives, defend intellectual property rights, and recruit and retain skilled personnel, including key members of management.</w:t>
      </w:r>
    </w:p>
    <w:p>
      <w:pPr>
        <w:spacing w:after="0" w:line="187"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Further, adequate funding may not be available on acceptable terms, or at all.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Operating Segment</w:t>
      </w:r>
    </w:p>
    <w:p>
      <w:pPr>
        <w:spacing w:after="0" w:line="229" w:lineRule="exact"/>
        <w:rPr>
          <w:sz w:val="20"/>
          <w:szCs w:val="20"/>
          <w:color w:val="auto"/>
        </w:rPr>
      </w:pPr>
    </w:p>
    <w:p>
      <w:pPr>
        <w:ind w:right="160" w:firstLine="1018"/>
        <w:spacing w:after="0" w:line="266" w:lineRule="auto"/>
        <w:rPr>
          <w:sz w:val="20"/>
          <w:szCs w:val="20"/>
          <w:color w:val="auto"/>
        </w:rPr>
      </w:pPr>
      <w:r>
        <w:rPr>
          <w:rFonts w:ascii="Times New Roman" w:cs="Times New Roman" w:eastAsia="Times New Roman" w:hAnsi="Times New Roman"/>
          <w:sz w:val="18"/>
          <w:szCs w:val="18"/>
          <w:color w:val="auto"/>
        </w:rPr>
        <w:t>To date, the Company has operated and managed its business and financial information on an aggregate basis for the purposes of evaluating financial performance and the allocation of resources. Accordingly, the Company’s management determined that it operates in one reportable operating segment that is focused exclusively on developing pharmaceutical products for commercialization.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Emerging Growth Company Status</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Unaudited Interim Financial Information</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The interim condensed balance sheet as of June 30, 2020, and the interim condensed statements of operations and comprehensive loss, changes in preferred stock and stockholders’ deficit and cash flows for the six months ended June 30, 2019 and 2020 are unaudited. These unaudited interim financial statements have been prepared on the same basis as the Company’s annual financial statements and, in the opinion of management, reflect all adjustments, which consist of only normal recurring adjustments, necessary for the fair statement of the Company’s financial information. The financial data and other information disclosed in these notes related to the six month periods are also unaudited. The condensed interim results for the six months ended June 30, 2020 are not necessarily indicative of results to be expected for the year ending December 31, 2020, any other interim periods or any future year or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Unaudited Pro Forma Information</w:t>
      </w:r>
    </w:p>
    <w:p>
      <w:pPr>
        <w:spacing w:after="0" w:line="229" w:lineRule="exact"/>
        <w:rPr>
          <w:sz w:val="20"/>
          <w:szCs w:val="20"/>
          <w:color w:val="auto"/>
        </w:rPr>
      </w:pPr>
    </w:p>
    <w:p>
      <w:pPr>
        <w:ind w:firstLine="1018"/>
        <w:spacing w:after="0" w:line="281" w:lineRule="auto"/>
        <w:rPr>
          <w:sz w:val="20"/>
          <w:szCs w:val="20"/>
          <w:color w:val="auto"/>
        </w:rPr>
      </w:pPr>
      <w:r>
        <w:rPr>
          <w:rFonts w:ascii="Times New Roman" w:cs="Times New Roman" w:eastAsia="Times New Roman" w:hAnsi="Times New Roman"/>
          <w:sz w:val="17"/>
          <w:szCs w:val="17"/>
          <w:color w:val="auto"/>
        </w:rPr>
        <w:t>The unaudited pro forma stockholders’ equity in the accompanying balance sheet as of June 30, 2020 assumes the conversion of all of the outstanding preferred stock of the Company on a one-to-one basis into 61,277,339 shares of common stock immediately prior to the completion of the Company’s planned initial public offering (“IPO”). The unaudited pro forma stockholders’ equity in the balance sheet assumes that the completion of the IPO had occurred as of June 30, 2020 and excludes shares of the Company’s common stock issued in the proposed IPO and any related proceeds therefrom.</w:t>
      </w:r>
    </w:p>
    <w:p>
      <w:pPr>
        <w:spacing w:after="0" w:line="164" w:lineRule="exact"/>
        <w:rPr>
          <w:sz w:val="20"/>
          <w:szCs w:val="20"/>
          <w:color w:val="auto"/>
        </w:rPr>
      </w:pPr>
    </w:p>
    <w:p>
      <w:pPr>
        <w:ind w:right="300" w:firstLine="1018"/>
        <w:spacing w:after="0" w:line="282" w:lineRule="auto"/>
        <w:rPr>
          <w:sz w:val="20"/>
          <w:szCs w:val="20"/>
          <w:color w:val="auto"/>
        </w:rPr>
      </w:pPr>
      <w:r>
        <w:rPr>
          <w:rFonts w:ascii="Times New Roman" w:cs="Times New Roman" w:eastAsia="Times New Roman" w:hAnsi="Times New Roman"/>
          <w:sz w:val="18"/>
          <w:szCs w:val="18"/>
          <w:color w:val="auto"/>
        </w:rPr>
        <w:t>The unaudited pro forma net loss per share information for the six months ended June 30, 2020 assumes the conversion of all outstanding preferred stock into 61,277,339 shares of the Company’s common stock at the beginning of the period or the date of issuance, if later.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USE OF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Basis of Presentation</w:t>
      </w:r>
    </w:p>
    <w:p>
      <w:pPr>
        <w:spacing w:after="0" w:line="229" w:lineRule="exact"/>
        <w:rPr>
          <w:sz w:val="20"/>
          <w:szCs w:val="20"/>
          <w:color w:val="auto"/>
        </w:rPr>
      </w:pPr>
    </w:p>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and with the rules and regulations of the Securities and Exchange Commission (“SEC”) requires management to make informed estimates and assumptions that affect the amounts reported in these financial statements and accompanying notes. These amounts may materially differ from the amounts ultimately realized and reported due to the inherent uncertainty of any estimate or assumption. On an on-going basis, management evaluates its most critical estimates and assumptions, including those related to the (i) fair value of stock awards and periodic expense recognition of stock-based compensation, (ii) the realization of income tax assets and estimates of tax liabilities, (iii) expense accruals related to research and development activities, including clinical trials, and (iv) valuation of convertible notes, derivative instruments, and preferred stock.</w:t>
      </w:r>
    </w:p>
    <w:p>
      <w:pPr>
        <w:spacing w:after="0" w:line="189" w:lineRule="exact"/>
        <w:rPr>
          <w:sz w:val="20"/>
          <w:szCs w:val="20"/>
          <w:color w:val="auto"/>
        </w:rPr>
      </w:pPr>
    </w:p>
    <w:p>
      <w:pPr>
        <w:ind w:right="700" w:firstLine="1018"/>
        <w:spacing w:after="0" w:line="282" w:lineRule="auto"/>
        <w:rPr>
          <w:sz w:val="20"/>
          <w:szCs w:val="20"/>
          <w:color w:val="auto"/>
        </w:rPr>
      </w:pPr>
      <w:r>
        <w:rPr>
          <w:rFonts w:ascii="Times New Roman" w:cs="Times New Roman" w:eastAsia="Times New Roman" w:hAnsi="Times New Roman"/>
          <w:sz w:val="18"/>
          <w:szCs w:val="18"/>
          <w:color w:val="auto"/>
        </w:rPr>
        <w:t>Accounting policies and estimates that most significantly impact the presented amounts within these financial statements are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Cash and Cash Equivalents</w:t>
      </w:r>
    </w:p>
    <w:p>
      <w:pPr>
        <w:spacing w:after="0" w:line="229" w:lineRule="exact"/>
        <w:rPr>
          <w:sz w:val="20"/>
          <w:szCs w:val="20"/>
          <w:color w:val="auto"/>
        </w:rPr>
      </w:pPr>
    </w:p>
    <w:p>
      <w:pPr>
        <w:ind w:right="440" w:firstLine="101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bank deposits and highly liquid investments, including money market fund accounts, with original maturities of three months or less from the purchase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Restricted Cash</w:t>
      </w:r>
    </w:p>
    <w:p>
      <w:pPr>
        <w:spacing w:after="0" w:line="229"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Restricted cash represents cash held as collateral for the Company’s corporate credit card program. Any cash that is legally or contractually restricted from immediate use is classified as restricted cash.</w:t>
      </w:r>
    </w:p>
    <w:p>
      <w:pPr>
        <w:spacing w:after="0" w:line="162"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Financial Accounting Standards Board (“FASB”) issued Accounting Standards Update (“ASU”) No. 2016-18, </w:t>
      </w:r>
      <w:r>
        <w:rPr>
          <w:rFonts w:ascii="Times New Roman" w:cs="Times New Roman" w:eastAsia="Times New Roman" w:hAnsi="Times New Roman"/>
          <w:sz w:val="18"/>
          <w:szCs w:val="18"/>
          <w:i w:val="1"/>
          <w:iCs w:val="1"/>
          <w:color w:val="auto"/>
        </w:rPr>
        <w:t xml:space="preserve">Statement of Cash Flows (Topic 230): Restricted Cash </w:t>
      </w:r>
      <w:r>
        <w:rPr>
          <w:rFonts w:ascii="Times New Roman" w:cs="Times New Roman" w:eastAsia="Times New Roman" w:hAnsi="Times New Roman"/>
          <w:sz w:val="18"/>
          <w:szCs w:val="18"/>
          <w:color w:val="auto"/>
        </w:rPr>
        <w:t>(“ASU 2016-18”), which requires companies to include restricted cash and restricted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equivalents in cash and cash equivalents when reconciling beginning-of-period and end-of-period total amounts shown on the statement of cash flows. The Company early adopted </w:t>
      </w:r>
      <w:r>
        <w:rPr>
          <w:rFonts w:ascii="Times New Roman" w:cs="Times New Roman" w:eastAsia="Times New Roman" w:hAnsi="Times New Roman"/>
          <w:sz w:val="18"/>
          <w:szCs w:val="18"/>
          <w:i w:val="1"/>
          <w:iCs w:val="1"/>
          <w:color w:val="auto"/>
        </w:rPr>
        <w:t>ASU 2016-18</w:t>
      </w:r>
      <w:r>
        <w:rPr>
          <w:rFonts w:ascii="Times New Roman" w:cs="Times New Roman" w:eastAsia="Times New Roman" w:hAnsi="Times New Roman"/>
          <w:sz w:val="18"/>
          <w:szCs w:val="18"/>
          <w:color w:val="auto"/>
        </w:rPr>
        <w:t xml:space="preserve"> on January 1, 2018, as reflected in the accompanying Statements of Cash Flows.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1" w:name="page182"/>
    <w:bookmarkEnd w:id="18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(Information as of June 30, 2020 and thereafter and for the six months ended June 30, 2019 and 2020 is unaudited; all tabular amounts presented</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Concentration of Credit Risk and Other Risks and Uncertainties</w:t>
      </w:r>
    </w:p>
    <w:p>
      <w:pPr>
        <w:spacing w:after="0" w:line="229" w:lineRule="exact"/>
        <w:rPr>
          <w:sz w:val="20"/>
          <w:szCs w:val="20"/>
          <w:color w:val="auto"/>
        </w:rPr>
      </w:pPr>
    </w:p>
    <w:p>
      <w:pPr>
        <w:ind w:right="380" w:firstLine="101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62"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a pandemic related to the global novel coronavirus disease 2019 (“COVID-19”) outbreak. The Company’s operations have not been significantly impacted by the COVID-19 pandemic. The Company has been carefully monitoring the potential impact COVID-19 may have on the Company’s business. However, the Company cannot at this time predict the specific extent, duration, or full impact that the COVID-19 outbreak will have on its financial condition and operations, including ongoing and planned clinical trials.</w:t>
      </w:r>
    </w:p>
    <w:p>
      <w:pPr>
        <w:spacing w:after="0" w:line="180" w:lineRule="exact"/>
        <w:rPr>
          <w:sz w:val="20"/>
          <w:szCs w:val="20"/>
          <w:color w:val="auto"/>
        </w:rPr>
      </w:pPr>
    </w:p>
    <w:p>
      <w:pPr>
        <w:ind w:firstLine="1018"/>
        <w:spacing w:after="0" w:line="277" w:lineRule="auto"/>
        <w:rPr>
          <w:sz w:val="20"/>
          <w:szCs w:val="20"/>
          <w:color w:val="auto"/>
        </w:rPr>
      </w:pPr>
      <w:r>
        <w:rPr>
          <w:rFonts w:ascii="Times New Roman" w:cs="Times New Roman" w:eastAsia="Times New Roman" w:hAnsi="Times New Roman"/>
          <w:sz w:val="17"/>
          <w:szCs w:val="17"/>
          <w:color w:val="auto"/>
        </w:rPr>
        <w:t>The Company’s results of operations involve numerous risks and uncertainties. Factors that could affect the Company’s operating results and cause actual results to vary materially from expectations include, but are not limited to, uncertainty of results of clinical trials, uncertainty of regulatory approval of the Company’s potential product candidates, including TP-03 for ophthalmic conditions, TP-04 for treatment of skin conditions and TP-05 for prophylaxis of Lyme and community malaria reduction, uncertainty of market acceptance of its product candidates, competition from substitute products and larger companies, securing and protecting proprietary technology, strategic relationships and dependence on key individuals and sole source suppliers.</w:t>
      </w:r>
    </w:p>
    <w:p>
      <w:pPr>
        <w:spacing w:after="0" w:line="168"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Property and Equipment</w:t>
      </w:r>
    </w:p>
    <w:p>
      <w:pPr>
        <w:spacing w:after="0" w:line="229"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Property and equipment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events or changes in business circumstances during the years ended December 31, 2018 and 2019 or the six months ended June 30, 2020 that indicated the carrying amounts of any long-lived assets were not fully recoverable.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 Derivative Instruments</w:t>
      </w:r>
    </w:p>
    <w:p>
      <w:pPr>
        <w:spacing w:after="0" w:line="229" w:lineRule="exact"/>
        <w:rPr>
          <w:sz w:val="20"/>
          <w:szCs w:val="20"/>
          <w:color w:val="auto"/>
        </w:rPr>
      </w:pPr>
    </w:p>
    <w:p>
      <w:pPr>
        <w:ind w:right="380" w:firstLine="1018"/>
        <w:spacing w:after="0" w:line="258" w:lineRule="auto"/>
        <w:rPr>
          <w:sz w:val="20"/>
          <w:szCs w:val="20"/>
          <w:color w:val="auto"/>
        </w:rPr>
      </w:pPr>
      <w:r>
        <w:rPr>
          <w:rFonts w:ascii="Times New Roman" w:cs="Times New Roman" w:eastAsia="Times New Roman" w:hAnsi="Times New Roman"/>
          <w:sz w:val="18"/>
          <w:szCs w:val="18"/>
          <w:color w:val="auto"/>
        </w:rPr>
        <w:t xml:space="preserve">The convertible notes issued in May 2019, August 2019, and October 2019 contained embedded derivative instruments, representing “contingent redemption options”. The contingent redemption options met the requirements for separate accounting and were accounted for as a single derivative instrument for each tranche of the convertible notes. The derivative instruments were recorded at fair value at inception and were subject to remeasurement to fair value, with any changes in estimated fair value recognized as a component of “other (expense) income” in the Statements of Operations and Comprehensive Loss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(vii) Research and Development Costs</w:t>
      </w:r>
    </w:p>
    <w:p>
      <w:pPr>
        <w:spacing w:after="0" w:line="229"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 Prior to receiving invoices from its vendors, the Company accrues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23"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only executed in-license agreement (see </w:t>
      </w:r>
      <w:r>
        <w:rPr>
          <w:rFonts w:ascii="Times New Roman" w:cs="Times New Roman" w:eastAsia="Times New Roman" w:hAnsi="Times New Roman"/>
          <w:sz w:val="18"/>
          <w:szCs w:val="18"/>
          <w:i w:val="1"/>
          <w:iCs w:val="1"/>
          <w:color w:val="auto"/>
        </w:rPr>
        <w:t>Note 10(b)</w:t>
      </w:r>
      <w:r>
        <w:rPr>
          <w:rFonts w:ascii="Times New Roman" w:cs="Times New Roman" w:eastAsia="Times New Roman" w:hAnsi="Times New Roman"/>
          <w:sz w:val="18"/>
          <w:szCs w:val="18"/>
          <w:color w:val="auto"/>
        </w:rPr>
        <w:t>) was evaluated and determined to represent an asset acquisition. Because this asset had not yet received regulatory approval and has no alternative future use, its fair value was immediately recognized as research and development expense. In addition, any future milestone payments made before product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(viii) Deferred Offering Costs</w:t>
      </w:r>
    </w:p>
    <w:p>
      <w:pPr>
        <w:spacing w:after="0" w:line="229"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Costs directly related to the Company’s IPO are deferred for expense recognition and instead capitalized and recorded on the accompanying balance sheets. These costs consist of legal fees, accounting fees, and other applicable professional services. These deferred offering costs will be reclassified to “additional paid in capital” upon the closing of the planned IPO. In the event that the Company’s plans for an IPO are terminated, all deferred offering costs will be recognized within “general and administrative” and expensed in the same period on the Company’s statements of operations and comprehensive loss. There were no deferred offering costs capitalized as of December 31, 2018 and 2019. As of June 30, 2020, $0.1 million of deferred offering costs are reported on the accompanying Balance Sheets within “other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(ix) Stock-Based Compensation</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Stock-based compensation expense is recognized for all equity awards granted to employees, consultants, and members of the Company’s Board of Directors and is recognized at fair value. For stock-based awards that vest subject to the satisfaction of a service requirement, the fair value measurement date is the date of grant and the related expense is recognized on a straight-line basis over each award’s actual or implied vesting period. For stock-based awards that vest subject to a performance condition, the Company recognizes compensation cost if and when it concludes that it is probable that the performance condition will be achieved and the related expense is recognized on an accelerated attribution method. As applicable, the Company reverses previously recognized expense for forfeitures of unvested awards in the period of occurrence. The Company uses the Black-Scholes option pricing model to estimate the fair value of stock-based awards as of the date of grant.</w:t>
      </w:r>
    </w:p>
    <w:p>
      <w:pPr>
        <w:spacing w:after="0" w:line="189" w:lineRule="exact"/>
        <w:rPr>
          <w:sz w:val="20"/>
          <w:szCs w:val="20"/>
          <w:color w:val="auto"/>
        </w:rPr>
      </w:pPr>
    </w:p>
    <w:p>
      <w:pPr>
        <w:ind w:right="80" w:firstLine="1018"/>
        <w:spacing w:after="0" w:line="281" w:lineRule="auto"/>
        <w:rPr>
          <w:sz w:val="20"/>
          <w:szCs w:val="20"/>
          <w:color w:val="auto"/>
        </w:rPr>
      </w:pPr>
      <w:r>
        <w:rPr>
          <w:rFonts w:ascii="Times New Roman" w:cs="Times New Roman" w:eastAsia="Times New Roman" w:hAnsi="Times New Roman"/>
          <w:sz w:val="17"/>
          <w:szCs w:val="17"/>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64"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Management estimates the expected term of awarded stock options utilizing the “simplified method” for awards as the Company does not yet have sufficient exercise history since its November 2016 formation. Further, the Company is privately-held and therefore lacks company-specific historical and implied volatility information of its stock. Accordingly, management estimates this expected volatility using that of its designated peer-group of publicly-traded companies for a look-back period, as of the date of grant, that corresponds with the expected 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8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Given the absence of a public trading market, the Company’s Board of Directors, with input from management, considered numerous objective and subjective factors to determine the fair value of its common stock. The factors included: (i) third-party valuations of the Company’s common stock; (ii) 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Income Taxes</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w:t>
      </w:r>
    </w:p>
    <w:p>
      <w:pPr>
        <w:spacing w:after="0" w:line="189"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spacing w:after="0" w:line="176"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assessed interest and/or penalties from taxing authorities that have not been previously accrued, such amounts would be included as a component of “income tax expense” within the Statements of Operations and Comprehensive Loss in the period the notice was received. To date there have been no interest or penalties charged.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 Preferred Stock</w:t>
      </w:r>
    </w:p>
    <w:p>
      <w:pPr>
        <w:spacing w:after="0" w:line="229" w:lineRule="exact"/>
        <w:rPr>
          <w:sz w:val="20"/>
          <w:szCs w:val="20"/>
          <w:color w:val="auto"/>
        </w:rPr>
      </w:pPr>
    </w:p>
    <w:p>
      <w:pPr>
        <w:ind w:right="120" w:firstLine="1018"/>
        <w:spacing w:after="0" w:line="255" w:lineRule="auto"/>
        <w:rPr>
          <w:sz w:val="20"/>
          <w:szCs w:val="20"/>
          <w:color w:val="auto"/>
        </w:rPr>
      </w:pPr>
      <w:r>
        <w:rPr>
          <w:rFonts w:ascii="Times New Roman" w:cs="Times New Roman" w:eastAsia="Times New Roman" w:hAnsi="Times New Roman"/>
          <w:sz w:val="18"/>
          <w:szCs w:val="18"/>
          <w:color w:val="auto"/>
        </w:rPr>
        <w:t>The Company classifies preferred stock outside of stockholders’ deficit on the accompanying balance sheets. The requirements of a deemed liquidation event, as defined within its amended and restated certificate of incorporation filed in 2019 (the “2019 Amended and Restated Certificate of Incorporation”) are not entirely within the Company’s control. In the event of such a deemed liquidation event, the proceeds from the event are distributed in accordance with the liquidation preferences, provided that the holders of preferred stock have not converted their shares into common stock. The Company records the issuance of preferred stock at the issuance price less related issuance costs. The Company has not adjusted the carrying value of outstanding preferred stock to its liquidation preference because a deemed liquidation event is not probable of occurring as of the end of the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(xii) Net Loss per Share Attributable to Common Stockholders</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by the weighted-average number of shares of common stock outstanding for the period, without the consideration for potential dilutive shares of common stock. Diluted net loss per share is computed by dividing the net loss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The Company’s participating securities include preferred stock, unvested common stock to founders, and unvested common stock awards issued upon early exercise of certain stock options. The Company’s participating securities do not have a contractual obligation to share in the Company’s losses. As such, the net loss was attributed entirely to common stockholders. Shares of common stock subject to repurchase by the Company are excluded from the weighted-average shares. Due to net losses in all periods presented, all otherwise potentially dilutive securities are antidilutive. Accordingly, basic net loss per share equals diluted net loss per share for all period presented in the accompanying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(xiii) Unaudited Pro forma Net Loss Per Share Attributable to Common Stockholders</w:t>
      </w:r>
    </w:p>
    <w:p>
      <w:pPr>
        <w:spacing w:after="0" w:line="229"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has been computed to give effect to the automatic conversion of all outstanding preferred stock into shares of common stock using the if-converted method immediately prior to the closing of a qualifying IPO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as though such IPO had occurred as of the beginning of the period or the date of issuance, if later. The unaudited pro forma net loss per share does not include the shares expected to be sold and related proceeds to be received from the IPO of Tarsus’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4" w:name="page185"/>
    <w:bookmarkEnd w:id="18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(xiv) Fair Value Measurements</w:t>
      </w:r>
    </w:p>
    <w:p>
      <w:pPr>
        <w:spacing w:after="0" w:line="229"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5" w:lineRule="exact"/>
        <w:rPr>
          <w:sz w:val="20"/>
          <w:szCs w:val="20"/>
          <w:color w:val="auto"/>
        </w:rPr>
      </w:pPr>
    </w:p>
    <w:p>
      <w:pPr>
        <w:ind w:left="1400" w:right="280" w:hanging="380"/>
        <w:spacing w:after="0" w:line="284" w:lineRule="auto"/>
        <w:tabs>
          <w:tab w:leader="none" w:pos="14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 that are publicly accessible at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58" w:lineRule="exact"/>
        <w:rPr>
          <w:rFonts w:ascii="Times New Roman" w:cs="Times New Roman" w:eastAsia="Times New Roman" w:hAnsi="Times New Roman"/>
          <w:sz w:val="18"/>
          <w:szCs w:val="18"/>
          <w:color w:val="auto"/>
        </w:rPr>
      </w:pPr>
    </w:p>
    <w:p>
      <w:pPr>
        <w:ind w:left="1400" w:right="80" w:hanging="380"/>
        <w:spacing w:after="0" w:line="284" w:lineRule="auto"/>
        <w:tabs>
          <w:tab w:leader="none" w:pos="14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that are corroborated by market data. These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include quoted prices for similar assets or liabilities or quoted market prices in markets that are not active to the general public.</w:t>
      </w:r>
    </w:p>
    <w:p>
      <w:pPr>
        <w:spacing w:after="0" w:line="158" w:lineRule="exact"/>
        <w:rPr>
          <w:rFonts w:ascii="Times New Roman" w:cs="Times New Roman" w:eastAsia="Times New Roman" w:hAnsi="Times New Roman"/>
          <w:sz w:val="18"/>
          <w:szCs w:val="18"/>
          <w:color w:val="auto"/>
        </w:rPr>
      </w:pPr>
    </w:p>
    <w:p>
      <w:pPr>
        <w:ind w:left="1400" w:right="280" w:hanging="380"/>
        <w:spacing w:after="0" w:line="284" w:lineRule="auto"/>
        <w:tabs>
          <w:tab w:leader="none" w:pos="14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ind w:right="80" w:firstLine="1018"/>
        <w:spacing w:after="0" w:line="282" w:lineRule="auto"/>
        <w:rPr>
          <w:sz w:val="20"/>
          <w:szCs w:val="20"/>
          <w:color w:val="auto"/>
        </w:rPr>
      </w:pPr>
      <w:r>
        <w:rPr>
          <w:rFonts w:ascii="Times New Roman" w:cs="Times New Roman" w:eastAsia="Times New Roman" w:hAnsi="Times New Roman"/>
          <w:sz w:val="18"/>
          <w:szCs w:val="18"/>
          <w:color w:val="auto"/>
        </w:rPr>
        <w:t>The carrying amounts for financial instruments consisting of cash and cash equivalents, accounts payable and accrued liabilities approximate fair value due to their short maturities. Derivative instruments are carried at fair value based on unobservable market inputs.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(xv) Comprehensive Loss</w:t>
      </w:r>
    </w:p>
    <w:p>
      <w:pPr>
        <w:spacing w:after="0" w:line="229" w:lineRule="exact"/>
        <w:rPr>
          <w:sz w:val="20"/>
          <w:szCs w:val="20"/>
          <w:color w:val="auto"/>
        </w:rPr>
      </w:pPr>
    </w:p>
    <w:p>
      <w:pPr>
        <w:ind w:right="180" w:firstLine="1018"/>
        <w:spacing w:after="0" w:line="282" w:lineRule="auto"/>
        <w:rPr>
          <w:sz w:val="20"/>
          <w:szCs w:val="20"/>
          <w:color w:val="auto"/>
        </w:rPr>
      </w:pPr>
      <w:r>
        <w:rPr>
          <w:rFonts w:ascii="Times New Roman" w:cs="Times New Roman" w:eastAsia="Times New Roman" w:hAnsi="Times New Roman"/>
          <w:sz w:val="18"/>
          <w:szCs w:val="18"/>
          <w:color w:val="auto"/>
        </w:rPr>
        <w:t>Comprehensive loss represents all changes in stockholders’ deficit, except those resulting from distributions to stockholders. For all periods presented, comprehensive loss was the same as reported net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(xvi) Recently Issued or Effective Accounting Standards</w:t>
      </w:r>
    </w:p>
    <w:p>
      <w:pPr>
        <w:spacing w:after="0" w:line="229" w:lineRule="exact"/>
        <w:rPr>
          <w:sz w:val="20"/>
          <w:szCs w:val="20"/>
          <w:color w:val="auto"/>
        </w:rPr>
      </w:pPr>
    </w:p>
    <w:p>
      <w:pPr>
        <w:ind w:right="320" w:firstLine="1018"/>
        <w:spacing w:after="0" w:line="261" w:lineRule="auto"/>
        <w:rPr>
          <w:sz w:val="20"/>
          <w:szCs w:val="20"/>
          <w:color w:val="auto"/>
        </w:rPr>
      </w:pPr>
      <w:r>
        <w:rPr>
          <w:rFonts w:ascii="Times New Roman" w:cs="Times New Roman" w:eastAsia="Times New Roman" w:hAnsi="Times New Roman"/>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financial statements have been determined by the Company’s management to have no impact, or an immaterial impact, on its current and expected future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 DETAIL</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composition of selected financial statement captions that comprise the accompanying balance sheets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Prepaid Expenses and Other Current Assets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80" w:type="dxa"/>
            <w:vAlign w:val="bottom"/>
          </w:tcPr>
          <w:p>
            <w:pPr>
              <w:spacing w:after="0"/>
              <w:rPr>
                <w:sz w:val="15"/>
                <w:szCs w:val="15"/>
                <w:color w:val="auto"/>
              </w:rPr>
            </w:pPr>
          </w:p>
        </w:tc>
      </w:tr>
      <w:tr>
        <w:trPr>
          <w:trHeight w:val="155"/>
        </w:trPr>
        <w:tc>
          <w:tcPr>
            <w:tcW w:w="13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380" w:type="dxa"/>
            <w:vAlign w:val="bottom"/>
          </w:tcPr>
          <w:p>
            <w:pPr>
              <w:spacing w:after="0"/>
              <w:rPr>
                <w:sz w:val="13"/>
                <w:szCs w:val="13"/>
                <w:color w:val="auto"/>
              </w:rPr>
            </w:pPr>
          </w:p>
        </w:tc>
      </w:tr>
      <w:tr>
        <w:trPr>
          <w:trHeight w:val="223"/>
        </w:trPr>
        <w:tc>
          <w:tcPr>
            <w:tcW w:w="136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7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380" w:type="dxa"/>
            <w:vAlign w:val="bottom"/>
          </w:tcPr>
          <w:p>
            <w:pPr>
              <w:spacing w:after="0"/>
              <w:rPr>
                <w:sz w:val="19"/>
                <w:szCs w:val="19"/>
                <w:color w:val="auto"/>
              </w:rPr>
            </w:pPr>
          </w:p>
        </w:tc>
      </w:tr>
      <w:tr>
        <w:trPr>
          <w:trHeight w:val="230"/>
        </w:trPr>
        <w:tc>
          <w:tcPr>
            <w:tcW w:w="13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Clinical research organization service assets</w:t>
            </w:r>
          </w:p>
        </w:tc>
        <w:tc>
          <w:tcPr>
            <w:tcW w:w="1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380" w:type="dxa"/>
            <w:vAlign w:val="bottom"/>
          </w:tcPr>
          <w:p>
            <w:pPr>
              <w:spacing w:after="0"/>
              <w:rPr>
                <w:sz w:val="19"/>
                <w:szCs w:val="19"/>
                <w:color w:val="auto"/>
              </w:rPr>
            </w:pPr>
          </w:p>
        </w:tc>
      </w:tr>
      <w:tr>
        <w:trPr>
          <w:trHeight w:val="223"/>
        </w:trPr>
        <w:tc>
          <w:tcPr>
            <w:tcW w:w="136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38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29"/>
        </w:trPr>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0" w:type="dxa"/>
            <w:vAlign w:val="bottom"/>
            <w:gridSpan w:val="2"/>
          </w:tcPr>
          <w:p>
            <w:pPr>
              <w:jc w:val="right"/>
              <w:ind w:right="1519"/>
              <w:spacing w:after="0"/>
              <w:rPr>
                <w:sz w:val="20"/>
                <w:szCs w:val="20"/>
                <w:color w:val="auto"/>
              </w:rPr>
            </w:pPr>
            <w:r>
              <w:rPr>
                <w:rFonts w:ascii="Times New Roman" w:cs="Times New Roman" w:eastAsia="Times New Roman" w:hAnsi="Times New Roman"/>
                <w:sz w:val="18"/>
                <w:szCs w:val="18"/>
                <w:color w:val="auto"/>
              </w:rPr>
              <w:t>F-12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85" w:name="page186"/>
    <w:bookmarkEnd w:id="1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Property and Equipment, net of Accumulated Depreciation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consists of the following:</w:t>
      </w:r>
    </w:p>
    <w:p>
      <w:pPr>
        <w:spacing w:after="0" w:line="313" w:lineRule="exact"/>
        <w:rPr>
          <w:sz w:val="20"/>
          <w:szCs w:val="20"/>
          <w:color w:val="auto"/>
        </w:rPr>
      </w:pPr>
    </w:p>
    <w:tbl>
      <w:tblPr>
        <w:tblLayout w:type="fixed"/>
        <w:tblInd w:w="12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55"/>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9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w:t>
            </w:r>
          </w:p>
        </w:tc>
      </w:tr>
      <w:tr>
        <w:trPr>
          <w:trHeight w:val="205"/>
        </w:trPr>
        <w:tc>
          <w:tcPr>
            <w:tcW w:w="41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Property and equipment, net of accumulated</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64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540</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00" w:firstLine="1018"/>
        <w:spacing w:after="0" w:line="266" w:lineRule="auto"/>
        <w:rPr>
          <w:sz w:val="20"/>
          <w:szCs w:val="20"/>
          <w:color w:val="auto"/>
        </w:rPr>
      </w:pPr>
      <w:r>
        <w:rPr>
          <w:rFonts w:ascii="Times New Roman" w:cs="Times New Roman" w:eastAsia="Times New Roman" w:hAnsi="Times New Roman"/>
          <w:sz w:val="18"/>
          <w:szCs w:val="18"/>
          <w:color w:val="auto"/>
        </w:rPr>
        <w:t>Depreciation expense (included within “total operating expenses” in the accompanying Statements of Operations and Comprehensive Loss) for the years ended December 31, 2018 and 2019 was $1 thousand and $37 thousand, respectively. Depreciation expense for the six months ended June 30, 2019 and 2020 was $9 thousand and $32 thousand,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Accounts Payable and Other Accrued Liabilities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“Accounts payable and other accrued liabilities” consists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FF0FC"/>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repurchase from its founders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(Note 5)</w:t>
            </w: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studies</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option early exercise liability,</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1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2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Other Long-Term Liabilities</w:t>
            </w:r>
          </w:p>
        </w:tc>
        <w:tc>
          <w:tcPr>
            <w:tcW w:w="1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“Other long-term liabilities” consists of the following:</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9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FF0FC"/>
            </w:tcBorders>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FF0FC"/>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 early exercise liability,</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portion</w:t>
            </w: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3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F-13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Under the December 2019 Amended and Restated Certificate of Incorporation, the Company is authorized to issue two classes of stock: common and preferred. The total number of shares authorized for issuance is 103 million of common shares and 61.7 million of preferred shares, of which 11.7 million shares are designated as Series A Preferred Stock and 50 million shares are designated as Series B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Issuance</w:t>
      </w:r>
    </w:p>
    <w:p>
      <w:pPr>
        <w:spacing w:after="0" w:line="229"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In March and May 2018, the Company executed a private placement Series A Stock Purchase Agreement and issued 11.7 million shares of Series A Preferred Stock at $0.312 per share for net proceeds of $3.6 million, after issuance costs of $0.1 million.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80" w:type="dxa"/>
            <w:vAlign w:val="bottom"/>
          </w:tcPr>
          <w:p>
            <w:pPr>
              <w:spacing w:after="0"/>
              <w:rPr>
                <w:sz w:val="13"/>
                <w:szCs w:val="13"/>
                <w:color w:val="auto"/>
              </w:rPr>
            </w:pPr>
          </w:p>
        </w:tc>
        <w:tc>
          <w:tcPr>
            <w:tcW w:w="96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96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w w:val="98"/>
              </w:rPr>
              <w:t>Issue</w:t>
            </w:r>
          </w:p>
        </w:tc>
        <w:tc>
          <w:tcPr>
            <w:tcW w:w="0" w:type="dxa"/>
            <w:vAlign w:val="bottom"/>
          </w:tcPr>
          <w:p>
            <w:pPr>
              <w:spacing w:after="0"/>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80" w:type="dxa"/>
            <w:vAlign w:val="bottom"/>
          </w:tcPr>
          <w:p>
            <w:pPr>
              <w:spacing w:after="0"/>
              <w:rPr>
                <w:sz w:val="15"/>
                <w:szCs w:val="15"/>
                <w:color w:val="auto"/>
              </w:rPr>
            </w:pPr>
          </w:p>
        </w:tc>
        <w:tc>
          <w:tcPr>
            <w:tcW w:w="96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8"/>
        </w:trPr>
        <w:tc>
          <w:tcPr>
            <w:tcW w:w="5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12,820,512</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11,698,716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3,564</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0.312</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Issuance</w:t>
      </w:r>
    </w:p>
    <w:p>
      <w:pPr>
        <w:spacing w:after="0" w:line="229" w:lineRule="exact"/>
        <w:rPr>
          <w:sz w:val="20"/>
          <w:szCs w:val="20"/>
          <w:color w:val="auto"/>
        </w:rPr>
      </w:pPr>
    </w:p>
    <w:p>
      <w:pPr>
        <w:ind w:right="160" w:firstLine="1018"/>
        <w:spacing w:after="0" w:line="257" w:lineRule="auto"/>
        <w:rPr>
          <w:sz w:val="20"/>
          <w:szCs w:val="20"/>
          <w:color w:val="auto"/>
        </w:rPr>
      </w:pPr>
      <w:r>
        <w:rPr>
          <w:rFonts w:ascii="Times New Roman" w:cs="Times New Roman" w:eastAsia="Times New Roman" w:hAnsi="Times New Roman"/>
          <w:sz w:val="18"/>
          <w:szCs w:val="18"/>
          <w:color w:val="auto"/>
        </w:rPr>
        <w:t>In December 2019, the Company executed a private placement Series B Stock Purchase Agreement of 47.6 million shares of Series B Preferred Stock at $1.2104 per share for net proceeds of $57.4 million, after issuance costs of $0.2 million. Concurrently, convertible notes issued in May, August, and October 2019 for aggregate proceeds of $2.0 million were converted based on principal and accrued interest, and the Company issued</w:t>
      </w:r>
    </w:p>
    <w:p>
      <w:pPr>
        <w:spacing w:after="0" w:line="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 xml:space="preserve">2.0 million shares of Series B Preferred Stock at its contractual conversion price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The table below includes preferred stock details as of December 31, 2019 and June 30,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 and June 30, 2020</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96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401"/>
              <w:spacing w:after="0" w:line="149" w:lineRule="exact"/>
              <w:rPr>
                <w:sz w:val="20"/>
                <w:szCs w:val="20"/>
                <w:color w:val="auto"/>
              </w:rPr>
            </w:pPr>
            <w:r>
              <w:rPr>
                <w:rFonts w:ascii="Times New Roman" w:cs="Times New Roman" w:eastAsia="Times New Roman" w:hAnsi="Times New Roman"/>
                <w:sz w:val="14"/>
                <w:szCs w:val="14"/>
                <w:b w:val="1"/>
                <w:bCs w:val="1"/>
                <w:color w:val="auto"/>
              </w:rPr>
              <w:t>Issue</w:t>
            </w:r>
          </w:p>
        </w:tc>
        <w:tc>
          <w:tcPr>
            <w:tcW w:w="0" w:type="dxa"/>
            <w:vAlign w:val="bottom"/>
          </w:tcPr>
          <w:p>
            <w:pPr>
              <w:spacing w:after="0"/>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11,698,716</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11,698,716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3,564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0.312</w:t>
            </w:r>
          </w:p>
        </w:tc>
        <w:tc>
          <w:tcPr>
            <w:tcW w:w="0" w:type="dxa"/>
            <w:vAlign w:val="bottom"/>
          </w:tcPr>
          <w:p>
            <w:pPr>
              <w:spacing w:after="0"/>
              <w:rPr>
                <w:sz w:val="1"/>
                <w:szCs w:val="1"/>
                <w:color w:val="auto"/>
              </w:rPr>
            </w:pPr>
          </w:p>
        </w:tc>
      </w:tr>
      <w:tr>
        <w:trPr>
          <w:trHeight w:val="22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49,578,623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59,838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60,010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1.2104</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61,698,716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61,277,339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63,402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63,660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Provisions of Series A and Series B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 and Mandatory Conversion</w:t>
      </w:r>
    </w:p>
    <w:p>
      <w:pPr>
        <w:spacing w:after="0" w:line="22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Each share of Series A and Series B Preferred Stock is convertible into common shares determined by dividing the original issuance price by the conversion price and at the sole option of the holder on a one-to-one basis. The conversion price will be adjusted for stock splits, distributions, dividends, noncash distributions, share purchase rights, and capital reorganizations. In addition, subject to customary exceptions, the conversion price for each series of preferred stock will be reduced upon the issuance or sale of common shares or instruments convertible or exercisable into common shares, for consideration or with an exercise price that is less than the conversion price applicable to such series. Such reduction may result in recognition of a deemed dividend to preferred stockholders if the resulting conversion price is less than the fair value per share of common stock as of the date preferred stock was issued.</w:t>
      </w:r>
    </w:p>
    <w:p>
      <w:pPr>
        <w:spacing w:after="0" w:line="18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Mandatory conversion into common shares will occur upon either (i) the closing of a Qualified Public Offering, which is defined in the December 2019 Amended and Restated Certificate of Incorporation to include the sale of common stock in a firm commitment underwritten public offering on Form S-1, the public offering price of which is at least $3.03 per share and that results in at least $60 million of proceeds, or (ii) by vote or written consent or agreement of the holders of a majority of the then-outstanding shares of Series A and Series B Preferred Stock, voting together as a single class on an as-converted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 xml:space="preserve">In the event of any Liquidation Event (as defined in the December 2019 Amended and Restated Certificate of Incorporation), the holders of Series A and B Preferred Stock are first entitled to proceeds or assets available for distribution that are in preference of any distribution to common stockholders (the “Liquidation Preference”); provided, however, that if the holders of Series A and Series B Preferred Stock would receive greater proceeds in a Liquidation Event as a result of their conversion to common stock such shares of Series A and/or Series B Preferred Stock shall be deemed to have automatically thus converted. This Liquidation Preference is equal to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(i) the original issue price of Series A and Series B Preferred Stock ($0.312 and $1.2104 per share, respectively) for each outstanding share of Series A and Series B Preferred Stock and (ii) any declared but unpaid dividends for each outstanding share of Series A and Series B Preferred Stock. If the proceeds from the Liquidation Event are less than the Liquidation Preference, then all available proceeds will be distributed ratably to the holders of Series A and Series B Preferred Stock in proportion to the preferential amount each is otherwise entitled to receive. After the distributions described above have been paid in full, the remaining assets of the Company will be distributed among the holders of common stock pro rata based on the number of shares held by each holder.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The holder of each share of preferred stock has the right to one vote for each share of common stock into which such preferred stock could then be converted, and with respect to such vote, such holder has full voting rights and powers equal to the voting rights and powers of the holders of common stock. So long as the majority of the Series A Preferred Stock originally issued remains outstanding, its holders are additionally entitled to elect one director (“Series A Director”). So long as at least 10 million shares of Series B Preferred Stock remain outstanding, its holders are entitled to elect two directors (each a “Series B Director”). The holders of outstanding common stock are entitled to elect three directors. The holders of preferred stock and common stock (voting together as a single class and on an as-converted basis) are entitled to elect any of the Company’s remaining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The holders of Preferred Stock are entitled to receive dividends, when, as and if declared by the Board of Directors at the applicable dividend rate set forth in the December 2019 Amended and Restated Certificate of Incorporation ($0.03 and $0.10 per annum for each share of Series A and Series B Preferred Stock, respectively), prior and in preference to any declaration or payment of any cash dividend on the common stock. The Company cannot declare, pay, or set aside any dividends on shares of any class or series of capital stock unless the Series A and Series B Preferred Stockholders first receive a dividend in an amount equal to the greater of (i) applicable dividend rate, or (ii) the dividend payable to such other class or series of capital stock. No cash dividends have been declared to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9"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The Series A and Series B Preferred Stock are not redeemable at the option of its holder under the terms of the December 2019 Amended and Restated Certificate of Incorporation. Upon certain change in control events that are outside of the Company’s control, including its liquidation, sale or transfer of control, the preferred stock is contingently redeemable.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Overview and Reserve for Future Issuance</w:t>
      </w:r>
    </w:p>
    <w:p>
      <w:pPr>
        <w:spacing w:after="0" w:line="229"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Common stockholders have one vote for each share of common stock held and are entitled to receive any dividends declared by the Company’s Board of Directors when legally available for distribution, subject to the dividend rights of the holders of Series A and Series B preferred stock discussed above. For the years ended December 31, 2018 and 2019 and for the six months ended June 30, 2020, no dividends were declared.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23"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2018 and 2019, and June 30, 2020, the Company had 19.9 million, 19.7 million, and 20.2 million common shares issued, respectively. At December 31, 2018 and 2019, and June 30, 2020, the Company had 15.4 million, 19.7 million, and 19.7 million common shares outstanding, respectively. The following shares of common stock were reserved for issuance:</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5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55"/>
        </w:trPr>
        <w:tc>
          <w:tcPr>
            <w:tcW w:w="534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outstanding</w:t>
            </w:r>
          </w:p>
        </w:tc>
        <w:tc>
          <w:tcPr>
            <w:tcW w:w="1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11,698,716</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61,277,339</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61,277,339</w:t>
            </w: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issued and outstanding under the 2016 Plan</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1,983,543</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2,207,154</w:t>
            </w:r>
          </w:p>
        </w:tc>
        <w:tc>
          <w:tcPr>
            <w:tcW w:w="1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9,141,330</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available for future grant under the 2016 Plan</w:t>
            </w:r>
          </w:p>
        </w:tc>
        <w:tc>
          <w:tcPr>
            <w:tcW w:w="11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563,457</w:t>
            </w:r>
          </w:p>
        </w:tc>
        <w:tc>
          <w:tcPr>
            <w:tcW w:w="1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15,975,661</w:t>
            </w:r>
          </w:p>
        </w:tc>
        <w:tc>
          <w:tcPr>
            <w:tcW w:w="1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8,533,485</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14,245,716</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79,460,154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78,952,154</w:t>
            </w:r>
          </w:p>
        </w:tc>
      </w:tr>
      <w:tr>
        <w:trPr>
          <w:trHeight w:val="20"/>
        </w:trPr>
        <w:tc>
          <w:tcPr>
            <w:tcW w:w="5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ASU 2017-11</w:t>
      </w:r>
    </w:p>
    <w:p>
      <w:pPr>
        <w:spacing w:after="0" w:line="227"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 xml:space="preserve">In July 2017, the FASB issued ASU No. 2017-11, </w:t>
      </w:r>
      <w:r>
        <w:rPr>
          <w:rFonts w:ascii="Times New Roman" w:cs="Times New Roman" w:eastAsia="Times New Roman" w:hAnsi="Times New Roman"/>
          <w:sz w:val="18"/>
          <w:szCs w:val="18"/>
          <w:i w:val="1"/>
          <w:iCs w:val="1"/>
          <w:color w:val="auto"/>
        </w:rPr>
        <w:t>Earnings Per Share (Topic 260); Distinguishing Liabilities from Equity (Topic 480);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Times New Roman" w:cs="Times New Roman" w:eastAsia="Times New Roman" w:hAnsi="Times New Roman"/>
          <w:sz w:val="18"/>
          <w:szCs w:val="18"/>
          <w:color w:val="auto"/>
        </w:rPr>
        <w:t>. This ASU simplifies the accounting for certain financial instruments with “down round” features, a provision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equity-linked financial instrument (or embedded feature) that provides a downward adjustment of the current exercise price based on the price of future equity offerings. This update requires companies to disregard the down round feature when assessing whether the instrument is “indexed to its own stock” for purposes of determining liability or equity classification. For public business entities, this ASU became effective for fiscal years beginning after December 15, 2018. The Company adopted </w:t>
      </w:r>
      <w:r>
        <w:rPr>
          <w:rFonts w:ascii="Times New Roman" w:cs="Times New Roman" w:eastAsia="Times New Roman" w:hAnsi="Times New Roman"/>
          <w:sz w:val="18"/>
          <w:szCs w:val="18"/>
          <w:i w:val="1"/>
          <w:iCs w:val="1"/>
          <w:color w:val="auto"/>
        </w:rPr>
        <w:t>ASU 2017-11</w:t>
      </w:r>
      <w:r>
        <w:rPr>
          <w:rFonts w:ascii="Times New Roman" w:cs="Times New Roman" w:eastAsia="Times New Roman" w:hAnsi="Times New Roman"/>
          <w:sz w:val="18"/>
          <w:szCs w:val="18"/>
          <w:color w:val="auto"/>
        </w:rPr>
        <w:t xml:space="preserve"> effective January 1, 2019 and applied this guidance in presenting Series A and Series B Preferred Stock on the accompanying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Plan</w:t>
      </w:r>
    </w:p>
    <w:p>
      <w:pPr>
        <w:spacing w:after="0" w:line="229"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The Company has one active stockholder-approved stock-based compensation plan (the “2016 Plan”), adopted in December 2016, which permits the grant of incentive stock options, nonqualified stock options, stock awards and certain other awards to its employees, members of its Board of Directors, and consultants.</w:t>
      </w:r>
    </w:p>
    <w:p>
      <w:pPr>
        <w:spacing w:after="0" w:line="176"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The stated maximum availability of common stock under the 2016 Plan is 19.8 million shares. As of December 31, 2019 and June 30, 2020, the Company had 16.0 million and 8.5 million shares of common stock available for issuance under the 2016 Plan, respectively.</w:t>
      </w:r>
    </w:p>
    <w:p>
      <w:pPr>
        <w:spacing w:after="0" w:line="162"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Stock-based awards are governed by agreements between the Company and the recipients. Incentive stock options and nonqualified stock options may be granted under the 2016 Plan at an exercise price of not less than 100% of the fair market value of common stock on the respective date of grant. For ten-percent stockholders, the exercise price may not be less than 110% of its fair market value at grant. The grant date is the date the terms of the award are formally approved by the Company’s Board of Directors. It is the Company’s policy that before stock is issued through the exercise of stock options, it must first receive all required cash proceeds for such shares.</w:t>
      </w:r>
    </w:p>
    <w:p>
      <w:pPr>
        <w:spacing w:after="0" w:line="183"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Through December 31, 2019 and June 30, 2020, all awards issued under the 2016 Plan were in the form of stock options. These option agreements have service and/or performance conditions for vesting, unless immediately vested on the date of grant. Stock options granted typically have one to four-year service conditions for full vesting. The performance conditions for vesting are explicitly stated in each option agreement and are associated with clinical, business development, or operational milestones.</w:t>
      </w:r>
    </w:p>
    <w:p>
      <w:pPr>
        <w:spacing w:after="0" w:line="180" w:lineRule="exact"/>
        <w:rPr>
          <w:sz w:val="20"/>
          <w:szCs w:val="20"/>
          <w:color w:val="auto"/>
        </w:rPr>
      </w:pPr>
    </w:p>
    <w:p>
      <w:pPr>
        <w:ind w:right="280" w:firstLine="1018"/>
        <w:spacing w:after="0" w:line="266" w:lineRule="auto"/>
        <w:rPr>
          <w:sz w:val="20"/>
          <w:szCs w:val="20"/>
          <w:color w:val="auto"/>
        </w:rPr>
      </w:pPr>
      <w:r>
        <w:rPr>
          <w:rFonts w:ascii="Times New Roman" w:cs="Times New Roman" w:eastAsia="Times New Roman" w:hAnsi="Times New Roman"/>
          <w:sz w:val="18"/>
          <w:szCs w:val="18"/>
          <w:color w:val="auto"/>
        </w:rPr>
        <w:t>Stock options must generally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9" w:name="page190"/>
    <w:bookmarkEnd w:id="18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(Information as of June 30, 2020 and thereafter and for the six months ended June 30, 2019 and 2020 is unaudited; all tabular amounts presented</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ASU 2018-07</w:t>
      </w:r>
    </w:p>
    <w:p>
      <w:pPr>
        <w:spacing w:after="0" w:line="227"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In June 2018, the FASB issued ASU No. 2018-07</w:t>
      </w:r>
      <w:r>
        <w:rPr>
          <w:rFonts w:ascii="Times New Roman" w:cs="Times New Roman" w:eastAsia="Times New Roman" w:hAnsi="Times New Roman"/>
          <w:sz w:val="18"/>
          <w:szCs w:val="18"/>
          <w:i w:val="1"/>
          <w:iCs w:val="1"/>
          <w:color w:val="auto"/>
        </w:rPr>
        <w:t>, Compensation-Stock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718): Improvements to Nonemployee Share-Based Payment Accounting</w:t>
      </w:r>
      <w:r>
        <w:rPr>
          <w:rFonts w:ascii="Times New Roman" w:cs="Times New Roman" w:eastAsia="Times New Roman" w:hAnsi="Times New Roman"/>
          <w:sz w:val="18"/>
          <w:szCs w:val="18"/>
          <w:color w:val="auto"/>
        </w:rPr>
        <w:t>. This standard is intended to reduce the cost and complexity and to improve financial reporting for nonemployee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payments. The ASU expands the scope of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xml:space="preserve"> to include share-based payments issued to nonemployees for goods or services. Consequently, the accounting for share-based payments to nonemployees and employees is substantially aligned; the Company has issued and outstanding stock options to both employees and non-employee consultants. The standard is effective for fiscal years beginning after December 15, 2019. Early adoption is permitted, but no earlier than a company’s adoption date of </w:t>
      </w:r>
      <w:r>
        <w:rPr>
          <w:rFonts w:ascii="Times New Roman" w:cs="Times New Roman" w:eastAsia="Times New Roman" w:hAnsi="Times New Roman"/>
          <w:sz w:val="18"/>
          <w:szCs w:val="18"/>
          <w:i w:val="1"/>
          <w:iCs w:val="1"/>
          <w:color w:val="auto"/>
        </w:rPr>
        <w:t>Topic 606, Revenue Recognition</w:t>
      </w:r>
      <w:r>
        <w:rPr>
          <w:rFonts w:ascii="Times New Roman" w:cs="Times New Roman" w:eastAsia="Times New Roman" w:hAnsi="Times New Roman"/>
          <w:sz w:val="18"/>
          <w:szCs w:val="18"/>
          <w:color w:val="auto"/>
        </w:rPr>
        <w:t xml:space="preserve">. The Company early adopted </w:t>
      </w:r>
      <w:r>
        <w:rPr>
          <w:rFonts w:ascii="Times New Roman" w:cs="Times New Roman" w:eastAsia="Times New Roman" w:hAnsi="Times New Roman"/>
          <w:sz w:val="18"/>
          <w:szCs w:val="18"/>
          <w:i w:val="1"/>
          <w:iCs w:val="1"/>
          <w:color w:val="auto"/>
        </w:rPr>
        <w:t>ASU 2018-17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xml:space="preserve"> on January 1, 2018 and there was no material impact on the accompanying financial statements from these adopted standards.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Summary</w:t>
      </w:r>
    </w:p>
    <w:p>
      <w:pPr>
        <w:spacing w:after="0" w:line="229" w:lineRule="exact"/>
        <w:rPr>
          <w:sz w:val="20"/>
          <w:szCs w:val="20"/>
          <w:color w:val="auto"/>
        </w:rPr>
      </w:pPr>
    </w:p>
    <w:p>
      <w:pPr>
        <w:jc w:val="both"/>
        <w:ind w:right="20" w:firstLine="101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recorded in the accompanying statements of operations and comprehensive loss based on the assigned department of the award recipient. Stock-based compensation expense for the years ended December 31, 2018 and 2019 and for the six months ended June 30, 2019 and 2020 was as follows: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3"/>
                <w:szCs w:val="13"/>
                <w:color w:val="auto"/>
              </w:rPr>
            </w:pPr>
          </w:p>
        </w:tc>
      </w:tr>
      <w:tr>
        <w:trPr>
          <w:trHeight w:val="173"/>
        </w:trPr>
        <w:tc>
          <w:tcPr>
            <w:tcW w:w="3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r>
      <w:tr>
        <w:trPr>
          <w:trHeight w:val="156"/>
        </w:trPr>
        <w:tc>
          <w:tcPr>
            <w:tcW w:w="304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3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 of Stock Options</w:t>
      </w:r>
    </w:p>
    <w:p>
      <w:pPr>
        <w:spacing w:after="0" w:line="229" w:lineRule="exact"/>
        <w:rPr>
          <w:sz w:val="20"/>
          <w:szCs w:val="20"/>
          <w:color w:val="auto"/>
        </w:rPr>
      </w:pPr>
    </w:p>
    <w:p>
      <w:pPr>
        <w:ind w:right="360" w:firstLine="1018"/>
        <w:spacing w:after="0" w:line="282" w:lineRule="auto"/>
        <w:rPr>
          <w:sz w:val="20"/>
          <w:szCs w:val="20"/>
          <w:color w:val="auto"/>
        </w:rPr>
      </w:pPr>
      <w:r>
        <w:rPr>
          <w:rFonts w:ascii="Times New Roman" w:cs="Times New Roman" w:eastAsia="Times New Roman" w:hAnsi="Times New Roman"/>
          <w:sz w:val="18"/>
          <w:szCs w:val="18"/>
          <w:color w:val="auto"/>
        </w:rPr>
        <w:t>The fair value of granted stock options was estimated as of the date of grant using the Black-Scholes option-pricing model, based on the following inputs: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1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bottom w:val="single" w:sz="8" w:color="auto"/>
            </w:tcBorders>
          </w:tcPr>
          <w:p>
            <w:pPr>
              <w:spacing w:after="0"/>
              <w:rPr>
                <w:sz w:val="15"/>
                <w:szCs w:val="15"/>
                <w:color w:val="auto"/>
              </w:rPr>
            </w:pPr>
          </w:p>
        </w:tc>
      </w:tr>
      <w:tr>
        <w:trPr>
          <w:trHeight w:val="155"/>
        </w:trPr>
        <w:tc>
          <w:tcPr>
            <w:tcW w:w="34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5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5"/>
        </w:trPr>
        <w:tc>
          <w:tcPr>
            <w:tcW w:w="34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Exercise price (estimated fair value per</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34"/>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share on grant date)</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0.27</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 (a)</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5.68 to 6.25</w:t>
            </w:r>
          </w:p>
        </w:tc>
        <w:tc>
          <w:tcPr>
            <w:tcW w:w="20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5.94 to 6.25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 to 6.25</w:t>
            </w:r>
          </w:p>
        </w:tc>
        <w:tc>
          <w:tcPr>
            <w:tcW w:w="18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(b)</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 to 2.5%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 to 2.5%</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 to 0.5%</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(c)</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77.8% to 83.2%</w:t>
            </w:r>
          </w:p>
        </w:tc>
        <w:tc>
          <w:tcPr>
            <w:tcW w:w="20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9"/>
              </w:rPr>
              <w:t>82.5% to 89.4%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 to 89.4%</w:t>
            </w:r>
          </w:p>
        </w:tc>
        <w:tc>
          <w:tcPr>
            <w:tcW w:w="18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70.9% to 71.2%</w:t>
            </w: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 (d)</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per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0.17</w:t>
            </w:r>
          </w:p>
        </w:tc>
      </w:tr>
    </w:tbl>
    <w:p>
      <w:pPr>
        <w:spacing w:after="0" w:line="191" w:lineRule="exact"/>
        <w:rPr>
          <w:sz w:val="20"/>
          <w:szCs w:val="20"/>
          <w:color w:val="auto"/>
        </w:rPr>
      </w:pPr>
    </w:p>
    <w:p>
      <w:pPr>
        <w:ind w:left="380" w:hanging="372"/>
        <w:spacing w:after="0"/>
        <w:tabs>
          <w:tab w:leader="none" w:pos="38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using the “simplified method” under applicable GAAP (</w:t>
      </w:r>
      <w:r>
        <w:rPr>
          <w:rFonts w:ascii="Times New Roman" w:cs="Times New Roman" w:eastAsia="Times New Roman" w:hAnsi="Times New Roman"/>
          <w:sz w:val="14"/>
          <w:szCs w:val="14"/>
          <w:i w:val="1"/>
          <w:iCs w:val="1"/>
          <w:color w:val="auto"/>
        </w:rPr>
        <w:t>SAB 107);</w:t>
      </w:r>
      <w:r>
        <w:rPr>
          <w:rFonts w:ascii="Times New Roman" w:cs="Times New Roman" w:eastAsia="Times New Roman" w:hAnsi="Times New Roman"/>
          <w:sz w:val="14"/>
          <w:szCs w:val="14"/>
          <w:color w:val="auto"/>
        </w:rPr>
        <w:t xml:space="preserve"> the maximum contractual term of issued stock options is 10 years.</w:t>
      </w:r>
    </w:p>
    <w:p>
      <w:pPr>
        <w:spacing w:after="0" w:line="5"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the U.S. Treasury yields in effect during the period which the options were granted (for a period equaling the stock options’ expected term).</w:t>
      </w:r>
    </w:p>
    <w:p>
      <w:pPr>
        <w:ind w:left="380" w:hanging="372"/>
        <w:spacing w:after="0" w:line="221" w:lineRule="auto"/>
        <w:tabs>
          <w:tab w:leader="none" w:pos="38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Measured using the volatility of the stock price for the Company’s designated peer group of publicly-traded companies for a period equal to the expected option term.</w:t>
      </w:r>
    </w:p>
    <w:p>
      <w:pPr>
        <w:ind w:left="380" w:hanging="372"/>
        <w:spacing w:after="0"/>
        <w:tabs>
          <w:tab w:leader="none" w:pos="38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Tarsus does not expect to declare any cash dividends in the foreseeable future.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0" w:name="page191"/>
    <w:bookmarkEnd w:id="19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Stock option activity during the years ended December 31, 2018 and 2019 and for the six months ended June 30, 2020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60" w:type="dxa"/>
            <w:vAlign w:val="bottom"/>
            <w:vMerge w:val="restart"/>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16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9"/>
              </w:rPr>
              <w:t>Price/Share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00" w:type="dxa"/>
            <w:vAlign w:val="bottom"/>
          </w:tcPr>
          <w:p>
            <w:pPr>
              <w:spacing w:after="0"/>
              <w:rPr>
                <w:sz w:val="15"/>
                <w:szCs w:val="15"/>
                <w:color w:val="auto"/>
              </w:rPr>
            </w:pPr>
          </w:p>
        </w:tc>
        <w:tc>
          <w:tcPr>
            <w:tcW w:w="11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2017</w:t>
            </w:r>
          </w:p>
        </w:tc>
        <w:tc>
          <w:tcPr>
            <w:tcW w:w="14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622,500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1,361,043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0.06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Outstanding — December 31, 2018</w:t>
            </w: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1,983,543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0.04</w:t>
            </w:r>
          </w:p>
        </w:tc>
        <w:tc>
          <w:tcPr>
            <w:tcW w:w="12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jc w:val="right"/>
              <w:ind w:right="17"/>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243,611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5"/>
              </w:rPr>
              <w:t>0.06</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5"/>
              </w:rPr>
              <w:t>0.06</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0.06</w:t>
            </w:r>
          </w:p>
        </w:tc>
        <w:tc>
          <w:tcPr>
            <w:tcW w:w="12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2,207,154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5"/>
              </w:rPr>
              <w:t>0.04</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7,456,406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0.27</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5"/>
              </w:rPr>
              <w:t>0.27</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0.07</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Outstanding — June 30, 2020</w:t>
            </w: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9,141,330</w:t>
            </w: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0.22</w:t>
            </w:r>
          </w:p>
        </w:tc>
        <w:tc>
          <w:tcPr>
            <w:tcW w:w="120" w:type="dxa"/>
            <w:vAlign w:val="bottom"/>
            <w:tcBorders>
              <w:bottom w:val="single" w:sz="8" w:color="CFF0FC"/>
            </w:tcBorders>
          </w:tcPr>
          <w:p>
            <w:pPr>
              <w:spacing w:after="0"/>
              <w:rPr>
                <w:sz w:val="23"/>
                <w:szCs w:val="23"/>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 December 31, 2019</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935,207</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5"/>
              </w:rPr>
              <w:t>0.03</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Unvested — December 31, 2019</w:t>
            </w:r>
          </w:p>
        </w:tc>
        <w:tc>
          <w:tcPr>
            <w:tcW w:w="1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740" w:type="dxa"/>
            <w:vAlign w:val="bottom"/>
            <w:tcBorders>
              <w:bottom w:val="single" w:sz="8" w:color="CFF0FC"/>
            </w:tcBorders>
            <w:gridSpan w:val="2"/>
            <w:vMerge w:val="continue"/>
          </w:tcPr>
          <w:p>
            <w:pPr>
              <w:spacing w:after="0"/>
              <w:rPr>
                <w:sz w:val="21"/>
                <w:szCs w:val="21"/>
                <w:color w:val="auto"/>
              </w:rPr>
            </w:pP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1,271,947</w:t>
            </w: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0.05</w:t>
            </w:r>
          </w:p>
        </w:tc>
        <w:tc>
          <w:tcPr>
            <w:tcW w:w="120" w:type="dxa"/>
            <w:vAlign w:val="bottom"/>
            <w:tcBorders>
              <w:bottom w:val="single" w:sz="8" w:color="CFF0FC"/>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 June 30, 2020</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1,830,339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5"/>
              </w:rPr>
              <w:t>0.11</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Unvested — June 30, 2020</w:t>
            </w:r>
          </w:p>
        </w:tc>
        <w:tc>
          <w:tcPr>
            <w:tcW w:w="1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gridSpan w:val="2"/>
            <w:vMerge w:val="continue"/>
          </w:tcPr>
          <w:p>
            <w:pPr>
              <w:spacing w:after="0"/>
              <w:rPr>
                <w:sz w:val="18"/>
                <w:szCs w:val="18"/>
                <w:color w:val="auto"/>
              </w:rPr>
            </w:pP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7,310,991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0.24</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380" w:right="120" w:hanging="372"/>
        <w:spacing w:after="0" w:line="243" w:lineRule="auto"/>
        <w:tabs>
          <w:tab w:leader="none" w:pos="3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total </w:t>
      </w:r>
      <w:r>
        <w:rPr>
          <w:rFonts w:ascii="Times New Roman" w:cs="Times New Roman" w:eastAsia="Times New Roman" w:hAnsi="Times New Roman"/>
          <w:sz w:val="14"/>
          <w:szCs w:val="14"/>
          <w:i w:val="1"/>
          <w:iCs w:val="1"/>
          <w:color w:val="auto"/>
        </w:rPr>
        <w:t>difference</w:t>
      </w:r>
      <w:r>
        <w:rPr>
          <w:rFonts w:ascii="Times New Roman" w:cs="Times New Roman" w:eastAsia="Times New Roman" w:hAnsi="Times New Roman"/>
          <w:sz w:val="14"/>
          <w:szCs w:val="14"/>
          <w:color w:val="auto"/>
        </w:rPr>
        <w:t xml:space="preserve"> between the estimated stock price fair value as of December 31, 2019 and June 30, 2020 and the stock option exercise price,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the number of in-the-money options as of December 31, 2019 and June 30, 2020. The amount of any intrinsic value will change in relation to any increases or decreases in the then-determined fair value of the Company’s common stock.</w:t>
      </w:r>
    </w:p>
    <w:p>
      <w:pPr>
        <w:spacing w:after="0" w:line="179" w:lineRule="exact"/>
        <w:rPr>
          <w:sz w:val="20"/>
          <w:szCs w:val="20"/>
          <w:color w:val="auto"/>
        </w:rPr>
      </w:pPr>
    </w:p>
    <w:p>
      <w:pPr>
        <w:ind w:right="40" w:firstLine="1018"/>
        <w:spacing w:after="0" w:line="312" w:lineRule="auto"/>
        <w:rPr>
          <w:sz w:val="20"/>
          <w:szCs w:val="20"/>
          <w:color w:val="auto"/>
        </w:rPr>
      </w:pPr>
      <w:r>
        <w:rPr>
          <w:rFonts w:ascii="Times New Roman" w:cs="Times New Roman" w:eastAsia="Times New Roman" w:hAnsi="Times New Roman"/>
          <w:sz w:val="17"/>
          <w:szCs w:val="17"/>
          <w:color w:val="auto"/>
        </w:rPr>
        <w:t>The total grant-date fair value of options that vested during the years ended December 31, 2018 and 2019 was $33 thousand in each year. The total grant-date fair value of options that vested during the six months ended June 30, 2019 and 2020 was $17 thousand and $86 thousand, respectively.</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stock option grants as of December 31, 2019:</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9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1"/>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9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gridSpan w:val="2"/>
            <w:vMerge w:val="continue"/>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622,500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622,500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1,584,654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1,089,624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2,207,154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1,712,124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F-18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stock option grants as of June 30,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41"/>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720" w:type="dxa"/>
            <w:vAlign w:val="bottom"/>
            <w:gridSpan w:val="2"/>
            <w:vMerge w:val="continue"/>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622,500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622,500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1,563,320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1,209,999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6,955,510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6,431,639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9,141,330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8,264,138</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2019, there was unrecognized compensation expense of $46 thousand related to unvested stock options, which the Company expects to recognize over a weighted average period of 2.1 years. As of June 30, 2020, there was unrecognized compensation expense of $1.2 million related to unvested stock options, which the Company expects to recognize over a weighted average period of 3.1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Exercise Feature of Certain Stock Options</w:t>
      </w:r>
    </w:p>
    <w:p>
      <w:pPr>
        <w:spacing w:after="0" w:line="229" w:lineRule="exact"/>
        <w:rPr>
          <w:sz w:val="20"/>
          <w:szCs w:val="20"/>
          <w:color w:val="auto"/>
        </w:rPr>
      </w:pPr>
    </w:p>
    <w:p>
      <w:pPr>
        <w:ind w:right="20" w:firstLine="1018"/>
        <w:spacing w:after="0" w:line="281" w:lineRule="auto"/>
        <w:rPr>
          <w:sz w:val="20"/>
          <w:szCs w:val="20"/>
          <w:color w:val="auto"/>
        </w:rPr>
      </w:pPr>
      <w:r>
        <w:rPr>
          <w:rFonts w:ascii="Times New Roman" w:cs="Times New Roman" w:eastAsia="Times New Roman" w:hAnsi="Times New Roman"/>
          <w:sz w:val="17"/>
          <w:szCs w:val="17"/>
          <w:color w:val="auto"/>
        </w:rPr>
        <w:t>The 2016 Plan permits certain option holders to exercise awarded options prior to vesting. Upon early exercise, the options become subject to a restricted stock agreement and remain subject to the same vesting provisions in the corresponding stock option award and unvested options are subject to repurchase by the Company upon termination at the same price exercised. These unvested shares are reported as issued, but not outstanding while subject to repurchase by the Company and are also excluded from the basic and diluted net loss per share calculation until the repurchase right lapses upon vesting.</w:t>
      </w:r>
    </w:p>
    <w:p>
      <w:pPr>
        <w:spacing w:after="0" w:line="164" w:lineRule="exact"/>
        <w:rPr>
          <w:sz w:val="20"/>
          <w:szCs w:val="20"/>
          <w:color w:val="auto"/>
        </w:rPr>
      </w:pPr>
    </w:p>
    <w:p>
      <w:pPr>
        <w:ind w:right="140" w:firstLine="1018"/>
        <w:spacing w:after="0" w:line="256" w:lineRule="auto"/>
        <w:rPr>
          <w:sz w:val="20"/>
          <w:szCs w:val="20"/>
          <w:color w:val="auto"/>
        </w:rPr>
      </w:pPr>
      <w:r>
        <w:rPr>
          <w:rFonts w:ascii="Times New Roman" w:cs="Times New Roman" w:eastAsia="Times New Roman" w:hAnsi="Times New Roman"/>
          <w:sz w:val="18"/>
          <w:szCs w:val="18"/>
          <w:color w:val="auto"/>
        </w:rPr>
        <w:t>The Company initially records a liability for these early exercises that is subsequently reclassified into stockholders’ equity on a pro rata basis as vesting occurs. During the year ended December 31, 2019, the Company repurchased 200,000 of unvested common stock options from a former consultant in connection with termination of his consulting agreement; there were no such repurchases in 2018 or for the six months ended June 30, 2020. As of December 31, 2018 and 2019, all stock options with early exercise features were either vested or immaterial if early exercised and the Company reported no corresponding liability in the accompanying Balance Sheets. As of June 30, 2020, the Company has recorded the unvested portion of the exercise proceeds of $0.1 million as a liability from the early exercise in the accompanying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Issued to Founders</w:t>
      </w:r>
    </w:p>
    <w:p>
      <w:pPr>
        <w:spacing w:after="0" w:line="229"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In January 2017, the Company issued 18 million shares of restricted common stock to founders, all which vest under service conditions. The shares were issued under the terms of the respective Stock Purchase Agreement. Unvested shares are subject to repurchase by the Company at the original purchase price per share upon the holder’s termination of the relationship with the Company. The restricted shares are not deemed to be outstanding for accounting purposes until vested and are therefore excluded from reported shares outstanding and from the basic and diluted net loss per share calculation until the repurchase right lapses and are no longer subject to the repurchase feature. One-third of the 18 million shares of restricted common stock were vested on the issuance date and the remaining 12 million shares vest monthly thereafter. During the years ended December 31, 2018 and 2019, 4.0 million and 3.7 million shares of restricted common stock, vested, respectively. As of December 31, 2019 and June 30, 2020, no shares of this restricted stock issuance remain unvested.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2" w:name="page193"/>
    <w:bookmarkEnd w:id="19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LOSS PER SHARE</w:t>
      </w:r>
    </w:p>
    <w:p>
      <w:pPr>
        <w:spacing w:after="0" w:line="229"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Net loss per share attributable to common stockholders was computed by dividing net loss by the weighted-average number of common shares outstanding for the years ended December 31, 2018 and 2019 and the six months ended June 30, 2019 and 2020:</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24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shares—basic and diluted</w:t>
            </w:r>
          </w:p>
        </w:tc>
        <w:tc>
          <w:tcPr>
            <w:tcW w:w="1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13,068,854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17,728,991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16,580,269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19,689,426</w:t>
            </w:r>
          </w:p>
        </w:tc>
      </w:tr>
      <w:tr>
        <w:trPr>
          <w:trHeight w:val="211"/>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4"/>
        </w:trPr>
        <w:tc>
          <w:tcPr>
            <w:tcW w:w="5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r>
    </w:tbl>
    <w:p>
      <w:pPr>
        <w:spacing w:after="0" w:line="198" w:lineRule="exact"/>
        <w:rPr>
          <w:sz w:val="20"/>
          <w:szCs w:val="20"/>
          <w:color w:val="auto"/>
        </w:rPr>
      </w:pPr>
    </w:p>
    <w:p>
      <w:pPr>
        <w:ind w:right="380" w:firstLine="1018"/>
        <w:spacing w:after="0" w:line="266"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calculation of diluted net loss per share attributable to common stockholders because their impact under the “treasury stock method” and “if-converted method” would have been anti-dilutive for the periods presented:</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36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260" w:type="dxa"/>
            <w:vAlign w:val="bottom"/>
          </w:tcPr>
          <w:p>
            <w:pPr>
              <w:spacing w:after="0"/>
              <w:rPr>
                <w:sz w:val="15"/>
                <w:szCs w:val="15"/>
                <w:color w:val="auto"/>
              </w:rPr>
            </w:pPr>
          </w:p>
        </w:tc>
        <w:tc>
          <w:tcPr>
            <w:tcW w:w="24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gridSpan w:val="3"/>
          </w:tcPr>
          <w:p>
            <w:pPr>
              <w:jc w:val="center"/>
              <w:ind w:left="7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r>
      <w:tr>
        <w:trPr>
          <w:trHeight w:val="155"/>
        </w:trPr>
        <w:tc>
          <w:tcPr>
            <w:tcW w:w="52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unexercised - vested and unvested</w:t>
            </w:r>
          </w:p>
        </w:tc>
        <w:tc>
          <w:tcPr>
            <w:tcW w:w="1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1,983,543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2,207,154</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2,212,987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9,141,330</w:t>
            </w: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Series A and Series B Preferred Stock, outstanding</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8,974,357</w:t>
            </w:r>
          </w:p>
        </w:tc>
        <w:tc>
          <w:tcPr>
            <w:tcW w:w="1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14,279,521</w:t>
            </w:r>
          </w:p>
        </w:tc>
        <w:tc>
          <w:tcPr>
            <w:tcW w:w="14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11,698,716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61,277,339</w:t>
            </w: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repurchase from its founders</w:t>
            </w:r>
          </w:p>
        </w:tc>
        <w:tc>
          <w:tcPr>
            <w:tcW w:w="1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3,666,667</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1,666,667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early-exercised and unvested</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781,946</w:t>
            </w:r>
          </w:p>
        </w:tc>
        <w:tc>
          <w:tcPr>
            <w:tcW w:w="1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31,945</w:t>
            </w:r>
          </w:p>
        </w:tc>
        <w:tc>
          <w:tcPr>
            <w:tcW w:w="14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406,945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693,902</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155,515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15,406,513</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17,212,522</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16,140,830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70,918,669</w:t>
            </w:r>
          </w:p>
        </w:tc>
      </w:tr>
      <w:tr>
        <w:trPr>
          <w:trHeight w:val="20"/>
        </w:trPr>
        <w:tc>
          <w:tcPr>
            <w:tcW w:w="5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UNAUDITED PRO FORMA NET LOSS PER SHARE</w:t>
      </w:r>
    </w:p>
    <w:p>
      <w:pPr>
        <w:spacing w:after="0" w:line="229" w:lineRule="exact"/>
        <w:rPr>
          <w:sz w:val="20"/>
          <w:szCs w:val="20"/>
          <w:color w:val="auto"/>
        </w:rPr>
      </w:pPr>
    </w:p>
    <w:p>
      <w:pPr>
        <w:ind w:right="92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unaudited pro forma basic and diluted net loss per share attributable to common stockholders for the year ended December 31, 2019 and the six months ended June 30,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53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of common stock used in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computing net loss per share attributable to</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stockholders</w:t>
            </w:r>
          </w:p>
        </w:tc>
        <w:tc>
          <w:tcPr>
            <w:tcW w:w="10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17,728,991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19,689,426</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 forma adjustment to reflect assumed conversion of</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Series A and Series B Preferred Stock (Note 4)</w:t>
            </w: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14,279,521</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61,277,339</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700" w:type="dxa"/>
            <w:vAlign w:val="bottom"/>
          </w:tcPr>
          <w:p>
            <w:pPr>
              <w:spacing w:after="0"/>
              <w:rPr>
                <w:sz w:val="17"/>
                <w:szCs w:val="17"/>
                <w:color w:val="auto"/>
              </w:rPr>
            </w:pPr>
          </w:p>
        </w:tc>
        <w:tc>
          <w:tcPr>
            <w:tcW w:w="536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Weighted-average shares of common stock used in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computing pro forma net loss per share attributable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00" w:type="dxa"/>
            <w:vAlign w:val="bottom"/>
          </w:tcPr>
          <w:p>
            <w:pPr>
              <w:spacing w:after="0"/>
              <w:rPr>
                <w:sz w:val="23"/>
                <w:szCs w:val="23"/>
                <w:color w:val="auto"/>
              </w:rPr>
            </w:pPr>
          </w:p>
        </w:tc>
        <w:tc>
          <w:tcPr>
            <w:tcW w:w="536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 common stockholders, basic and diluted</w:t>
            </w: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32,008,512</w:t>
            </w:r>
          </w:p>
        </w:tc>
        <w:tc>
          <w:tcPr>
            <w:tcW w:w="12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80,966,765</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53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Pro forma net loss per share attributable to common</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Borders>
              <w:top w:val="single" w:sz="8" w:color="CFF0FC"/>
              <w:bottom w:val="single" w:sz="8" w:color="CFF0FC"/>
            </w:tcBorders>
            <w:vMerge w:val="restart"/>
          </w:tcPr>
          <w:p>
            <w:pPr>
              <w:ind w:left="3760"/>
              <w:spacing w:after="0"/>
              <w:rPr>
                <w:sz w:val="20"/>
                <w:szCs w:val="20"/>
                <w:color w:val="auto"/>
              </w:rPr>
            </w:pPr>
            <w:r>
              <w:rPr>
                <w:rFonts w:ascii="Times New Roman" w:cs="Times New Roman" w:eastAsia="Times New Roman" w:hAnsi="Times New Roman"/>
                <w:sz w:val="18"/>
                <w:szCs w:val="18"/>
                <w:color w:val="auto"/>
              </w:rPr>
              <w:t>F-20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93" w:name="page194"/>
    <w:bookmarkEnd w:id="19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(Information as of June 30, 2020 and thereafter and for the six months ended June 30, 2019 and 2020 is unaudited; all tabular amounts presented</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29" w:lineRule="exact"/>
        <w:rPr>
          <w:sz w:val="20"/>
          <w:szCs w:val="20"/>
          <w:color w:val="auto"/>
        </w:rPr>
      </w:pPr>
    </w:p>
    <w:p>
      <w:pPr>
        <w:ind w:right="120" w:firstLine="1018"/>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Times New Roman" w:cs="Times New Roman" w:eastAsia="Times New Roman" w:hAnsi="Times New Roman"/>
          <w:sz w:val="18"/>
          <w:szCs w:val="18"/>
          <w:i w:val="1"/>
          <w:iCs w:val="1"/>
          <w:color w:val="auto"/>
        </w:rPr>
        <w:t>Note 2(xi)</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3"/>
        </w:trPr>
        <w:tc>
          <w:tcPr>
            <w:tcW w:w="5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3"/>
                <w:szCs w:val="13"/>
                <w:color w:val="auto"/>
              </w:rPr>
            </w:pPr>
          </w:p>
        </w:tc>
        <w:tc>
          <w:tcPr>
            <w:tcW w:w="11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920" w:type="dxa"/>
            <w:vAlign w:val="bottom"/>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2,355</w:t>
            </w:r>
          </w:p>
        </w:tc>
      </w:tr>
      <w:tr>
        <w:trPr>
          <w:trHeight w:val="223"/>
        </w:trPr>
        <w:tc>
          <w:tcPr>
            <w:tcW w:w="52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2,355</w:t>
            </w: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4"/>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3"/>
        </w:trPr>
        <w:tc>
          <w:tcPr>
            <w:tcW w:w="5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5"/>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3"/>
                <w:szCs w:val="13"/>
                <w:color w:val="auto"/>
              </w:rPr>
            </w:pPr>
          </w:p>
        </w:tc>
        <w:tc>
          <w:tcPr>
            <w:tcW w:w="11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920" w:type="dxa"/>
            <w:vAlign w:val="bottom"/>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57,952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57,952</w:t>
            </w:r>
          </w:p>
        </w:tc>
      </w:tr>
      <w:tr>
        <w:trPr>
          <w:trHeight w:val="223"/>
        </w:trPr>
        <w:tc>
          <w:tcPr>
            <w:tcW w:w="52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57,952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57,952</w:t>
            </w: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4"/>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3"/>
        </w:trPr>
        <w:tc>
          <w:tcPr>
            <w:tcW w:w="5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3"/>
                <w:szCs w:val="13"/>
                <w:color w:val="auto"/>
              </w:rPr>
            </w:pPr>
          </w:p>
        </w:tc>
        <w:tc>
          <w:tcPr>
            <w:tcW w:w="11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920" w:type="dxa"/>
            <w:vAlign w:val="bottom"/>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53,135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53,135</w:t>
            </w:r>
          </w:p>
        </w:tc>
      </w:tr>
      <w:tr>
        <w:trPr>
          <w:trHeight w:val="223"/>
        </w:trPr>
        <w:tc>
          <w:tcPr>
            <w:tcW w:w="52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53,135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53,135</w:t>
            </w: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w:t>
      </w:r>
    </w:p>
    <w:p>
      <w:pPr>
        <w:spacing w:after="0" w:line="227"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 xml:space="preserve">Money market fund holdings are included in cash and cash equivalents on the accompanying balance sheets and are classified within </w:t>
      </w: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xml:space="preserve"> of the fair value hierarchy because of its readily-available market prices in active markets that are publicly accessible at the measurement date. These money market funds are invested in U.S. Treasury, bills, notes, and other obligations issued or guaranteed as to principal and interest by the U.S. Government or its agencies.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4" w:name="page195"/>
    <w:bookmarkEnd w:id="1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 Derivative Liabilities</w:t>
      </w:r>
    </w:p>
    <w:p>
      <w:pPr>
        <w:spacing w:after="0" w:line="229" w:lineRule="exact"/>
        <w:rPr>
          <w:sz w:val="20"/>
          <w:szCs w:val="20"/>
          <w:color w:val="auto"/>
        </w:rPr>
      </w:pPr>
    </w:p>
    <w:p>
      <w:pPr>
        <w:jc w:val="both"/>
        <w:ind w:right="240" w:firstLine="1018"/>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changes in fair value of the bifurcated derivative liability associated with the convertible promissory notes issued and settled during 2019 to certain related parties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The measurement of the derivative liabilities represents a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financial instrument:</w:t>
      </w:r>
    </w:p>
    <w:p>
      <w:pPr>
        <w:spacing w:after="0" w:line="17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73"/>
        </w:trPr>
        <w:tc>
          <w:tcPr>
            <w:tcW w:w="55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2018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 upon issuance of May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2019 Notes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1"/>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 upon issuance of August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2019 Notes</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 upon issuance of October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2019 Notes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1"/>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Revaluation of derivative liabilities included in other income</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(expense), net within the Statement of Operations for the year</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ended December 31, 2019</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derivative liabilities through conversion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all Notes</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2019</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as of June 30, 2020</w:t>
            </w: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1018"/>
        <w:spacing w:after="0" w:line="274" w:lineRule="auto"/>
        <w:rPr>
          <w:sz w:val="20"/>
          <w:szCs w:val="20"/>
          <w:color w:val="auto"/>
        </w:rPr>
      </w:pPr>
      <w:r>
        <w:rPr>
          <w:rFonts w:ascii="Times New Roman" w:cs="Times New Roman" w:eastAsia="Times New Roman" w:hAnsi="Times New Roman"/>
          <w:sz w:val="17"/>
          <w:szCs w:val="17"/>
          <w:color w:val="auto"/>
        </w:rPr>
        <w:t xml:space="preserve">The fair values of the derivative liabilities presented above were estimated at the date of issuance and at subsequent balance sheet dates using a two-step approach to valuation. Management utilized a probability-weighted valuation method and then compared the instrument’s value with-and-without the derivative features in order to estimate their combined fair value, using unobservable inputs, which are classified as </w:t>
      </w: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xml:space="preserve"> within the fair value hierarchy. The significant inputs not included in the market and thus represents a </w:t>
      </w: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xml:space="preserve"> measurement in the valuation approach included the probability of achieving a settlement that provides the note holders the rights or the obligations to receive cash or a variable number of shares upon the completion of a then-future capital transaction. The convertible notes were issued and settled in full during the year ended December 31, 2019 (see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PROMISSORY NOTES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Notes and Conversion in December 2019</w:t>
      </w:r>
    </w:p>
    <w:p>
      <w:pPr>
        <w:spacing w:after="0" w:line="22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In May 2019, the Company entered into a Note Purchase Agreement (the “May 2019 Purchase Agreement”) with its co-founders and certain other related parties (the “Note Holders”). Under the terms of the May 2019 Purchase Agreement, the Company received cash proceeds of $0.5 million and issued $0.5 million of convertible promissory notes (the “May 2019 Notes”) with a stated maturity of December 2020. These notes bore interest at a rate of 8.0% per annum, compounded annually, and payable at maturity. In the event of a qualified equity financing, the outstanding principal of the May 2019 Notes plus all accrued and previously unpaid interest would, at the option of the holder, either (i) automatically convert into shares of stock issued in the qualified equity financing based on a conversion price equal to 90% of the issuance price paid by these new investors, or (ii) be repaid in full.</w:t>
      </w:r>
    </w:p>
    <w:p>
      <w:pPr>
        <w:spacing w:after="0" w:line="187" w:lineRule="exact"/>
        <w:rPr>
          <w:sz w:val="20"/>
          <w:szCs w:val="20"/>
          <w:color w:val="auto"/>
        </w:rPr>
      </w:pPr>
    </w:p>
    <w:p>
      <w:pPr>
        <w:ind w:right="240" w:firstLine="1018"/>
        <w:spacing w:after="0" w:line="312" w:lineRule="auto"/>
        <w:rPr>
          <w:sz w:val="20"/>
          <w:szCs w:val="20"/>
          <w:color w:val="auto"/>
        </w:rPr>
      </w:pPr>
      <w:r>
        <w:rPr>
          <w:rFonts w:ascii="Times New Roman" w:cs="Times New Roman" w:eastAsia="Times New Roman" w:hAnsi="Times New Roman"/>
          <w:sz w:val="17"/>
          <w:szCs w:val="17"/>
          <w:color w:val="auto"/>
        </w:rPr>
        <w:t>In August 2019, the Company amended and restated the May 2019 Purchase Agreement with the Note Holders and received an additional $0.5 million of proceeds and issued new $0.5 million convertible promissory notes to the same parties (the “August 2019 Notes”) with identical terms.</w:t>
      </w:r>
    </w:p>
    <w:p>
      <w:pPr>
        <w:spacing w:after="0" w:line="140"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 new Note Purchase Agreement (the “October 2019 Purchase Agreement”) with the Note Holders. Under the terms of the October 2019 Purchase Agreement, the Company received proceeds of $1.0 million and issued $1.0 million of convertible promissory notes (the “October 2019 Notes,” collectively with the May 2019 Notes and the August 2019 Notes, the “Notes”) with a conversion price equal to 80% of the issuance price in a qualified equity financing.</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21" w:lineRule="exact"/>
        <w:rPr>
          <w:sz w:val="20"/>
          <w:szCs w:val="20"/>
          <w:color w:val="auto"/>
        </w:rPr>
      </w:pPr>
    </w:p>
    <w:p>
      <w:pPr>
        <w:ind w:right="360" w:firstLine="101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Company completed an issuance of Series B Preferred Stock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Upon this issuance, the $2.0 million of Note principal value, along with accrued interest, were converted into 2.0 million shares of Series B Preferred Stock under its contractual terms. The Company recorded “loss on extinguishment of convertible notes” (non-cash) of $0.3 million within “other income (expense)” in the accompanying Statements of Operations and Comprehensive Loss for the year ended December 31,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its Accounting</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The Notes allowed for redemption upon a qualified equity financing that was determined to be a contingent redemption feature that was not closely related to the Notes and was thus was required to be bifurcated as a derivative liability on the balance sheet. Based on the features of this derivative, the Company accounted for it as an implied discount in presenting the carrying value of these Notes. This discount was accreted over the term to maturity of the Notes using the effective interest method, resulting in aggregate interest expense recognition (non-cash) of $6 thousand and $0.1 million for the six months ended June 30, 2019 and year ended December 31, 2019. As the Notes were converted in December 2019, no interest expense was recorded for the six months ended June 30, 2020.</w:t>
      </w:r>
    </w:p>
    <w:p>
      <w:pPr>
        <w:spacing w:after="0" w:line="187" w:lineRule="exact"/>
        <w:rPr>
          <w:sz w:val="20"/>
          <w:szCs w:val="20"/>
          <w:color w:val="auto"/>
        </w:rPr>
      </w:pPr>
    </w:p>
    <w:p>
      <w:pPr>
        <w:jc w:val="both"/>
        <w:ind w:right="100" w:firstLine="1018"/>
        <w:spacing w:after="0" w:line="258" w:lineRule="auto"/>
        <w:rPr>
          <w:sz w:val="20"/>
          <w:szCs w:val="20"/>
          <w:color w:val="auto"/>
        </w:rPr>
      </w:pPr>
      <w:r>
        <w:rPr>
          <w:rFonts w:ascii="Times New Roman" w:cs="Times New Roman" w:eastAsia="Times New Roman" w:hAnsi="Times New Roman"/>
          <w:sz w:val="18"/>
          <w:szCs w:val="18"/>
          <w:color w:val="auto"/>
        </w:rPr>
        <w:t>Changes in the embedded derivatives’ fair value at each reporting period were recognized in the accompanying statements of operations and comprehensive loss within “changes in fair value of derivative liabilities,” resulting in incremental “other expense” recognition (non-cash) of $0.1 million for the year ended December 31, 2019. We did not recognize any changes in fair value of derivative liabilities during the six months ended June 30, 2019. As the Notes were converted in December 2019, no other expense related to changes in fair value of derivative liabilities was recorded for the six months ended June 30, 2020.</w:t>
      </w:r>
    </w:p>
    <w:p>
      <w:pPr>
        <w:spacing w:after="0" w:line="179" w:lineRule="exact"/>
        <w:rPr>
          <w:sz w:val="20"/>
          <w:szCs w:val="20"/>
          <w:color w:val="auto"/>
        </w:rPr>
      </w:pPr>
    </w:p>
    <w:p>
      <w:pPr>
        <w:ind w:left="280" w:hanging="272"/>
        <w:spacing w:after="0"/>
        <w:tabs>
          <w:tab w:leader="none" w:pos="28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&amp; CONTINGENCIES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Facility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 xml:space="preserve">In the ordinary course of business, the Company enters lease agreements with unaffiliated parties for the use of office and laboratory facilities and office equipment. As of December 31, 2019, the Company had one active facility lease in Irvine, California, that commenced on March 1, 2019 and expires April 30, 2022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This lease has a renewal option at the end of term, for which the Company was not reasonably certain to exercise at the lease commencement. As such, the renewal option was not included in the lease term used to calculate the right-of-use lease asset and lease liability. Prior to March 1, 2019, the Company did not have any material lease arrangements.</w:t>
      </w:r>
    </w:p>
    <w:p>
      <w:pPr>
        <w:spacing w:after="0" w:line="183"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The Company entered into two additional facility leases that commenced on June 1, 2020 for adjacent administrative and laboratory suites in Irvine, California. These leases expire on January 31, 2024. One of these leases included a renewal option at the end of its term, for which the Company was not reasonably certain to exercise at the lease commencement. As such, the renewal option was not included in the lease term used to calculate the right-of-use lease asset and lease liability. In connection with these two leases the Company capitalized right-of-use assets along with an accompanying lease liability of $0.7 million.</w:t>
      </w:r>
    </w:p>
    <w:p>
      <w:pPr>
        <w:spacing w:after="0" w:line="183" w:lineRule="exact"/>
        <w:rPr>
          <w:sz w:val="20"/>
          <w:szCs w:val="20"/>
          <w:color w:val="auto"/>
        </w:rPr>
      </w:pPr>
    </w:p>
    <w:p>
      <w:pPr>
        <w:ind w:firstLine="1018"/>
        <w:spacing w:after="0" w:line="281" w:lineRule="auto"/>
        <w:rPr>
          <w:sz w:val="20"/>
          <w:szCs w:val="20"/>
          <w:color w:val="auto"/>
        </w:rPr>
      </w:pPr>
      <w:r>
        <w:rPr>
          <w:rFonts w:ascii="Times New Roman" w:cs="Times New Roman" w:eastAsia="Times New Roman" w:hAnsi="Times New Roman"/>
          <w:sz w:val="17"/>
          <w:szCs w:val="17"/>
          <w:color w:val="auto"/>
        </w:rPr>
        <w:t>All of the Company’s facility leases have minimum annual rent, payable monthly, and carry fixed annual rent increases. Under the arrangements, real estate taxes, certain operating expenses, and common area maintenance are reimbursable to the lessor. These amounts are expensed as incurred, as they are variable in nature and therefore excluded from the measurement of the reported right-of-use asset and liability discussed below. During the years ended December 31, 2018 and 2019 and during the six months ended June 30, 2020, the Company had no sublease arrangements with it as lessor.</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Lease Standard, Topic 842</w:t>
      </w:r>
    </w:p>
    <w:p>
      <w:pPr>
        <w:spacing w:after="0" w:line="227" w:lineRule="exact"/>
        <w:rPr>
          <w:sz w:val="20"/>
          <w:szCs w:val="20"/>
          <w:color w:val="auto"/>
        </w:rPr>
      </w:pPr>
    </w:p>
    <w:p>
      <w:pPr>
        <w:ind w:right="20" w:firstLine="1018"/>
        <w:spacing w:after="0" w:line="257" w:lineRule="auto"/>
        <w:rPr>
          <w:sz w:val="20"/>
          <w:szCs w:val="20"/>
          <w:color w:val="auto"/>
        </w:rPr>
      </w:pPr>
      <w:r>
        <w:rPr>
          <w:rFonts w:ascii="Times New Roman" w:cs="Times New Roman" w:eastAsia="Times New Roman" w:hAnsi="Times New Roman"/>
          <w:sz w:val="18"/>
          <w:szCs w:val="18"/>
          <w:color w:val="auto"/>
        </w:rPr>
        <w:t>Beginning January 1, 2019, the Company adopted ASU 2016-02</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Under this new lease accounting standard, the Company recognized a right-of-use asset and lease liability on the accompanying Balance Sheets for all material leases. Management elected the “modified retrospective approach” with an effective transition date of January 1, 2018 upon adoption and the available practical expedients. The Company also elected to (1) not separate “lease components” from “non-lease components” in the measurement of minimum payments for its leases and (2) not recognize a lease asset and liability for a term of 12 months or less. Lease expense is recognized on a straight-line basis over the expected term of the lease. In March 2019, the Company capitalized a right-of-use asset of $0.2 million along with an accompanying $0.2 million lease liability.</w:t>
      </w:r>
    </w:p>
    <w:p>
      <w:pPr>
        <w:spacing w:after="0" w:line="182"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 xml:space="preserve">As part of applying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the Company determines if an arrangement is or contains a lease and the classification of that lease at contract execution. The classification of leases as “operating” or “finance” leases along with the initial measurement and recognition of the associated right-of-use assets and lease liabilities is performed at the lease commencement date. The measurement of lease liabilities is based on the present value of future lease payments over the lease term. Since an implicit rate for the operating lease for the Company’s Irvine facility was not determinable and was not implicit in the lease, the Company calculated an estimated incremental borrowing rate based upon what it would have to pay to borrow on a collateralized bases over a similar term and amount equal to the lease payments in a similar economic environment. The right-of-use lease asset is based on the corresponding lease liability and adjusted for (i) applicable payments made at or before the commencement date, (ii) initial direct costs incurred, and (iii) tenant incentives provided by the lessor.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29" w:lineRule="exact"/>
        <w:rPr>
          <w:sz w:val="20"/>
          <w:szCs w:val="20"/>
          <w:color w:val="auto"/>
        </w:rPr>
      </w:pPr>
    </w:p>
    <w:p>
      <w:pPr>
        <w:ind w:right="200" w:firstLine="1018"/>
        <w:spacing w:after="0" w:line="256" w:lineRule="auto"/>
        <w:rPr>
          <w:sz w:val="20"/>
          <w:szCs w:val="20"/>
          <w:color w:val="auto"/>
        </w:rPr>
      </w:pPr>
      <w:r>
        <w:rPr>
          <w:rFonts w:ascii="Times New Roman" w:cs="Times New Roman" w:eastAsia="Times New Roman" w:hAnsi="Times New Roman"/>
          <w:sz w:val="18"/>
          <w:szCs w:val="18"/>
          <w:color w:val="auto"/>
        </w:rPr>
        <w:t>The liability associated with each lease is amortized over the respective lease term using the effective interest rate method. The Company’s right-of-use asset is amortized over the lease term on a straight-line basis to lease expense, as reported on an allocated basis within “research and development” and “general and administrative” expenses on the accompanying Statements of Operations and Comprehensive Loss. For the six months ended June 30, 2019, year ended December 31, 2019, and the six months ended June 30, 2020, the Company recognized $21 thousand, $0.1 million, and $0.1 million for lease expense, respectively. There were no variable lease payments, including non-lease components such as common area maintenance fees, recognized as lease expense for the year ended December 31, 2019 or for the six months ended June 30,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Weighted-Average Remaining Lease Term and Applied Discount Rate</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Company had one active lease for its Irvine office and laboratory facility, with a remaining lease term of two years and four months as of December 31, 2019 and a remaining lease term of one year and 10 months as of June 30, 2020. The Company had two additional facility leases commence on June 1, 2020, with remaining lease terms of 43 months as of June 30, 2020. The estimated incremental borrowing rate of 10% is utilized to present value future minimum lease payments since an implicit interest rate is not readily determinable each lease. The weighted average remaining lease term for the Company’s leases as of June 30, 2020 is 40 months.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7" w:name="page198"/>
    <w:bookmarkEnd w:id="1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Contractual Lease Payments as of December 31, 2019 and June 30, 2020</w:t>
      </w:r>
    </w:p>
    <w:p>
      <w:pPr>
        <w:spacing w:after="0" w:line="229" w:lineRule="exact"/>
        <w:rPr>
          <w:sz w:val="20"/>
          <w:szCs w:val="20"/>
          <w:color w:val="auto"/>
        </w:rPr>
      </w:pPr>
    </w:p>
    <w:p>
      <w:pPr>
        <w:ind w:right="80" w:firstLine="1018"/>
        <w:spacing w:after="0" w:line="282" w:lineRule="auto"/>
        <w:rPr>
          <w:sz w:val="20"/>
          <w:szCs w:val="20"/>
          <w:color w:val="auto"/>
        </w:rPr>
      </w:pPr>
      <w:r>
        <w:rPr>
          <w:rFonts w:ascii="Times New Roman" w:cs="Times New Roman" w:eastAsia="Times New Roman" w:hAnsi="Times New Roman"/>
          <w:sz w:val="18"/>
          <w:szCs w:val="18"/>
          <w:color w:val="auto"/>
        </w:rPr>
        <w:t>The below table summarizes the (i) minimum lease payments over the next five years and thereafter, (ii) lease arrangement imputed interest, and (iii) present value of future lease payments:</w:t>
      </w:r>
    </w:p>
    <w:p>
      <w:pPr>
        <w:spacing w:after="0" w:line="15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 - future payments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 undiscounted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operating lease payments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 - future payments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(remaining six months)</w:t>
            </w:r>
          </w:p>
        </w:tc>
        <w:tc>
          <w:tcPr>
            <w:tcW w:w="14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 undiscounted</w:t>
            </w:r>
          </w:p>
        </w:tc>
        <w:tc>
          <w:tcPr>
            <w:tcW w:w="1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operating lease payments</w:t>
            </w:r>
          </w:p>
        </w:tc>
        <w:tc>
          <w:tcPr>
            <w:tcW w:w="1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In-License Agreement for Lotilaner</w:t>
      </w:r>
    </w:p>
    <w:p>
      <w:pPr>
        <w:spacing w:after="0" w:line="229"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 xml:space="preserve">In January 2019, the Company entered into a license agreement with Elanco Tiergesundheit AG (“Elanco”), granting the Company worldwide development and marketing rights (including sublicense rights) for lotilaner for the treatment or cure of any eye or skin disease or condition in humans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(the “Field”). Under this agreement, the Company has sole responsibility for development, regulatory, and commercialization activities for lotilaner in the Field.</w:t>
      </w:r>
    </w:p>
    <w:p>
      <w:pPr>
        <w:spacing w:after="0" w:line="180" w:lineRule="exact"/>
        <w:rPr>
          <w:sz w:val="20"/>
          <w:szCs w:val="20"/>
          <w:color w:val="auto"/>
        </w:rPr>
      </w:pPr>
    </w:p>
    <w:p>
      <w:pPr>
        <w:ind w:right="160" w:firstLine="1018"/>
        <w:spacing w:after="0" w:line="255" w:lineRule="auto"/>
        <w:rPr>
          <w:sz w:val="20"/>
          <w:szCs w:val="20"/>
          <w:color w:val="auto"/>
        </w:rPr>
      </w:pPr>
      <w:r>
        <w:rPr>
          <w:rFonts w:ascii="Times New Roman" w:cs="Times New Roman" w:eastAsia="Times New Roman" w:hAnsi="Times New Roman"/>
          <w:sz w:val="18"/>
          <w:szCs w:val="18"/>
          <w:color w:val="auto"/>
        </w:rPr>
        <w:t>The Company made an upfront payment at contract execution which is reported within “research and development” expense within the accompanying statements of operations and comprehensive loss for the six months ended June 30, 2019 and the year ended December 31, 2019. The Company agreed to make further payments to Elanco upon achievement of various clinical milestones for an aggregate maximum of $6.0 million and various commercial and sales threshold milestones for an aggregate maximum of $79.0 million. In addition, the Company is obligated to pay contractual royalties to Elanco in the single digits of its future net sales. If the Company receives payments from sublicensees, it is obligated to pay Elanco a variable percentage in the low to mid double-digits of such proceeds, except for territories in which the Company achieved regulatory approval prior to sublicense execution.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Employment Agreements</w:t>
      </w:r>
    </w:p>
    <w:p>
      <w:pPr>
        <w:spacing w:after="0" w:line="229"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The Company has entered into employment agreements with its four named executive officers. These agreements provide for the payment of certain benefits upon separation of employment under specified circumstances, such as in connection with a change in control event or other significant transaction.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8" w:name="page199"/>
    <w:bookmarkEnd w:id="1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Contingencies</w:t>
      </w:r>
    </w:p>
    <w:p>
      <w:pPr>
        <w:spacing w:after="0" w:line="229" w:lineRule="exact"/>
        <w:rPr>
          <w:sz w:val="20"/>
          <w:szCs w:val="20"/>
          <w:color w:val="auto"/>
        </w:rPr>
      </w:pPr>
    </w:p>
    <w:p>
      <w:pPr>
        <w:ind w:right="420" w:firstLine="101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has been or will be incurred for financial statement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Indemnities and Guarantees</w:t>
      </w:r>
    </w:p>
    <w:p>
      <w:pPr>
        <w:spacing w:after="0" w:line="229" w:lineRule="exact"/>
        <w:rPr>
          <w:sz w:val="20"/>
          <w:szCs w:val="20"/>
          <w:color w:val="auto"/>
        </w:rPr>
      </w:pPr>
    </w:p>
    <w:p>
      <w:pPr>
        <w:jc w:val="both"/>
        <w:ind w:right="140" w:firstLine="1018"/>
        <w:spacing w:after="0" w:line="261" w:lineRule="auto"/>
        <w:rPr>
          <w:sz w:val="20"/>
          <w:szCs w:val="20"/>
          <w:color w:val="auto"/>
        </w:rPr>
      </w:pPr>
      <w:r>
        <w:rPr>
          <w:rFonts w:ascii="Times New Roman" w:cs="Times New Roman" w:eastAsia="Times New Roman" w:hAnsi="Times New Roman"/>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420" w:firstLine="1018"/>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was computed by applying the statutory federal income tax rate in each period to the pretax loss for the years ended December 31, 2018 and 2019, and as adjusted for certain classes of transactions, as summarized below:</w:t>
      </w:r>
    </w:p>
    <w:p>
      <w:pPr>
        <w:spacing w:after="0" w:line="196"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53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tax benefit at statutory rate</w:t>
            </w:r>
          </w:p>
        </w:tc>
        <w:tc>
          <w:tcPr>
            <w:tcW w:w="720" w:type="dxa"/>
            <w:vAlign w:val="bottom"/>
            <w:shd w:val="clear" w:color="auto" w:fill="CFF0FC"/>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interest</w:t>
            </w:r>
          </w:p>
        </w:tc>
        <w:tc>
          <w:tcPr>
            <w:tcW w:w="7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20" w:type="dxa"/>
            <w:vAlign w:val="bottom"/>
            <w:tcBorders>
              <w:bottom w:val="single" w:sz="8" w:color="auto"/>
            </w:tcBorders>
            <w:shd w:val="clear" w:color="auto" w:fill="CFF0FC"/>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Significant components of the deferred tax assets and liabilities at December 31, 2018 and 2019, are presented below:</w:t>
      </w:r>
    </w:p>
    <w:p>
      <w:pPr>
        <w:spacing w:after="0" w:line="259"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70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961</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88</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6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1700" w:type="dxa"/>
            <w:vAlign w:val="bottom"/>
          </w:tcPr>
          <w:p>
            <w:pPr>
              <w:spacing w:after="0"/>
              <w:rPr>
                <w:sz w:val="19"/>
                <w:szCs w:val="19"/>
                <w:color w:val="auto"/>
              </w:rPr>
            </w:pPr>
          </w:p>
        </w:tc>
      </w:tr>
      <w:tr>
        <w:trPr>
          <w:trHeight w:val="223"/>
        </w:trPr>
        <w:tc>
          <w:tcPr>
            <w:tcW w:w="5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w w:val="99"/>
              </w:rPr>
              <w:t>Total deferred tax assets before valuation allowance</w:t>
            </w:r>
          </w:p>
        </w:tc>
        <w:tc>
          <w:tcPr>
            <w:tcW w:w="1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1,364</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700" w:type="dxa"/>
            <w:vAlign w:val="bottom"/>
          </w:tcPr>
          <w:p>
            <w:pPr>
              <w:spacing w:after="0"/>
              <w:rPr>
                <w:sz w:val="19"/>
                <w:szCs w:val="19"/>
                <w:color w:val="auto"/>
              </w:rPr>
            </w:pPr>
          </w:p>
        </w:tc>
      </w:tr>
      <w:tr>
        <w:trPr>
          <w:trHeight w:val="263"/>
        </w:trPr>
        <w:tc>
          <w:tcPr>
            <w:tcW w:w="5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20" w:type="dxa"/>
            <w:vAlign w:val="bottom"/>
          </w:tcPr>
          <w:p>
            <w:pPr>
              <w:spacing w:after="0"/>
              <w:rPr>
                <w:sz w:val="22"/>
                <w:szCs w:val="22"/>
                <w:color w:val="auto"/>
              </w:rPr>
            </w:pPr>
          </w:p>
        </w:tc>
        <w:tc>
          <w:tcPr>
            <w:tcW w:w="7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tcPr>
          <w:p>
            <w:pPr>
              <w:spacing w:after="0"/>
              <w:rPr>
                <w:sz w:val="22"/>
                <w:szCs w:val="22"/>
                <w:color w:val="auto"/>
              </w:rPr>
            </w:pPr>
          </w:p>
        </w:tc>
      </w:tr>
      <w:tr>
        <w:trPr>
          <w:trHeight w:val="210"/>
        </w:trPr>
        <w:tc>
          <w:tcPr>
            <w:tcW w:w="1700" w:type="dxa"/>
            <w:vAlign w:val="bottom"/>
          </w:tcPr>
          <w:p>
            <w:pPr>
              <w:spacing w:after="0"/>
              <w:rPr>
                <w:sz w:val="18"/>
                <w:szCs w:val="18"/>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6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40" w:type="dxa"/>
            <w:vAlign w:val="bottom"/>
            <w:gridSpan w:val="2"/>
          </w:tcPr>
          <w:p>
            <w:pPr>
              <w:jc w:val="right"/>
              <w:ind w:right="1900"/>
              <w:spacing w:after="0"/>
              <w:rPr>
                <w:sz w:val="20"/>
                <w:szCs w:val="20"/>
                <w:color w:val="auto"/>
              </w:rPr>
            </w:pPr>
            <w:r>
              <w:rPr>
                <w:rFonts w:ascii="Times New Roman" w:cs="Times New Roman" w:eastAsia="Times New Roman" w:hAnsi="Times New Roman"/>
                <w:sz w:val="18"/>
                <w:szCs w:val="18"/>
                <w:color w:val="auto"/>
                <w:w w:val="99"/>
              </w:rPr>
              <w:t>F-26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 presented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7"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The Company maintains a full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$0.4 million and $1.3 million at December 31, 2018 and 2019, respectively</w:t>
      </w:r>
    </w:p>
    <w:p>
      <w:pPr>
        <w:spacing w:after="0" w:line="187"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At December 31, 2019, the Company has federal and California net operating loss carryforwards of approximately $4.2 million and $1.3 million, respectively. As a result of the Tax Cuts and Jobs Act of 2017 (the Tax Act), for U.S. income tax purposes, net operating losses generated prior to December 31, 2017 can be carried forward for up to 20 years, while net operating losses generated after December 31, 2017 can be carried forward indefinitely, but are limited to 80% utilization against taxable income. The Company’s total federal net operating loss of $4.2 million includes $45 thousand that will begin to expire in 2037 and $4.1 million that will not expire but will only be able to be offset 80% of future taxable income within each year. The California net operating losses will begin to expire in 2037. At December 31, 2019, the Company had federal and California research and development tax credits of $0.1 million each. The federal research and development tax credits begin to expire in 2037 unless previously utilized, and the California credit carryforwards are available indefinitely.</w:t>
      </w:r>
    </w:p>
    <w:p>
      <w:pPr>
        <w:spacing w:after="0" w:line="192" w:lineRule="exact"/>
        <w:rPr>
          <w:sz w:val="20"/>
          <w:szCs w:val="20"/>
          <w:color w:val="auto"/>
        </w:rPr>
      </w:pPr>
    </w:p>
    <w:p>
      <w:pPr>
        <w:ind w:right="160" w:firstLine="1018"/>
        <w:spacing w:after="0" w:line="256" w:lineRule="auto"/>
        <w:rPr>
          <w:sz w:val="20"/>
          <w:szCs w:val="20"/>
          <w:color w:val="auto"/>
        </w:rPr>
      </w:pPr>
      <w:r>
        <w:rPr>
          <w:rFonts w:ascii="Times New Roman" w:cs="Times New Roman" w:eastAsia="Times New Roman" w:hAnsi="Times New Roman"/>
          <w:sz w:val="18"/>
          <w:szCs w:val="18"/>
          <w:color w:val="auto"/>
        </w:rPr>
        <w:t>The Internal Revenue Code (IRC) Sections 382 and 383 limit annual use of NOL and research and development credit carryforwards in the event a cumulative change in ownership of more than 50% occurs within a three-year period. The Company has not yet completed an ownership change analysis. If a requisite ownership change occurs,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spacing w:after="0" w:line="187"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changes to the gross unrecognized tax benefits for the years ended December 31, 2018 and 2019:</w:t>
      </w:r>
    </w:p>
    <w:p>
      <w:pPr>
        <w:spacing w:after="0" w:line="259"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42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Additions related to current year positions</w:t>
            </w:r>
          </w:p>
        </w:tc>
        <w:tc>
          <w:tcPr>
            <w:tcW w:w="1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California. All tax years from inception are subject to examination by federal and state tax authorities. The Company’s practice is to recognize interest and penalties related to income tax matters in income tax expense. No interest or penalties related to income tax matters have been incurred at December 31, 2018 and 2019 and the years then ended. Further, the Company is not currently under examination by any federal, state, or local tax authority.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0" w:name="page201"/>
    <w:bookmarkEnd w:id="20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(Information as of June 30, 2020 and thereafter and for the six months ended June 30, 2019 and 2020 is unaudited; all tabular amounts presented</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right="560" w:firstLine="101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for recognition and measurement purposes through August 7, 2020, which is the date that the financial statements were available to be issued.</w:t>
      </w:r>
    </w:p>
    <w:p>
      <w:pPr>
        <w:spacing w:after="0" w:line="162"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In preparing the interim financial statements as of June 30, 2020 and for the six months ended June 30, 2019 and 2020, the Company has evaluated subsequent events through September 14, 2020, which is the date that the financial statements were available to be issued. Except as described below, the Company has concluded that no events or transactions have occurred that require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the In-license for Lotilaner</w:t>
      </w:r>
    </w:p>
    <w:p>
      <w:pPr>
        <w:spacing w:after="0" w:line="229"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 xml:space="preserve">On September 3, 2020, the Company executed a new exclusive license agreement with Elanco, granting the Company an exclusive, worldwide, sublicensable license to certain intellectual property for the development, marketing, and commercialization of lotilaner for all applications in humans beyond the treatment, palliation, prevention or cure of any eye or skin disease or condition (see </w:t>
      </w:r>
      <w:r>
        <w:rPr>
          <w:rFonts w:ascii="Times New Roman" w:cs="Times New Roman" w:eastAsia="Times New Roman" w:hAnsi="Times New Roman"/>
          <w:sz w:val="18"/>
          <w:szCs w:val="18"/>
          <w:i w:val="1"/>
          <w:iCs w:val="1"/>
          <w:color w:val="auto"/>
        </w:rPr>
        <w:t>Note 10(b)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0" w:firstLine="1018"/>
        <w:spacing w:after="0" w:line="266" w:lineRule="auto"/>
        <w:rPr>
          <w:sz w:val="20"/>
          <w:szCs w:val="20"/>
          <w:color w:val="auto"/>
        </w:rPr>
      </w:pPr>
      <w:r>
        <w:rPr>
          <w:rFonts w:ascii="Times New Roman" w:cs="Times New Roman" w:eastAsia="Times New Roman" w:hAnsi="Times New Roman"/>
          <w:sz w:val="18"/>
          <w:szCs w:val="18"/>
          <w:color w:val="auto"/>
        </w:rPr>
        <w:t>The Company issued Elanco 1.7 million shares of its common stock pursuant to the terms of the agreement. In addition, upon the 18-month anniversary of contract execution, if not terminated by the Company, it is obligated to grant Elanco additional shares that aggregate $3.0 million, valued as of the Company’s initial public offering on a per share basis in accordance the terms of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Milestone Achievement and Payment Due to Licensor</w:t>
      </w:r>
    </w:p>
    <w:p>
      <w:pPr>
        <w:spacing w:after="0" w:line="229"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 xml:space="preserve">On September 9, 2020, patient enrollment commenced in the Company’s Phase 2b/3 clinical trial for the treatment of Demodex blepharitis. The Company is obligated to make a $2.0 million payment within 30 days of the achievement of this clinical milestone under the terms of its in-license agreement for lotilaner (see </w:t>
      </w:r>
      <w:r>
        <w:rPr>
          <w:rFonts w:ascii="Times New Roman" w:cs="Times New Roman" w:eastAsia="Times New Roman" w:hAnsi="Times New Roman"/>
          <w:sz w:val="18"/>
          <w:szCs w:val="18"/>
          <w:i w:val="1"/>
          <w:iCs w:val="1"/>
          <w:color w:val="auto"/>
        </w:rPr>
        <w:t>Note 10(b)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01" w:name="page202"/>
    <w:bookmarkEnd w:id="201"/>
    <w:p>
      <w:pPr>
        <w:ind w:firstLine="101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Through and including , 2020,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361315</wp:posOffset>
            </wp:positionV>
            <wp:extent cx="3154680" cy="7029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546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Tarsus Pharmaceuticals, Inc.</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-125095</wp:posOffset>
            </wp:positionV>
            <wp:extent cx="11576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80010</wp:posOffset>
            </wp:positionV>
            <wp:extent cx="11741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Raymond James</w:t>
      </w: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LifeSci Capital</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729" w:right="39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costs and expenses, other than underwriting discounts and commissions, payable in connection with this offering. All amounts are estimates except the SEC registration fee, the Financial Industry Regulatory Authority, Inc., or FINRA, filing fee and the Nasdaq Global Market listing fee. Except as otherwise noted, all the expenses below will be paid by 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140" w:type="dxa"/>
            <w:vAlign w:val="bottom"/>
            <w:gridSpan w:val="2"/>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1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1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5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16"/>
        </w:trPr>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70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5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1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80"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180" w:lineRule="exact"/>
        <w:rPr>
          <w:sz w:val="20"/>
          <w:szCs w:val="20"/>
          <w:color w:val="auto"/>
        </w:rPr>
      </w:pPr>
    </w:p>
    <w:p>
      <w:pPr>
        <w:ind w:left="1520" w:hanging="378"/>
        <w:spacing w:after="0"/>
        <w:tabs>
          <w:tab w:leader="none" w:pos="15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1520" w:right="700" w:hanging="378"/>
        <w:spacing w:after="0" w:line="282" w:lineRule="auto"/>
        <w:tabs>
          <w:tab w:leader="none" w:pos="15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unlawful payments of dividends or unlawful stock repurchases or redemptions as provided in Section 174 of the Delaware General Corporation Law; or</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any improper personal benefit.</w:t>
      </w:r>
    </w:p>
    <w:p>
      <w:pPr>
        <w:spacing w:after="0" w:line="225"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76"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03" w:name="page204"/>
    <w:bookmarkEnd w:id="203"/>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87" w:lineRule="exact"/>
        <w:rPr>
          <w:sz w:val="20"/>
          <w:szCs w:val="20"/>
          <w:color w:val="auto"/>
        </w:rPr>
      </w:pPr>
    </w:p>
    <w:p>
      <w:pPr>
        <w:ind w:right="160" w:firstLine="1018"/>
        <w:spacing w:after="0" w:line="266" w:lineRule="auto"/>
        <w:rPr>
          <w:sz w:val="20"/>
          <w:szCs w:val="20"/>
          <w:color w:val="auto"/>
        </w:rPr>
      </w:pPr>
      <w:r>
        <w:rPr>
          <w:rFonts w:ascii="Times New Roman" w:cs="Times New Roman" w:eastAsia="Times New Roman" w:hAnsi="Times New Roman"/>
          <w:sz w:val="18"/>
          <w:szCs w:val="18"/>
          <w:color w:val="auto"/>
        </w:rPr>
        <w:t>Reference is made to the underwriting agreement contained in Exhibit 1.1 to this registration statement, indemnifying our directors and officers against limited liabilities. In addition, Section 2.8 of our amended and restated investors’ rights agreement, or the IRA contained in Exhibit 4.2 to this registration statement provides for indemnification of certain of our stockholders against liabilities described in our IRA.</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currently carry and intend to continue to carry liability insurance for our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The following list sets forth information regarding all unregistered securities sold by us since January 1, 2017.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76" w:lineRule="exact"/>
        <w:rPr>
          <w:sz w:val="20"/>
          <w:szCs w:val="20"/>
          <w:color w:val="auto"/>
        </w:rPr>
      </w:pPr>
    </w:p>
    <w:p>
      <w:pPr>
        <w:ind w:left="1020" w:right="260" w:firstLine="931"/>
        <w:spacing w:after="0" w:line="266" w:lineRule="auto"/>
        <w:tabs>
          <w:tab w:leader="none" w:pos="232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2017 through March 2018, we issued and sold to our directors, officers, employees, consultants and other service providers an aggregate of 19,890,000 shares of Common Stock at a price per share of $0.0001 for an aggregate purchase price of $1,989.</w:t>
      </w:r>
    </w:p>
    <w:p>
      <w:pPr>
        <w:spacing w:after="0" w:line="175" w:lineRule="exact"/>
        <w:rPr>
          <w:rFonts w:ascii="Times New Roman" w:cs="Times New Roman" w:eastAsia="Times New Roman" w:hAnsi="Times New Roman"/>
          <w:sz w:val="18"/>
          <w:szCs w:val="18"/>
          <w:color w:val="auto"/>
        </w:rPr>
      </w:pPr>
    </w:p>
    <w:p>
      <w:pPr>
        <w:ind w:left="1020" w:right="180" w:firstLine="931"/>
        <w:spacing w:after="0" w:line="266" w:lineRule="auto"/>
        <w:tabs>
          <w:tab w:leader="none" w:pos="233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2017 through April 2020, we granted to our directors, officers, employees, consultants and other service providers stock options to purchase an aggregate of 8,727,355 shares of common stock upon the exercise of options under our 2016 Plan at exercise prices per share ranging from $0.0001 to $0.27, for an aggregate exercise price of approximately $1.4 million.</w:t>
      </w:r>
    </w:p>
    <w:p>
      <w:pPr>
        <w:spacing w:after="0" w:line="175" w:lineRule="exact"/>
        <w:rPr>
          <w:rFonts w:ascii="Times New Roman" w:cs="Times New Roman" w:eastAsia="Times New Roman" w:hAnsi="Times New Roman"/>
          <w:sz w:val="18"/>
          <w:szCs w:val="18"/>
          <w:color w:val="auto"/>
        </w:rPr>
      </w:pPr>
    </w:p>
    <w:p>
      <w:pPr>
        <w:ind w:left="1020" w:right="180" w:firstLine="931"/>
        <w:spacing w:after="0" w:line="282" w:lineRule="auto"/>
        <w:tabs>
          <w:tab w:leader="none" w:pos="232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and May 2018, we issued and sold an aggregate of 11,698,716 shares of our Series A Preferred Stock at a purchase price of $0.312 per share for aggregate proceeds of approximately $3.6 million.</w:t>
      </w:r>
    </w:p>
    <w:p>
      <w:pPr>
        <w:spacing w:after="0" w:line="161" w:lineRule="exact"/>
        <w:rPr>
          <w:rFonts w:ascii="Times New Roman" w:cs="Times New Roman" w:eastAsia="Times New Roman" w:hAnsi="Times New Roman"/>
          <w:sz w:val="18"/>
          <w:szCs w:val="18"/>
          <w:color w:val="auto"/>
        </w:rPr>
      </w:pPr>
    </w:p>
    <w:p>
      <w:pPr>
        <w:ind w:left="1020" w:right="20" w:firstLine="931"/>
        <w:spacing w:after="0" w:line="282" w:lineRule="auto"/>
        <w:tabs>
          <w:tab w:leader="none" w:pos="233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August 2019 and November 2019, we issued and sold convertible promissory notes in an aggregate principal amount of approximately $2.0 million at face value (the “Notes”).</w:t>
      </w:r>
    </w:p>
    <w:p>
      <w:pPr>
        <w:spacing w:after="0" w:line="161" w:lineRule="exact"/>
        <w:rPr>
          <w:rFonts w:ascii="Times New Roman" w:cs="Times New Roman" w:eastAsia="Times New Roman" w:hAnsi="Times New Roman"/>
          <w:sz w:val="18"/>
          <w:szCs w:val="18"/>
          <w:color w:val="auto"/>
        </w:rPr>
      </w:pPr>
    </w:p>
    <w:p>
      <w:pPr>
        <w:ind w:left="1020" w:right="320" w:firstLine="931"/>
        <w:spacing w:after="0" w:line="266" w:lineRule="auto"/>
        <w:tabs>
          <w:tab w:leader="none" w:pos="232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we issued and sold an aggregate of 49,578,623 shares of our Series B Preferred Stock at a purchase price of $1.2104 per share for aggregate proceeds of approximately $59.6 million (of which approximately $57.6 million was cash and approximately $2.0 million was cancellation of outstanding indebtedness in connection with the conversion of the Notes).</w:t>
      </w:r>
    </w:p>
    <w:p>
      <w:pPr>
        <w:spacing w:after="0" w:line="175" w:lineRule="exact"/>
        <w:rPr>
          <w:rFonts w:ascii="Times New Roman" w:cs="Times New Roman" w:eastAsia="Times New Roman" w:hAnsi="Times New Roman"/>
          <w:sz w:val="18"/>
          <w:szCs w:val="18"/>
          <w:color w:val="auto"/>
        </w:rPr>
      </w:pPr>
    </w:p>
    <w:p>
      <w:pPr>
        <w:jc w:val="both"/>
        <w:ind w:left="1020" w:right="60" w:firstLine="931"/>
        <w:spacing w:after="0" w:line="266" w:lineRule="auto"/>
        <w:tabs>
          <w:tab w:leader="none" w:pos="295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that certain License Agreement between the Company and Elanco Tiergesundheit AG, or Elanco, dated September 3, 2020, or the All Human Uses Elanco Agreement, in September 2020 we issued 1,652,346 shares of our common stock to Elanco as consideration for licenses included in the All Human Uses Elanco Agreement.</w:t>
      </w:r>
    </w:p>
    <w:p>
      <w:pPr>
        <w:spacing w:after="0" w:line="176"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Items (a) and (b) above were exempt from registration under the Securities Act under either (1) Rule 701 in that the transactions were under compensatory benefit plans and contracts relating to compensation as provided under Rule 701 or (2) Section 4(a)(2) of the Securities Act or Regulation D promulgated thereunder as transactions by an issuer not involving any public offering. The recipients of such securities were the registrant’s directors, officers, employees, consultants or other service providers and received the securities under our 2016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7" w:lineRule="exact"/>
        <w:rPr>
          <w:sz w:val="20"/>
          <w:szCs w:val="20"/>
          <w:color w:val="auto"/>
        </w:rPr>
      </w:pPr>
    </w:p>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Items (c), (d) and (e) above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7" w:lineRule="exact"/>
        <w:rPr>
          <w:sz w:val="20"/>
          <w:szCs w:val="20"/>
          <w:color w:val="auto"/>
        </w:rPr>
      </w:pPr>
    </w:p>
    <w:p>
      <w:pPr>
        <w:ind w:left="1280" w:hanging="254"/>
        <w:spacing w:after="0"/>
        <w:tabs>
          <w:tab w:leader="none" w:pos="1280" w:val="left"/>
        </w:tabs>
        <w:numPr>
          <w:ilvl w:val="0"/>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included herein or incorporated herein by reference: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80" w:type="dxa"/>
            <w:vAlign w:val="bottom"/>
          </w:tcPr>
          <w:p>
            <w:pPr>
              <w:spacing w:after="0"/>
              <w:rPr>
                <w:sz w:val="13"/>
                <w:szCs w:val="13"/>
                <w:color w:val="auto"/>
              </w:rPr>
            </w:pPr>
          </w:p>
        </w:tc>
        <w:tc>
          <w:tcPr>
            <w:tcW w:w="5900" w:type="dxa"/>
            <w:vAlign w:val="bottom"/>
            <w:gridSpan w:val="11"/>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80" w:type="dxa"/>
            <w:vAlign w:val="bottom"/>
          </w:tcPr>
          <w:p>
            <w:pPr>
              <w:spacing w:after="0"/>
              <w:rPr>
                <w:sz w:val="15"/>
                <w:szCs w:val="15"/>
                <w:color w:val="auto"/>
              </w:rPr>
            </w:pPr>
          </w:p>
        </w:tc>
        <w:tc>
          <w:tcPr>
            <w:tcW w:w="59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1018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Registrant, as currently in effect.</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Registrant, to be effective upon completion of this offering.</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Bylaws of Registrant, as currently in effect.</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Amended and Restated Bylaws of Registrant, to be effective upon completion of this offering.</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Registrant’s common stock certificate.</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Amended and Restated Investors’ Rights Agreement, dated December 13, 2019, by and among the Registrant and the other parties thereto.</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Opinion of Gunderson Dettmer Stough Villeneuve Franklin &amp; Hachigian, LLP.</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283"/>
        </w:trPr>
        <w:tc>
          <w:tcPr>
            <w:tcW w:w="9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6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Tarsus Pharmaceuticals, Inc. 2016 Stock Plan, as amended, and forms of agreements thereunder.</w:t>
            </w:r>
          </w:p>
        </w:tc>
        <w:tc>
          <w:tcPr>
            <w:tcW w:w="3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Tarsus Pharmaceuticals, Inc. 2020 Equity Incentive Plan and form of agreements thereunder.</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Tarsus Pharmaceuticals, Inc. 2020 Employee Stock Purchase Plan.</w:t>
            </w:r>
          </w:p>
        </w:tc>
        <w:tc>
          <w:tcPr>
            <w:tcW w:w="0" w:type="dxa"/>
            <w:vAlign w:val="bottom"/>
          </w:tcPr>
          <w:p>
            <w:pPr>
              <w:spacing w:after="0"/>
              <w:rPr>
                <w:sz w:val="1"/>
                <w:szCs w:val="1"/>
                <w:color w:val="auto"/>
              </w:rPr>
            </w:pPr>
          </w:p>
        </w:tc>
      </w:tr>
      <w:tr>
        <w:trPr>
          <w:trHeight w:val="283"/>
        </w:trPr>
        <w:tc>
          <w:tcPr>
            <w:tcW w:w="9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70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Offer Letter, dated September 14, 2018, between the Registrant and Bobak Azamian, M.D., Ph.D.</w:t>
            </w:r>
          </w:p>
        </w:tc>
        <w:tc>
          <w:tcPr>
            <w:tcW w:w="3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Offer Letter, dated March 15, 2020, between the Registrant and Leo M. Greenstein</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Offer Letter, dated June 4, 2020, between the Registrant and Seshadri Neervannan, Ph.D.</w:t>
            </w:r>
          </w:p>
        </w:tc>
        <w:tc>
          <w:tcPr>
            <w:tcW w:w="0" w:type="dxa"/>
            <w:vAlign w:val="bottom"/>
          </w:tcPr>
          <w:p>
            <w:pPr>
              <w:spacing w:after="0"/>
              <w:rPr>
                <w:sz w:val="1"/>
                <w:szCs w:val="1"/>
                <w:color w:val="auto"/>
              </w:rPr>
            </w:pPr>
          </w:p>
        </w:tc>
      </w:tr>
      <w:tr>
        <w:trPr>
          <w:trHeight w:val="304"/>
        </w:trPr>
        <w:tc>
          <w:tcPr>
            <w:tcW w:w="9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59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Offer Letter, dated October 29, 2018, between the Registrant and Mark Holdbrook.</w:t>
            </w:r>
          </w:p>
        </w:tc>
        <w:tc>
          <w:tcPr>
            <w:tcW w:w="420" w:type="dxa"/>
            <w:vAlign w:val="bottom"/>
            <w:tcBorders>
              <w:top w:val="single" w:sz="8" w:color="0000EE"/>
            </w:tcBorders>
          </w:tcPr>
          <w:p>
            <w:pPr>
              <w:spacing w:after="0"/>
              <w:rPr>
                <w:sz w:val="24"/>
                <w:szCs w:val="24"/>
                <w:color w:val="auto"/>
              </w:rPr>
            </w:pPr>
          </w:p>
        </w:tc>
        <w:tc>
          <w:tcPr>
            <w:tcW w:w="37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0"/>
                <w:szCs w:val="20"/>
                <w:color w:val="auto"/>
              </w:rPr>
            </w:pPr>
          </w:p>
        </w:tc>
        <w:tc>
          <w:tcPr>
            <w:tcW w:w="5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Offer Letter, dated June 22, 2020, between the Registrant and Aziz Mottiwala.</w:t>
            </w:r>
          </w:p>
        </w:tc>
        <w:tc>
          <w:tcPr>
            <w:tcW w:w="45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License Agreement, dated January 31, 2019, between the Registrant and Elanco Tiergesundheit AG.</w:t>
            </w:r>
          </w:p>
        </w:tc>
        <w:tc>
          <w:tcPr>
            <w:tcW w:w="0" w:type="dxa"/>
            <w:vAlign w:val="bottom"/>
          </w:tcPr>
          <w:p>
            <w:pPr>
              <w:spacing w:after="0"/>
              <w:rPr>
                <w:sz w:val="1"/>
                <w:szCs w:val="1"/>
                <w:color w:val="auto"/>
              </w:rPr>
            </w:pPr>
          </w:p>
        </w:tc>
      </w:tr>
      <w:tr>
        <w:trPr>
          <w:trHeight w:val="283"/>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Amendment to License Agreement, dated September 3, 2020, between the Registrant and Elanco Tiergesundheit AG.</w:t>
            </w:r>
          </w:p>
        </w:tc>
        <w:tc>
          <w:tcPr>
            <w:tcW w:w="0" w:type="dxa"/>
            <w:vAlign w:val="bottom"/>
          </w:tcPr>
          <w:p>
            <w:pPr>
              <w:spacing w:after="0"/>
              <w:rPr>
                <w:sz w:val="1"/>
                <w:szCs w:val="1"/>
                <w:color w:val="auto"/>
              </w:rPr>
            </w:pPr>
          </w:p>
        </w:tc>
      </w:tr>
      <w:tr>
        <w:trPr>
          <w:trHeight w:val="304"/>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84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License Agreement, dated September 3, 2020, between the Registrant and Elanco Tiergesundheit AG.</w:t>
            </w:r>
          </w:p>
        </w:tc>
        <w:tc>
          <w:tcPr>
            <w:tcW w:w="1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20"/>
                <w:szCs w:val="20"/>
                <w:color w:val="auto"/>
              </w:rPr>
            </w:pPr>
          </w:p>
        </w:tc>
        <w:tc>
          <w:tcPr>
            <w:tcW w:w="69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Office Lease, dated May 28, 2020, between the Registrant and Discovery Business Center LLC.</w:t>
            </w:r>
          </w:p>
        </w:tc>
        <w:tc>
          <w:tcPr>
            <w:tcW w:w="400" w:type="dxa"/>
            <w:vAlign w:val="bottom"/>
            <w:tcBorders>
              <w:top w:val="single" w:sz="8" w:color="0000EE"/>
            </w:tcBorders>
            <w:gridSpan w:val="3"/>
          </w:tcPr>
          <w:p>
            <w:pPr>
              <w:spacing w:after="0"/>
              <w:rPr>
                <w:sz w:val="20"/>
                <w:szCs w:val="20"/>
                <w:color w:val="auto"/>
              </w:rPr>
            </w:pPr>
          </w:p>
        </w:tc>
        <w:tc>
          <w:tcPr>
            <w:tcW w:w="28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19"/>
                <w:szCs w:val="19"/>
                <w:color w:val="auto"/>
              </w:rPr>
            </w:pPr>
          </w:p>
        </w:tc>
        <w:tc>
          <w:tcPr>
            <w:tcW w:w="101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Sublease Agreement, dated May 29, 2020, between the Registrant and Avent, Inc., as amended by First Amendment to Sublease Agreement,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dated July 30, 2020, between the Registrant and Avent,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Consent of Gunderson Dettmer Stough Villeneuve Franklin &amp; Hachigian, LLP (contained in Exhibit 5.1).</w:t>
            </w:r>
          </w:p>
        </w:tc>
        <w:tc>
          <w:tcPr>
            <w:tcW w:w="0" w:type="dxa"/>
            <w:vAlign w:val="bottom"/>
          </w:tcPr>
          <w:p>
            <w:pPr>
              <w:spacing w:after="0"/>
              <w:rPr>
                <w:sz w:val="1"/>
                <w:szCs w:val="1"/>
                <w:color w:val="auto"/>
              </w:rPr>
            </w:pPr>
          </w:p>
        </w:tc>
      </w:tr>
      <w:tr>
        <w:trPr>
          <w:trHeight w:val="324"/>
        </w:trPr>
        <w:tc>
          <w:tcPr>
            <w:tcW w:w="9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24"/>
                <w:szCs w:val="24"/>
                <w:color w:val="auto"/>
              </w:rPr>
            </w:pPr>
          </w:p>
        </w:tc>
        <w:tc>
          <w:tcPr>
            <w:tcW w:w="10180" w:type="dxa"/>
            <w:vAlign w:val="bottom"/>
            <w:gridSpan w:val="12"/>
          </w:tcPr>
          <w:p>
            <w:pPr>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Power of Attorney (included on signature page).</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ind w:right="8980" w:firstLine="8"/>
        <w:spacing w:after="0" w:line="276" w:lineRule="auto"/>
        <w:tabs>
          <w:tab w:leader="none" w:pos="378"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Previously filed.</w:t>
      </w:r>
    </w:p>
    <w:p>
      <w:pPr>
        <w:ind w:left="380" w:right="60" w:hanging="378"/>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spacing w:after="0" w:line="179" w:lineRule="exact"/>
        <w:rPr>
          <w:rFonts w:ascii="Times New Roman" w:cs="Times New Roman" w:eastAsia="Times New Roman" w:hAnsi="Times New Roman"/>
          <w:sz w:val="17"/>
          <w:szCs w:val="17"/>
          <w:color w:val="auto"/>
        </w:rPr>
      </w:pPr>
    </w:p>
    <w:p>
      <w:pPr>
        <w:ind w:right="660" w:firstLine="1026"/>
        <w:spacing w:after="0" w:line="284" w:lineRule="auto"/>
        <w:tabs>
          <w:tab w:leader="none" w:pos="1407" w:val="left"/>
        </w:tabs>
        <w:numPr>
          <w:ilvl w:val="1"/>
          <w:numId w:val="1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schedules have been omitted because the information required to be presented in them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is shown in the financial statements or related notes.</w:t>
      </w:r>
    </w:p>
    <w:p>
      <w:pPr>
        <w:spacing w:after="0" w:line="1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320" w:top="549" w:right="2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right="820" w:firstLine="1018"/>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62" w:lineRule="exact"/>
        <w:rPr>
          <w:sz w:val="20"/>
          <w:szCs w:val="20"/>
          <w:color w:val="auto"/>
        </w:rPr>
      </w:pPr>
    </w:p>
    <w:p>
      <w:pPr>
        <w:ind w:right="20" w:firstLine="1018"/>
        <w:spacing w:after="0" w:line="273"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left="1400" w:right="240" w:hanging="380"/>
        <w:spacing w:after="0" w:line="261" w:lineRule="auto"/>
        <w:tabs>
          <w:tab w:leader="none" w:pos="14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as amended, the information omitted from the form of prospectus filed as part of this registration statement in reliance upon Rule 430A and contained in a form of prospectus filed by the registrant pursuant to Rule 424(b)(1) or (4) or 497(h) under the Securities Act of 1933, as amended, shall be deemed to be part of this registration statement as of the time it was declared effective.</w:t>
      </w:r>
    </w:p>
    <w:p>
      <w:pPr>
        <w:spacing w:after="0" w:line="179" w:lineRule="exact"/>
        <w:rPr>
          <w:rFonts w:ascii="Times New Roman" w:cs="Times New Roman" w:eastAsia="Times New Roman" w:hAnsi="Times New Roman"/>
          <w:sz w:val="18"/>
          <w:szCs w:val="18"/>
          <w:color w:val="auto"/>
        </w:rPr>
      </w:pPr>
    </w:p>
    <w:p>
      <w:pPr>
        <w:ind w:left="1400" w:hanging="380"/>
        <w:spacing w:after="0" w:line="266" w:lineRule="auto"/>
        <w:tabs>
          <w:tab w:leader="none" w:pos="14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w:t>
      </w:r>
    </w:p>
    <w:p>
      <w:pPr>
        <w:spacing w:after="0" w:line="27" w:lineRule="exact"/>
        <w:rPr>
          <w:sz w:val="20"/>
          <w:szCs w:val="20"/>
          <w:color w:val="auto"/>
        </w:rPr>
      </w:pPr>
    </w:p>
    <w:p>
      <w:pPr>
        <w:spacing w:after="0"/>
        <w:tabs>
          <w:tab w:leader="none" w:pos="8620" w:val="left"/>
          <w:tab w:leader="none" w:pos="9620" w:val="left"/>
        </w:tabs>
        <w:rPr>
          <w:sz w:val="20"/>
          <w:szCs w:val="20"/>
          <w:color w:val="auto"/>
        </w:rPr>
      </w:pPr>
      <w:r>
        <w:rPr>
          <w:rFonts w:ascii="Times New Roman" w:cs="Times New Roman" w:eastAsia="Times New Roman" w:hAnsi="Times New Roman"/>
          <w:sz w:val="18"/>
          <w:szCs w:val="18"/>
          <w:color w:val="auto"/>
        </w:rPr>
        <w:t>signed on its behalf by the undersigned, thereunto duly authorized, in the City of Irvine, State of California, on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7"/>
          <w:szCs w:val="17"/>
          <w:color w:val="auto"/>
        </w:rPr>
        <w:t>, 2020.</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311150</wp:posOffset>
            </wp:positionV>
            <wp:extent cx="3566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Bobak Azamian and Leo M. Greenstein, and each of them, as his or her true and lawful attorney-in-fact and agent with full power of substitution, for him or her in any and all capacities, to sign any and all amendments to this registration statement (including post-effective amendments) and any registration statement related thereto filed pursuant to Rule 462(b) increasing the number of securities for which registration is sought, and to file the same, with all exhibits thereto and other documents in connection therewith, with the SEC, granting unto said attorney-in-fact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right="40" w:firstLine="10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0" w:type="dxa"/>
            <w:vAlign w:val="bottom"/>
          </w:tcPr>
          <w:p>
            <w:pPr>
              <w:spacing w:after="0"/>
              <w:rPr>
                <w:sz w:val="17"/>
                <w:szCs w:val="17"/>
                <w:color w:val="auto"/>
              </w:rPr>
            </w:pPr>
          </w:p>
        </w:tc>
        <w:tc>
          <w:tcPr>
            <w:tcW w:w="37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7"/>
                <w:szCs w:val="17"/>
                <w:color w:val="auto"/>
              </w:rPr>
            </w:pPr>
          </w:p>
        </w:tc>
        <w:tc>
          <w:tcPr>
            <w:tcW w:w="34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Bobak Azamian, M.D., Ph.D.</w:t>
            </w:r>
          </w:p>
        </w:tc>
        <w:tc>
          <w:tcPr>
            <w:tcW w:w="220" w:type="dxa"/>
            <w:vAlign w:val="bottom"/>
            <w:vMerge w:val="continue"/>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tc>
        <w:tc>
          <w:tcPr>
            <w:tcW w:w="3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Leo M. Greenstein</w:t>
            </w:r>
          </w:p>
        </w:tc>
        <w:tc>
          <w:tcPr>
            <w:tcW w:w="220" w:type="dxa"/>
            <w:vAlign w:val="bottom"/>
            <w:vMerge w:val="continue"/>
          </w:tcPr>
          <w:p>
            <w:pPr>
              <w:spacing w:after="0"/>
              <w:rPr>
                <w:sz w:val="14"/>
                <w:szCs w:val="14"/>
                <w:color w:val="auto"/>
              </w:rPr>
            </w:pPr>
          </w:p>
        </w:tc>
        <w:tc>
          <w:tcPr>
            <w:tcW w:w="3920" w:type="dxa"/>
            <w:vAlign w:val="bottom"/>
            <w:gridSpan w:val="2"/>
            <w:vMerge w:val="continue"/>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3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3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Ackermann, Ph.D.</w:t>
            </w: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3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Bhaskar Chaudhuri, Ph.D.</w:t>
            </w: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3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Goldberg, M.D.</w:t>
            </w: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3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Link, Ph.D.</w:t>
            </w: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3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Jason Tester</w:t>
            </w: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1"/>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II-5</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DOPTED ON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ECEMBER</w:t>
      </w:r>
      <w:r>
        <w:rPr>
          <w:rFonts w:ascii="Times New Roman" w:cs="Times New Roman" w:eastAsia="Times New Roman" w:hAnsi="Times New Roman"/>
          <w:sz w:val="20"/>
          <w:szCs w:val="20"/>
          <w:b w:val="1"/>
          <w:bCs w:val="1"/>
          <w:color w:val="auto"/>
        </w:rPr>
        <w:t xml:space="preserve">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625475</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62"/>
        </w:trPr>
        <w:tc>
          <w:tcPr>
            <w:tcW w:w="1320" w:type="dxa"/>
            <w:vAlign w:val="bottom"/>
          </w:tcPr>
          <w:p>
            <w:pPr>
              <w:spacing w:after="0"/>
              <w:rPr>
                <w:sz w:val="22"/>
                <w:szCs w:val="22"/>
                <w:color w:val="auto"/>
              </w:rPr>
            </w:pPr>
          </w:p>
        </w:tc>
        <w:tc>
          <w:tcPr>
            <w:tcW w:w="7420" w:type="dxa"/>
            <w:vAlign w:val="bottom"/>
          </w:tcPr>
          <w:p>
            <w:pPr>
              <w:ind w:left="32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420" w:type="dxa"/>
            <w:vAlign w:val="bottom"/>
          </w:tcPr>
          <w:p>
            <w:pPr>
              <w:spacing w:after="0"/>
              <w:rPr>
                <w:sz w:val="22"/>
                <w:szCs w:val="22"/>
                <w:color w:val="auto"/>
              </w:rPr>
            </w:pPr>
          </w:p>
        </w:tc>
      </w:tr>
      <w:tr>
        <w:trPr>
          <w:trHeight w:val="471"/>
        </w:trPr>
        <w:tc>
          <w:tcPr>
            <w:tcW w:w="13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0"/>
                <w:szCs w:val="20"/>
                <w:color w:val="auto"/>
                <w:w w:val="97"/>
              </w:rPr>
              <w:t>Page</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1.</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ESTABLISHMENT AND PURPOSE</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0"/>
                <w:szCs w:val="20"/>
                <w:color w:val="auto"/>
                <w:w w:val="99"/>
              </w:rPr>
              <w:t>1</w:t>
            </w:r>
          </w:p>
        </w:tc>
      </w:tr>
      <w:tr>
        <w:trPr>
          <w:trHeight w:val="372"/>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2.</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ADMINISTRATION</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1</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Committees of the Board of Directors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1</w:t>
            </w:r>
          </w:p>
        </w:tc>
      </w:tr>
      <w:tr>
        <w:trPr>
          <w:trHeight w:val="282"/>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Authority of the Board of Directors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1</w:t>
            </w:r>
          </w:p>
        </w:tc>
      </w:tr>
      <w:tr>
        <w:trPr>
          <w:trHeight w:val="36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3.</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ELIGIBILITY</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1</w:t>
            </w:r>
          </w:p>
        </w:tc>
      </w:tr>
      <w:tr>
        <w:trPr>
          <w:trHeight w:val="243"/>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General Rule</w:t>
            </w:r>
          </w:p>
        </w:tc>
        <w:tc>
          <w:tcPr>
            <w:tcW w:w="2420" w:type="dxa"/>
            <w:vAlign w:val="bottom"/>
          </w:tcPr>
          <w:p>
            <w:pPr>
              <w:jc w:val="center"/>
              <w:ind w:left="1932"/>
              <w:spacing w:after="0" w:line="243" w:lineRule="exact"/>
              <w:rPr>
                <w:sz w:val="20"/>
                <w:szCs w:val="20"/>
                <w:color w:val="auto"/>
              </w:rPr>
            </w:pPr>
            <w:r>
              <w:rPr>
                <w:rFonts w:ascii="Times New Roman" w:cs="Times New Roman" w:eastAsia="Times New Roman" w:hAnsi="Times New Roman"/>
                <w:sz w:val="22"/>
                <w:szCs w:val="22"/>
                <w:color w:val="auto"/>
                <w:w w:val="90"/>
              </w:rPr>
              <w:t>1</w:t>
            </w:r>
          </w:p>
        </w:tc>
      </w:tr>
      <w:tr>
        <w:trPr>
          <w:trHeight w:val="310"/>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w:t>
            </w:r>
          </w:p>
        </w:tc>
        <w:tc>
          <w:tcPr>
            <w:tcW w:w="7420" w:type="dxa"/>
            <w:vAlign w:val="bottom"/>
          </w:tcPr>
          <w:p>
            <w:pPr>
              <w:ind w:left="280"/>
              <w:spacing w:after="0" w:line="230" w:lineRule="exact"/>
              <w:rPr>
                <w:sz w:val="20"/>
                <w:szCs w:val="20"/>
                <w:color w:val="auto"/>
              </w:rPr>
            </w:pPr>
            <w:r>
              <w:rPr>
                <w:rFonts w:ascii="Times New Roman" w:cs="Times New Roman" w:eastAsia="Times New Roman" w:hAnsi="Times New Roman"/>
                <w:sz w:val="20"/>
                <w:szCs w:val="20"/>
                <w:color w:val="auto"/>
              </w:rPr>
              <w:t>Ten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Percent Stockholders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1</w:t>
            </w:r>
          </w:p>
        </w:tc>
      </w:tr>
      <w:tr>
        <w:trPr>
          <w:trHeight w:val="352"/>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4.</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STOCK SUBJECT TO PLAN</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2</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Basic Limitation</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2</w:t>
            </w:r>
          </w:p>
        </w:tc>
      </w:tr>
      <w:tr>
        <w:trPr>
          <w:trHeight w:val="282"/>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Additional Shares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2</w:t>
            </w:r>
          </w:p>
        </w:tc>
      </w:tr>
      <w:tr>
        <w:trPr>
          <w:trHeight w:val="36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5.</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TERMS AND CONDITIONS OF AWARDS OR SALES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2</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Stock Grant or Purchase Agreement</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2</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Duration of Offers and Nontransferability of Rights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2</w:t>
            </w:r>
          </w:p>
        </w:tc>
      </w:tr>
      <w:tr>
        <w:trPr>
          <w:trHeight w:val="282"/>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Purchase Price</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2</w:t>
            </w:r>
          </w:p>
        </w:tc>
      </w:tr>
      <w:tr>
        <w:trPr>
          <w:trHeight w:val="36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6.</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TERMS AND CONDITIONS OF OPTIONS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2</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Stock Option Agreement</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2</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Number of Shares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3</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Exercise Price</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3</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Exercisability</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3</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Basic Term</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3</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Termination of Service (Except by Death)</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3</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(g)</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Leaves of Absence</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4</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(h)</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Death of Optionee</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4</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Restrictions on Transfer of Options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4</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(j)</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Rights as a Stockholder</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4</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(k)</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Modification, Extension and Assumption of Options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4</w:t>
            </w:r>
          </w:p>
        </w:tc>
      </w:tr>
      <w:tr>
        <w:trPr>
          <w:trHeight w:val="282"/>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(l)</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Company’s Right to Cancel Certain Options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4</w:t>
            </w:r>
          </w:p>
        </w:tc>
      </w:tr>
      <w:tr>
        <w:trPr>
          <w:trHeight w:val="36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7.</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PAYMENT FOR SHARES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5</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General Rule</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5</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Services Rendered</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5</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Promissory Note</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5</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Surrender of Stock</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5</w:t>
            </w:r>
          </w:p>
        </w:tc>
      </w:tr>
      <w:tr>
        <w:trPr>
          <w:trHeight w:val="257"/>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Exercise/Sale</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5</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Net Exercise</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5</w:t>
            </w:r>
          </w:p>
        </w:tc>
      </w:tr>
      <w:tr>
        <w:trPr>
          <w:trHeight w:val="282"/>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(g)</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Forms of Payment</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5</w:t>
            </w:r>
          </w:p>
        </w:tc>
      </w:tr>
      <w:tr>
        <w:trPr>
          <w:trHeight w:val="36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8.</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ADJUSTMENT OF SHARES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6</w:t>
            </w:r>
          </w:p>
        </w:tc>
      </w:tr>
      <w:tr>
        <w:trPr>
          <w:trHeight w:val="256"/>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General</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6</w:t>
            </w:r>
          </w:p>
        </w:tc>
      </w:tr>
      <w:tr>
        <w:trPr>
          <w:trHeight w:val="282"/>
        </w:trPr>
        <w:tc>
          <w:tcPr>
            <w:tcW w:w="13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w:t>
            </w:r>
          </w:p>
        </w:tc>
        <w:tc>
          <w:tcPr>
            <w:tcW w:w="7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Corporate Transactions</w:t>
            </w:r>
          </w:p>
        </w:tc>
        <w:tc>
          <w:tcPr>
            <w:tcW w:w="242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0"/>
              </w:rPr>
              <w:t>6</w:t>
            </w:r>
          </w:p>
        </w:tc>
      </w:tr>
    </w:tbl>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29" w:right="41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82"/>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Reservation of Rights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6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9.</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MISCELLANEOUS PROVISIONS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56"/>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Securities Law Requirements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57"/>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 Retention Rights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57"/>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Treatment as Compensation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57"/>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Governing Law</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57"/>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Conditions and Restrictions on Shares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82"/>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Tax Matters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6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10.</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DURATION AND AMENDMENTS; STOCKHOLDER APPROVAL</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57"/>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Term of the Plan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57"/>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Right to Amend or Terminate the Plan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56"/>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Effect of Amendment or 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82"/>
        </w:trPr>
        <w:tc>
          <w:tcPr>
            <w:tcW w:w="13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Stockholder Approval</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92"/>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SECTION 11.</w:t>
            </w:r>
          </w:p>
        </w:tc>
        <w:tc>
          <w:tcPr>
            <w:tcW w:w="7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DEFINITIONS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320" w:top="342" w:right="559" w:bottom="1440" w:gutter="0" w:footer="0" w:header="0"/>
        </w:sectPr>
      </w:pPr>
    </w:p>
    <w:bookmarkStart w:id="210" w:name="page211"/>
    <w:bookmarkEnd w:id="210"/>
    <w:p>
      <w:pPr>
        <w:ind w:left="366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1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ESTABLISHMENT AND PURPOSE.</w:t>
      </w:r>
    </w:p>
    <w:p>
      <w:pPr>
        <w:spacing w:after="0" w:line="220" w:lineRule="exact"/>
        <w:rPr>
          <w:sz w:val="20"/>
          <w:szCs w:val="20"/>
          <w:color w:val="auto"/>
        </w:rPr>
      </w:pPr>
    </w:p>
    <w:p>
      <w:pPr>
        <w:jc w:val="both"/>
        <w:ind w:firstLine="1727"/>
        <w:spacing w:after="0" w:line="249" w:lineRule="auto"/>
        <w:rPr>
          <w:sz w:val="20"/>
          <w:szCs w:val="20"/>
          <w:color w:val="auto"/>
        </w:rPr>
      </w:pPr>
      <w:r>
        <w:rPr>
          <w:rFonts w:ascii="Times New Roman" w:cs="Times New Roman" w:eastAsia="Times New Roman" w:hAnsi="Times New Roman"/>
          <w:sz w:val="20"/>
          <w:szCs w:val="20"/>
          <w:color w:val="auto"/>
        </w:rPr>
        <w:t>The purpose of this Plan is to offer persons selected by the Company an opportunity to acquire a proprietary interest in the success of the Company, or to increase such interest, by acquiring Shares of the Company’s Stock. The Plan provides both for the direct award or sale of Shares and for the grant of Options to purchase Shares. Options granted under the Plan may be ISOs intended to qualify under Code Section 422 or NSOs which are not intended to so qualify.</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Capitalized terms are defined in Section 11.</w:t>
      </w:r>
    </w:p>
    <w:p>
      <w:pPr>
        <w:spacing w:after="0" w:line="21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ADMINISTRATION.</w:t>
      </w:r>
    </w:p>
    <w:p>
      <w:pPr>
        <w:spacing w:after="0" w:line="229" w:lineRule="exact"/>
        <w:rPr>
          <w:sz w:val="20"/>
          <w:szCs w:val="20"/>
          <w:color w:val="auto"/>
        </w:rPr>
      </w:pPr>
    </w:p>
    <w:p>
      <w:pPr>
        <w:jc w:val="both"/>
        <w:ind w:firstLine="1735"/>
        <w:spacing w:after="0" w:line="241" w:lineRule="auto"/>
        <w:tabs>
          <w:tab w:leader="none" w:pos="261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Committees of the Board of Directors. </w:t>
      </w:r>
      <w:r>
        <w:rPr>
          <w:rFonts w:ascii="Times New Roman" w:cs="Times New Roman" w:eastAsia="Times New Roman" w:hAnsi="Times New Roman"/>
          <w:sz w:val="20"/>
          <w:szCs w:val="20"/>
          <w:color w:val="auto"/>
        </w:rPr>
        <w:t>The Plan may be administered by one or more Committees.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shall consist, as 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203" w:lineRule="exact"/>
        <w:rPr>
          <w:rFonts w:ascii="Times New Roman" w:cs="Times New Roman" w:eastAsia="Times New Roman" w:hAnsi="Times New Roman"/>
          <w:sz w:val="22"/>
          <w:szCs w:val="22"/>
          <w:color w:val="auto"/>
        </w:rPr>
      </w:pPr>
    </w:p>
    <w:p>
      <w:pPr>
        <w:jc w:val="both"/>
        <w:ind w:firstLine="1735"/>
        <w:spacing w:after="0"/>
        <w:tabs>
          <w:tab w:leader="none" w:pos="262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Authority of the Board of Directors. Subject to the provisions of the Plan, the Board of Directors shall have full authority and discretion to 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10(d) below. All decisions, interpretations and other actions of the Board of Directors shall be final and binding on all Purchasers, all Optionees and all persons deriving their rights from a Purchaser or Optionee.</w:t>
      </w:r>
    </w:p>
    <w:p>
      <w:pPr>
        <w:sectPr>
          <w:pgSz w:w="11900" w:h="16838" w:orient="portrait"/>
          <w:cols w:equalWidth="0" w:num="1">
            <w:col w:w="11240"/>
          </w:cols>
          <w:pgMar w:left="320" w:top="329" w:right="33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SECTION 3.</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ELIGIBILITY.</w:t>
      </w:r>
    </w:p>
    <w:p>
      <w:pPr>
        <w:spacing w:after="0" w:line="200" w:lineRule="exact"/>
        <w:rPr>
          <w:sz w:val="20"/>
          <w:szCs w:val="20"/>
          <w:color w:val="auto"/>
        </w:rPr>
      </w:pPr>
    </w:p>
    <w:p>
      <w:pPr>
        <w:sectPr>
          <w:pgSz w:w="11900" w:h="16838" w:orient="portrait"/>
          <w:cols w:equalWidth="0" w:num="2">
            <w:col w:w="1100" w:space="640"/>
            <w:col w:w="9500"/>
          </w:cols>
          <w:pgMar w:left="320" w:top="329" w:right="339" w:bottom="1440" w:gutter="0" w:footer="0" w:header="0"/>
          <w:type w:val="continuous"/>
        </w:sectPr>
      </w:pPr>
    </w:p>
    <w:p>
      <w:pPr>
        <w:spacing w:after="0" w:line="26" w:lineRule="exact"/>
        <w:rPr>
          <w:sz w:val="20"/>
          <w:szCs w:val="20"/>
          <w:color w:val="auto"/>
        </w:rPr>
      </w:pPr>
    </w:p>
    <w:p>
      <w:pPr>
        <w:ind w:left="1740"/>
        <w:spacing w:after="0"/>
        <w:tabs>
          <w:tab w:leader="none" w:pos="260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19"/>
          <w:szCs w:val="19"/>
          <w:color w:val="auto"/>
        </w:rPr>
        <w:t>General Rule. Only Employees, Outside Directors and Consultants shall be eligible for the grant of NSOs or</w:t>
      </w:r>
    </w:p>
    <w:p>
      <w:pPr>
        <w:sectPr>
          <w:pgSz w:w="11900" w:h="16838" w:orient="portrait"/>
          <w:cols w:equalWidth="0" w:num="1">
            <w:col w:w="11240"/>
          </w:cols>
          <w:pgMar w:left="320" w:top="329"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direct award or sale of Shares.</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 xml:space="preserve"> Only Employees shall be eligible for the grant of ISOs.</w:t>
      </w:r>
    </w:p>
    <w:p>
      <w:pPr>
        <w:spacing w:after="0" w:line="169" w:lineRule="exact"/>
        <w:rPr>
          <w:sz w:val="20"/>
          <w:szCs w:val="20"/>
          <w:color w:val="auto"/>
        </w:rPr>
      </w:pPr>
    </w:p>
    <w:p>
      <w:pPr>
        <w:jc w:val="both"/>
        <w:ind w:firstLine="1727"/>
        <w:spacing w:after="0" w:line="242" w:lineRule="exact"/>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19"/>
          <w:szCs w:val="19"/>
          <w:color w:val="auto"/>
        </w:rPr>
        <w:t>Ten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Percent Stockholders. A person who owns more than 10% of the total combined voting power of 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classes of outstanding stock 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Code Section 424(d) shall be applied.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9"/>
          <w:szCs w:val="19"/>
          <w:color w:val="auto"/>
        </w:rPr>
        <w:t>Note that special considerations apply if the Company proposes to grant awards to an Employee or Consultant of a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4230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211" w:name="page212"/>
    <w:bookmarkEnd w:id="211"/>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STOCK SUBJECT TO PLAN.</w:t>
      </w:r>
    </w:p>
    <w:p>
      <w:pPr>
        <w:spacing w:after="0" w:line="233" w:lineRule="exact"/>
        <w:rPr>
          <w:sz w:val="20"/>
          <w:szCs w:val="20"/>
          <w:color w:val="auto"/>
        </w:rPr>
      </w:pPr>
    </w:p>
    <w:p>
      <w:pPr>
        <w:jc w:val="both"/>
        <w:ind w:firstLine="1735"/>
        <w:spacing w:after="0"/>
        <w:tabs>
          <w:tab w:leader="none" w:pos="261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Basic Limitation. Not more than 1,960,000 Shares may be issued under the Plan, subject to Subsection (b) below and Section 8(a).</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 xml:space="preserve"> All of these Shares may be issued upon the exercise of ISOs. The number of Shares that are subject to Options or other rights outstanding at any time under the Plan may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204" w:lineRule="exact"/>
        <w:rPr>
          <w:rFonts w:ascii="Times New Roman" w:cs="Times New Roman" w:eastAsia="Times New Roman" w:hAnsi="Times New Roman"/>
          <w:sz w:val="22"/>
          <w:szCs w:val="22"/>
          <w:color w:val="auto"/>
        </w:rPr>
      </w:pPr>
    </w:p>
    <w:p>
      <w:pPr>
        <w:jc w:val="both"/>
        <w:ind w:firstLine="1735"/>
        <w:spacing w:after="0"/>
        <w:tabs>
          <w:tab w:leader="none" w:pos="262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Additional Shares. In the event that Shares previously issued under the Plan are reacquired by the Company,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Option or other right for any reason expires or is canceled, the Shares allocable to the unexercised portion of such Option or other right shall be added to the number of Shares then available for issuance under the Plan.</w:t>
      </w:r>
    </w:p>
    <w:p>
      <w:pPr>
        <w:spacing w:after="0" w:line="18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TERMS AND CONDITIONS OF AWARDS OR SALES.</w:t>
      </w:r>
    </w:p>
    <w:p>
      <w:pPr>
        <w:spacing w:after="0" w:line="233" w:lineRule="exact"/>
        <w:rPr>
          <w:sz w:val="20"/>
          <w:szCs w:val="20"/>
          <w:color w:val="auto"/>
        </w:rPr>
      </w:pPr>
    </w:p>
    <w:p>
      <w:pPr>
        <w:jc w:val="both"/>
        <w:ind w:firstLine="1735"/>
        <w:spacing w:after="0"/>
        <w:tabs>
          <w:tab w:leader="none" w:pos="261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Stock Grant or Purchase Agreement. Each award of Shares under the Plan shall be evidenced by a Stock Grant Agreement between 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w:t>
      </w:r>
    </w:p>
    <w:p>
      <w:pPr>
        <w:spacing w:after="0" w:line="203" w:lineRule="exact"/>
        <w:rPr>
          <w:rFonts w:ascii="Times New Roman" w:cs="Times New Roman" w:eastAsia="Times New Roman" w:hAnsi="Times New Roman"/>
          <w:sz w:val="22"/>
          <w:szCs w:val="22"/>
          <w:color w:val="auto"/>
        </w:rPr>
      </w:pPr>
    </w:p>
    <w:p>
      <w:pPr>
        <w:jc w:val="both"/>
        <w:ind w:firstLine="1735"/>
        <w:spacing w:after="0" w:line="241" w:lineRule="auto"/>
        <w:tabs>
          <w:tab w:leader="none" w:pos="262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Duration of Offers and Nontransferability of Rights. Any right to purchase Shares under the Plan (other than an Option) shall automatically expire if not exercised by the Purchaser within 30 days (or such other period as may be specified in the Award Agreement) after the grant of such right was communicated to the Purchaser by the Company. Such right is not transferable and may be exercised only by the Purchaser to whom such right was granted.</w:t>
      </w:r>
    </w:p>
    <w:p>
      <w:pPr>
        <w:spacing w:after="0" w:line="200" w:lineRule="exact"/>
        <w:rPr>
          <w:rFonts w:ascii="Times New Roman" w:cs="Times New Roman" w:eastAsia="Times New Roman" w:hAnsi="Times New Roman"/>
          <w:sz w:val="22"/>
          <w:szCs w:val="22"/>
          <w:color w:val="auto"/>
        </w:rPr>
      </w:pPr>
    </w:p>
    <w:p>
      <w:pPr>
        <w:ind w:right="20" w:firstLine="1735"/>
        <w:spacing w:after="0" w:line="245" w:lineRule="auto"/>
        <w:tabs>
          <w:tab w:leader="none" w:pos="261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Purchase Price. The Board of Directors shall determine the Purchase Price of Shares to be offered under the Plan at its sole discretion. The Purchase Price shall be payable in a form described in Section 7.</w:t>
      </w:r>
    </w:p>
    <w:p>
      <w:pPr>
        <w:spacing w:after="0" w:line="178"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TERMS AND CONDITIONS OF OPTIONS.</w:t>
      </w:r>
    </w:p>
    <w:p>
      <w:pPr>
        <w:spacing w:after="0" w:line="233" w:lineRule="exact"/>
        <w:rPr>
          <w:sz w:val="20"/>
          <w:szCs w:val="20"/>
          <w:color w:val="auto"/>
        </w:rPr>
      </w:pPr>
    </w:p>
    <w:p>
      <w:pPr>
        <w:jc w:val="both"/>
        <w:ind w:firstLine="1735"/>
        <w:spacing w:after="0"/>
        <w:tabs>
          <w:tab w:leader="none" w:pos="261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Stock Option Agreement. Each grant of an Option under the Plan shall be evidenced by a Stock Option Agreement between the Optionee and the Company. The Option shall be subject to all applicable terms and conditions of the Plan and may be subject to any other terms and conditions that are not inconsistent with the Plan and that the Board of Directors deems appropriate for inclusion in a Stock Option Agreement. The provisions of the various Stock Option Agreements entered into under the Plan need not be identical.</w:t>
      </w:r>
    </w:p>
    <w:p>
      <w:pPr>
        <w:spacing w:after="0" w:line="137" w:lineRule="exact"/>
        <w:rPr>
          <w:sz w:val="20"/>
          <w:szCs w:val="20"/>
          <w:color w:val="auto"/>
        </w:rPr>
      </w:pPr>
    </w:p>
    <w:p>
      <w:pPr>
        <w:ind w:left="5580" w:right="2300" w:hanging="5572"/>
        <w:spacing w:after="0" w:line="494" w:lineRule="auto"/>
        <w:tabs>
          <w:tab w:leader="none" w:pos="198"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Please refer to Exhibit A for a schedule of the initial share reserve and any subsequent increases in the 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14230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12" w:name="page213"/>
    <w:bookmarkEnd w:id="212"/>
    <w:p>
      <w:pPr>
        <w:jc w:val="both"/>
        <w:ind w:firstLine="1735"/>
        <w:spacing w:after="0" w:line="242" w:lineRule="auto"/>
        <w:tabs>
          <w:tab w:leader="none" w:pos="262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Number of Shares. Each Stock Option Agreement shall specify the number of Shares that are subject to the Option and shall provide for the adjustment of such number in accordance with Section 8. The Stock Option Agreement shall also specify whether the Option is an ISO or an NSO.</w:t>
      </w:r>
    </w:p>
    <w:p>
      <w:pPr>
        <w:spacing w:after="0" w:line="199" w:lineRule="exact"/>
        <w:rPr>
          <w:rFonts w:ascii="Times New Roman" w:cs="Times New Roman" w:eastAsia="Times New Roman" w:hAnsi="Times New Roman"/>
          <w:sz w:val="22"/>
          <w:szCs w:val="22"/>
          <w:color w:val="auto"/>
        </w:rPr>
      </w:pPr>
    </w:p>
    <w:p>
      <w:pPr>
        <w:jc w:val="both"/>
        <w:ind w:firstLine="1735"/>
        <w:spacing w:after="0"/>
        <w:tabs>
          <w:tab w:leader="none" w:pos="261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Exercise Price. Each Stock Option Agreement shall specify the Exercise Price. The Exercise Price of an Option shall not be less than 100% of the Fair Market Value of a Share on the Date of Grant, and in the case of an ISO a higher percentage may be required by Section 3(b). Subject to the preceding sentence, the Exercise Price shall be determined by the Board of Directors at its sole discretion. The Exercise Price shall be payable in a form described in Section 7. This Subsection (c) shall not apply to an Option granted pursuant to an assumption of, or substitution for, another option in a manner that complies with Code Section 424(a) (whether or not the Option is an ISO).</w:t>
      </w:r>
    </w:p>
    <w:p>
      <w:pPr>
        <w:spacing w:after="0" w:line="203" w:lineRule="exact"/>
        <w:rPr>
          <w:rFonts w:ascii="Times New Roman" w:cs="Times New Roman" w:eastAsia="Times New Roman" w:hAnsi="Times New Roman"/>
          <w:sz w:val="22"/>
          <w:szCs w:val="22"/>
          <w:color w:val="auto"/>
        </w:rPr>
      </w:pPr>
    </w:p>
    <w:p>
      <w:pPr>
        <w:jc w:val="both"/>
        <w:ind w:firstLine="1735"/>
        <w:spacing w:after="0" w:line="241" w:lineRule="auto"/>
        <w:tabs>
          <w:tab w:leader="none" w:pos="262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Exercisability. Each Stock Option Agreement shall specify the date when all or any installment of the Option is to become exercisable. No Option shall be exercisable unless the Optionee (i) has delivered an executed copy of the Stock Option Agreement to the Company or (ii) otherwise agrees to be bound by the terms of the Stock Option Agreement. The Board of Directors shall determine the exercisability provisions of the Stock Option Agreement at its sole discretion.</w:t>
      </w:r>
    </w:p>
    <w:p>
      <w:pPr>
        <w:spacing w:after="0" w:line="200" w:lineRule="exact"/>
        <w:rPr>
          <w:rFonts w:ascii="Times New Roman" w:cs="Times New Roman" w:eastAsia="Times New Roman" w:hAnsi="Times New Roman"/>
          <w:sz w:val="22"/>
          <w:szCs w:val="22"/>
          <w:color w:val="auto"/>
        </w:rPr>
      </w:pPr>
    </w:p>
    <w:p>
      <w:pPr>
        <w:jc w:val="both"/>
        <w:ind w:firstLine="1735"/>
        <w:spacing w:after="0" w:line="242" w:lineRule="auto"/>
        <w:tabs>
          <w:tab w:leader="none" w:pos="261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Basic Term. The Stock Option Agreement shall specify the term of the Option. The term shall not exceed 10 years from the Date of Grant, and in the case of an ISO, a shorter term may be required by Section 3(b). Subject to the preceding sentence, the Board of Directors at its sole discretion shall determine when an Option is to expire.</w:t>
      </w:r>
    </w:p>
    <w:p>
      <w:pPr>
        <w:spacing w:after="0" w:line="199" w:lineRule="exact"/>
        <w:rPr>
          <w:rFonts w:ascii="Times New Roman" w:cs="Times New Roman" w:eastAsia="Times New Roman" w:hAnsi="Times New Roman"/>
          <w:sz w:val="22"/>
          <w:szCs w:val="22"/>
          <w:color w:val="auto"/>
        </w:rPr>
      </w:pPr>
    </w:p>
    <w:p>
      <w:pPr>
        <w:ind w:firstLine="1735"/>
        <w:spacing w:after="0" w:line="245" w:lineRule="auto"/>
        <w:tabs>
          <w:tab w:leader="none" w:pos="259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Termination of Service (Except by Death). If an Optionee’s Service terminates for any reason other than the Optionee’s death, then the Optionee’s Options shall expire on the earliest of the following dates:</w:t>
      </w:r>
    </w:p>
    <w:p>
      <w:pPr>
        <w:spacing w:after="0" w:line="181" w:lineRule="exact"/>
        <w:rPr>
          <w:rFonts w:ascii="Times New Roman" w:cs="Times New Roman" w:eastAsia="Times New Roman" w:hAnsi="Times New Roman"/>
          <w:sz w:val="22"/>
          <w:szCs w:val="22"/>
          <w:color w:val="auto"/>
        </w:rPr>
      </w:pPr>
    </w:p>
    <w:p>
      <w:pPr>
        <w:ind w:left="3160" w:hanging="827"/>
        <w:spacing w:after="0"/>
        <w:tabs>
          <w:tab w:leader="none" w:pos="316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(e) above;</w:t>
      </w:r>
    </w:p>
    <w:p>
      <w:pPr>
        <w:spacing w:after="0" w:line="215"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termination of the Optionee’s Service for any reason other</w:t>
      </w:r>
    </w:p>
    <w:p>
      <w:pPr>
        <w:spacing w:after="0" w:line="22" w:lineRule="exact"/>
        <w:rPr>
          <w:sz w:val="20"/>
          <w:szCs w:val="20"/>
          <w:color w:val="auto"/>
        </w:rPr>
      </w:pPr>
    </w:p>
    <w:p>
      <w:pPr>
        <w:ind w:left="880" w:right="860"/>
        <w:spacing w:after="0" w:line="246" w:lineRule="auto"/>
        <w:rPr>
          <w:sz w:val="20"/>
          <w:szCs w:val="20"/>
          <w:color w:val="auto"/>
        </w:rPr>
      </w:pPr>
      <w:r>
        <w:rPr>
          <w:rFonts w:ascii="Times New Roman" w:cs="Times New Roman" w:eastAsia="Times New Roman" w:hAnsi="Times New Roman"/>
          <w:sz w:val="20"/>
          <w:szCs w:val="20"/>
          <w:color w:val="auto"/>
        </w:rPr>
        <w:t>than Disability, or such earlier or later date as the Board of Directors may determine (but in no event earlier than 30 days after the termination of the Optionee’s Service); or</w:t>
      </w:r>
    </w:p>
    <w:p>
      <w:pPr>
        <w:spacing w:after="0" w:line="182" w:lineRule="exact"/>
        <w:rPr>
          <w:sz w:val="20"/>
          <w:szCs w:val="20"/>
          <w:color w:val="auto"/>
        </w:rPr>
      </w:pPr>
    </w:p>
    <w:p>
      <w:pPr>
        <w:ind w:left="880" w:right="880" w:firstLine="1453"/>
        <w:spacing w:after="0" w:line="269" w:lineRule="auto"/>
        <w:tabs>
          <w:tab w:leader="none" w:pos="328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six months after the termination of the Optionee’s Service by reason of Disability, or such later date as the Board of Directors may determine.</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3" w:name="page214"/>
    <w:bookmarkEnd w:id="213"/>
    <w:p>
      <w:pPr>
        <w:jc w:val="both"/>
        <w:ind w:firstLine="1735"/>
        <w:spacing w:after="0" w:line="242" w:lineRule="auto"/>
        <w:tabs>
          <w:tab w:leader="none" w:pos="262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Leaves of Absence. For purposes of Subsection (f) above, Service shall be deemed to continue while the Optionee is on a bona fide leave of absence, if such leave was approved by the Company in writing and if continued crediting of Service for this purpose is expressly required by the terms of such leave or by applicable law (as determined by the Company).</w:t>
      </w:r>
    </w:p>
    <w:p>
      <w:pPr>
        <w:spacing w:after="0" w:line="199" w:lineRule="exact"/>
        <w:rPr>
          <w:rFonts w:ascii="Times New Roman" w:cs="Times New Roman" w:eastAsia="Times New Roman" w:hAnsi="Times New Roman"/>
          <w:sz w:val="22"/>
          <w:szCs w:val="22"/>
          <w:color w:val="auto"/>
        </w:rPr>
      </w:pPr>
    </w:p>
    <w:p>
      <w:pPr>
        <w:ind w:right="20" w:firstLine="1735"/>
        <w:spacing w:after="0" w:line="245" w:lineRule="auto"/>
        <w:tabs>
          <w:tab w:leader="none" w:pos="262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Death of Optionee. If an Optionee dies while the Optionee is in Service, then the Optionee’s Options shall expire on the earlier of the following dates:</w:t>
      </w:r>
    </w:p>
    <w:p>
      <w:pPr>
        <w:spacing w:after="0" w:line="181" w:lineRule="exact"/>
        <w:rPr>
          <w:rFonts w:ascii="Times New Roman" w:cs="Times New Roman" w:eastAsia="Times New Roman" w:hAnsi="Times New Roman"/>
          <w:sz w:val="22"/>
          <w:szCs w:val="22"/>
          <w:color w:val="auto"/>
        </w:rPr>
      </w:pPr>
    </w:p>
    <w:p>
      <w:pPr>
        <w:ind w:left="3160" w:hanging="827"/>
        <w:spacing w:after="0"/>
        <w:tabs>
          <w:tab w:leader="none" w:pos="31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(e) above; or</w:t>
      </w:r>
    </w:p>
    <w:p>
      <w:pPr>
        <w:spacing w:after="0" w:line="215"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12 months after the Optionee’s death, or such earlier or later date as the Board of</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Directors may determine (but in no event earlier than six months after the Optionee’s death).</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185" w:lineRule="exact"/>
        <w:rPr>
          <w:sz w:val="20"/>
          <w:szCs w:val="20"/>
          <w:color w:val="auto"/>
        </w:rPr>
      </w:pPr>
    </w:p>
    <w:p>
      <w:pPr>
        <w:jc w:val="both"/>
        <w:ind w:firstLine="1735"/>
        <w:spacing w:after="0" w:line="266" w:lineRule="auto"/>
        <w:tabs>
          <w:tab w:leader="none" w:pos="2562"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Transfer of Options. An Option shall be transferable by the Optionee only by (i) a beneficiary designation, (ii) a will or (iii) the laws of descent and distribution, except as provided in the next sentence. If the applicable Stock Option Agreement so provides, an NSO shall also be transferable by gift or domestic relations order to a Family Member of the Optionee. An ISO may be exercised during the lifetime of the Optionee only by the Optionee or by the Optionee’s guardian or legal representative.</w:t>
      </w:r>
    </w:p>
    <w:p>
      <w:pPr>
        <w:spacing w:after="0" w:line="178" w:lineRule="exact"/>
        <w:rPr>
          <w:rFonts w:ascii="Times New Roman" w:cs="Times New Roman" w:eastAsia="Times New Roman" w:hAnsi="Times New Roman"/>
          <w:sz w:val="19"/>
          <w:szCs w:val="19"/>
          <w:color w:val="auto"/>
        </w:rPr>
      </w:pPr>
    </w:p>
    <w:p>
      <w:pPr>
        <w:jc w:val="both"/>
        <w:ind w:firstLine="1735"/>
        <w:spacing w:after="0" w:line="242" w:lineRule="auto"/>
        <w:tabs>
          <w:tab w:leader="none" w:pos="257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Rights as a Stockholder. An Optionee, or a transferee of an Optionee, shall have no rights as a stockholder with respect to any Shares covered by the Optionee’s Option until such person files a notice of exercise, pays the Exercise Price and satisfies all applicable withholding taxes pursuant to the terms of such Option.</w:t>
      </w:r>
    </w:p>
    <w:p>
      <w:pPr>
        <w:spacing w:after="0" w:line="199" w:lineRule="exact"/>
        <w:rPr>
          <w:rFonts w:ascii="Times New Roman" w:cs="Times New Roman" w:eastAsia="Times New Roman" w:hAnsi="Times New Roman"/>
          <w:sz w:val="22"/>
          <w:szCs w:val="22"/>
          <w:color w:val="auto"/>
        </w:rPr>
      </w:pPr>
    </w:p>
    <w:p>
      <w:pPr>
        <w:jc w:val="both"/>
        <w:ind w:firstLine="1735"/>
        <w:spacing w:after="0"/>
        <w:tabs>
          <w:tab w:leader="none" w:pos="2627"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Modification, Extension and Assumption of Options. Within the limitations of the Plan, the Board of Directors may modify, 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w:t>
      </w:r>
    </w:p>
    <w:p>
      <w:pPr>
        <w:spacing w:after="0" w:line="200" w:lineRule="exact"/>
        <w:rPr>
          <w:rFonts w:ascii="Times New Roman" w:cs="Times New Roman" w:eastAsia="Times New Roman" w:hAnsi="Times New Roman"/>
          <w:sz w:val="22"/>
          <w:szCs w:val="22"/>
          <w:color w:val="auto"/>
        </w:rPr>
      </w:pPr>
    </w:p>
    <w:p>
      <w:pPr>
        <w:jc w:val="both"/>
        <w:ind w:firstLine="1735"/>
        <w:spacing w:after="0" w:line="241" w:lineRule="auto"/>
        <w:tabs>
          <w:tab w:leader="none" w:pos="257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Company’s Right to Cancel Certain Options</w:t>
      </w:r>
      <w:r>
        <w:rPr>
          <w:rFonts w:ascii="Times New Roman" w:cs="Times New Roman" w:eastAsia="Times New Roman" w:hAnsi="Times New Roman"/>
          <w:sz w:val="20"/>
          <w:szCs w:val="20"/>
          <w:color w:val="auto"/>
        </w:rPr>
        <w:t>. Any other provision of the Plan or a Stock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notwithstanding, the Company 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Fair Market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4" w:name="page215"/>
    <w:bookmarkEnd w:id="214"/>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PAYMENT FOR SHARES.</w:t>
      </w:r>
    </w:p>
    <w:p>
      <w:pPr>
        <w:spacing w:after="0" w:line="215" w:lineRule="exact"/>
        <w:rPr>
          <w:sz w:val="20"/>
          <w:szCs w:val="20"/>
          <w:color w:val="auto"/>
        </w:rPr>
      </w:pPr>
    </w:p>
    <w:p>
      <w:pPr>
        <w:jc w:val="both"/>
        <w:ind w:firstLine="1735"/>
        <w:spacing w:after="0" w:line="239" w:lineRule="auto"/>
        <w:tabs>
          <w:tab w:leader="none" w:pos="261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Rule. The entire Purchase Price or Exercise Price of Shares issued under the Plan shall be payable in cash or cash equivalents at the time when such Shares are purchased, except as otherwise provided in this Section 7. In addition, the Board of Directors in its sole discretion may also permit payment through any of the methods described in (b) through (g) below.</w:t>
      </w:r>
    </w:p>
    <w:p>
      <w:pPr>
        <w:spacing w:after="0" w:line="180"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Rendered. Shares may be awarded under the Plan in consideration of services rendered to the Company, a Parent or a Subsidiary prior to the award.</w:t>
      </w:r>
    </w:p>
    <w:p>
      <w:pPr>
        <w:spacing w:after="0" w:line="158"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1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Promissory Note. All or a portion of the Purchase Price or Exercise Price (as the case may be) of Shares issued under the Plan may be paid with a full-recourse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w:t>
      </w:r>
    </w:p>
    <w:p>
      <w:pPr>
        <w:spacing w:after="0" w:line="181"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 of Stock. All or any part of the Exercise Price may be paid by surrendering, or attesting to the ownership of, Shares that are already owned by the Optionee. Such Shares shall be surrendered to the Company in good form for transfer and shall be valued at their Fair Market Value as of the date when the Option is exercised.</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Exercise/Sale. If the Stock is publicly traded, all or part of the Exercise Price and any withholding taxes may be paid by the delivery (on a form prescribed by the Company) of an irrevocable direction to a securities broker approved by the Company to sell Shares and to deliver all or part of the sales proceeds to the Company.</w:t>
      </w:r>
    </w:p>
    <w:p>
      <w:pPr>
        <w:spacing w:after="0" w:line="187" w:lineRule="exact"/>
        <w:rPr>
          <w:rFonts w:ascii="Times New Roman" w:cs="Times New Roman" w:eastAsia="Times New Roman" w:hAnsi="Times New Roman"/>
          <w:sz w:val="22"/>
          <w:szCs w:val="22"/>
          <w:color w:val="auto"/>
        </w:rPr>
      </w:pPr>
    </w:p>
    <w:p>
      <w:pPr>
        <w:jc w:val="both"/>
        <w:ind w:firstLine="1735"/>
        <w:spacing w:after="0"/>
        <w:tabs>
          <w:tab w:leader="none" w:pos="25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Net Exercise. </w:t>
      </w:r>
      <w:r>
        <w:rPr>
          <w:rFonts w:ascii="Times New Roman" w:cs="Times New Roman" w:eastAsia="Times New Roman" w:hAnsi="Times New Roman"/>
          <w:sz w:val="20"/>
          <w:szCs w:val="20"/>
          <w:color w:val="auto"/>
        </w:rPr>
        <w:t>An Option may permit exercise through a “net exercise” arrangement pursuant to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reduce the number of Shares issued upon exercise by the largest whole number of Shares having an aggregate Fair Market Value (determined by the Board of Directors as of the exercise date) that does not exceed the aggregate Exercise Price or the sum of the aggregate Exercise Price plus all or a portion of the minimum amount required to be withheld under applicable tax law (with the Company accepting from the Optionee payment of cash or cash equivalents to satisfy any remaining balance of the aggregate Exercise Price and, if applicable, any additional withholding obligation not satisfied through such reduction in Shares); provided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w:t>
      </w:r>
    </w:p>
    <w:p>
      <w:pPr>
        <w:spacing w:after="0" w:line="206" w:lineRule="exact"/>
        <w:rPr>
          <w:rFonts w:ascii="Times New Roman" w:cs="Times New Roman" w:eastAsia="Times New Roman" w:hAnsi="Times New Roman"/>
          <w:sz w:val="22"/>
          <w:szCs w:val="22"/>
          <w:color w:val="auto"/>
        </w:rPr>
      </w:pPr>
    </w:p>
    <w:p>
      <w:pPr>
        <w:jc w:val="both"/>
        <w:ind w:firstLine="1735"/>
        <w:spacing w:after="0" w:line="242" w:lineRule="auto"/>
        <w:tabs>
          <w:tab w:leader="none" w:pos="262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Other Forms of Payment. To the extent that an Award Agreement so provides, the Purchase Price or Exercise Price of Shares issued under the Plan may be paid in any other form permitted by the Delaware General Corporation Law, as amended.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15" w:name="page216"/>
    <w:bookmarkEnd w:id="215"/>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ADJUSTMENT OF SHARES.</w:t>
      </w:r>
    </w:p>
    <w:p>
      <w:pPr>
        <w:spacing w:after="0" w:line="220" w:lineRule="exact"/>
        <w:rPr>
          <w:sz w:val="20"/>
          <w:szCs w:val="20"/>
          <w:color w:val="auto"/>
        </w:rPr>
      </w:pPr>
    </w:p>
    <w:p>
      <w:pPr>
        <w:jc w:val="both"/>
        <w:ind w:firstLine="1735"/>
        <w:spacing w:after="0" w:line="241" w:lineRule="auto"/>
        <w:tabs>
          <w:tab w:leader="none" w:pos="259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In the event of a subdivision of the outstanding Stock, a declaration of a dividend payable in Shares, a combination or 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and kind of Shares available for future grants under Section 4, (ii) the number and kind of Shares covered by each outstanding Option and any outstanding and unexercised right to purchase Shares that has not yet expired pursuant to Section 5(b), (iii) the Exercise Price under each outstanding Option and the Purchase Price applicable to any unexercised stock purchase right described in clause (ii) above, and (iv) 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 shall in any event make such adjustments as may be required by Section 25102(o) of the California Corporations Code. No fractional Shares shall be issued under the Plan as a result of an adjustment under this Section 8(a), although the Board of Directors in its sole discretion may make a cash payment in lieu of fractional Shares.</w:t>
      </w:r>
    </w:p>
    <w:p>
      <w:pPr>
        <w:spacing w:after="0" w:line="197"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Transactions. In the event that the Company is a party to a merger or consolidation, or in the event of a sale of all or substantially all of the Company’s stock or assets, all Shares acquired under the Plan and all Options and other Plan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Options and awards (or all portions of an Option or an award) in an identical manner. The treatment specified in the transaction agreement or as determined by the Board of Directors may include (without limitation) one or more of the following with respect to each outstanding Option or award:</w:t>
      </w:r>
    </w:p>
    <w:p>
      <w:pPr>
        <w:spacing w:after="0" w:line="189" w:lineRule="exact"/>
        <w:rPr>
          <w:rFonts w:ascii="Times New Roman" w:cs="Times New Roman" w:eastAsia="Times New Roman" w:hAnsi="Times New Roman"/>
          <w:sz w:val="20"/>
          <w:szCs w:val="20"/>
          <w:color w:val="auto"/>
        </w:rPr>
      </w:pPr>
    </w:p>
    <w:p>
      <w:pPr>
        <w:ind w:left="3160" w:hanging="827"/>
        <w:spacing w:after="0"/>
        <w:tabs>
          <w:tab w:leader="none" w:pos="316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Continuation of the Option or award by the Company (if the Company is the surviving</w:t>
      </w:r>
    </w:p>
    <w:p>
      <w:pPr>
        <w:spacing w:after="0" w:line="21"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193"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 of the Option by the surviving corporation or its parent in a manner that</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complies with Code Section 424(a) (whether or not the Option is an ISO).</w:t>
      </w:r>
    </w:p>
    <w:p>
      <w:pPr>
        <w:spacing w:after="0" w:line="194" w:lineRule="exact"/>
        <w:rPr>
          <w:sz w:val="20"/>
          <w:szCs w:val="20"/>
          <w:color w:val="auto"/>
        </w:rPr>
      </w:pPr>
    </w:p>
    <w:p>
      <w:pPr>
        <w:ind w:left="880" w:right="880" w:firstLine="1453"/>
        <w:spacing w:after="0" w:line="269" w:lineRule="auto"/>
        <w:tabs>
          <w:tab w:leader="none" w:pos="328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Substitution by the surviving corporation or its parent of a new option for the Option in a manner that complies with Code Section 424(a) (whether or not the Option is an ISO).</w:t>
      </w:r>
    </w:p>
    <w:p>
      <w:pPr>
        <w:spacing w:after="0" w:line="159" w:lineRule="exact"/>
        <w:rPr>
          <w:rFonts w:ascii="Times New Roman" w:cs="Times New Roman" w:eastAsia="Times New Roman" w:hAnsi="Times New Roman"/>
          <w:sz w:val="20"/>
          <w:szCs w:val="20"/>
          <w:color w:val="auto"/>
        </w:rPr>
      </w:pPr>
    </w:p>
    <w:p>
      <w:pPr>
        <w:jc w:val="both"/>
        <w:ind w:left="880" w:right="860" w:firstLine="1453"/>
        <w:spacing w:after="0" w:line="243" w:lineRule="auto"/>
        <w:tabs>
          <w:tab w:leader="none" w:pos="327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Cancellation of the Option and a payment to the Optionee with respect to each Share subject to the portion of the Option that is vested as of the transaction date equal to the excess of (A) the value, as determined by the Board of Directors in its absolute discretion, of the property (including cash) received by the holder of a share of Stock as a result of the transaction, over (B) the per-Share Exercise Price of the Option (such excess, the “</w:t>
      </w:r>
      <w:r>
        <w:rPr>
          <w:rFonts w:ascii="Times New Roman" w:cs="Times New Roman" w:eastAsia="Times New Roman" w:hAnsi="Times New Roman"/>
          <w:sz w:val="20"/>
          <w:szCs w:val="20"/>
          <w:b w:val="1"/>
          <w:bCs w:val="1"/>
          <w:color w:val="auto"/>
        </w:rPr>
        <w:t>Spread</w:t>
      </w:r>
      <w:r>
        <w:rPr>
          <w:rFonts w:ascii="Times New Roman" w:cs="Times New Roman" w:eastAsia="Times New Roman" w:hAnsi="Times New Roman"/>
          <w:sz w:val="20"/>
          <w:szCs w:val="20"/>
          <w:color w:val="auto"/>
        </w:rPr>
        <w:t>”). Such payment shall be made in the form of cash, cash equivalents, or securities of the surviving corporation or its parent having a value equal to the Spread. In addition, any escrow, holdback, earn-out or similar provisions in the transaction agreement may apply to such payment to the same extent and in the same manner as such provisions apply to the holders of Stock. If the Spread applicable to an Option is zero or a negative number, then the Option may be cancelled without making a payment to the Optionee.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16" w:name="page217"/>
    <w:bookmarkEnd w:id="216"/>
    <w:p>
      <w:pPr>
        <w:jc w:val="both"/>
        <w:ind w:left="880" w:right="860" w:firstLine="1453"/>
        <w:spacing w:after="0" w:line="245" w:lineRule="auto"/>
        <w:tabs>
          <w:tab w:leader="none" w:pos="322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Cancellation of the Option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 (B) such shorter period still offers the Optionee a reasonable opportunity to exercise the Option. Any exercise of the Option during such period may be contingent upon the closing of the transaction.</w:t>
      </w:r>
    </w:p>
    <w:p>
      <w:pPr>
        <w:spacing w:after="0" w:line="184" w:lineRule="exact"/>
        <w:rPr>
          <w:rFonts w:ascii="Times New Roman" w:cs="Times New Roman" w:eastAsia="Times New Roman" w:hAnsi="Times New Roman"/>
          <w:sz w:val="20"/>
          <w:szCs w:val="20"/>
          <w:color w:val="auto"/>
        </w:rPr>
      </w:pPr>
    </w:p>
    <w:p>
      <w:pPr>
        <w:jc w:val="both"/>
        <w:ind w:left="880" w:right="860" w:firstLine="1453"/>
        <w:spacing w:after="0" w:line="254" w:lineRule="auto"/>
        <w:tabs>
          <w:tab w:leader="none" w:pos="3275"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of the Optionee’s right to exercise the Option during a limited period of time preceding the closing of the transaction if such suspension is administratively necessary to permit the closing of the transaction.</w:t>
      </w:r>
    </w:p>
    <w:p>
      <w:pPr>
        <w:spacing w:after="0" w:line="174" w:lineRule="exact"/>
        <w:rPr>
          <w:rFonts w:ascii="Times New Roman" w:cs="Times New Roman" w:eastAsia="Times New Roman" w:hAnsi="Times New Roman"/>
          <w:sz w:val="20"/>
          <w:szCs w:val="20"/>
          <w:color w:val="auto"/>
        </w:rPr>
      </w:pPr>
    </w:p>
    <w:p>
      <w:pPr>
        <w:jc w:val="both"/>
        <w:ind w:left="880" w:right="860" w:firstLine="1453"/>
        <w:spacing w:after="0" w:line="254" w:lineRule="auto"/>
        <w:tabs>
          <w:tab w:leader="none" w:pos="333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any right the Optionee has to exercise the Option prior to vesting in the Shares subject to the Option (i.e., “early exercise”), such that following the closing of the transaction the Option may only be exercised to the extent it is vested.</w:t>
      </w:r>
    </w:p>
    <w:p>
      <w:pPr>
        <w:spacing w:after="0" w:line="17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For the avoidance of doubt, the Board of Directors has discretion to accelerate, in whole or part, the vesting and exercisability of an Option or other Plan award in connection with a corporate transaction covered by this Section 8(b).</w:t>
      </w:r>
    </w:p>
    <w:p>
      <w:pPr>
        <w:spacing w:after="0" w:line="169" w:lineRule="exact"/>
        <w:rPr>
          <w:sz w:val="20"/>
          <w:szCs w:val="20"/>
          <w:color w:val="auto"/>
        </w:rPr>
      </w:pPr>
    </w:p>
    <w:p>
      <w:pPr>
        <w:ind w:left="2620" w:hanging="885"/>
        <w:spacing w:after="0"/>
        <w:tabs>
          <w:tab w:leader="none" w:pos="262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Reservation of Rights</w:t>
      </w:r>
      <w:r>
        <w:rPr>
          <w:rFonts w:ascii="Times New Roman" w:cs="Times New Roman" w:eastAsia="Times New Roman" w:hAnsi="Times New Roman"/>
          <w:sz w:val="20"/>
          <w:szCs w:val="20"/>
          <w:color w:val="auto"/>
        </w:rPr>
        <w:t>. Except as provided in this Section 8, a Participant shall have no rights by reason of</w:t>
      </w:r>
    </w:p>
    <w:p>
      <w:pPr>
        <w:spacing w:after="0" w:line="2" w:lineRule="exact"/>
        <w:rPr>
          <w:rFonts w:ascii="Times New Roman" w:cs="Times New Roman" w:eastAsia="Times New Roman" w:hAnsi="Times New Roman"/>
          <w:sz w:val="22"/>
          <w:szCs w:val="22"/>
          <w:color w:val="auto"/>
        </w:rPr>
      </w:pPr>
    </w:p>
    <w:p>
      <w:pPr>
        <w:jc w:val="both"/>
        <w:ind w:firstLine="8"/>
        <w:spacing w:after="0"/>
        <w:tabs>
          <w:tab w:leader="none" w:pos="24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8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MISCELLANEOUS PROVISIONS.</w:t>
      </w:r>
    </w:p>
    <w:p>
      <w:pPr>
        <w:spacing w:after="0" w:line="229" w:lineRule="exact"/>
        <w:rPr>
          <w:sz w:val="20"/>
          <w:szCs w:val="20"/>
          <w:color w:val="auto"/>
        </w:rPr>
      </w:pPr>
    </w:p>
    <w:p>
      <w:pPr>
        <w:jc w:val="both"/>
        <w:ind w:firstLine="1735"/>
        <w:spacing w:after="0" w:line="241" w:lineRule="auto"/>
        <w:tabs>
          <w:tab w:leader="none" w:pos="261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Securities Law Requirements</w:t>
      </w:r>
      <w:r>
        <w:rPr>
          <w:rFonts w:ascii="Times New Roman" w:cs="Times New Roman" w:eastAsia="Times New Roman" w:hAnsi="Times New Roman"/>
          <w:sz w:val="20"/>
          <w:szCs w:val="20"/>
          <w:color w:val="auto"/>
        </w:rPr>
        <w:t>. Shares shall not be issued under the Plan unless, in the opinion of counsel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acceptable to the Board of Directors, the issuance and delivery of such Shares comply with (or are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w:t>
      </w:r>
    </w:p>
    <w:p>
      <w:pPr>
        <w:spacing w:after="0" w:line="199" w:lineRule="exact"/>
        <w:rPr>
          <w:rFonts w:ascii="Times New Roman" w:cs="Times New Roman" w:eastAsia="Times New Roman" w:hAnsi="Times New Roman"/>
          <w:sz w:val="22"/>
          <w:szCs w:val="22"/>
          <w:color w:val="auto"/>
        </w:rPr>
      </w:pPr>
    </w:p>
    <w:p>
      <w:pPr>
        <w:jc w:val="both"/>
        <w:ind w:firstLine="1735"/>
        <w:spacing w:after="0" w:line="242" w:lineRule="auto"/>
        <w:tabs>
          <w:tab w:leader="none" w:pos="262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No Retention Rights. </w:t>
      </w:r>
      <w:r>
        <w:rPr>
          <w:rFonts w:ascii="Times New Roman" w:cs="Times New Roman" w:eastAsia="Times New Roman" w:hAnsi="Times New Roman"/>
          <w:sz w:val="20"/>
          <w:szCs w:val="20"/>
          <w:color w:val="auto"/>
        </w:rPr>
        <w:t>Nothing in the Plan or in any right or Option granted under the Plan shall confer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Participant any right 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7" w:name="page218"/>
    <w:bookmarkEnd w:id="217"/>
    <w:p>
      <w:pPr>
        <w:jc w:val="both"/>
        <w:ind w:firstLine="1735"/>
        <w:spacing w:after="0" w:line="244" w:lineRule="auto"/>
        <w:tabs>
          <w:tab w:leader="none" w:pos="261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Treatment as Compensation</w:t>
      </w:r>
      <w:r>
        <w:rPr>
          <w:rFonts w:ascii="Times New Roman" w:cs="Times New Roman" w:eastAsia="Times New Roman" w:hAnsi="Times New Roman"/>
          <w:sz w:val="20"/>
          <w:szCs w:val="20"/>
          <w:color w:val="auto"/>
        </w:rPr>
        <w:t>. Any compensation that an individual earns or is deemed to earn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shall not be considered a part of his or her compensation for purposes of calculating contributions, accruals or benefits under any other plan or program that is maintained or funded by the Company, a Parent or a Subsidiary.</w:t>
      </w:r>
    </w:p>
    <w:p>
      <w:pPr>
        <w:spacing w:after="0" w:line="179"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The Plan and all awards, sales and grants under the Plan shall be governed by, and construed in accordance with, the laws of the State of Delaware, as such laws are applied to contracts entered into and performed in such State.</w:t>
      </w:r>
    </w:p>
    <w:p>
      <w:pPr>
        <w:spacing w:after="0" w:line="173"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1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Conditions and Restrictions on Shares. Shares issued under the Plan shall be subject to such forfeiture conditions, rights of repurchase, rights of first refusal, other transfer restrictions and such other terms and conditions as the Board of Directors may determine. Such 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183" w:lineRule="exact"/>
        <w:rPr>
          <w:rFonts w:ascii="Times New Roman" w:cs="Times New Roman" w:eastAsia="Times New Roman" w:hAnsi="Times New Roman"/>
          <w:sz w:val="22"/>
          <w:szCs w:val="22"/>
          <w:color w:val="auto"/>
        </w:rPr>
      </w:pPr>
    </w:p>
    <w:p>
      <w:pPr>
        <w:ind w:left="2600" w:hanging="865"/>
        <w:spacing w:after="0"/>
        <w:tabs>
          <w:tab w:leader="none" w:pos="26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Matters.</w:t>
      </w:r>
    </w:p>
    <w:p>
      <w:pPr>
        <w:spacing w:after="0" w:line="211" w:lineRule="exact"/>
        <w:rPr>
          <w:sz w:val="20"/>
          <w:szCs w:val="20"/>
          <w:color w:val="auto"/>
        </w:rPr>
      </w:pPr>
    </w:p>
    <w:p>
      <w:pPr>
        <w:jc w:val="both"/>
        <w:ind w:left="880" w:right="860" w:firstLine="1453"/>
        <w:spacing w:after="0" w:line="249" w:lineRule="auto"/>
        <w:tabs>
          <w:tab w:leader="none" w:pos="317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to the award, grant, issuance, vesting, purchase, exercise or transfer of any award,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w:t>
      </w:r>
    </w:p>
    <w:p>
      <w:pPr>
        <w:spacing w:after="0" w:line="179" w:lineRule="exact"/>
        <w:rPr>
          <w:rFonts w:ascii="Times New Roman" w:cs="Times New Roman" w:eastAsia="Times New Roman" w:hAnsi="Times New Roman"/>
          <w:sz w:val="20"/>
          <w:szCs w:val="20"/>
          <w:color w:val="auto"/>
        </w:rPr>
      </w:pPr>
    </w:p>
    <w:p>
      <w:pPr>
        <w:jc w:val="both"/>
        <w:ind w:left="880" w:right="860" w:firstLine="1453"/>
        <w:spacing w:after="0" w:line="241" w:lineRule="auto"/>
        <w:tabs>
          <w:tab w:leader="none" w:pos="323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set forth in an Award Agreement, it is intended that awards granted under the Plan shall be exempt from Code Section 409A, and any ambiguity in the terms of an Award Agreement and the Plan shall be interpreted consistently with this intent. To the extent an award is not exempt from Code Section 409A (any such award, a “</w:t>
      </w:r>
      <w:r>
        <w:rPr>
          <w:rFonts w:ascii="Times New Roman" w:cs="Times New Roman" w:eastAsia="Times New Roman" w:hAnsi="Times New Roman"/>
          <w:sz w:val="20"/>
          <w:szCs w:val="20"/>
          <w:b w:val="1"/>
          <w:bCs w:val="1"/>
          <w:color w:val="auto"/>
        </w:rPr>
        <w:t>409A Award</w:t>
      </w:r>
      <w:r>
        <w:rPr>
          <w:rFonts w:ascii="Times New Roman" w:cs="Times New Roman" w:eastAsia="Times New Roman" w:hAnsi="Times New Roman"/>
          <w:sz w:val="20"/>
          <w:szCs w:val="20"/>
          <w:color w:val="auto"/>
        </w:rPr>
        <w:t>”),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be given effect if such modification would cause the Award to become subject to Code Section 409A unless the parties explicitly acknowledge and consent to the modification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Section 409A(a)(1). In addition, if a transaction subject to Section 8(b) constitutes a payment event with respect to any 409A Award, then the transaction with respect to such award must also constitute a “change in control event” as defined in Treasury Regulation Section 1.409A-3(i)(5) to the extent required by Code Section 409A.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18" w:name="page219"/>
    <w:bookmarkEnd w:id="218"/>
    <w:p>
      <w:pPr>
        <w:jc w:val="both"/>
        <w:ind w:left="880" w:right="860" w:firstLine="1453"/>
        <w:spacing w:after="0" w:line="254" w:lineRule="auto"/>
        <w:tabs>
          <w:tab w:leader="none" w:pos="328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member of the Board of Directors shall have any liability to a Participant in the event an award held by the Participant fails to achieve its intended characterization under applicable tax law.</w:t>
      </w:r>
    </w:p>
    <w:p>
      <w:pPr>
        <w:spacing w:after="0" w:line="17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DURATION AND AMENDMENTS; STOCKHOLDER APPROVAL.</w:t>
      </w:r>
    </w:p>
    <w:p>
      <w:pPr>
        <w:spacing w:after="0" w:line="233" w:lineRule="exact"/>
        <w:rPr>
          <w:sz w:val="20"/>
          <w:szCs w:val="20"/>
          <w:color w:val="auto"/>
        </w:rPr>
      </w:pPr>
    </w:p>
    <w:p>
      <w:pPr>
        <w:jc w:val="both"/>
        <w:ind w:firstLine="1735"/>
        <w:spacing w:after="0"/>
        <w:tabs>
          <w:tab w:leader="none" w:pos="261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Term of the Plan. The Plan, as set forth herein, shall become effective on the date of its adoption by the Board of Directors, subject to 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spacing w:after="0" w:line="204" w:lineRule="exact"/>
        <w:rPr>
          <w:rFonts w:ascii="Times New Roman" w:cs="Times New Roman" w:eastAsia="Times New Roman" w:hAnsi="Times New Roman"/>
          <w:sz w:val="22"/>
          <w:szCs w:val="22"/>
          <w:color w:val="auto"/>
        </w:rPr>
      </w:pPr>
    </w:p>
    <w:p>
      <w:pPr>
        <w:ind w:firstLine="1735"/>
        <w:spacing w:after="0" w:line="245" w:lineRule="auto"/>
        <w:tabs>
          <w:tab w:leader="none" w:pos="262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Right to Amend or Terminate the Plan. Subject to Subsection (d) below, the Board of Directors may amend, suspend or terminate the Plan at any time and for any reason.</w:t>
      </w:r>
    </w:p>
    <w:p>
      <w:pPr>
        <w:spacing w:after="0" w:line="195" w:lineRule="exact"/>
        <w:rPr>
          <w:rFonts w:ascii="Times New Roman" w:cs="Times New Roman" w:eastAsia="Times New Roman" w:hAnsi="Times New Roman"/>
          <w:sz w:val="22"/>
          <w:szCs w:val="22"/>
          <w:color w:val="auto"/>
        </w:rPr>
      </w:pPr>
    </w:p>
    <w:p>
      <w:pPr>
        <w:jc w:val="both"/>
        <w:ind w:firstLine="1735"/>
        <w:spacing w:after="0" w:line="241" w:lineRule="auto"/>
        <w:tabs>
          <w:tab w:leader="none" w:pos="261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Effect of Amendment or Termination. No Shares shall be issued or sold and no Option granted under the Plan after the termination thereof, except upon exercise of an Option (or any other right to purchase Shares) granted under the Plan prior to such termination. The termination of the Plan, or any amendment thereof, shall not affect any Share previously issued or any Option previously granted under the Plan.</w:t>
      </w:r>
    </w:p>
    <w:p>
      <w:pPr>
        <w:spacing w:after="0" w:line="196" w:lineRule="exact"/>
        <w:rPr>
          <w:rFonts w:ascii="Times New Roman" w:cs="Times New Roman" w:eastAsia="Times New Roman" w:hAnsi="Times New Roman"/>
          <w:sz w:val="22"/>
          <w:szCs w:val="22"/>
          <w:color w:val="auto"/>
        </w:rPr>
      </w:pPr>
    </w:p>
    <w:p>
      <w:pPr>
        <w:jc w:val="both"/>
        <w:ind w:firstLine="1735"/>
        <w:spacing w:after="0" w:line="256" w:lineRule="auto"/>
        <w:tabs>
          <w:tab w:leader="none" w:pos="2627"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To the extent required by applicable law, the Plan will be subject to approval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Company’s stockholders within 12 months of its adoption date. To the extent required by applicable law, any amendment of the Plan will be subject to the approval of the Company’s stockholders within 12 months of the amendment date if it (i) increases the number of Shares available for issuance under the Plan (except as provided in Section 8), or (ii) materially changes the class of persons who are eligible for the grant of ISOs. In addition, an amendment effecting any other material change to the Plan terms will be subject to approval of the Company’s stockholder only if required by applicable law. Stockholder approval shall not be required for any other amendment of the Plan.</w:t>
      </w:r>
    </w:p>
    <w:p>
      <w:pPr>
        <w:spacing w:after="0" w:line="17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16" w:lineRule="exact"/>
        <w:rPr>
          <w:sz w:val="20"/>
          <w:szCs w:val="20"/>
          <w:color w:val="auto"/>
        </w:rPr>
      </w:pPr>
    </w:p>
    <w:p>
      <w:pPr>
        <w:ind w:left="1740"/>
        <w:spacing w:after="0"/>
        <w:tabs>
          <w:tab w:leader="none" w:pos="25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Award Agreement</w:t>
      </w:r>
      <w:r>
        <w:rPr>
          <w:rFonts w:ascii="Times New Roman" w:cs="Times New Roman" w:eastAsia="Times New Roman" w:hAnsi="Times New Roman"/>
          <w:sz w:val="20"/>
          <w:szCs w:val="20"/>
          <w:color w:val="auto"/>
        </w:rPr>
        <w:t>” means a Stock Grant Agreement, Stock Option Agreement or Stock Purchase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0" w:lineRule="exact"/>
        <w:rPr>
          <w:sz w:val="20"/>
          <w:szCs w:val="20"/>
          <w:color w:val="auto"/>
        </w:rPr>
      </w:pPr>
    </w:p>
    <w:p>
      <w:pPr>
        <w:ind w:left="2620" w:hanging="885"/>
        <w:spacing w:after="0"/>
        <w:tabs>
          <w:tab w:leader="none" w:pos="262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means the Board of Directors of the Company, as constituted from time to time.</w:t>
      </w:r>
    </w:p>
    <w:p>
      <w:pPr>
        <w:spacing w:after="0" w:line="215"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a committee of the Board of Directors, as described in Section 2(a).</w:t>
      </w:r>
    </w:p>
    <w:p>
      <w:pPr>
        <w:spacing w:after="0" w:line="215"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Tarsus Pharmaceuticals, Inc., a Delaware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9" w:name="page220"/>
    <w:bookmarkEnd w:id="219"/>
    <w:p>
      <w:pPr>
        <w:jc w:val="both"/>
        <w:ind w:firstLine="1735"/>
        <w:spacing w:after="0" w:line="256" w:lineRule="auto"/>
        <w:tabs>
          <w:tab w:leader="none" w:pos="2573"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means a person, excluding Employees and Outside Directors, who performs bona fide services for the Company, a Parent</w:t>
      </w:r>
      <w:r>
        <w:rPr>
          <w:rFonts w:ascii="Times New Roman" w:cs="Times New Roman" w:eastAsia="Times New Roman" w:hAnsi="Times New Roman"/>
          <w:sz w:val="16"/>
          <w:szCs w:val="16"/>
          <w:color w:val="auto"/>
        </w:rPr>
        <w:t>3</w:t>
      </w:r>
      <w:r>
        <w:rPr>
          <w:rFonts w:ascii="Times New Roman" w:cs="Times New Roman" w:eastAsia="Times New Roman" w:hAnsi="Times New Roman"/>
          <w:sz w:val="20"/>
          <w:szCs w:val="20"/>
          <w:color w:val="auto"/>
        </w:rPr>
        <w:t xml:space="preserve"> or a Subsidiary as a consultant or advisor and who qualifies as a consultant or advisor under Rule 701(c)(1) of the Securities Act or under Instruction A.1.(a)(1) of Form S-8 under the Securities Act.</w:t>
      </w:r>
    </w:p>
    <w:p>
      <w:pPr>
        <w:spacing w:after="0" w:line="168" w:lineRule="exact"/>
        <w:rPr>
          <w:rFonts w:ascii="Times New Roman" w:cs="Times New Roman" w:eastAsia="Times New Roman" w:hAnsi="Times New Roman"/>
          <w:sz w:val="20"/>
          <w:szCs w:val="20"/>
          <w:color w:val="auto"/>
        </w:rPr>
      </w:pPr>
    </w:p>
    <w:p>
      <w:pPr>
        <w:ind w:right="20" w:firstLine="1735"/>
        <w:spacing w:after="0" w:line="273" w:lineRule="auto"/>
        <w:tabs>
          <w:tab w:leader="none" w:pos="260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 means the date of grant specified in the applicable Stock Option Agreement, which date shall be the later of (i) the date on which the Board of Directors resolved to grant the Option or (ii) the first day of the Optionee’s Service.</w:t>
      </w:r>
    </w:p>
    <w:p>
      <w:pPr>
        <w:spacing w:after="0" w:line="151"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means that the Optionee is unable to engage in any substantial gainful activity by reason of any medically determinable physical or mental impairment.</w:t>
      </w:r>
    </w:p>
    <w:p>
      <w:pPr>
        <w:spacing w:after="0" w:line="41" w:lineRule="exact"/>
        <w:rPr>
          <w:rFonts w:ascii="Times New Roman" w:cs="Times New Roman" w:eastAsia="Times New Roman" w:hAnsi="Times New Roman"/>
          <w:sz w:val="20"/>
          <w:szCs w:val="20"/>
          <w:color w:val="auto"/>
        </w:rPr>
      </w:pPr>
    </w:p>
    <w:p>
      <w:pPr>
        <w:ind w:left="2580" w:hanging="845"/>
        <w:spacing w:after="0" w:line="380" w:lineRule="exact"/>
        <w:tabs>
          <w:tab w:leader="none" w:pos="258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means any individual who is a common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law employee of the Company, a Parent</w:t>
      </w:r>
      <w:r>
        <w:rPr>
          <w:rFonts w:ascii="Times New Roman" w:cs="Times New Roman" w:eastAsia="Times New Roman" w:hAnsi="Times New Roman"/>
          <w:sz w:val="33"/>
          <w:szCs w:val="33"/>
          <w:color w:val="auto"/>
          <w:vertAlign w:val="superscript"/>
        </w:rPr>
        <w:t>4</w:t>
      </w:r>
      <w:r>
        <w:rPr>
          <w:rFonts w:ascii="Times New Roman" w:cs="Times New Roman" w:eastAsia="Times New Roman" w:hAnsi="Times New Roman"/>
          <w:sz w:val="20"/>
          <w:szCs w:val="20"/>
          <w:color w:val="auto"/>
        </w:rPr>
        <w:t xml:space="preserve"> or a</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189"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 means the amount for which one Share may be purchased upon exercise of an Option, as specified by the Board of Directors in the applicable Stock Option Agreement.</w:t>
      </w:r>
    </w:p>
    <w:p>
      <w:pPr>
        <w:spacing w:after="0" w:line="151" w:lineRule="exact"/>
        <w:rPr>
          <w:rFonts w:ascii="Times New Roman" w:cs="Times New Roman" w:eastAsia="Times New Roman" w:hAnsi="Times New Roman"/>
          <w:sz w:val="20"/>
          <w:szCs w:val="20"/>
          <w:color w:val="auto"/>
        </w:rPr>
      </w:pPr>
    </w:p>
    <w:p>
      <w:pPr>
        <w:ind w:firstLine="1735"/>
        <w:spacing w:after="0" w:line="273" w:lineRule="auto"/>
        <w:tabs>
          <w:tab w:leader="none" w:pos="256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means the fair market value of a Share, as determined by the Board of Directors in good faith. Such determination shall be conclusive and binding on all persons.</w:t>
      </w:r>
    </w:p>
    <w:p>
      <w:pPr>
        <w:spacing w:after="0" w:line="151"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61"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Family Member</w:t>
      </w:r>
      <w:r>
        <w:rPr>
          <w:rFonts w:ascii="Times New Roman" w:cs="Times New Roman" w:eastAsia="Times New Roman" w:hAnsi="Times New Roman"/>
          <w:sz w:val="20"/>
          <w:szCs w:val="20"/>
          <w:color w:val="auto"/>
        </w:rPr>
        <w:t>” means (i) any child, stepchild, grandchild, parent, stepparent, grandparent, spouse, former spouse, sibling, niece, nephew, mother-in-law, father-in-law, son-in-law, daughter-in-law, brother-in-law or sister-in-law, including adoptive relationships, (ii) any person sharing the Optionee’s household (other than a tenant or employee), (iii) a trust in which persons described in Clause (i) or (ii) have more than 50% of the beneficial interest, (iv) a foundation in which persons described in Clause (i) or (ii) or the Optionee control the management of assets and (v) any other entity in which persons described in Clause (i) or (ii) or the Optionee own more than 50% of the voting interests.</w:t>
      </w:r>
    </w:p>
    <w:p>
      <w:pPr>
        <w:spacing w:after="0" w:line="178"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Grantee</w:t>
      </w:r>
      <w:r>
        <w:rPr>
          <w:rFonts w:ascii="Times New Roman" w:cs="Times New Roman" w:eastAsia="Times New Roman" w:hAnsi="Times New Roman"/>
          <w:sz w:val="20"/>
          <w:szCs w:val="20"/>
          <w:color w:val="auto"/>
        </w:rPr>
        <w:t>” means a person to whom the Board of Directors has awarded Shares under the Plan.</w:t>
      </w:r>
    </w:p>
    <w:p>
      <w:pPr>
        <w:spacing w:after="0" w:line="215"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ISO</w:t>
      </w:r>
      <w:r>
        <w:rPr>
          <w:rFonts w:ascii="Times New Roman" w:cs="Times New Roman" w:eastAsia="Times New Roman" w:hAnsi="Times New Roman"/>
          <w:sz w:val="20"/>
          <w:szCs w:val="20"/>
          <w:color w:val="auto"/>
        </w:rPr>
        <w:t>” means an Option that qualifies as an incentive stock option as described in Code Section 422(b). Notwithstanding its designation as an ISO, an Option that does not qualify as an ISO under applicable law shall be treated for all purposes as an NSO.</w:t>
      </w:r>
    </w:p>
    <w:p>
      <w:pPr>
        <w:spacing w:after="0" w:line="168"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NSO</w:t>
      </w:r>
      <w:r>
        <w:rPr>
          <w:rFonts w:ascii="Times New Roman" w:cs="Times New Roman" w:eastAsia="Times New Roman" w:hAnsi="Times New Roman"/>
          <w:sz w:val="20"/>
          <w:szCs w:val="20"/>
          <w:color w:val="auto"/>
        </w:rPr>
        <w:t>” means an Option that does not qualify as an incentive stock option as described in Code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422(b) or 423(b).</w:t>
      </w:r>
    </w:p>
    <w:p>
      <w:pPr>
        <w:spacing w:after="0" w:line="189"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an ISO or NSO granted under the Plan and entitling the holder to purchase Shares.</w:t>
      </w:r>
    </w:p>
    <w:p>
      <w:pPr>
        <w:spacing w:after="0" w:line="215"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Optionee</w:t>
      </w:r>
      <w:r>
        <w:rPr>
          <w:rFonts w:ascii="Times New Roman" w:cs="Times New Roman" w:eastAsia="Times New Roman" w:hAnsi="Times New Roman"/>
          <w:sz w:val="20"/>
          <w:szCs w:val="20"/>
          <w:color w:val="auto"/>
        </w:rPr>
        <w:t>” means a person who holds an Option.</w:t>
      </w:r>
    </w:p>
    <w:p>
      <w:pPr>
        <w:spacing w:after="0" w:line="166" w:lineRule="exact"/>
        <w:rPr>
          <w:sz w:val="20"/>
          <w:szCs w:val="20"/>
          <w:color w:val="auto"/>
        </w:rPr>
      </w:pPr>
    </w:p>
    <w:p>
      <w:pPr>
        <w:ind w:left="140" w:hanging="132"/>
        <w:spacing w:after="0"/>
        <w:tabs>
          <w:tab w:leader="none" w:pos="14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Note that special considerations apply if the Company proposes to grant awards to consultant or advisor of a Parent company.</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9"/>
          <w:szCs w:val="19"/>
          <w:color w:val="auto"/>
        </w:rPr>
        <w:t>Note that special considerations apply if the Company proposes to grant awards to an Employee of a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14230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20" w:name="page221"/>
    <w:bookmarkEnd w:id="220"/>
    <w:p>
      <w:pPr>
        <w:ind w:left="2600" w:hanging="865"/>
        <w:spacing w:after="0"/>
        <w:tabs>
          <w:tab w:leader="none" w:pos="26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Outside Director</w:t>
      </w:r>
      <w:r>
        <w:rPr>
          <w:rFonts w:ascii="Times New Roman" w:cs="Times New Roman" w:eastAsia="Times New Roman" w:hAnsi="Times New Roman"/>
          <w:sz w:val="20"/>
          <w:szCs w:val="20"/>
          <w:color w:val="auto"/>
        </w:rPr>
        <w:t>” means a member of the Board of Directors who is not an Employee.</w:t>
      </w:r>
    </w:p>
    <w:p>
      <w:pPr>
        <w:spacing w:after="0" w:line="215"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6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a Grantee, Optionee or Purchaser.</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this Tarsus Pharmaceuticals, Inc. 2016 Stock Plan.</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65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means the consideration for which one Share may be acquired under the Plan (other than upon exercise of an Option), as specified by the Board of Directors.</w:t>
      </w:r>
    </w:p>
    <w:p>
      <w:pPr>
        <w:spacing w:after="0" w:line="151"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means a person to whom the Board of Directors has offered the right to purchase Shares under the Plan (other than upon exercise of an Option).</w:t>
      </w:r>
    </w:p>
    <w:p>
      <w:pPr>
        <w:spacing w:after="0" w:line="151"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5"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means service as an Employee, Outside Director or Consultant.</w:t>
      </w:r>
    </w:p>
    <w:p>
      <w:pPr>
        <w:spacing w:after="0" w:line="216" w:lineRule="exact"/>
        <w:rPr>
          <w:sz w:val="20"/>
          <w:szCs w:val="20"/>
          <w:color w:val="auto"/>
        </w:rPr>
      </w:pPr>
    </w:p>
    <w:p>
      <w:pPr>
        <w:ind w:left="2700" w:hanging="965"/>
        <w:spacing w:after="0"/>
        <w:tabs>
          <w:tab w:leader="none" w:pos="27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w:t>
      </w:r>
      <w:r>
        <w:rPr>
          <w:rFonts w:ascii="Times New Roman" w:cs="Times New Roman" w:eastAsia="Times New Roman" w:hAnsi="Times New Roman"/>
          <w:sz w:val="20"/>
          <w:szCs w:val="20"/>
          <w:color w:val="auto"/>
        </w:rPr>
        <w:t>” means one share of Stock, as adjusted in accordance with Section 8 (if applicable).</w:t>
      </w:r>
    </w:p>
    <w:p>
      <w:pPr>
        <w:spacing w:after="0" w:line="215" w:lineRule="exact"/>
        <w:rPr>
          <w:rFonts w:ascii="Times New Roman" w:cs="Times New Roman" w:eastAsia="Times New Roman" w:hAnsi="Times New Roman"/>
          <w:sz w:val="20"/>
          <w:szCs w:val="20"/>
          <w:color w:val="auto"/>
        </w:rPr>
      </w:pPr>
    </w:p>
    <w:p>
      <w:pPr>
        <w:ind w:left="2720" w:hanging="985"/>
        <w:spacing w:after="0"/>
        <w:tabs>
          <w:tab w:leader="none" w:pos="272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68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Grant Agreement</w:t>
      </w:r>
      <w:r>
        <w:rPr>
          <w:rFonts w:ascii="Times New Roman" w:cs="Times New Roman" w:eastAsia="Times New Roman" w:hAnsi="Times New Roman"/>
          <w:sz w:val="20"/>
          <w:szCs w:val="20"/>
          <w:color w:val="auto"/>
        </w:rPr>
        <w:t>” means the agreement between the Company and a Grantee who is awarded Shares under the Plan that contains the terms, conditions and restrictions pertaining to the award of such Shares.</w:t>
      </w:r>
    </w:p>
    <w:p>
      <w:pPr>
        <w:spacing w:after="0" w:line="151" w:lineRule="exact"/>
        <w:rPr>
          <w:rFonts w:ascii="Times New Roman" w:cs="Times New Roman" w:eastAsia="Times New Roman" w:hAnsi="Times New Roman"/>
          <w:sz w:val="20"/>
          <w:szCs w:val="20"/>
          <w:color w:val="auto"/>
        </w:rPr>
      </w:pPr>
    </w:p>
    <w:p>
      <w:pPr>
        <w:ind w:right="20" w:firstLine="1735"/>
        <w:spacing w:after="0" w:line="273" w:lineRule="auto"/>
        <w:tabs>
          <w:tab w:leader="none" w:pos="270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Option Agreement</w:t>
      </w:r>
      <w:r>
        <w:rPr>
          <w:rFonts w:ascii="Times New Roman" w:cs="Times New Roman" w:eastAsia="Times New Roman" w:hAnsi="Times New Roman"/>
          <w:sz w:val="20"/>
          <w:szCs w:val="20"/>
          <w:color w:val="auto"/>
        </w:rPr>
        <w:t>” means the agreement between the Company and an Optionee that contains the terms, conditions and restrictions pertaining to the Optionee’s Option.</w:t>
      </w:r>
    </w:p>
    <w:p>
      <w:pPr>
        <w:spacing w:after="0" w:line="151" w:lineRule="exact"/>
        <w:rPr>
          <w:rFonts w:ascii="Times New Roman" w:cs="Times New Roman" w:eastAsia="Times New Roman" w:hAnsi="Times New Roman"/>
          <w:sz w:val="20"/>
          <w:szCs w:val="20"/>
          <w:color w:val="auto"/>
        </w:rPr>
      </w:pPr>
    </w:p>
    <w:p>
      <w:pPr>
        <w:ind w:firstLine="1735"/>
        <w:spacing w:after="0" w:line="273" w:lineRule="auto"/>
        <w:tabs>
          <w:tab w:leader="none" w:pos="268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Purchase Agreement</w:t>
      </w:r>
      <w:r>
        <w:rPr>
          <w:rFonts w:ascii="Times New Roman" w:cs="Times New Roman" w:eastAsia="Times New Roman" w:hAnsi="Times New Roman"/>
          <w:sz w:val="20"/>
          <w:szCs w:val="20"/>
          <w:color w:val="auto"/>
        </w:rPr>
        <w:t>” means the agreement between the Company and a Purchaser who purchases Shares under the Plan that contains the terms, conditions and restrictions pertaining to the purchase of such Shares.</w:t>
      </w:r>
    </w:p>
    <w:p>
      <w:pPr>
        <w:spacing w:after="0" w:line="151"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3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62"/>
        </w:trPr>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320" w:type="dxa"/>
            <w:vAlign w:val="bottom"/>
            <w:gridSpan w:val="4"/>
          </w:tcPr>
          <w:p>
            <w:pPr>
              <w:jc w:val="center"/>
              <w:ind w:right="232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A</w:t>
            </w:r>
          </w:p>
        </w:tc>
        <w:tc>
          <w:tcPr>
            <w:tcW w:w="2800" w:type="dxa"/>
            <w:vAlign w:val="bottom"/>
          </w:tcPr>
          <w:p>
            <w:pPr>
              <w:spacing w:after="0"/>
              <w:rPr>
                <w:sz w:val="22"/>
                <w:szCs w:val="22"/>
                <w:color w:val="auto"/>
              </w:rPr>
            </w:pPr>
          </w:p>
        </w:tc>
      </w:tr>
      <w:tr>
        <w:trPr>
          <w:trHeight w:val="446"/>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5"/>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CHEDULE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ESERVED FOR</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SSUANCE UNDER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tc>
        <w:tc>
          <w:tcPr>
            <w:tcW w:w="2800" w:type="dxa"/>
            <w:vAlign w:val="bottom"/>
          </w:tcPr>
          <w:p>
            <w:pPr>
              <w:spacing w:after="0"/>
              <w:rPr>
                <w:sz w:val="24"/>
                <w:szCs w:val="24"/>
                <w:color w:val="auto"/>
              </w:rPr>
            </w:pPr>
          </w:p>
        </w:tc>
      </w:tr>
      <w:tr>
        <w:trPr>
          <w:trHeight w:val="440"/>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Date of Board</w:t>
            </w:r>
          </w:p>
        </w:tc>
        <w:tc>
          <w:tcPr>
            <w:tcW w:w="2300" w:type="dxa"/>
            <w:vAlign w:val="bottom"/>
          </w:tcPr>
          <w:p>
            <w:pPr>
              <w:jc w:val="center"/>
              <w:ind w:left="321"/>
              <w:spacing w:after="0"/>
              <w:rPr>
                <w:sz w:val="20"/>
                <w:szCs w:val="20"/>
                <w:color w:val="auto"/>
              </w:rPr>
            </w:pPr>
            <w:r>
              <w:rPr>
                <w:rFonts w:ascii="Times New Roman" w:cs="Times New Roman" w:eastAsia="Times New Roman" w:hAnsi="Times New Roman"/>
                <w:sz w:val="20"/>
                <w:szCs w:val="20"/>
                <w:b w:val="1"/>
                <w:bCs w:val="1"/>
                <w:color w:val="auto"/>
                <w:w w:val="98"/>
              </w:rPr>
              <w:t>Date of Stockholder</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Cumulative Number of</w:t>
            </w:r>
          </w:p>
        </w:tc>
      </w:tr>
      <w:tr>
        <w:trPr>
          <w:trHeight w:val="256"/>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Approval</w:t>
            </w:r>
          </w:p>
        </w:tc>
        <w:tc>
          <w:tcPr>
            <w:tcW w:w="120" w:type="dxa"/>
            <w:vAlign w:val="bottom"/>
          </w:tcPr>
          <w:p>
            <w:pPr>
              <w:spacing w:after="0"/>
              <w:rPr>
                <w:sz w:val="22"/>
                <w:szCs w:val="22"/>
                <w:color w:val="auto"/>
              </w:rPr>
            </w:pPr>
          </w:p>
        </w:tc>
        <w:tc>
          <w:tcPr>
            <w:tcW w:w="230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20"/>
                <w:szCs w:val="20"/>
                <w:b w:val="1"/>
                <w:bCs w:val="1"/>
                <w:color w:val="auto"/>
                <w:w w:val="98"/>
              </w:rPr>
              <w:t>Approval</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Shares Added</w:t>
            </w:r>
          </w:p>
        </w:tc>
        <w:tc>
          <w:tcPr>
            <w:tcW w:w="120" w:type="dxa"/>
            <w:vAlign w:val="bottom"/>
          </w:tcPr>
          <w:p>
            <w:pPr>
              <w:spacing w:after="0"/>
              <w:rPr>
                <w:sz w:val="22"/>
                <w:szCs w:val="22"/>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Shares</w:t>
            </w:r>
          </w:p>
        </w:tc>
      </w:tr>
      <w:tr>
        <w:trPr>
          <w:trHeight w:val="337"/>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December 14, 2016</w:t>
            </w:r>
          </w:p>
        </w:tc>
        <w:tc>
          <w:tcPr>
            <w:tcW w:w="2300" w:type="dxa"/>
            <w:vAlign w:val="bottom"/>
          </w:tcPr>
          <w:p>
            <w:pPr>
              <w:jc w:val="center"/>
              <w:ind w:left="321"/>
              <w:spacing w:after="0"/>
              <w:rPr>
                <w:sz w:val="20"/>
                <w:szCs w:val="20"/>
                <w:color w:val="auto"/>
              </w:rPr>
            </w:pPr>
            <w:r>
              <w:rPr>
                <w:rFonts w:ascii="Times New Roman" w:cs="Times New Roman" w:eastAsia="Times New Roman" w:hAnsi="Times New Roman"/>
                <w:sz w:val="20"/>
                <w:szCs w:val="20"/>
                <w:color w:val="auto"/>
                <w:w w:val="99"/>
              </w:rPr>
              <w:t>January 17, 2017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7"/>
              </w:rPr>
              <w:t>Not Applicable</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1,960,000</w:t>
            </w:r>
          </w:p>
        </w:tc>
      </w:tr>
      <w:tr>
        <w:trPr>
          <w:trHeight w:val="338"/>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November 29, 2017</w:t>
            </w:r>
          </w:p>
        </w:tc>
        <w:tc>
          <w:tcPr>
            <w:tcW w:w="2300" w:type="dxa"/>
            <w:vAlign w:val="bottom"/>
          </w:tcPr>
          <w:p>
            <w:pPr>
              <w:jc w:val="center"/>
              <w:ind w:left="321"/>
              <w:spacing w:after="0"/>
              <w:rPr>
                <w:sz w:val="20"/>
                <w:szCs w:val="20"/>
                <w:color w:val="auto"/>
              </w:rPr>
            </w:pPr>
            <w:r>
              <w:rPr>
                <w:rFonts w:ascii="Times New Roman" w:cs="Times New Roman" w:eastAsia="Times New Roman" w:hAnsi="Times New Roman"/>
                <w:sz w:val="20"/>
                <w:szCs w:val="20"/>
                <w:color w:val="auto"/>
                <w:w w:val="97"/>
              </w:rPr>
              <w:t>November 29, 2017</w:t>
            </w:r>
          </w:p>
        </w:tc>
        <w:tc>
          <w:tcPr>
            <w:tcW w:w="3200" w:type="dxa"/>
            <w:vAlign w:val="bottom"/>
            <w:gridSpan w:val="3"/>
          </w:tcPr>
          <w:p>
            <w:pPr>
              <w:jc w:val="center"/>
              <w:ind w:left="421"/>
              <w:spacing w:after="0"/>
              <w:rPr>
                <w:sz w:val="20"/>
                <w:szCs w:val="20"/>
                <w:color w:val="auto"/>
              </w:rPr>
            </w:pPr>
            <w:r>
              <w:rPr>
                <w:rFonts w:ascii="Times New Roman" w:cs="Times New Roman" w:eastAsia="Times New Roman" w:hAnsi="Times New Roman"/>
                <w:sz w:val="20"/>
                <w:szCs w:val="20"/>
                <w:color w:val="auto"/>
                <w:w w:val="98"/>
              </w:rPr>
              <w:t>750,000</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2,710,000</w:t>
            </w:r>
          </w:p>
        </w:tc>
      </w:tr>
      <w:tr>
        <w:trPr>
          <w:trHeight w:val="338"/>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March 26, 2018</w:t>
            </w:r>
          </w:p>
        </w:tc>
        <w:tc>
          <w:tcPr>
            <w:tcW w:w="2300" w:type="dxa"/>
            <w:vAlign w:val="bottom"/>
          </w:tcPr>
          <w:p>
            <w:pPr>
              <w:jc w:val="center"/>
              <w:ind w:left="321"/>
              <w:spacing w:after="0"/>
              <w:rPr>
                <w:sz w:val="20"/>
                <w:szCs w:val="20"/>
                <w:color w:val="auto"/>
              </w:rPr>
            </w:pPr>
            <w:r>
              <w:rPr>
                <w:rFonts w:ascii="Times New Roman" w:cs="Times New Roman" w:eastAsia="Times New Roman" w:hAnsi="Times New Roman"/>
                <w:sz w:val="20"/>
                <w:szCs w:val="20"/>
                <w:color w:val="auto"/>
                <w:w w:val="97"/>
              </w:rPr>
              <w:t>March 26, 2018</w:t>
            </w:r>
          </w:p>
        </w:tc>
        <w:tc>
          <w:tcPr>
            <w:tcW w:w="3200" w:type="dxa"/>
            <w:vAlign w:val="bottom"/>
            <w:gridSpan w:val="3"/>
          </w:tcPr>
          <w:p>
            <w:pPr>
              <w:jc w:val="center"/>
              <w:ind w:left="421"/>
              <w:spacing w:after="0"/>
              <w:rPr>
                <w:sz w:val="20"/>
                <w:szCs w:val="20"/>
                <w:color w:val="auto"/>
              </w:rPr>
            </w:pPr>
            <w:r>
              <w:rPr>
                <w:rFonts w:ascii="Times New Roman" w:cs="Times New Roman" w:eastAsia="Times New Roman" w:hAnsi="Times New Roman"/>
                <w:sz w:val="20"/>
                <w:szCs w:val="20"/>
                <w:color w:val="auto"/>
                <w:w w:val="99"/>
              </w:rPr>
              <w:t>1,687,000</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4,397,000</w:t>
            </w:r>
          </w:p>
        </w:tc>
      </w:tr>
      <w:tr>
        <w:trPr>
          <w:trHeight w:val="3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December 12, 2019</w:t>
            </w:r>
          </w:p>
        </w:tc>
        <w:tc>
          <w:tcPr>
            <w:tcW w:w="2300" w:type="dxa"/>
            <w:vAlign w:val="bottom"/>
          </w:tcPr>
          <w:p>
            <w:pPr>
              <w:jc w:val="center"/>
              <w:ind w:left="321"/>
              <w:spacing w:after="0"/>
              <w:rPr>
                <w:sz w:val="20"/>
                <w:szCs w:val="20"/>
                <w:color w:val="auto"/>
              </w:rPr>
            </w:pPr>
            <w:r>
              <w:rPr>
                <w:rFonts w:ascii="Times New Roman" w:cs="Times New Roman" w:eastAsia="Times New Roman" w:hAnsi="Times New Roman"/>
                <w:sz w:val="20"/>
                <w:szCs w:val="20"/>
                <w:color w:val="auto"/>
                <w:w w:val="99"/>
              </w:rPr>
              <w:t>December 12, 2019</w:t>
            </w:r>
          </w:p>
        </w:tc>
        <w:tc>
          <w:tcPr>
            <w:tcW w:w="3200" w:type="dxa"/>
            <w:vAlign w:val="bottom"/>
            <w:gridSpan w:val="3"/>
          </w:tcPr>
          <w:p>
            <w:pPr>
              <w:jc w:val="center"/>
              <w:ind w:left="421"/>
              <w:spacing w:after="0"/>
              <w:rPr>
                <w:sz w:val="20"/>
                <w:szCs w:val="20"/>
                <w:color w:val="auto"/>
              </w:rPr>
            </w:pPr>
            <w:r>
              <w:rPr>
                <w:rFonts w:ascii="Times New Roman" w:cs="Times New Roman" w:eastAsia="Times New Roman" w:hAnsi="Times New Roman"/>
                <w:sz w:val="20"/>
                <w:szCs w:val="20"/>
                <w:color w:val="auto"/>
                <w:w w:val="97"/>
              </w:rPr>
              <w:t>15,435,815</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19,832,815</w:t>
            </w: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UMMARY OF</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ODIFICATIONS AND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MENDMENTS TO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is a summary of material modifications made to the Plan (including any material deviations from the Gunderson Dettmer precedent form used to create the Plan):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NSTALLMENT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Optionee has been granted the following option to purchase shares of the Common Stock of Tarsus Pharmaceuticals, Inc.:</w:t>
      </w:r>
    </w:p>
    <w:p>
      <w:pPr>
        <w:sectPr>
          <w:pgSz w:w="11900" w:h="16838" w:orient="portrait"/>
          <w:cols w:equalWidth="0" w:num="1">
            <w:col w:w="11240"/>
          </w:cols>
          <w:pgMar w:left="320" w:top="329" w:right="339" w:bottom="1440" w:gutter="0" w:footer="0" w:header="0"/>
        </w:sectPr>
      </w:pP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Total Number of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«TotalShares»</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Type of Option: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«ISO»Incentive Stock Option (ISO)</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«NSO»Nonstatutory Stock Option (NSO)</w:t>
      </w:r>
    </w:p>
    <w:p>
      <w:pPr>
        <w:sectPr>
          <w:pgSz w:w="11900" w:h="16838" w:orient="portrait"/>
          <w:cols w:equalWidth="0" w:num="1">
            <w:col w:w="11240"/>
          </w:cols>
          <w:pgMar w:left="320" w:top="329" w:right="339" w:bottom="1440" w:gutter="0" w:footer="0" w:header="0"/>
          <w:type w:val="continuous"/>
        </w:sectPr>
      </w:pP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$«PricePerShare»</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«DateGrant»</w:t>
      </w:r>
    </w:p>
    <w:p>
      <w:pPr>
        <w:spacing w:after="0" w:line="211"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Date Exercisable: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option may be exercised with respect to the first «Percent»% of the Shares subject to this option when the Optionee completes «CliffPeriod» months of continuous Service beginning with the Vesting Commencement Date set forth below. This option may be exercised with respect to an additional «Fraction»% of the Shares subject to this option when the Optionee completes each month of continuous Service thereafter.</w:t>
      </w:r>
    </w:p>
    <w:p>
      <w:pPr>
        <w:spacing w:after="0" w:line="198"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«VestComDate»</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Expiration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«ExpDate». This option expires earlier if the Optionee’s Service terminates earlier, as provided in Section 6 of the Stock Option Agreement, or if the Company engages in certain corporate transactions, as provided in Section 8(b) of the Plan.</w:t>
      </w:r>
    </w:p>
    <w:p>
      <w:pPr>
        <w:spacing w:after="0" w:line="18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By signing below, the Optionee and the Company agree that this option is granted under, and governed by the terms and conditions of, the 2016 Stock Plan and the Stock Option Agreement. Both of these documents are attached to, and made a part of, this Notice of Stock Option Grant. </w:t>
      </w:r>
      <w:r>
        <w:rPr>
          <w:rFonts w:ascii="Times New Roman" w:cs="Times New Roman" w:eastAsia="Times New Roman" w:hAnsi="Times New Roman"/>
          <w:sz w:val="20"/>
          <w:szCs w:val="20"/>
          <w:b w:val="1"/>
          <w:bCs w:val="1"/>
          <w:color w:val="auto"/>
        </w:rPr>
        <w:t>Section 13 of the Stock Option Agreement includes important acknowledgements of the Optionee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PTIONEE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4445</wp:posOffset>
            </wp:positionV>
            <wp:extent cx="31800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180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494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223" w:name="page224"/>
    <w:bookmarkEnd w:id="223"/>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NSTALLMENT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40"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GRANT OF OPTION.</w:t>
      </w:r>
    </w:p>
    <w:p>
      <w:pPr>
        <w:spacing w:after="0" w:line="216" w:lineRule="exact"/>
        <w:rPr>
          <w:sz w:val="20"/>
          <w:szCs w:val="20"/>
          <w:color w:val="auto"/>
        </w:rPr>
      </w:pPr>
    </w:p>
    <w:p>
      <w:pPr>
        <w:jc w:val="both"/>
        <w:ind w:firstLine="1735"/>
        <w:spacing w:after="0" w:line="247" w:lineRule="auto"/>
        <w:tabs>
          <w:tab w:leader="none" w:pos="259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On the terms and conditions set forth in the Notice of Stock Option Grant and this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80"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$100,000 Limitation</w:t>
      </w:r>
      <w:r>
        <w:rPr>
          <w:rFonts w:ascii="Times New Roman" w:cs="Times New Roman" w:eastAsia="Times New Roman" w:hAnsi="Times New Roman"/>
          <w:sz w:val="20"/>
          <w:szCs w:val="20"/>
          <w:color w:val="auto"/>
        </w:rPr>
        <w:t>. Even if this option is designated as an ISO in the Notice of Stock Option Grant,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deemed to be an NSO to the extent (and only to the extent) required by the $100,000 annual limitation under Section 422(d) of the Code.</w:t>
      </w:r>
    </w:p>
    <w:p>
      <w:pPr>
        <w:spacing w:after="0" w:line="168"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Plan and Defined Terms</w:t>
      </w:r>
      <w:r>
        <w:rPr>
          <w:rFonts w:ascii="Times New Roman" w:cs="Times New Roman" w:eastAsia="Times New Roman" w:hAnsi="Times New Roman"/>
          <w:sz w:val="20"/>
          <w:szCs w:val="20"/>
          <w:color w:val="auto"/>
        </w:rPr>
        <w:t>. This option is granted pursuant to the Plan, a copy of which the Optionee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having received. The provisions of the Plan are incorporated into this Agreement by this reference. Except as otherwise defined in this Agreement (including without limitation Section 14 hereof), capitalized terms shall have the meaning ascribed to such terms in the Plan.</w:t>
      </w:r>
    </w:p>
    <w:p>
      <w:pPr>
        <w:spacing w:after="0" w:line="17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RIGHT TO EXERCISE.</w:t>
      </w:r>
    </w:p>
    <w:p>
      <w:pPr>
        <w:spacing w:after="0" w:line="216" w:lineRule="exact"/>
        <w:rPr>
          <w:sz w:val="20"/>
          <w:szCs w:val="20"/>
          <w:color w:val="auto"/>
        </w:rPr>
      </w:pPr>
    </w:p>
    <w:p>
      <w:pPr>
        <w:ind w:right="20" w:firstLine="1735"/>
        <w:spacing w:after="0" w:line="273" w:lineRule="auto"/>
        <w:tabs>
          <w:tab w:leader="none" w:pos="259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Exercisability</w:t>
      </w:r>
      <w:r>
        <w:rPr>
          <w:rFonts w:ascii="Times New Roman" w:cs="Times New Roman" w:eastAsia="Times New Roman" w:hAnsi="Times New Roman"/>
          <w:sz w:val="20"/>
          <w:szCs w:val="20"/>
          <w:color w:val="auto"/>
        </w:rPr>
        <w:t>. Subject to Subsection (b) below and the other conditions set forth in this Agreement, all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 of this option may be exercised prior to its expiration at the time or times set forth in the Notice of Stock Option Grant.</w:t>
      </w:r>
    </w:p>
    <w:p>
      <w:pPr>
        <w:spacing w:after="0" w:line="151" w:lineRule="exact"/>
        <w:rPr>
          <w:rFonts w:ascii="Times New Roman" w:cs="Times New Roman" w:eastAsia="Times New Roman" w:hAnsi="Times New Roman"/>
          <w:sz w:val="20"/>
          <w:szCs w:val="20"/>
          <w:color w:val="auto"/>
        </w:rPr>
      </w:pPr>
    </w:p>
    <w:p>
      <w:pPr>
        <w:ind w:right="20" w:firstLine="1735"/>
        <w:spacing w:after="0" w:line="273" w:lineRule="auto"/>
        <w:tabs>
          <w:tab w:leader="none" w:pos="260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Stockholder Approval</w:t>
      </w:r>
      <w:r>
        <w:rPr>
          <w:rFonts w:ascii="Times New Roman" w:cs="Times New Roman" w:eastAsia="Times New Roman" w:hAnsi="Times New Roman"/>
          <w:sz w:val="20"/>
          <w:szCs w:val="20"/>
          <w:color w:val="auto"/>
        </w:rPr>
        <w:t>. Any other provision of this Agreement notwithstanding, no portion of this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exercisable at any time prior to the approval of the Plan by the Company’s stockholders.</w:t>
      </w:r>
    </w:p>
    <w:p>
      <w:pPr>
        <w:spacing w:after="0" w:line="15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NO TRANSFER OR ASSIGNMENT OF OPTION.</w:t>
      </w:r>
    </w:p>
    <w:p>
      <w:pPr>
        <w:spacing w:after="0" w:line="220"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4" w:name="page225"/>
    <w:bookmarkEnd w:id="224"/>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EXERCISE PROCEDURES.</w:t>
      </w:r>
    </w:p>
    <w:p>
      <w:pPr>
        <w:spacing w:after="0" w:line="216" w:lineRule="exact"/>
        <w:rPr>
          <w:sz w:val="20"/>
          <w:szCs w:val="20"/>
          <w:color w:val="auto"/>
        </w:rPr>
      </w:pPr>
    </w:p>
    <w:p>
      <w:pPr>
        <w:jc w:val="both"/>
        <w:ind w:firstLine="1735"/>
        <w:spacing w:after="0" w:line="246" w:lineRule="auto"/>
        <w:tabs>
          <w:tab w:leader="none" w:pos="259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of Exercise</w:t>
      </w:r>
      <w:r>
        <w:rPr>
          <w:rFonts w:ascii="Times New Roman" w:cs="Times New Roman" w:eastAsia="Times New Roman" w:hAnsi="Times New Roman"/>
          <w:sz w:val="20"/>
          <w:szCs w:val="20"/>
          <w:color w:val="auto"/>
        </w:rPr>
        <w:t>. The Optionee or the Optionee’s representative may exercise this option by: (i) signing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delivering written notice to the Company pursuant to Section 12(c) specifying the election to exercise this option, the number of Shares for which it is being exercised and the form of payment and (ii)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w:t>
      </w:r>
    </w:p>
    <w:p>
      <w:pPr>
        <w:spacing w:after="0" w:line="178"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 Taxes</w:t>
      </w:r>
      <w:r>
        <w:rPr>
          <w:rFonts w:ascii="Times New Roman" w:cs="Times New Roman" w:eastAsia="Times New Roman" w:hAnsi="Times New Roman"/>
          <w:sz w:val="20"/>
          <w:szCs w:val="20"/>
          <w:color w:val="auto"/>
        </w:rPr>
        <w:t>. In the event that the Company determines that it is required to withhold any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without limitation any income tax, social insurance contributions, payroll tax, payment on account or other tax-related items arising in connection with the Optionee’s participation in the Plan and legally applicable to the Optionee (the “</w:t>
      </w: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as a result of the grant, vesting or exercise of this option, or as a result of the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w:t>
      </w:r>
    </w:p>
    <w:p>
      <w:pPr>
        <w:spacing w:after="0" w:line="179" w:lineRule="exact"/>
        <w:rPr>
          <w:rFonts w:ascii="Times New Roman" w:cs="Times New Roman" w:eastAsia="Times New Roman" w:hAnsi="Times New Roman"/>
          <w:sz w:val="20"/>
          <w:szCs w:val="20"/>
          <w:color w:val="auto"/>
        </w:rPr>
      </w:pPr>
    </w:p>
    <w:p>
      <w:pPr>
        <w:jc w:val="both"/>
        <w:ind w:firstLine="1735"/>
        <w:spacing w:after="0" w:line="245" w:lineRule="auto"/>
        <w:tabs>
          <w:tab w:leader="none" w:pos="259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color w:val="auto"/>
        </w:rPr>
        <w:t>. After satisfying all requirements for exercise of this option, the Company shall cause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issued one or more certificates evidencing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The Company shall cause such certificates to be delivered to or upon the order of the person exercising this option.</w:t>
      </w:r>
    </w:p>
    <w:p>
      <w:pPr>
        <w:spacing w:after="0" w:line="179"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PAYMENT FOR STOCK.</w:t>
      </w:r>
    </w:p>
    <w:p>
      <w:pPr>
        <w:spacing w:after="0" w:line="216" w:lineRule="exact"/>
        <w:rPr>
          <w:sz w:val="20"/>
          <w:szCs w:val="20"/>
          <w:color w:val="auto"/>
        </w:rPr>
      </w:pPr>
    </w:p>
    <w:p>
      <w:pPr>
        <w:ind w:left="2600" w:hanging="865"/>
        <w:spacing w:after="0"/>
        <w:tabs>
          <w:tab w:leader="none" w:pos="26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All or part of the Purchase Price may be paid in cash or cash equivalents.</w:t>
      </w:r>
    </w:p>
    <w:p>
      <w:pPr>
        <w:spacing w:after="0" w:line="215" w:lineRule="exact"/>
        <w:rPr>
          <w:rFonts w:ascii="Times New Roman" w:cs="Times New Roman" w:eastAsia="Times New Roman" w:hAnsi="Times New Roman"/>
          <w:sz w:val="20"/>
          <w:szCs w:val="20"/>
          <w:color w:val="auto"/>
        </w:rPr>
      </w:pPr>
    </w:p>
    <w:p>
      <w:pPr>
        <w:jc w:val="both"/>
        <w:ind w:right="20" w:firstLine="1735"/>
        <w:spacing w:after="0" w:line="256" w:lineRule="auto"/>
        <w:tabs>
          <w:tab w:leader="none" w:pos="260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Surrender of Stock</w:t>
      </w:r>
      <w:r>
        <w:rPr>
          <w:rFonts w:ascii="Times New Roman" w:cs="Times New Roman" w:eastAsia="Times New Roman" w:hAnsi="Times New Roman"/>
          <w:sz w:val="20"/>
          <w:szCs w:val="20"/>
          <w:color w:val="auto"/>
        </w:rPr>
        <w:t>. At the discretion of the Board of Directors, all or any part of the Purchase Price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68"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Exercise/Sale</w:t>
      </w:r>
      <w:r>
        <w:rPr>
          <w:rFonts w:ascii="Times New Roman" w:cs="Times New Roman" w:eastAsia="Times New Roman" w:hAnsi="Times New Roman"/>
          <w:sz w:val="20"/>
          <w:szCs w:val="20"/>
          <w:color w:val="auto"/>
        </w:rPr>
        <w:t>. All or part of the Purchase Price and any withholding taxes may be paid by the delivery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7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TERM AND EXPIRATION.</w:t>
      </w:r>
    </w:p>
    <w:p>
      <w:pPr>
        <w:spacing w:after="0" w:line="216" w:lineRule="exact"/>
        <w:rPr>
          <w:sz w:val="20"/>
          <w:szCs w:val="20"/>
          <w:color w:val="auto"/>
        </w:rPr>
      </w:pPr>
    </w:p>
    <w:p>
      <w:pPr>
        <w:jc w:val="both"/>
        <w:ind w:firstLine="1735"/>
        <w:spacing w:after="0" w:line="256" w:lineRule="auto"/>
        <w:tabs>
          <w:tab w:leader="none" w:pos="259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Basic Term</w:t>
      </w:r>
      <w:r>
        <w:rPr>
          <w:rFonts w:ascii="Times New Roman" w:cs="Times New Roman" w:eastAsia="Times New Roman" w:hAnsi="Times New Roman"/>
          <w:sz w:val="20"/>
          <w:szCs w:val="20"/>
          <w:color w:val="auto"/>
        </w:rPr>
        <w:t>. This option shall in any event expire on the expiration date set forth in the Notice of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Grant, which date is 10 years after the Date of Grant (five years after the Date of Grant if this option is designated as an ISO in the Notice of Stock Option Grant and Section 3(b) of the Plan applies).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25" w:name="page226"/>
    <w:bookmarkEnd w:id="225"/>
    <w:p>
      <w:pPr>
        <w:ind w:firstLine="1735"/>
        <w:spacing w:after="0" w:line="273" w:lineRule="auto"/>
        <w:tabs>
          <w:tab w:leader="none" w:pos="260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Service (Except by Death)</w:t>
      </w:r>
      <w:r>
        <w:rPr>
          <w:rFonts w:ascii="Times New Roman" w:cs="Times New Roman" w:eastAsia="Times New Roman" w:hAnsi="Times New Roman"/>
          <w:sz w:val="20"/>
          <w:szCs w:val="20"/>
          <w:color w:val="auto"/>
        </w:rPr>
        <w:t>. If the Optionee’s Service terminates for any reason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death, then this option shall expire on the earliest of the following occasions:</w:t>
      </w:r>
    </w:p>
    <w:p>
      <w:pPr>
        <w:spacing w:after="0" w:line="155" w:lineRule="exact"/>
        <w:rPr>
          <w:rFonts w:ascii="Times New Roman" w:cs="Times New Roman" w:eastAsia="Times New Roman" w:hAnsi="Times New Roman"/>
          <w:sz w:val="20"/>
          <w:szCs w:val="20"/>
          <w:color w:val="auto"/>
        </w:rPr>
      </w:pPr>
    </w:p>
    <w:p>
      <w:pPr>
        <w:ind w:left="3160" w:hanging="827"/>
        <w:spacing w:after="0"/>
        <w:tabs>
          <w:tab w:leader="none" w:pos="316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(a) above;</w:t>
      </w:r>
    </w:p>
    <w:p>
      <w:pPr>
        <w:spacing w:after="0" w:line="215"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termination of the Optionee’s Service for any reason other</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than Disability; or</w:t>
      </w:r>
    </w:p>
    <w:p>
      <w:pPr>
        <w:spacing w:after="0" w:line="194" w:lineRule="exact"/>
        <w:rPr>
          <w:sz w:val="20"/>
          <w:szCs w:val="20"/>
          <w:color w:val="auto"/>
        </w:rPr>
      </w:pPr>
    </w:p>
    <w:p>
      <w:pPr>
        <w:ind w:left="2340"/>
        <w:spacing w:after="0"/>
        <w:tabs>
          <w:tab w:leader="none" w:pos="3260" w:val="left"/>
        </w:tabs>
        <w:rPr>
          <w:sz w:val="20"/>
          <w:szCs w:val="20"/>
          <w:color w:val="auto"/>
        </w:rPr>
      </w:pPr>
      <w:r>
        <w:rPr>
          <w:rFonts w:ascii="Times New Roman" w:cs="Times New Roman" w:eastAsia="Times New Roman" w:hAnsi="Times New Roman"/>
          <w:sz w:val="20"/>
          <w:szCs w:val="20"/>
          <w:color w:val="auto"/>
        </w:rPr>
        <w:t>(iii)</w:t>
      </w:r>
      <w:r>
        <w:rPr>
          <w:sz w:val="20"/>
          <w:szCs w:val="20"/>
          <w:color w:val="auto"/>
        </w:rPr>
        <w:tab/>
      </w:r>
      <w:r>
        <w:rPr>
          <w:rFonts w:ascii="Times New Roman" w:cs="Times New Roman" w:eastAsia="Times New Roman" w:hAnsi="Times New Roman"/>
          <w:sz w:val="20"/>
          <w:szCs w:val="20"/>
          <w:color w:val="auto"/>
        </w:rPr>
        <w:t>The date six months after the termination of the Optionee’s Service by reason of</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Disability.</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 Once this option (or portion thereof) has terminated, the Optionee shall have no further rights with respect to the option (or portion thereof) or to the underlying Shares.</w:t>
      </w:r>
    </w:p>
    <w:p>
      <w:pPr>
        <w:spacing w:after="0" w:line="185" w:lineRule="exact"/>
        <w:rPr>
          <w:sz w:val="20"/>
          <w:szCs w:val="20"/>
          <w:color w:val="auto"/>
        </w:rPr>
      </w:pPr>
    </w:p>
    <w:p>
      <w:pPr>
        <w:ind w:left="2600" w:hanging="865"/>
        <w:spacing w:after="0"/>
        <w:tabs>
          <w:tab w:leader="none" w:pos="260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Death of the Optionee</w:t>
      </w:r>
      <w:r>
        <w:rPr>
          <w:rFonts w:ascii="Times New Roman" w:cs="Times New Roman" w:eastAsia="Times New Roman" w:hAnsi="Times New Roman"/>
          <w:sz w:val="20"/>
          <w:szCs w:val="20"/>
          <w:color w:val="auto"/>
        </w:rPr>
        <w:t>. If the Optionee dies while in Service, then this option shall expire on the earlier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dates:</w:t>
      </w:r>
    </w:p>
    <w:p>
      <w:pPr>
        <w:spacing w:after="0" w:line="194" w:lineRule="exact"/>
        <w:rPr>
          <w:sz w:val="20"/>
          <w:szCs w:val="20"/>
          <w:color w:val="auto"/>
        </w:rPr>
      </w:pPr>
    </w:p>
    <w:p>
      <w:pPr>
        <w:ind w:left="3160" w:hanging="827"/>
        <w:spacing w:after="0"/>
        <w:tabs>
          <w:tab w:leader="none" w:pos="31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(a) above; or</w:t>
      </w:r>
    </w:p>
    <w:p>
      <w:pPr>
        <w:spacing w:after="0" w:line="215"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12 months after the Optionee’s death.</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 Once this option (or portion thereof) has terminated, the Optionee shall have no further rights with respect to the option (or portion thereof) or to the underlying Shares.</w:t>
      </w:r>
    </w:p>
    <w:p>
      <w:pPr>
        <w:spacing w:after="0" w:line="181" w:lineRule="exact"/>
        <w:rPr>
          <w:sz w:val="20"/>
          <w:szCs w:val="20"/>
          <w:color w:val="auto"/>
        </w:rPr>
      </w:pPr>
    </w:p>
    <w:p>
      <w:pPr>
        <w:jc w:val="both"/>
        <w:ind w:firstLine="1735"/>
        <w:spacing w:after="0" w:line="244" w:lineRule="auto"/>
        <w:tabs>
          <w:tab w:leader="none" w:pos="260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Extension of Post-Termination Exercise Periods</w:t>
      </w:r>
      <w:r>
        <w:rPr>
          <w:rFonts w:ascii="Times New Roman" w:cs="Times New Roman" w:eastAsia="Times New Roman" w:hAnsi="Times New Roman"/>
          <w:sz w:val="20"/>
          <w:szCs w:val="20"/>
          <w:color w:val="auto"/>
        </w:rPr>
        <w:t>. Following the date on which the Company’s Stock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listed for trading on an established securities market, if during any part of the exercise period described in Subsections (b)(ii) or (iii) or Subsection (c)(ii)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26" w:name="page227"/>
    <w:bookmarkEnd w:id="226"/>
    <w:p>
      <w:pPr>
        <w:jc w:val="both"/>
        <w:ind w:firstLine="1735"/>
        <w:spacing w:after="0" w:line="244" w:lineRule="auto"/>
        <w:tabs>
          <w:tab w:leader="none" w:pos="2595"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Part-Time Employment and Leaves of Absence</w:t>
      </w:r>
      <w:r>
        <w:rPr>
          <w:rFonts w:ascii="Times New Roman" w:cs="Times New Roman" w:eastAsia="Times New Roman" w:hAnsi="Times New Roman"/>
          <w:sz w:val="20"/>
          <w:szCs w:val="20"/>
          <w:color w:val="auto"/>
        </w:rPr>
        <w:t>. If the Optionee commences working on a part-time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leave of absence, if (i) such leave was approved by the Company in writing and (ii) 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181" w:lineRule="exact"/>
        <w:rPr>
          <w:rFonts w:ascii="Times New Roman" w:cs="Times New Roman" w:eastAsia="Times New Roman" w:hAnsi="Times New Roman"/>
          <w:sz w:val="20"/>
          <w:szCs w:val="20"/>
          <w:color w:val="auto"/>
        </w:rPr>
      </w:pPr>
    </w:p>
    <w:p>
      <w:pPr>
        <w:ind w:firstLine="1735"/>
        <w:spacing w:after="0" w:line="273" w:lineRule="auto"/>
        <w:tabs>
          <w:tab w:leader="none" w:pos="2573"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Concerning ISO Treatment</w:t>
      </w:r>
      <w:r>
        <w:rPr>
          <w:rFonts w:ascii="Times New Roman" w:cs="Times New Roman" w:eastAsia="Times New Roman" w:hAnsi="Times New Roman"/>
          <w:sz w:val="20"/>
          <w:szCs w:val="20"/>
          <w:color w:val="auto"/>
        </w:rPr>
        <w:t>. Even if this option is designated as an ISO in the Notice of Stock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it ceases to qualify for favorable tax treatment as an ISO to the extent that it is exercised:</w:t>
      </w:r>
    </w:p>
    <w:p>
      <w:pPr>
        <w:spacing w:after="0" w:line="156" w:lineRule="exact"/>
        <w:rPr>
          <w:sz w:val="20"/>
          <w:szCs w:val="20"/>
          <w:color w:val="auto"/>
        </w:rPr>
      </w:pPr>
    </w:p>
    <w:p>
      <w:pPr>
        <w:ind w:left="880" w:right="860" w:firstLine="1453"/>
        <w:spacing w:after="0" w:line="269" w:lineRule="auto"/>
        <w:tabs>
          <w:tab w:leader="none" w:pos="317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three months after the date when the Optionee ceases to be an Employee for any reason other than death or permanent and total disability (as defined in Section 22(e)(3) of the Code);</w:t>
      </w:r>
    </w:p>
    <w:p>
      <w:pPr>
        <w:spacing w:after="0" w:line="159" w:lineRule="exact"/>
        <w:rPr>
          <w:rFonts w:ascii="Times New Roman" w:cs="Times New Roman" w:eastAsia="Times New Roman" w:hAnsi="Times New Roman"/>
          <w:sz w:val="20"/>
          <w:szCs w:val="20"/>
          <w:color w:val="auto"/>
        </w:rPr>
      </w:pPr>
    </w:p>
    <w:p>
      <w:pPr>
        <w:ind w:left="880" w:right="860" w:firstLine="1453"/>
        <w:spacing w:after="0" w:line="269" w:lineRule="auto"/>
        <w:tabs>
          <w:tab w:leader="none" w:pos="3231"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12 months after the date when the Optionee ceases to be an Employee by reason of permanent and total disability (as defined in Section 22(e)(3) of the Code); or</w:t>
      </w:r>
    </w:p>
    <w:p>
      <w:pPr>
        <w:spacing w:after="0" w:line="159" w:lineRule="exact"/>
        <w:rPr>
          <w:rFonts w:ascii="Times New Roman" w:cs="Times New Roman" w:eastAsia="Times New Roman" w:hAnsi="Times New Roman"/>
          <w:sz w:val="20"/>
          <w:szCs w:val="20"/>
          <w:color w:val="auto"/>
        </w:rPr>
      </w:pPr>
    </w:p>
    <w:p>
      <w:pPr>
        <w:jc w:val="both"/>
        <w:ind w:left="880" w:right="860" w:firstLine="1453"/>
        <w:spacing w:after="0" w:line="254" w:lineRule="auto"/>
        <w:tabs>
          <w:tab w:leader="none" w:pos="328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three months after the date when the Optionee has been on a leave of absence for three months, unless the Optionee’s reemployment rights following such leave were guaranteed by statute or by contract.</w:t>
      </w:r>
    </w:p>
    <w:p>
      <w:pPr>
        <w:spacing w:after="0" w:line="170"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RIGHT OF FIRST REFUSAL.</w:t>
      </w:r>
    </w:p>
    <w:p>
      <w:pPr>
        <w:spacing w:after="0" w:line="216" w:lineRule="exact"/>
        <w:rPr>
          <w:sz w:val="20"/>
          <w:szCs w:val="20"/>
          <w:color w:val="auto"/>
        </w:rPr>
      </w:pPr>
    </w:p>
    <w:p>
      <w:pPr>
        <w:jc w:val="both"/>
        <w:ind w:firstLine="1735"/>
        <w:spacing w:after="0" w:line="243" w:lineRule="auto"/>
        <w:tabs>
          <w:tab w:leader="none" w:pos="259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In the event that the Optionee proposes to sell, pledge or otherwise transfer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2"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 of Shares</w:t>
      </w:r>
      <w:r>
        <w:rPr>
          <w:rFonts w:ascii="Times New Roman" w:cs="Times New Roman" w:eastAsia="Times New Roman" w:hAnsi="Times New Roman"/>
          <w:sz w:val="20"/>
          <w:szCs w:val="20"/>
          <w:color w:val="auto"/>
        </w:rPr>
        <w:t>. If the Company fails to exercise its Right of First Refusal within 30 days after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 it 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27" w:name="page228"/>
    <w:bookmarkEnd w:id="227"/>
    <w:p>
      <w:pPr>
        <w:jc w:val="both"/>
        <w:spacing w:after="0" w:line="260" w:lineRule="auto"/>
        <w:rPr>
          <w:sz w:val="20"/>
          <w:szCs w:val="20"/>
          <w:color w:val="auto"/>
        </w:rPr>
      </w:pPr>
      <w:r>
        <w:rPr>
          <w:rFonts w:ascii="Times New Roman" w:cs="Times New Roman" w:eastAsia="Times New Roman" w:hAnsi="Times New Roman"/>
          <w:sz w:val="19"/>
          <w:szCs w:val="19"/>
          <w:color w:val="auto"/>
        </w:rPr>
        <w:t>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69" w:lineRule="exact"/>
        <w:rPr>
          <w:sz w:val="20"/>
          <w:szCs w:val="20"/>
          <w:color w:val="auto"/>
        </w:rPr>
      </w:pPr>
    </w:p>
    <w:p>
      <w:pPr>
        <w:jc w:val="both"/>
        <w:ind w:firstLine="1735"/>
        <w:spacing w:after="0" w:line="236" w:lineRule="exact"/>
        <w:tabs>
          <w:tab w:leader="none" w:pos="259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 sale of all or substantially all of the Company’s stock or assets, any other corporate reorganization, a stock split, the declaration of a stock dividend, the declaration of an extraordinary dividend payable in a form other than stock, a spin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185" w:lineRule="exact"/>
        <w:rPr>
          <w:rFonts w:ascii="Times New Roman" w:cs="Times New Roman" w:eastAsia="Times New Roman" w:hAnsi="Times New Roman"/>
          <w:sz w:val="20"/>
          <w:szCs w:val="20"/>
          <w:color w:val="auto"/>
        </w:rPr>
      </w:pPr>
    </w:p>
    <w:p>
      <w:pPr>
        <w:jc w:val="both"/>
        <w:ind w:right="20" w:firstLine="1735"/>
        <w:spacing w:after="0" w:line="276" w:lineRule="auto"/>
        <w:tabs>
          <w:tab w:leader="none" w:pos="2606"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of Right of First Refusal</w:t>
      </w:r>
      <w:r>
        <w:rPr>
          <w:rFonts w:ascii="Times New Roman" w:cs="Times New Roman" w:eastAsia="Times New Roman" w:hAnsi="Times New Roman"/>
          <w:sz w:val="19"/>
          <w:szCs w:val="19"/>
          <w:color w:val="auto"/>
        </w:rPr>
        <w:t>. Any other provision of this Section 7 notwithstanding, in the event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50" w:lineRule="exact"/>
        <w:rPr>
          <w:rFonts w:ascii="Times New Roman" w:cs="Times New Roman" w:eastAsia="Times New Roman" w:hAnsi="Times New Roman"/>
          <w:sz w:val="19"/>
          <w:szCs w:val="19"/>
          <w:color w:val="auto"/>
        </w:rPr>
      </w:pPr>
    </w:p>
    <w:p>
      <w:pPr>
        <w:jc w:val="both"/>
        <w:ind w:firstLine="1735"/>
        <w:spacing w:after="0" w:line="246" w:lineRule="auto"/>
        <w:tabs>
          <w:tab w:leader="none" w:pos="259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Permitted Transfers</w:t>
      </w:r>
      <w:r>
        <w:rPr>
          <w:rFonts w:ascii="Times New Roman" w:cs="Times New Roman" w:eastAsia="Times New Roman" w:hAnsi="Times New Roman"/>
          <w:sz w:val="20"/>
          <w:szCs w:val="20"/>
          <w:color w:val="auto"/>
        </w:rPr>
        <w:t>. This Section 7 shall not apply to (i) a transfer by beneficiary designation, will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intestate succession 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8" w:lineRule="exact"/>
        <w:rPr>
          <w:rFonts w:ascii="Times New Roman" w:cs="Times New Roman" w:eastAsia="Times New Roman" w:hAnsi="Times New Roman"/>
          <w:sz w:val="20"/>
          <w:szCs w:val="20"/>
          <w:color w:val="auto"/>
        </w:rPr>
      </w:pPr>
    </w:p>
    <w:p>
      <w:pPr>
        <w:jc w:val="both"/>
        <w:ind w:firstLine="1735"/>
        <w:spacing w:after="0" w:line="246" w:lineRule="auto"/>
        <w:tabs>
          <w:tab w:leader="none" w:pos="2573"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Rights as Stockholder</w:t>
      </w:r>
      <w:r>
        <w:rPr>
          <w:rFonts w:ascii="Times New Roman" w:cs="Times New Roman" w:eastAsia="Times New Roman" w:hAnsi="Times New Roman"/>
          <w:sz w:val="20"/>
          <w:szCs w:val="20"/>
          <w:color w:val="auto"/>
        </w:rPr>
        <w:t>. If the Company makes available, at the time and place and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and form 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8"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of Right of First Refusal</w:t>
      </w:r>
      <w:r>
        <w:rPr>
          <w:rFonts w:ascii="Times New Roman" w:cs="Times New Roman" w:eastAsia="Times New Roman" w:hAnsi="Times New Roman"/>
          <w:sz w:val="20"/>
          <w:szCs w:val="20"/>
          <w:color w:val="auto"/>
        </w:rPr>
        <w:t>. The Board of Directors may freely assign the Company’s Right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Refusal, in whole or in part. Any person who accepts an assignment of the Right of First Refusal from the Company shall assume all of the Company’s rights and obligations under this Section 7.</w:t>
      </w:r>
    </w:p>
    <w:p>
      <w:pPr>
        <w:spacing w:after="0" w:line="169"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LEGALITY OF INITIAL ISSUANCE.</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No Shares shall be issued upon the exercise of this option unless and until the Company has determined that: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8" w:name="page229"/>
    <w:bookmarkEnd w:id="228"/>
    <w:p>
      <w:pPr>
        <w:ind w:left="880" w:right="880" w:firstLine="1453"/>
        <w:spacing w:after="0" w:line="269" w:lineRule="auto"/>
        <w:tabs>
          <w:tab w:leader="none" w:pos="3209"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and the Optionee have taken any actions required to register the Shares under the Securities Act or to perfect an exemption from the registration requirements thereof;</w:t>
      </w:r>
    </w:p>
    <w:p>
      <w:pPr>
        <w:spacing w:after="0" w:line="159" w:lineRule="exact"/>
        <w:rPr>
          <w:rFonts w:ascii="Times New Roman" w:cs="Times New Roman" w:eastAsia="Times New Roman" w:hAnsi="Times New Roman"/>
          <w:sz w:val="20"/>
          <w:szCs w:val="20"/>
          <w:color w:val="auto"/>
        </w:rPr>
      </w:pPr>
    </w:p>
    <w:p>
      <w:pPr>
        <w:ind w:left="880" w:right="860" w:firstLine="1453"/>
        <w:spacing w:after="0" w:line="269" w:lineRule="auto"/>
        <w:tabs>
          <w:tab w:leader="none" w:pos="322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requirement of any stock exchange or other securities market on which Stock is listed has been satisfied; and</w:t>
      </w:r>
    </w:p>
    <w:p>
      <w:pPr>
        <w:spacing w:after="0" w:line="159" w:lineRule="exact"/>
        <w:rPr>
          <w:rFonts w:ascii="Times New Roman" w:cs="Times New Roman" w:eastAsia="Times New Roman" w:hAnsi="Times New Roman"/>
          <w:sz w:val="20"/>
          <w:szCs w:val="20"/>
          <w:color w:val="auto"/>
        </w:rPr>
      </w:pPr>
    </w:p>
    <w:p>
      <w:pPr>
        <w:ind w:left="3200" w:hanging="867"/>
        <w:spacing w:after="0"/>
        <w:tabs>
          <w:tab w:leader="none" w:pos="32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applicable provision of federal, State or foreign law has been satisfied.</w:t>
      </w:r>
    </w:p>
    <w:p>
      <w:pPr>
        <w:spacing w:after="0" w:line="21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NO REGISTRATION RIGHTS.</w:t>
      </w:r>
    </w:p>
    <w:p>
      <w:pPr>
        <w:spacing w:after="0" w:line="220"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17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RESTRICTIONS ON TRANSFER OF SHARES.</w:t>
      </w:r>
    </w:p>
    <w:p>
      <w:pPr>
        <w:spacing w:after="0" w:line="216" w:lineRule="exact"/>
        <w:rPr>
          <w:sz w:val="20"/>
          <w:szCs w:val="20"/>
          <w:color w:val="auto"/>
        </w:rPr>
      </w:pPr>
    </w:p>
    <w:p>
      <w:pPr>
        <w:jc w:val="both"/>
        <w:ind w:firstLine="1735"/>
        <w:spacing w:after="0" w:line="244" w:lineRule="auto"/>
        <w:tabs>
          <w:tab w:leader="none" w:pos="259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Securities Law Restrictions</w:t>
      </w:r>
      <w:r>
        <w:rPr>
          <w:rFonts w:ascii="Times New Roman" w:cs="Times New Roman" w:eastAsia="Times New Roman" w:hAnsi="Times New Roman"/>
          <w:sz w:val="20"/>
          <w:szCs w:val="20"/>
          <w:color w:val="auto"/>
        </w:rPr>
        <w:t>. Regardless of whether the offer and sale of Shares under the Plan have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81" w:lineRule="exact"/>
        <w:rPr>
          <w:rFonts w:ascii="Times New Roman" w:cs="Times New Roman" w:eastAsia="Times New Roman" w:hAnsi="Times New Roman"/>
          <w:sz w:val="20"/>
          <w:szCs w:val="20"/>
          <w:color w:val="auto"/>
        </w:rPr>
      </w:pPr>
    </w:p>
    <w:p>
      <w:pPr>
        <w:jc w:val="both"/>
        <w:ind w:firstLine="1735"/>
        <w:spacing w:after="0" w:line="232" w:lineRule="exact"/>
        <w:tabs>
          <w:tab w:leader="none" w:pos="2606"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Market Stand-Off</w:t>
      </w:r>
      <w:r>
        <w:rPr>
          <w:rFonts w:ascii="Times New Roman" w:cs="Times New Roman" w:eastAsia="Times New Roman" w:hAnsi="Times New Roman"/>
          <w:sz w:val="20"/>
          <w:szCs w:val="20"/>
          <w:color w:val="auto"/>
        </w:rPr>
        <w:t>. In connection with any underwritten public offering by the Company of its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 w:cs="Times New Roman" w:eastAsia="Times New Roman" w:hAnsi="Times New Roman"/>
          <w:sz w:val="20"/>
          <w:szCs w:val="20"/>
          <w:b w:val="1"/>
          <w:bCs w:val="1"/>
          <w:color w:val="auto"/>
        </w:rPr>
        <w:t>Market Stand-Off</w:t>
      </w:r>
      <w:r>
        <w:rPr>
          <w:rFonts w:ascii="Times New Roman" w:cs="Times New Roman" w:eastAsia="Times New Roman" w:hAnsi="Times New Roman"/>
          <w:sz w:val="20"/>
          <w:szCs w:val="20"/>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9" w:name="page230"/>
    <w:bookmarkEnd w:id="229"/>
    <w:p>
      <w:pPr>
        <w:ind w:firstLine="1735"/>
        <w:spacing w:after="0" w:line="273" w:lineRule="auto"/>
        <w:tabs>
          <w:tab w:leader="none" w:pos="259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Intent at Grant</w:t>
      </w:r>
      <w:r>
        <w:rPr>
          <w:rFonts w:ascii="Times New Roman" w:cs="Times New Roman" w:eastAsia="Times New Roman" w:hAnsi="Times New Roman"/>
          <w:sz w:val="20"/>
          <w:szCs w:val="20"/>
          <w:color w:val="auto"/>
        </w:rPr>
        <w:t>. The Optionee represents and agrees that the Shares to be acquired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exercising this option will be acquired for investment, and not with a view to the sale or distribution thereof.</w:t>
      </w:r>
    </w:p>
    <w:p>
      <w:pPr>
        <w:spacing w:after="0" w:line="151"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Intent at Exercise</w:t>
      </w:r>
      <w:r>
        <w:rPr>
          <w:rFonts w:ascii="Times New Roman" w:cs="Times New Roman" w:eastAsia="Times New Roman" w:hAnsi="Times New Roman"/>
          <w:sz w:val="20"/>
          <w:szCs w:val="20"/>
          <w:color w:val="auto"/>
        </w:rPr>
        <w:t>. In the event that the sale of Shares under the Plan is not registered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w:t>
      </w:r>
    </w:p>
    <w:p>
      <w:pPr>
        <w:spacing w:after="0" w:line="179"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Legends</w:t>
      </w:r>
      <w:r>
        <w:rPr>
          <w:rFonts w:ascii="Times New Roman" w:cs="Times New Roman" w:eastAsia="Times New Roman" w:hAnsi="Times New Roman"/>
          <w:sz w:val="20"/>
          <w:szCs w:val="20"/>
          <w:color w:val="auto"/>
        </w:rPr>
        <w:t>.  All certificates evidencing Shares purchased under this Agreement shall bear the following</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legend:</w:t>
      </w:r>
    </w:p>
    <w:p>
      <w:pPr>
        <w:spacing w:after="0" w:line="194" w:lineRule="exact"/>
        <w:rPr>
          <w:sz w:val="20"/>
          <w:szCs w:val="20"/>
          <w:color w:val="auto"/>
        </w:rPr>
      </w:pPr>
    </w:p>
    <w:p>
      <w:pPr>
        <w:jc w:val="both"/>
        <w:ind w:left="880" w:right="860"/>
        <w:spacing w:after="0" w:line="242" w:lineRule="auto"/>
        <w:rPr>
          <w:sz w:val="20"/>
          <w:szCs w:val="20"/>
          <w:color w:val="auto"/>
        </w:rPr>
      </w:pPr>
      <w:r>
        <w:rPr>
          <w:rFonts w:ascii="Times New Roman" w:cs="Times New Roman" w:eastAsia="Times New Roman" w:hAnsi="Times New Roman"/>
          <w:sz w:val="20"/>
          <w:szCs w:val="20"/>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9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159" w:lineRule="exact"/>
        <w:rPr>
          <w:sz w:val="20"/>
          <w:szCs w:val="20"/>
          <w:color w:val="auto"/>
        </w:rPr>
      </w:pPr>
    </w:p>
    <w:p>
      <w:pPr>
        <w:jc w:val="both"/>
        <w:ind w:left="880" w:right="860"/>
        <w:spacing w:after="0" w:line="242"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0" w:name="page231"/>
    <w:bookmarkEnd w:id="230"/>
    <w:p>
      <w:pPr>
        <w:jc w:val="both"/>
        <w:ind w:right="20" w:firstLine="1735"/>
        <w:spacing w:after="0" w:line="256" w:lineRule="auto"/>
        <w:tabs>
          <w:tab w:leader="none" w:pos="2573"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Removal of Legends</w:t>
      </w:r>
      <w:r>
        <w:rPr>
          <w:rFonts w:ascii="Times New Roman" w:cs="Times New Roman" w:eastAsia="Times New Roman" w:hAnsi="Times New Roman"/>
          <w:sz w:val="20"/>
          <w:szCs w:val="20"/>
          <w:color w:val="auto"/>
        </w:rPr>
        <w:t>. If, in the opinion of the Company and its counsel, any legend placed on a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representing Shares sold under this Agreement is no longer required, the holder of such certificate shall be entitled to exchange such certificate for a certificate representing the same number of Shares but without such legend.</w:t>
      </w:r>
    </w:p>
    <w:p>
      <w:pPr>
        <w:spacing w:after="0" w:line="168"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Any determination by the Company and its counsel in connection with any of the matters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this Section 10 shall be conclusive and binding on the Optionee and all other persons.</w:t>
      </w:r>
    </w:p>
    <w:p>
      <w:pPr>
        <w:spacing w:after="0" w:line="15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ADJUSTMENT OF SHARES.</w:t>
      </w:r>
    </w:p>
    <w:p>
      <w:pPr>
        <w:spacing w:after="0" w:line="220"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0"/>
          <w:szCs w:val="20"/>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18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19"/>
          <w:szCs w:val="19"/>
          <w:b w:val="1"/>
          <w:bCs w:val="1"/>
          <w:color w:val="auto"/>
        </w:rPr>
        <w:t>MISCELLANEOUS PROVISIONS.</w:t>
      </w:r>
    </w:p>
    <w:p>
      <w:pPr>
        <w:spacing w:after="0" w:line="216" w:lineRule="exact"/>
        <w:rPr>
          <w:sz w:val="20"/>
          <w:szCs w:val="20"/>
          <w:color w:val="auto"/>
        </w:rPr>
      </w:pPr>
    </w:p>
    <w:p>
      <w:pPr>
        <w:jc w:val="both"/>
        <w:ind w:firstLine="1735"/>
        <w:spacing w:after="0" w:line="256" w:lineRule="auto"/>
        <w:tabs>
          <w:tab w:leader="none" w:pos="2595"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Rights as a Stockholder</w:t>
      </w:r>
      <w:r>
        <w:rPr>
          <w:rFonts w:ascii="Times New Roman" w:cs="Times New Roman" w:eastAsia="Times New Roman" w:hAnsi="Times New Roman"/>
          <w:sz w:val="20"/>
          <w:szCs w:val="20"/>
          <w:color w:val="auto"/>
        </w:rPr>
        <w:t>. Neither the Optionee nor the Optionee’s representative shall have any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68"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Retention Rights</w:t>
      </w:r>
      <w:r>
        <w:rPr>
          <w:rFonts w:ascii="Times New Roman" w:cs="Times New Roman" w:eastAsia="Times New Roman" w:hAnsi="Times New Roman"/>
          <w:sz w:val="20"/>
          <w:szCs w:val="20"/>
          <w:color w:val="auto"/>
        </w:rPr>
        <w:t>. Nothing in this option or in the Plan shall confer upon the Optionee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75" w:lineRule="exact"/>
        <w:rPr>
          <w:rFonts w:ascii="Times New Roman" w:cs="Times New Roman" w:eastAsia="Times New Roman" w:hAnsi="Times New Roman"/>
          <w:sz w:val="20"/>
          <w:szCs w:val="20"/>
          <w:color w:val="auto"/>
        </w:rPr>
      </w:pPr>
    </w:p>
    <w:p>
      <w:pPr>
        <w:jc w:val="both"/>
        <w:ind w:firstLine="1735"/>
        <w:spacing w:after="0" w:line="247" w:lineRule="auto"/>
        <w:tabs>
          <w:tab w:leader="none" w:pos="2595"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Any notice required by the terms of this Agreement shall be given in writing. It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Notice shall be addressed to the Company at its principal executive office and to the Optionee at the address that he or she most recently provided to the Company in accordance with this Subsection (c).</w:t>
      </w:r>
    </w:p>
    <w:p>
      <w:pPr>
        <w:spacing w:after="0" w:line="180"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Modifications and Waivers</w:t>
      </w:r>
      <w:r>
        <w:rPr>
          <w:rFonts w:ascii="Times New Roman" w:cs="Times New Roman" w:eastAsia="Times New Roman" w:hAnsi="Times New Roman"/>
          <w:sz w:val="20"/>
          <w:szCs w:val="20"/>
          <w:color w:val="auto"/>
        </w:rPr>
        <w:t>. No provision of this Agreement shall be modified, waived or discharged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rFonts w:ascii="Times New Roman" w:cs="Times New Roman" w:eastAsia="Times New Roman" w:hAnsi="Times New Roman"/>
          <w:sz w:val="20"/>
          <w:szCs w:val="20"/>
          <w:color w:val="auto"/>
        </w:rPr>
      </w:pPr>
    </w:p>
    <w:p>
      <w:pPr>
        <w:jc w:val="both"/>
        <w:ind w:firstLine="1735"/>
        <w:spacing w:after="0" w:line="256" w:lineRule="auto"/>
        <w:tabs>
          <w:tab w:leader="none" w:pos="2595"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The Notice of Stock Option Grant, this Agreement and the Plan constitute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1" w:name="page232"/>
    <w:bookmarkEnd w:id="231"/>
    <w:p>
      <w:pPr>
        <w:ind w:firstLine="1735"/>
        <w:spacing w:after="0" w:line="273" w:lineRule="auto"/>
        <w:tabs>
          <w:tab w:leader="none" w:pos="2573"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Choice of Law</w:t>
      </w:r>
      <w:r>
        <w:rPr>
          <w:rFonts w:ascii="Times New Roman" w:cs="Times New Roman" w:eastAsia="Times New Roman" w:hAnsi="Times New Roman"/>
          <w:sz w:val="20"/>
          <w:szCs w:val="20"/>
          <w:color w:val="auto"/>
        </w:rPr>
        <w:t>. This Agreement shall be governed by, and construed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as such laws are applied to contracts entered into and performed in such State.</w:t>
      </w:r>
    </w:p>
    <w:p>
      <w:pPr>
        <w:spacing w:after="0" w:line="15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19"/>
          <w:szCs w:val="19"/>
          <w:b w:val="1"/>
          <w:bCs w:val="1"/>
          <w:color w:val="auto"/>
        </w:rPr>
        <w:t>ACKNOWLEDGEMENTS OF THE OPTIONEE.</w:t>
      </w:r>
    </w:p>
    <w:p>
      <w:pPr>
        <w:spacing w:after="0" w:line="220" w:lineRule="exact"/>
        <w:rPr>
          <w:sz w:val="20"/>
          <w:szCs w:val="20"/>
          <w:color w:val="auto"/>
        </w:rPr>
      </w:pPr>
    </w:p>
    <w:p>
      <w:pPr>
        <w:jc w:val="both"/>
        <w:ind w:firstLine="1727"/>
        <w:spacing w:after="0" w:line="249" w:lineRule="auto"/>
        <w:rPr>
          <w:sz w:val="20"/>
          <w:szCs w:val="20"/>
          <w:color w:val="auto"/>
        </w:rPr>
      </w:pPr>
      <w:r>
        <w:rPr>
          <w:rFonts w:ascii="Times New Roman" w:cs="Times New Roman" w:eastAsia="Times New Roman" w:hAnsi="Times New Roman"/>
          <w:sz w:val="20"/>
          <w:szCs w:val="20"/>
          <w:color w:val="auto"/>
        </w:rPr>
        <w:t>In addition to the other terms, conditions and restrictions imposed on this option and the Shares issuable under this option pursuant to this Agreement and the Plan, the Optionee expressly acknowledges being subject to Sections 7 (Right of First Refusal), 8 (Legality of Initial Issuance) and 10 (Restrictions on Transfer of Shares, including without limitation the Market Stand-Off), as well as the following provisions:</w:t>
      </w:r>
    </w:p>
    <w:p>
      <w:pPr>
        <w:spacing w:after="0" w:line="176" w:lineRule="exact"/>
        <w:rPr>
          <w:sz w:val="20"/>
          <w:szCs w:val="20"/>
          <w:color w:val="auto"/>
        </w:rPr>
      </w:pPr>
    </w:p>
    <w:p>
      <w:pPr>
        <w:jc w:val="both"/>
        <w:ind w:firstLine="1735"/>
        <w:spacing w:after="0" w:line="258" w:lineRule="auto"/>
        <w:tabs>
          <w:tab w:leader="none" w:pos="2595"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Consequences (No Liability for Discounted Options)</w:t>
      </w:r>
      <w:r>
        <w:rPr>
          <w:rFonts w:ascii="Times New Roman" w:cs="Times New Roman" w:eastAsia="Times New Roman" w:hAnsi="Times New Roman"/>
          <w:sz w:val="19"/>
          <w:szCs w:val="19"/>
          <w:color w:val="auto"/>
        </w:rPr>
        <w:t>. The Optionee agrees that the Company does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67" w:lineRule="exact"/>
        <w:rPr>
          <w:rFonts w:ascii="Times New Roman" w:cs="Times New Roman" w:eastAsia="Times New Roman" w:hAnsi="Times New Roman"/>
          <w:sz w:val="19"/>
          <w:szCs w:val="19"/>
          <w:color w:val="auto"/>
        </w:rPr>
      </w:pPr>
    </w:p>
    <w:p>
      <w:pPr>
        <w:jc w:val="both"/>
        <w:ind w:firstLine="1735"/>
        <w:spacing w:after="0" w:line="244" w:lineRule="auto"/>
        <w:tabs>
          <w:tab w:leader="none" w:pos="260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Delivery of Documents</w:t>
      </w:r>
      <w:r>
        <w:rPr>
          <w:rFonts w:ascii="Times New Roman" w:cs="Times New Roman" w:eastAsia="Times New Roman" w:hAnsi="Times New Roman"/>
          <w:sz w:val="20"/>
          <w:szCs w:val="20"/>
          <w:color w:val="auto"/>
        </w:rPr>
        <w:t>. The Optionee agrees to accept by email all documents relating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the 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81" w:lineRule="exact"/>
        <w:rPr>
          <w:rFonts w:ascii="Times New Roman" w:cs="Times New Roman" w:eastAsia="Times New Roman" w:hAnsi="Times New Roman"/>
          <w:sz w:val="20"/>
          <w:szCs w:val="20"/>
          <w:color w:val="auto"/>
        </w:rPr>
      </w:pPr>
    </w:p>
    <w:p>
      <w:pPr>
        <w:jc w:val="both"/>
        <w:ind w:firstLine="1735"/>
        <w:spacing w:after="0" w:line="246" w:lineRule="auto"/>
        <w:tabs>
          <w:tab w:leader="none" w:pos="2595"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Notice of Expiration Date</w:t>
      </w:r>
      <w:r>
        <w:rPr>
          <w:rFonts w:ascii="Times New Roman" w:cs="Times New Roman" w:eastAsia="Times New Roman" w:hAnsi="Times New Roman"/>
          <w:sz w:val="20"/>
          <w:szCs w:val="20"/>
          <w:color w:val="auto"/>
        </w:rPr>
        <w:t>. The Optionee agrees that the Company and its officers,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178"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Statutory Information Rights</w:t>
      </w:r>
      <w:r>
        <w:rPr>
          <w:rFonts w:ascii="Times New Roman" w:cs="Times New Roman" w:eastAsia="Times New Roman" w:hAnsi="Times New Roman"/>
          <w:sz w:val="20"/>
          <w:szCs w:val="20"/>
          <w:color w:val="auto"/>
        </w:rPr>
        <w:t>. The Optionee acknowledges and agrees that, upon exercise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option and until the first sale of the Company’s Stock to the general public pursuant to a registration statement filed under the Securities Act, he or she will be deemed to have waived any rights the Optionee might otherwise have had under Section 220 of the Delaware General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2" w:name="page233"/>
    <w:bookmarkEnd w:id="232"/>
    <w:p>
      <w:pPr>
        <w:jc w:val="both"/>
        <w:spacing w:after="0" w:line="249" w:lineRule="auto"/>
        <w:rPr>
          <w:sz w:val="20"/>
          <w:szCs w:val="20"/>
          <w:color w:val="auto"/>
        </w:rPr>
      </w:pPr>
      <w:r>
        <w:rPr>
          <w:rFonts w:ascii="Times New Roman" w:cs="Times New Roman" w:eastAsia="Times New Roman" w:hAnsi="Times New Roman"/>
          <w:sz w:val="20"/>
          <w:szCs w:val="20"/>
          <w:color w:val="auto"/>
        </w:rPr>
        <w:t>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the Optionee’s capacity as a stockholder and does not affect any other inspection rights the Optionee may have under other law or pursuant to a written agreement with the Company.</w:t>
      </w:r>
    </w:p>
    <w:p>
      <w:pPr>
        <w:spacing w:after="0" w:line="176" w:lineRule="exact"/>
        <w:rPr>
          <w:sz w:val="20"/>
          <w:szCs w:val="20"/>
          <w:color w:val="auto"/>
        </w:rPr>
      </w:pPr>
    </w:p>
    <w:p>
      <w:pPr>
        <w:ind w:left="2600" w:hanging="865"/>
        <w:spacing w:after="0"/>
        <w:tabs>
          <w:tab w:leader="none" w:pos="260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Plan Discretionary</w:t>
      </w:r>
      <w:r>
        <w:rPr>
          <w:rFonts w:ascii="Times New Roman" w:cs="Times New Roman" w:eastAsia="Times New Roman" w:hAnsi="Times New Roman"/>
          <w:sz w:val="20"/>
          <w:szCs w:val="20"/>
          <w:color w:val="auto"/>
        </w:rPr>
        <w:t>. The Optionee understands and acknowledges that (i) the Plan is entirely discretionary,</w:t>
      </w:r>
    </w:p>
    <w:p>
      <w:pPr>
        <w:spacing w:after="0" w:line="25" w:lineRule="exact"/>
        <w:rPr>
          <w:rFonts w:ascii="Times New Roman" w:cs="Times New Roman" w:eastAsia="Times New Roman" w:hAnsi="Times New Roman"/>
          <w:sz w:val="20"/>
          <w:szCs w:val="20"/>
          <w:color w:val="auto"/>
        </w:rPr>
      </w:pPr>
    </w:p>
    <w:p>
      <w:pPr>
        <w:jc w:val="both"/>
        <w:ind w:firstLine="8"/>
        <w:spacing w:after="0" w:line="241" w:lineRule="auto"/>
        <w:tabs>
          <w:tab w:leader="none" w:pos="29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182" w:lineRule="exact"/>
        <w:rPr>
          <w:rFonts w:ascii="Times New Roman" w:cs="Times New Roman" w:eastAsia="Times New Roman" w:hAnsi="Times New Roman"/>
          <w:sz w:val="20"/>
          <w:szCs w:val="20"/>
          <w:color w:val="auto"/>
        </w:rPr>
      </w:pPr>
    </w:p>
    <w:p>
      <w:pPr>
        <w:ind w:right="20" w:firstLine="1735"/>
        <w:spacing w:after="0" w:line="273" w:lineRule="auto"/>
        <w:tabs>
          <w:tab w:leader="none" w:pos="2573"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Service</w:t>
      </w:r>
      <w:r>
        <w:rPr>
          <w:rFonts w:ascii="Times New Roman" w:cs="Times New Roman" w:eastAsia="Times New Roman" w:hAnsi="Times New Roman"/>
          <w:sz w:val="20"/>
          <w:szCs w:val="20"/>
          <w:color w:val="auto"/>
        </w:rPr>
        <w:t>. The Optionee understands and acknowledges that participation in the Plan ceases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termination of his or her Service for any reason, except as may explicitly be provided otherwise in the Plan or this Agreement.</w:t>
      </w:r>
    </w:p>
    <w:p>
      <w:pPr>
        <w:spacing w:after="0" w:line="151"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Extraordinary Compensation</w:t>
      </w:r>
      <w:r>
        <w:rPr>
          <w:rFonts w:ascii="Times New Roman" w:cs="Times New Roman" w:eastAsia="Times New Roman" w:hAnsi="Times New Roman"/>
          <w:sz w:val="20"/>
          <w:szCs w:val="20"/>
          <w:color w:val="auto"/>
        </w:rPr>
        <w:t>. The value of this option shall be an extraordinary item of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the scope of the 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75"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Authorization to Disclose</w:t>
      </w:r>
      <w:r>
        <w:rPr>
          <w:rFonts w:ascii="Times New Roman" w:cs="Times New Roman" w:eastAsia="Times New Roman" w:hAnsi="Times New Roman"/>
          <w:sz w:val="20"/>
          <w:szCs w:val="20"/>
          <w:color w:val="auto"/>
        </w:rPr>
        <w:t>. The Optionee hereby authorizes and directs the Optionee’s employer to disclose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175" w:lineRule="exact"/>
        <w:rPr>
          <w:rFonts w:ascii="Times New Roman" w:cs="Times New Roman" w:eastAsia="Times New Roman" w:hAnsi="Times New Roman"/>
          <w:sz w:val="20"/>
          <w:szCs w:val="20"/>
          <w:color w:val="auto"/>
        </w:rPr>
      </w:pPr>
    </w:p>
    <w:p>
      <w:pPr>
        <w:jc w:val="both"/>
        <w:ind w:firstLine="1735"/>
        <w:spacing w:after="0" w:line="241" w:lineRule="auto"/>
        <w:tabs>
          <w:tab w:leader="none" w:pos="256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Personal Data Authorization</w:t>
      </w:r>
      <w:r>
        <w:rPr>
          <w:rFonts w:ascii="Times New Roman" w:cs="Times New Roman" w:eastAsia="Times New Roman" w:hAnsi="Times New Roman"/>
          <w:sz w:val="20"/>
          <w:szCs w:val="20"/>
          <w:color w:val="auto"/>
        </w:rPr>
        <w:t>. The Optionee consents to the collection, use and transfer of personal data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described in 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3" w:name="page234"/>
    <w:bookmarkEnd w:id="233"/>
    <w:p>
      <w:pPr>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SECTION 14.</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16" w:lineRule="exact"/>
        <w:rPr>
          <w:sz w:val="20"/>
          <w:szCs w:val="20"/>
          <w:color w:val="auto"/>
        </w:rPr>
      </w:pPr>
    </w:p>
    <w:p>
      <w:pPr>
        <w:ind w:left="2600" w:hanging="865"/>
        <w:spacing w:after="0"/>
        <w:tabs>
          <w:tab w:leader="none" w:pos="26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mean this Stock Option Agreement.</w:t>
      </w:r>
    </w:p>
    <w:p>
      <w:pPr>
        <w:spacing w:after="0" w:line="215" w:lineRule="exact"/>
        <w:rPr>
          <w:rFonts w:ascii="Times New Roman" w:cs="Times New Roman" w:eastAsia="Times New Roman" w:hAnsi="Times New Roman"/>
          <w:sz w:val="20"/>
          <w:szCs w:val="20"/>
          <w:color w:val="auto"/>
        </w:rPr>
      </w:pPr>
    </w:p>
    <w:p>
      <w:pPr>
        <w:ind w:right="20" w:firstLine="1735"/>
        <w:spacing w:after="0" w:line="273" w:lineRule="auto"/>
        <w:tabs>
          <w:tab w:leader="none" w:pos="260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shall mean the Board of Directors of the Company, as constituted from time to time or, if a Committee has been appointed, such Committee.</w:t>
      </w:r>
    </w:p>
    <w:p>
      <w:pPr>
        <w:spacing w:after="0" w:line="151"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mean Tarsus Pharmaceuticals, Inc., a Delaware corporation.</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w:t>
      </w:r>
      <w:r>
        <w:rPr>
          <w:rFonts w:ascii="Times New Roman" w:cs="Times New Roman" w:eastAsia="Times New Roman" w:hAnsi="Times New Roman"/>
          <w:sz w:val="20"/>
          <w:szCs w:val="20"/>
          <w:color w:val="auto"/>
        </w:rPr>
        <w:t>” shall mean any child, stepchild, grandchild, parent, stepparent, grandparent, spouse, sibling, mother-in-law, father-in-law, son-in-law, daughter-in-law, brother-in-law or sister-in-law and shall include adoptive relationships.</w:t>
      </w:r>
    </w:p>
    <w:p>
      <w:pPr>
        <w:spacing w:after="0" w:line="151"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Optionee</w:t>
      </w:r>
      <w:r>
        <w:rPr>
          <w:rFonts w:ascii="Times New Roman" w:cs="Times New Roman" w:eastAsia="Times New Roman" w:hAnsi="Times New Roman"/>
          <w:sz w:val="20"/>
          <w:szCs w:val="20"/>
          <w:color w:val="auto"/>
        </w:rPr>
        <w:t>” shall mean the person named in the Notice of Stock Option Grant.</w:t>
      </w:r>
    </w:p>
    <w:p>
      <w:pPr>
        <w:spacing w:after="0" w:line="215"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shall mean the Tarsus Pharmaceuticals, Inc. 2016 Stock Plan, as in effect on the Date of Grant.</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shall mean the Exercise Price multiplied by the number of Shares with respect to which</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is being exercised.</w:t>
      </w:r>
    </w:p>
    <w:p>
      <w:pPr>
        <w:spacing w:after="0" w:line="189"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shall mean the Company’s right of first refusal described in Section 7.</w:t>
      </w:r>
    </w:p>
    <w:p>
      <w:pPr>
        <w:spacing w:after="0" w:line="215"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shall mean service as an Employee, Outside Director or Consultant.</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shall mean any person to whom the Optionee has directly or indirectly transferred any Share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under this Agreement.</w:t>
      </w:r>
    </w:p>
    <w:p>
      <w:pPr>
        <w:spacing w:after="0" w:line="189"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shall mean the notice of a proposed transfer of Shares described in Section 7.</w:t>
      </w:r>
    </w:p>
    <w:p>
      <w:pPr>
        <w:spacing w:after="0" w:line="215" w:lineRule="exact"/>
        <w:rPr>
          <w:rFonts w:ascii="Times New Roman" w:cs="Times New Roman" w:eastAsia="Times New Roman" w:hAnsi="Times New Roman"/>
          <w:sz w:val="20"/>
          <w:szCs w:val="20"/>
          <w:color w:val="auto"/>
        </w:rPr>
      </w:pPr>
    </w:p>
    <w:p>
      <w:pPr>
        <w:jc w:val="both"/>
        <w:ind w:firstLine="1735"/>
        <w:spacing w:after="0" w:line="256" w:lineRule="auto"/>
        <w:tabs>
          <w:tab w:leader="none" w:pos="256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4" w:name="page235"/>
    <w:bookmarkEnd w:id="234"/>
    <w:p>
      <w:pPr>
        <w:ind w:left="366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0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ARLY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Optionee has been granted the following option to purchase shares of the Common Stock of Tarsus Pharmaceuticals, Inc.:</w:t>
      </w:r>
    </w:p>
    <w:p>
      <w:pPr>
        <w:sectPr>
          <w:pgSz w:w="11900" w:h="16838" w:orient="portrait"/>
          <w:cols w:equalWidth="0" w:num="1">
            <w:col w:w="11240"/>
          </w:cols>
          <w:pgMar w:left="320" w:top="329" w:right="339" w:bottom="1440" w:gutter="0" w:footer="0" w:header="0"/>
        </w:sectPr>
      </w:pP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Total Number of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«TotalShares»</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Type of Option: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«ISO»Incentive Stock Option (ISO)</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«NSO»Nonstatutory Stock Option (NSO)</w:t>
      </w:r>
    </w:p>
    <w:p>
      <w:pPr>
        <w:sectPr>
          <w:pgSz w:w="11900" w:h="16838" w:orient="portrait"/>
          <w:cols w:equalWidth="0" w:num="1">
            <w:col w:w="11240"/>
          </w:cols>
          <w:pgMar w:left="320" w:top="329" w:right="339" w:bottom="1440" w:gutter="0" w:footer="0" w:header="0"/>
          <w:type w:val="continuous"/>
        </w:sectPr>
      </w:pP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$«PricePerShare»</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«DateGrant»</w:t>
      </w:r>
    </w:p>
    <w:p>
      <w:pPr>
        <w:spacing w:after="0" w:line="211"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Date Exercisable: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option may be exercised at any time after the Date of Grant for all or any part of the Shares subject to this option.</w:t>
      </w:r>
    </w:p>
    <w:p>
      <w:pPr>
        <w:spacing w:after="0" w:line="173"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«VestComDate»</w:t>
      </w:r>
    </w:p>
    <w:p>
      <w:pPr>
        <w:spacing w:after="0" w:line="20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Vesting Schedule: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Right of Repurchase shall lapse with respect to the first «Percent»% of the Shares subject to this option when the Optionee completes «CliffPeriod» months of continuous Service beginning with the Vesting Commencement Date set forth above. The Right of Repurchase shall lapse with respect to an additional «Fraction»% of the Shares subject to this option when the Optionee completes each month of continuous Service thereafter.</w:t>
      </w:r>
    </w:p>
    <w:p>
      <w:pPr>
        <w:spacing w:after="0" w:line="198"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9"/>
          <w:szCs w:val="19"/>
          <w:color w:val="auto"/>
        </w:rPr>
        <w:t>Expiration Date:</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Times New Roman" w:cs="Times New Roman" w:eastAsia="Times New Roman" w:hAnsi="Times New Roman"/>
          <w:sz w:val="20"/>
          <w:szCs w:val="20"/>
          <w:color w:val="auto"/>
        </w:rPr>
        <w:t>«ExpDate». This option expires earlier if the Optionee’s Service terminates earlier, as provided in Section 6 of the Stock Option Agreement, or if the Company engages in certain corporate transactions, as provided in Section 8(b) of the Plan.</w:t>
      </w:r>
    </w:p>
    <w:p>
      <w:pPr>
        <w:spacing w:after="0" w:line="180" w:lineRule="exact"/>
        <w:rPr>
          <w:sz w:val="20"/>
          <w:szCs w:val="20"/>
          <w:color w:val="auto"/>
        </w:rPr>
      </w:pPr>
    </w:p>
    <w:p>
      <w:pPr>
        <w:sectPr>
          <w:pgSz w:w="11900" w:h="16838" w:orient="portrait"/>
          <w:cols w:equalWidth="0" w:num="2">
            <w:col w:w="4380" w:space="720"/>
            <w:col w:w="6140"/>
          </w:cols>
          <w:pgMar w:left="320" w:top="329" w:right="339" w:bottom="1440" w:gutter="0" w:footer="0" w:header="0"/>
          <w:type w:val="continuous"/>
        </w:sect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By signing below, the Optionee and the Company agree that this option is granted under, and governed by the terms and conditions of, the 2016 Stock Plan and the Stock Option Agreement. Both of these documents are attached to, and made a part of, this Notice of Stock Option Grant. </w:t>
      </w:r>
      <w:r>
        <w:rPr>
          <w:rFonts w:ascii="Times New Roman" w:cs="Times New Roman" w:eastAsia="Times New Roman" w:hAnsi="Times New Roman"/>
          <w:sz w:val="20"/>
          <w:szCs w:val="20"/>
          <w:b w:val="1"/>
          <w:bCs w:val="1"/>
          <w:color w:val="auto"/>
        </w:rPr>
        <w:t>Section 14 of the Stock Option Agreement includes important acknowledgements of the Optionee</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PTIONEE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4445</wp:posOffset>
            </wp:positionV>
            <wp:extent cx="31800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235" w:name="page236"/>
    <w:bookmarkEnd w:id="235"/>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ARLY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GRANT OF OPTION.</w:t>
      </w:r>
    </w:p>
    <w:p>
      <w:pPr>
        <w:spacing w:after="0" w:line="216" w:lineRule="exact"/>
        <w:rPr>
          <w:sz w:val="20"/>
          <w:szCs w:val="20"/>
          <w:color w:val="auto"/>
        </w:rPr>
      </w:pPr>
    </w:p>
    <w:p>
      <w:pPr>
        <w:jc w:val="both"/>
        <w:ind w:firstLine="1735"/>
        <w:spacing w:after="0" w:line="247" w:lineRule="auto"/>
        <w:tabs>
          <w:tab w:leader="none" w:pos="259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On the terms and conditions set forth in the Notice of Stock Option Grant and this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80"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$100,000 Limitation</w:t>
      </w:r>
      <w:r>
        <w:rPr>
          <w:rFonts w:ascii="Times New Roman" w:cs="Times New Roman" w:eastAsia="Times New Roman" w:hAnsi="Times New Roman"/>
          <w:sz w:val="20"/>
          <w:szCs w:val="20"/>
          <w:color w:val="auto"/>
        </w:rPr>
        <w:t>. Even if this option is designated as an ISO in the Notice of Stock Option Grant,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deemed to be an NSO to the extent (and only to the extent) required by the $100,000 annual limitation under Section 422(d) of the Code.</w:t>
      </w:r>
    </w:p>
    <w:p>
      <w:pPr>
        <w:spacing w:after="0" w:line="168"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Plan and Defined Terms</w:t>
      </w:r>
      <w:r>
        <w:rPr>
          <w:rFonts w:ascii="Times New Roman" w:cs="Times New Roman" w:eastAsia="Times New Roman" w:hAnsi="Times New Roman"/>
          <w:sz w:val="20"/>
          <w:szCs w:val="20"/>
          <w:color w:val="auto"/>
        </w:rPr>
        <w:t>. This option is granted pursuant to the Plan, a copy of which the Optionee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having received. The provisions of the Plan are incorporated into this Agreement by this reference. Except as otherwise defined in this Agreement (including without limitation Section 15 hereof), capitalized terms shall have the meaning ascribed to such terms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RIGHT TO EXERCISE.</w:t>
      </w:r>
    </w:p>
    <w:p>
      <w:pPr>
        <w:spacing w:after="0" w:line="216" w:lineRule="exact"/>
        <w:rPr>
          <w:sz w:val="20"/>
          <w:szCs w:val="20"/>
          <w:color w:val="auto"/>
        </w:rPr>
      </w:pPr>
    </w:p>
    <w:p>
      <w:pPr>
        <w:jc w:val="both"/>
        <w:ind w:firstLine="1735"/>
        <w:spacing w:after="0" w:line="256" w:lineRule="auto"/>
        <w:tabs>
          <w:tab w:leader="none" w:pos="259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Exercisability</w:t>
      </w:r>
      <w:r>
        <w:rPr>
          <w:rFonts w:ascii="Times New Roman" w:cs="Times New Roman" w:eastAsia="Times New Roman" w:hAnsi="Times New Roman"/>
          <w:sz w:val="20"/>
          <w:szCs w:val="20"/>
          <w:color w:val="auto"/>
        </w:rPr>
        <w:t>. Subject to Subsection (b) below and the other conditions set forth in this Agreement, all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 of this option may be exercised prior to its expiration at the time or times set forth in the Notice of Stock Option Grant. Shares purchased by exercising this option may be subject to the Right of Repurchase under Section 7.</w:t>
      </w:r>
    </w:p>
    <w:p>
      <w:pPr>
        <w:spacing w:after="0" w:line="168" w:lineRule="exact"/>
        <w:rPr>
          <w:rFonts w:ascii="Times New Roman" w:cs="Times New Roman" w:eastAsia="Times New Roman" w:hAnsi="Times New Roman"/>
          <w:sz w:val="20"/>
          <w:szCs w:val="20"/>
          <w:color w:val="auto"/>
        </w:rPr>
      </w:pPr>
    </w:p>
    <w:p>
      <w:pPr>
        <w:ind w:right="20" w:firstLine="1735"/>
        <w:spacing w:after="0" w:line="273" w:lineRule="auto"/>
        <w:tabs>
          <w:tab w:leader="none" w:pos="260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Stockholder Approval</w:t>
      </w:r>
      <w:r>
        <w:rPr>
          <w:rFonts w:ascii="Times New Roman" w:cs="Times New Roman" w:eastAsia="Times New Roman" w:hAnsi="Times New Roman"/>
          <w:sz w:val="20"/>
          <w:szCs w:val="20"/>
          <w:color w:val="auto"/>
        </w:rPr>
        <w:t>. Any other provision of this Agreement notwithstanding, no portion of this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exercisable at any time prior to the approval of the Plan by the Company’s stockholders.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NO TRANSFER OR ASSIGNMENT OF OPTION.</w:t>
      </w:r>
    </w:p>
    <w:p>
      <w:pPr>
        <w:spacing w:after="0" w:line="220"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494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0"/>
          <w:szCs w:val="20"/>
          <w:b w:val="1"/>
          <w:bCs w:val="1"/>
          <w:color w:val="auto"/>
        </w:rPr>
        <w:t>SECTION 4. EXERCISE PROCEDURES.</w:t>
      </w:r>
    </w:p>
    <w:p>
      <w:pPr>
        <w:spacing w:after="0" w:line="216" w:lineRule="exact"/>
        <w:rPr>
          <w:sz w:val="20"/>
          <w:szCs w:val="20"/>
          <w:color w:val="auto"/>
        </w:rPr>
      </w:pPr>
    </w:p>
    <w:p>
      <w:pPr>
        <w:jc w:val="both"/>
        <w:ind w:firstLine="1735"/>
        <w:spacing w:after="0" w:line="245" w:lineRule="auto"/>
        <w:tabs>
          <w:tab w:leader="none" w:pos="259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of Exercise</w:t>
      </w:r>
      <w:r>
        <w:rPr>
          <w:rFonts w:ascii="Times New Roman" w:cs="Times New Roman" w:eastAsia="Times New Roman" w:hAnsi="Times New Roman"/>
          <w:sz w:val="20"/>
          <w:szCs w:val="20"/>
          <w:color w:val="auto"/>
        </w:rPr>
        <w:t>. The Optionee or the Optionee’s representative may exercise this option by: (i) signing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delivering written notice to the Company pursuant to Section 13(c) specifying the election to exercise this option, the number of Shares for which it is being exercised and the form of payment and (ii)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 In the event of a partial exercise of this option, Shares shall be deemed to have been purchased in the order in which they vest in accordance with the Notice of Stock Option Grant.</w:t>
      </w:r>
    </w:p>
    <w:p>
      <w:pPr>
        <w:spacing w:after="0" w:line="179"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 Taxes</w:t>
      </w:r>
      <w:r>
        <w:rPr>
          <w:rFonts w:ascii="Times New Roman" w:cs="Times New Roman" w:eastAsia="Times New Roman" w:hAnsi="Times New Roman"/>
          <w:sz w:val="20"/>
          <w:szCs w:val="20"/>
          <w:color w:val="auto"/>
        </w:rPr>
        <w:t>. In the event that the Company determines that it is required to withhold any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without limitation any income tax, social insurance contributions, payroll tax, payment on account or other tax-related items arising in connection with the Optionee’s participation in the Plan and legally applicable to the Optionee (the “</w:t>
      </w: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as a result of the grant, vesting or exercise of this option, or as a result of the vesting or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w:t>
      </w:r>
    </w:p>
    <w:p>
      <w:pPr>
        <w:spacing w:after="0" w:line="179" w:lineRule="exact"/>
        <w:rPr>
          <w:rFonts w:ascii="Times New Roman" w:cs="Times New Roman" w:eastAsia="Times New Roman" w:hAnsi="Times New Roman"/>
          <w:sz w:val="20"/>
          <w:szCs w:val="20"/>
          <w:color w:val="auto"/>
        </w:rPr>
      </w:pPr>
    </w:p>
    <w:p>
      <w:pPr>
        <w:jc w:val="both"/>
        <w:ind w:firstLine="1735"/>
        <w:spacing w:after="0" w:line="244" w:lineRule="auto"/>
        <w:tabs>
          <w:tab w:leader="none" w:pos="259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color w:val="auto"/>
        </w:rPr>
        <w:t>. After satisfying all requirements for exercise of this option, the Company shall cause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issued one or more certificates evidencing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PAYMENT FOR STOCK.</w:t>
      </w:r>
    </w:p>
    <w:p>
      <w:pPr>
        <w:spacing w:after="0" w:line="216" w:lineRule="exact"/>
        <w:rPr>
          <w:sz w:val="20"/>
          <w:szCs w:val="20"/>
          <w:color w:val="auto"/>
        </w:rPr>
      </w:pPr>
    </w:p>
    <w:p>
      <w:pPr>
        <w:ind w:left="2600" w:hanging="865"/>
        <w:spacing w:after="0"/>
        <w:tabs>
          <w:tab w:leader="none" w:pos="26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All or part of the Purchase Price may be paid in cash or cash equivalents.</w:t>
      </w:r>
    </w:p>
    <w:p>
      <w:pPr>
        <w:spacing w:after="0" w:line="215" w:lineRule="exact"/>
        <w:rPr>
          <w:rFonts w:ascii="Times New Roman" w:cs="Times New Roman" w:eastAsia="Times New Roman" w:hAnsi="Times New Roman"/>
          <w:sz w:val="20"/>
          <w:szCs w:val="20"/>
          <w:color w:val="auto"/>
        </w:rPr>
      </w:pPr>
    </w:p>
    <w:p>
      <w:pPr>
        <w:jc w:val="both"/>
        <w:ind w:right="20" w:firstLine="1735"/>
        <w:spacing w:after="0" w:line="256" w:lineRule="auto"/>
        <w:tabs>
          <w:tab w:leader="none" w:pos="260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Surrender of Stock</w:t>
      </w:r>
      <w:r>
        <w:rPr>
          <w:rFonts w:ascii="Times New Roman" w:cs="Times New Roman" w:eastAsia="Times New Roman" w:hAnsi="Times New Roman"/>
          <w:sz w:val="20"/>
          <w:szCs w:val="20"/>
          <w:color w:val="auto"/>
        </w:rPr>
        <w:t>. At the discretion of the Board of Directors, all or any part of the Purchase Price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68"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Exercise/Sale</w:t>
      </w:r>
      <w:r>
        <w:rPr>
          <w:rFonts w:ascii="Times New Roman" w:cs="Times New Roman" w:eastAsia="Times New Roman" w:hAnsi="Times New Roman"/>
          <w:sz w:val="20"/>
          <w:szCs w:val="20"/>
          <w:color w:val="auto"/>
        </w:rPr>
        <w:t>. All or part of the Purchase Price and any withholding taxes may be paid by the delivery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0"/>
          <w:szCs w:val="20"/>
          <w:b w:val="1"/>
          <w:bCs w:val="1"/>
          <w:color w:val="auto"/>
        </w:rPr>
        <w:t>SECTION 6. TERM AND EXPIRATION.</w:t>
      </w:r>
    </w:p>
    <w:p>
      <w:pPr>
        <w:spacing w:after="0" w:line="216" w:lineRule="exact"/>
        <w:rPr>
          <w:sz w:val="20"/>
          <w:szCs w:val="20"/>
          <w:color w:val="auto"/>
        </w:rPr>
      </w:pPr>
    </w:p>
    <w:p>
      <w:pPr>
        <w:jc w:val="both"/>
        <w:ind w:firstLine="1735"/>
        <w:spacing w:after="0" w:line="256" w:lineRule="auto"/>
        <w:tabs>
          <w:tab w:leader="none" w:pos="259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Basic Term</w:t>
      </w:r>
      <w:r>
        <w:rPr>
          <w:rFonts w:ascii="Times New Roman" w:cs="Times New Roman" w:eastAsia="Times New Roman" w:hAnsi="Times New Roman"/>
          <w:sz w:val="20"/>
          <w:szCs w:val="20"/>
          <w:color w:val="auto"/>
        </w:rPr>
        <w:t>. This option shall in any event expire on the expiration date set forth in the Notice of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Grant, which date is 10 years after the Date of Grant (five years after the Date of Grant if this option is designated as an ISO in the Notice of Stock Option Grant and Section 3(b) of the Plan applies).</w:t>
      </w:r>
    </w:p>
    <w:p>
      <w:pPr>
        <w:spacing w:after="0" w:line="168"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Service (Except by Death)</w:t>
      </w:r>
      <w:r>
        <w:rPr>
          <w:rFonts w:ascii="Times New Roman" w:cs="Times New Roman" w:eastAsia="Times New Roman" w:hAnsi="Times New Roman"/>
          <w:sz w:val="20"/>
          <w:szCs w:val="20"/>
          <w:color w:val="auto"/>
        </w:rPr>
        <w:t>. If the Optionee’s Service terminates for any reason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death, then this option shall expire on the earliest of the following occasions:</w:t>
      </w:r>
    </w:p>
    <w:p>
      <w:pPr>
        <w:spacing w:after="0" w:line="155" w:lineRule="exact"/>
        <w:rPr>
          <w:rFonts w:ascii="Times New Roman" w:cs="Times New Roman" w:eastAsia="Times New Roman" w:hAnsi="Times New Roman"/>
          <w:sz w:val="20"/>
          <w:szCs w:val="20"/>
          <w:color w:val="auto"/>
        </w:rPr>
      </w:pPr>
    </w:p>
    <w:p>
      <w:pPr>
        <w:ind w:left="3160" w:hanging="827"/>
        <w:spacing w:after="0"/>
        <w:tabs>
          <w:tab w:leader="none" w:pos="316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(a) above;</w:t>
      </w:r>
    </w:p>
    <w:p>
      <w:pPr>
        <w:spacing w:after="0" w:line="215"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termination of the Optionee’s Service for any reason other</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than Disability; or</w:t>
      </w:r>
    </w:p>
    <w:p>
      <w:pPr>
        <w:spacing w:after="0" w:line="194" w:lineRule="exact"/>
        <w:rPr>
          <w:sz w:val="20"/>
          <w:szCs w:val="20"/>
          <w:color w:val="auto"/>
        </w:rPr>
      </w:pPr>
    </w:p>
    <w:p>
      <w:pPr>
        <w:ind w:left="2340"/>
        <w:spacing w:after="0"/>
        <w:tabs>
          <w:tab w:leader="none" w:pos="3260" w:val="left"/>
        </w:tabs>
        <w:rPr>
          <w:sz w:val="20"/>
          <w:szCs w:val="20"/>
          <w:color w:val="auto"/>
        </w:rPr>
      </w:pPr>
      <w:r>
        <w:rPr>
          <w:rFonts w:ascii="Times New Roman" w:cs="Times New Roman" w:eastAsia="Times New Roman" w:hAnsi="Times New Roman"/>
          <w:sz w:val="20"/>
          <w:szCs w:val="20"/>
          <w:color w:val="auto"/>
        </w:rPr>
        <w:t>(iii)</w:t>
      </w:r>
      <w:r>
        <w:rPr>
          <w:sz w:val="20"/>
          <w:szCs w:val="20"/>
          <w:color w:val="auto"/>
        </w:rPr>
        <w:tab/>
      </w:r>
      <w:r>
        <w:rPr>
          <w:rFonts w:ascii="Times New Roman" w:cs="Times New Roman" w:eastAsia="Times New Roman" w:hAnsi="Times New Roman"/>
          <w:sz w:val="20"/>
          <w:szCs w:val="20"/>
          <w:color w:val="auto"/>
        </w:rPr>
        <w:t>The date six months after the termination of the Optionee’s Service by reason of</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Disability.</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 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 Once this option (or portion thereof) has terminated, the Optionee shall have no further rights with respect to the option (or portion thereof) or to the underlying Shares.</w:t>
      </w:r>
    </w:p>
    <w:p>
      <w:pPr>
        <w:spacing w:after="0" w:line="185" w:lineRule="exact"/>
        <w:rPr>
          <w:sz w:val="20"/>
          <w:szCs w:val="20"/>
          <w:color w:val="auto"/>
        </w:rPr>
      </w:pPr>
    </w:p>
    <w:p>
      <w:pPr>
        <w:ind w:left="2600" w:hanging="865"/>
        <w:spacing w:after="0"/>
        <w:tabs>
          <w:tab w:leader="none" w:pos="26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Death of the Optionee</w:t>
      </w:r>
      <w:r>
        <w:rPr>
          <w:rFonts w:ascii="Times New Roman" w:cs="Times New Roman" w:eastAsia="Times New Roman" w:hAnsi="Times New Roman"/>
          <w:sz w:val="20"/>
          <w:szCs w:val="20"/>
          <w:color w:val="auto"/>
        </w:rPr>
        <w:t>. If the Optionee dies while in Service, then this option shall expire on the earlier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dates:</w:t>
      </w:r>
    </w:p>
    <w:p>
      <w:pPr>
        <w:spacing w:after="0" w:line="194" w:lineRule="exact"/>
        <w:rPr>
          <w:sz w:val="20"/>
          <w:szCs w:val="20"/>
          <w:color w:val="auto"/>
        </w:rPr>
      </w:pPr>
    </w:p>
    <w:p>
      <w:pPr>
        <w:ind w:left="3160" w:hanging="827"/>
        <w:spacing w:after="0"/>
        <w:tabs>
          <w:tab w:leader="none" w:pos="316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(a) above; or</w:t>
      </w:r>
    </w:p>
    <w:p>
      <w:pPr>
        <w:spacing w:after="0" w:line="215"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12 months after the Optionee’s death.</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 Once this option (or portion thereof) has terminated, the Optionee shall have no further rights with respect to the option (or portion thereof) or to the underlying Shares.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8" w:name="page239"/>
    <w:bookmarkEnd w:id="238"/>
    <w:p>
      <w:pPr>
        <w:jc w:val="both"/>
        <w:ind w:firstLine="1735"/>
        <w:spacing w:after="0" w:line="244" w:lineRule="auto"/>
        <w:tabs>
          <w:tab w:leader="none" w:pos="260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Extension of Post-Termination Exercise Periods</w:t>
      </w:r>
      <w:r>
        <w:rPr>
          <w:rFonts w:ascii="Times New Roman" w:cs="Times New Roman" w:eastAsia="Times New Roman" w:hAnsi="Times New Roman"/>
          <w:sz w:val="20"/>
          <w:szCs w:val="20"/>
          <w:color w:val="auto"/>
        </w:rPr>
        <w:t>. Following the date on which the Company’s Stock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listed for trading on an established securities market, if during any part of the exercise period described in Subsections (b)(ii) or (iii) or Subsection (c)(ii)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w:t>
      </w:r>
    </w:p>
    <w:p>
      <w:pPr>
        <w:spacing w:after="0" w:line="181" w:lineRule="exact"/>
        <w:rPr>
          <w:rFonts w:ascii="Times New Roman" w:cs="Times New Roman" w:eastAsia="Times New Roman" w:hAnsi="Times New Roman"/>
          <w:sz w:val="20"/>
          <w:szCs w:val="20"/>
          <w:color w:val="auto"/>
        </w:rPr>
      </w:pPr>
    </w:p>
    <w:p>
      <w:pPr>
        <w:jc w:val="both"/>
        <w:ind w:firstLine="1735"/>
        <w:spacing w:after="0" w:line="244" w:lineRule="auto"/>
        <w:tabs>
          <w:tab w:leader="none" w:pos="259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Part-Time Employment and Leaves of Absence</w:t>
      </w:r>
      <w:r>
        <w:rPr>
          <w:rFonts w:ascii="Times New Roman" w:cs="Times New Roman" w:eastAsia="Times New Roman" w:hAnsi="Times New Roman"/>
          <w:sz w:val="20"/>
          <w:szCs w:val="20"/>
          <w:color w:val="auto"/>
        </w:rPr>
        <w:t>. If the Optionee commences working on a part-time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leave of absence, if (i) such leave was approved by the Company in writing and (ii) 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181" w:lineRule="exact"/>
        <w:rPr>
          <w:rFonts w:ascii="Times New Roman" w:cs="Times New Roman" w:eastAsia="Times New Roman" w:hAnsi="Times New Roman"/>
          <w:sz w:val="20"/>
          <w:szCs w:val="20"/>
          <w:color w:val="auto"/>
        </w:rPr>
      </w:pPr>
    </w:p>
    <w:p>
      <w:pPr>
        <w:ind w:firstLine="1735"/>
        <w:spacing w:after="0" w:line="273" w:lineRule="auto"/>
        <w:tabs>
          <w:tab w:leader="none" w:pos="2573"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Concerning ISO Treatment</w:t>
      </w:r>
      <w:r>
        <w:rPr>
          <w:rFonts w:ascii="Times New Roman" w:cs="Times New Roman" w:eastAsia="Times New Roman" w:hAnsi="Times New Roman"/>
          <w:sz w:val="20"/>
          <w:szCs w:val="20"/>
          <w:color w:val="auto"/>
        </w:rPr>
        <w:t>. Even if this option is designated as an ISO in the Notice of Stock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it ceases to qualify for favorable tax treatment as an ISO to the extent that it is exercised:</w:t>
      </w:r>
    </w:p>
    <w:p>
      <w:pPr>
        <w:spacing w:after="0" w:line="156" w:lineRule="exact"/>
        <w:rPr>
          <w:sz w:val="20"/>
          <w:szCs w:val="20"/>
          <w:color w:val="auto"/>
        </w:rPr>
      </w:pPr>
    </w:p>
    <w:p>
      <w:pPr>
        <w:ind w:left="880" w:right="860" w:firstLine="1453"/>
        <w:spacing w:after="0" w:line="269" w:lineRule="auto"/>
        <w:tabs>
          <w:tab w:leader="none" w:pos="317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three months after the date when the Optionee ceases to be an Employee for any reason other than death or permanent and total disability (as defined in Section 22(e)(3) of the Code);</w:t>
      </w:r>
    </w:p>
    <w:p>
      <w:pPr>
        <w:spacing w:after="0" w:line="159" w:lineRule="exact"/>
        <w:rPr>
          <w:rFonts w:ascii="Times New Roman" w:cs="Times New Roman" w:eastAsia="Times New Roman" w:hAnsi="Times New Roman"/>
          <w:sz w:val="20"/>
          <w:szCs w:val="20"/>
          <w:color w:val="auto"/>
        </w:rPr>
      </w:pPr>
    </w:p>
    <w:p>
      <w:pPr>
        <w:ind w:left="880" w:right="860" w:firstLine="1453"/>
        <w:spacing w:after="0" w:line="269" w:lineRule="auto"/>
        <w:tabs>
          <w:tab w:leader="none" w:pos="3231"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12 months after the date when the Optionee ceases to be an Employee by reason of permanent and total disability (as defined in Section 22(e)(3) of the Code); or</w:t>
      </w:r>
    </w:p>
    <w:p>
      <w:pPr>
        <w:spacing w:after="0" w:line="159" w:lineRule="exact"/>
        <w:rPr>
          <w:rFonts w:ascii="Times New Roman" w:cs="Times New Roman" w:eastAsia="Times New Roman" w:hAnsi="Times New Roman"/>
          <w:sz w:val="20"/>
          <w:szCs w:val="20"/>
          <w:color w:val="auto"/>
        </w:rPr>
      </w:pPr>
    </w:p>
    <w:p>
      <w:pPr>
        <w:jc w:val="both"/>
        <w:ind w:left="880" w:right="860" w:firstLine="1453"/>
        <w:spacing w:after="0" w:line="254" w:lineRule="auto"/>
        <w:tabs>
          <w:tab w:leader="none" w:pos="328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three months after the date when the Optionee has been on a leave of absence for three months, unless the Optionee’s reemployment rights following such leave were guaranteed by statute or by contract.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 RIGHT OF REPURCHASE.</w:t>
      </w:r>
    </w:p>
    <w:p>
      <w:pPr>
        <w:spacing w:after="0" w:line="216" w:lineRule="exact"/>
        <w:rPr>
          <w:sz w:val="20"/>
          <w:szCs w:val="20"/>
          <w:color w:val="auto"/>
        </w:rPr>
      </w:pPr>
    </w:p>
    <w:p>
      <w:pPr>
        <w:jc w:val="both"/>
        <w:ind w:firstLine="1735"/>
        <w:spacing w:after="0" w:line="244" w:lineRule="auto"/>
        <w:tabs>
          <w:tab w:leader="none" w:pos="259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Scope of Repurchase Right</w:t>
      </w:r>
      <w:r>
        <w:rPr>
          <w:rFonts w:ascii="Times New Roman" w:cs="Times New Roman" w:eastAsia="Times New Roman" w:hAnsi="Times New Roman"/>
          <w:sz w:val="20"/>
          <w:szCs w:val="20"/>
          <w:color w:val="auto"/>
        </w:rPr>
        <w:t>. Until they vest in accordance with the Notice of Stock Option Grant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Subsection (b) below, the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but the Right of Repurchase may 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9" w:name="page240"/>
    <w:bookmarkEnd w:id="239"/>
    <w:p>
      <w:pPr>
        <w:ind w:firstLine="1735"/>
        <w:spacing w:after="0" w:line="273" w:lineRule="auto"/>
        <w:tabs>
          <w:tab w:leader="none" w:pos="260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Lapse of Repurchase Right</w:t>
      </w:r>
      <w:r>
        <w:rPr>
          <w:rFonts w:ascii="Times New Roman" w:cs="Times New Roman" w:eastAsia="Times New Roman" w:hAnsi="Times New Roman"/>
          <w:sz w:val="20"/>
          <w:szCs w:val="20"/>
          <w:color w:val="auto"/>
        </w:rPr>
        <w:t>. The Right of Repurchase shall lapse with respect to the Restricted Shares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vesting schedule set forth in the Notice of Stock Option Grant.</w:t>
      </w:r>
    </w:p>
    <w:p>
      <w:pPr>
        <w:spacing w:after="0" w:line="151" w:lineRule="exact"/>
        <w:rPr>
          <w:rFonts w:ascii="Times New Roman" w:cs="Times New Roman" w:eastAsia="Times New Roman" w:hAnsi="Times New Roman"/>
          <w:sz w:val="20"/>
          <w:szCs w:val="20"/>
          <w:color w:val="auto"/>
        </w:rPr>
      </w:pPr>
    </w:p>
    <w:p>
      <w:pPr>
        <w:jc w:val="both"/>
        <w:ind w:firstLine="1735"/>
        <w:spacing w:after="0" w:line="243" w:lineRule="auto"/>
        <w:tabs>
          <w:tab w:leader="none" w:pos="259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Escrow</w:t>
      </w:r>
      <w:r>
        <w:rPr>
          <w:rFonts w:ascii="Times New Roman" w:cs="Times New Roman" w:eastAsia="Times New Roman" w:hAnsi="Times New Roman"/>
          <w:sz w:val="20"/>
          <w:szCs w:val="20"/>
          <w:color w:val="auto"/>
        </w:rPr>
        <w:t>. Upon issuance, the certificate(s) for Restricted Shares shall be deposited in escrow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held in accordance 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 (i) 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185"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 of Repurchase Right</w:t>
      </w:r>
      <w:r>
        <w:rPr>
          <w:rFonts w:ascii="Times New Roman" w:cs="Times New Roman" w:eastAsia="Times New Roman" w:hAnsi="Times New Roman"/>
          <w:sz w:val="20"/>
          <w:szCs w:val="20"/>
          <w:color w:val="auto"/>
        </w:rPr>
        <w:t>. The Company shall be deemed to have exercised its Right of Repurchase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automatically for all Restricted Shares as of the commencement of the Repurchase Period, unless the Company during the Repurchase Period notifies the holder of the Restricted Shares pursuant to Section 13(c)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179" w:lineRule="exact"/>
        <w:rPr>
          <w:rFonts w:ascii="Times New Roman" w:cs="Times New Roman" w:eastAsia="Times New Roman" w:hAnsi="Times New Roman"/>
          <w:sz w:val="20"/>
          <w:szCs w:val="20"/>
          <w:color w:val="auto"/>
        </w:rPr>
      </w:pPr>
    </w:p>
    <w:p>
      <w:pPr>
        <w:jc w:val="both"/>
        <w:ind w:firstLine="1735"/>
        <w:spacing w:after="0" w:line="246" w:lineRule="auto"/>
        <w:tabs>
          <w:tab w:leader="none" w:pos="259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Rights as Stockholder</w:t>
      </w:r>
      <w:r>
        <w:rPr>
          <w:rFonts w:ascii="Times New Roman" w:cs="Times New Roman" w:eastAsia="Times New Roman" w:hAnsi="Times New Roman"/>
          <w:sz w:val="20"/>
          <w:szCs w:val="20"/>
          <w:color w:val="auto"/>
        </w:rPr>
        <w:t>. If the Right of Repurchase is exercised in accordance with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7 and the Company 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78" w:lineRule="exact"/>
        <w:rPr>
          <w:rFonts w:ascii="Times New Roman" w:cs="Times New Roman" w:eastAsia="Times New Roman" w:hAnsi="Times New Roman"/>
          <w:sz w:val="20"/>
          <w:szCs w:val="20"/>
          <w:color w:val="auto"/>
        </w:rPr>
      </w:pPr>
    </w:p>
    <w:p>
      <w:pPr>
        <w:jc w:val="both"/>
        <w:ind w:firstLine="1735"/>
        <w:spacing w:after="0" w:line="234" w:lineRule="exact"/>
        <w:tabs>
          <w:tab w:leader="none" w:pos="257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 sale of all or substantially all of the Company’s stock or assets, any other corporate reorganization, a stock split, the declaration of a stock dividend, the declaration of an extraordinary dividend payable in a form other than stock, a spin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any transaction described in Section 8(b) of the Plan or any other corporate reorganization, the Right of Repurchase may be exercised by the Company’s successor.</w:t>
      </w:r>
    </w:p>
    <w:p>
      <w:pPr>
        <w:spacing w:after="0" w:line="186"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 of Restricted Shares</w:t>
      </w:r>
      <w:r>
        <w:rPr>
          <w:rFonts w:ascii="Times New Roman" w:cs="Times New Roman" w:eastAsia="Times New Roman" w:hAnsi="Times New Roman"/>
          <w:sz w:val="20"/>
          <w:szCs w:val="20"/>
          <w:color w:val="auto"/>
        </w:rPr>
        <w:t>. The Optionee shall not transfer, assign, encumber or otherwise dispose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Restricted Shares without the Company’s written consent, except as provided in the following sentence. The Optionee may transfer Restricted Shares to one or more members of the Optionee’s Immediate Family or to a trust established by the Optionee for the benefit 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0" w:name="page241"/>
    <w:bookmarkEnd w:id="240"/>
    <w:p>
      <w:pPr>
        <w:jc w:val="both"/>
        <w:spacing w:after="0" w:line="254" w:lineRule="auto"/>
        <w:rPr>
          <w:sz w:val="20"/>
          <w:szCs w:val="20"/>
          <w:color w:val="auto"/>
        </w:rPr>
      </w:pPr>
      <w:r>
        <w:rPr>
          <w:rFonts w:ascii="Times New Roman" w:cs="Times New Roman" w:eastAsia="Times New Roman" w:hAnsi="Times New Roman"/>
          <w:sz w:val="20"/>
          <w:szCs w:val="20"/>
          <w:color w:val="auto"/>
        </w:rPr>
        <w:t>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170" w:lineRule="exact"/>
        <w:rPr>
          <w:sz w:val="20"/>
          <w:szCs w:val="20"/>
          <w:color w:val="auto"/>
        </w:rPr>
      </w:pPr>
    </w:p>
    <w:p>
      <w:pPr>
        <w:jc w:val="both"/>
        <w:ind w:firstLine="1735"/>
        <w:spacing w:after="0" w:line="256" w:lineRule="auto"/>
        <w:tabs>
          <w:tab w:leader="none" w:pos="260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of Repurchase Right</w:t>
      </w:r>
      <w:r>
        <w:rPr>
          <w:rFonts w:ascii="Times New Roman" w:cs="Times New Roman" w:eastAsia="Times New Roman" w:hAnsi="Times New Roman"/>
          <w:sz w:val="20"/>
          <w:szCs w:val="20"/>
          <w:color w:val="auto"/>
        </w:rPr>
        <w:t>. The Board of Directors may freely assign the Company’s Right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Repurchase, in whole or in part. Any person who accepts an assignment of the Right of Repurchase from the Company shall assume all of the Company’s rights and obligations under this Section 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 RIGHT OF FIRST REFUSAL.</w:t>
      </w:r>
    </w:p>
    <w:p>
      <w:pPr>
        <w:spacing w:after="0" w:line="216" w:lineRule="exact"/>
        <w:rPr>
          <w:sz w:val="20"/>
          <w:szCs w:val="20"/>
          <w:color w:val="auto"/>
        </w:rPr>
      </w:pPr>
    </w:p>
    <w:p>
      <w:pPr>
        <w:jc w:val="both"/>
        <w:ind w:firstLine="1735"/>
        <w:spacing w:after="0" w:line="243" w:lineRule="auto"/>
        <w:tabs>
          <w:tab w:leader="none" w:pos="2595"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In the event that the Optionee proposes to sell, pledge or otherwise transfer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2" w:lineRule="exact"/>
        <w:rPr>
          <w:rFonts w:ascii="Times New Roman" w:cs="Times New Roman" w:eastAsia="Times New Roman" w:hAnsi="Times New Roman"/>
          <w:sz w:val="20"/>
          <w:szCs w:val="20"/>
          <w:color w:val="auto"/>
        </w:rPr>
      </w:pPr>
    </w:p>
    <w:p>
      <w:pPr>
        <w:jc w:val="both"/>
        <w:ind w:firstLine="1735"/>
        <w:spacing w:after="0" w:line="242" w:lineRule="auto"/>
        <w:tabs>
          <w:tab w:leader="none" w:pos="260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 of Shares</w:t>
      </w:r>
      <w:r>
        <w:rPr>
          <w:rFonts w:ascii="Times New Roman" w:cs="Times New Roman" w:eastAsia="Times New Roman" w:hAnsi="Times New Roman"/>
          <w:sz w:val="20"/>
          <w:szCs w:val="20"/>
          <w:color w:val="auto"/>
        </w:rPr>
        <w:t>. If the Company fails to exercise its Right of First Refusal within 30 days after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 it 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87" w:lineRule="exact"/>
        <w:rPr>
          <w:rFonts w:ascii="Times New Roman" w:cs="Times New Roman" w:eastAsia="Times New Roman" w:hAnsi="Times New Roman"/>
          <w:sz w:val="20"/>
          <w:szCs w:val="20"/>
          <w:color w:val="auto"/>
        </w:rPr>
      </w:pPr>
    </w:p>
    <w:p>
      <w:pPr>
        <w:jc w:val="both"/>
        <w:ind w:firstLine="1735"/>
        <w:spacing w:after="0" w:line="236" w:lineRule="exact"/>
        <w:tabs>
          <w:tab w:leader="none" w:pos="2595"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 sale of all or substantially all of the Company’s stock or assets, any other corporate reorganization, a stock split, the declaration of a stock dividend, the declaration of an extraordinary dividend payable in a form other than stock, a spin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41" w:name="page242"/>
    <w:bookmarkEnd w:id="241"/>
    <w:p>
      <w:pPr>
        <w:jc w:val="both"/>
        <w:ind w:right="20" w:firstLine="1735"/>
        <w:spacing w:after="0" w:line="276" w:lineRule="auto"/>
        <w:tabs>
          <w:tab w:leader="none" w:pos="2606"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of Right of First Refusal</w:t>
      </w:r>
      <w:r>
        <w:rPr>
          <w:rFonts w:ascii="Times New Roman" w:cs="Times New Roman" w:eastAsia="Times New Roman" w:hAnsi="Times New Roman"/>
          <w:sz w:val="19"/>
          <w:szCs w:val="19"/>
          <w:color w:val="auto"/>
        </w:rPr>
        <w:t>. Any other provision of this Section 8 notwithstanding, in the event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50" w:lineRule="exact"/>
        <w:rPr>
          <w:rFonts w:ascii="Times New Roman" w:cs="Times New Roman" w:eastAsia="Times New Roman" w:hAnsi="Times New Roman"/>
          <w:sz w:val="19"/>
          <w:szCs w:val="19"/>
          <w:color w:val="auto"/>
        </w:rPr>
      </w:pPr>
    </w:p>
    <w:p>
      <w:pPr>
        <w:jc w:val="both"/>
        <w:ind w:firstLine="1735"/>
        <w:spacing w:after="0" w:line="246" w:lineRule="auto"/>
        <w:tabs>
          <w:tab w:leader="none" w:pos="2595"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Permitted Transfers</w:t>
      </w:r>
      <w:r>
        <w:rPr>
          <w:rFonts w:ascii="Times New Roman" w:cs="Times New Roman" w:eastAsia="Times New Roman" w:hAnsi="Times New Roman"/>
          <w:sz w:val="20"/>
          <w:szCs w:val="20"/>
          <w:color w:val="auto"/>
        </w:rPr>
        <w:t>. This Section 8 shall not apply to (i) a transfer by beneficiary designation, will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intestate succession 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8" w:lineRule="exact"/>
        <w:rPr>
          <w:rFonts w:ascii="Times New Roman" w:cs="Times New Roman" w:eastAsia="Times New Roman" w:hAnsi="Times New Roman"/>
          <w:sz w:val="20"/>
          <w:szCs w:val="20"/>
          <w:color w:val="auto"/>
        </w:rPr>
      </w:pPr>
    </w:p>
    <w:p>
      <w:pPr>
        <w:jc w:val="both"/>
        <w:ind w:firstLine="1735"/>
        <w:spacing w:after="0" w:line="246" w:lineRule="auto"/>
        <w:tabs>
          <w:tab w:leader="none" w:pos="2573"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Rights as Stockholder</w:t>
      </w:r>
      <w:r>
        <w:rPr>
          <w:rFonts w:ascii="Times New Roman" w:cs="Times New Roman" w:eastAsia="Times New Roman" w:hAnsi="Times New Roman"/>
          <w:sz w:val="20"/>
          <w:szCs w:val="20"/>
          <w:color w:val="auto"/>
        </w:rPr>
        <w:t>. If the Company makes available, at the time and place and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and form provided in this 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8"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of Right of First Refusal</w:t>
      </w:r>
      <w:r>
        <w:rPr>
          <w:rFonts w:ascii="Times New Roman" w:cs="Times New Roman" w:eastAsia="Times New Roman" w:hAnsi="Times New Roman"/>
          <w:sz w:val="20"/>
          <w:szCs w:val="20"/>
          <w:color w:val="auto"/>
        </w:rPr>
        <w:t>. The Board of Directors may freely assign the Company’s Right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Refusal, in whole or in part. Any person who accepts an assignment of the Right of First Refusal from the Company shall assume all of the Company’s rights and obligations under this Section 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 LEGALITY OF INITIAL ISSUANCE.</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No Shares shall be issued upon the exercise of this option unless and until the Company has determined that:</w:t>
      </w:r>
    </w:p>
    <w:p>
      <w:pPr>
        <w:spacing w:after="0" w:line="216" w:lineRule="exact"/>
        <w:rPr>
          <w:sz w:val="20"/>
          <w:szCs w:val="20"/>
          <w:color w:val="auto"/>
        </w:rPr>
      </w:pPr>
    </w:p>
    <w:p>
      <w:pPr>
        <w:ind w:left="880" w:right="880" w:firstLine="1453"/>
        <w:spacing w:after="0" w:line="269" w:lineRule="auto"/>
        <w:tabs>
          <w:tab w:leader="none" w:pos="3209"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and the Optionee have taken any actions required to register the Shares under the Securities Act or to perfect an exemption from the registration requirements thereof;</w:t>
      </w:r>
    </w:p>
    <w:p>
      <w:pPr>
        <w:spacing w:after="0" w:line="159" w:lineRule="exact"/>
        <w:rPr>
          <w:rFonts w:ascii="Times New Roman" w:cs="Times New Roman" w:eastAsia="Times New Roman" w:hAnsi="Times New Roman"/>
          <w:sz w:val="20"/>
          <w:szCs w:val="20"/>
          <w:color w:val="auto"/>
        </w:rPr>
      </w:pPr>
    </w:p>
    <w:p>
      <w:pPr>
        <w:ind w:left="880" w:right="860" w:firstLine="1453"/>
        <w:spacing w:after="0" w:line="269" w:lineRule="auto"/>
        <w:tabs>
          <w:tab w:leader="none" w:pos="322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requirement of any stock exchange or other securities market on which Stock is listed has been satisfied; and</w:t>
      </w:r>
    </w:p>
    <w:p>
      <w:pPr>
        <w:spacing w:after="0" w:line="159" w:lineRule="exact"/>
        <w:rPr>
          <w:rFonts w:ascii="Times New Roman" w:cs="Times New Roman" w:eastAsia="Times New Roman" w:hAnsi="Times New Roman"/>
          <w:sz w:val="20"/>
          <w:szCs w:val="20"/>
          <w:color w:val="auto"/>
        </w:rPr>
      </w:pPr>
    </w:p>
    <w:p>
      <w:pPr>
        <w:ind w:left="3200" w:hanging="867"/>
        <w:spacing w:after="0"/>
        <w:tabs>
          <w:tab w:leader="none" w:pos="320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applicable provision of federal, State or foreign law has been satisfied.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 NO REGISTRATION RIGHTS.</w:t>
      </w:r>
    </w:p>
    <w:p>
      <w:pPr>
        <w:spacing w:after="0" w:line="220"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0"/>
          <w:szCs w:val="20"/>
          <w:b w:val="1"/>
          <w:bCs w:val="1"/>
          <w:color w:val="auto"/>
        </w:rPr>
        <w:t>SECTION 11. RESTRICTIONS ON TRANSFER OF SHARES.</w:t>
      </w:r>
    </w:p>
    <w:p>
      <w:pPr>
        <w:spacing w:after="0" w:line="216" w:lineRule="exact"/>
        <w:rPr>
          <w:sz w:val="20"/>
          <w:szCs w:val="20"/>
          <w:color w:val="auto"/>
        </w:rPr>
      </w:pPr>
    </w:p>
    <w:p>
      <w:pPr>
        <w:jc w:val="both"/>
        <w:ind w:firstLine="1735"/>
        <w:spacing w:after="0" w:line="244" w:lineRule="auto"/>
        <w:tabs>
          <w:tab w:leader="none" w:pos="259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Securities Law Restrictions</w:t>
      </w:r>
      <w:r>
        <w:rPr>
          <w:rFonts w:ascii="Times New Roman" w:cs="Times New Roman" w:eastAsia="Times New Roman" w:hAnsi="Times New Roman"/>
          <w:sz w:val="20"/>
          <w:szCs w:val="20"/>
          <w:color w:val="auto"/>
        </w:rPr>
        <w:t>. Regardless of whether the offer and sale of Shares under the Plan have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81" w:lineRule="exact"/>
        <w:rPr>
          <w:rFonts w:ascii="Times New Roman" w:cs="Times New Roman" w:eastAsia="Times New Roman" w:hAnsi="Times New Roman"/>
          <w:sz w:val="20"/>
          <w:szCs w:val="20"/>
          <w:color w:val="auto"/>
        </w:rPr>
      </w:pPr>
    </w:p>
    <w:p>
      <w:pPr>
        <w:jc w:val="both"/>
        <w:ind w:firstLine="1735"/>
        <w:spacing w:after="0" w:line="232" w:lineRule="exact"/>
        <w:tabs>
          <w:tab w:leader="none" w:pos="260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Market Stand-Off</w:t>
      </w:r>
      <w:r>
        <w:rPr>
          <w:rFonts w:ascii="Times New Roman" w:cs="Times New Roman" w:eastAsia="Times New Roman" w:hAnsi="Times New Roman"/>
          <w:sz w:val="20"/>
          <w:szCs w:val="20"/>
          <w:color w:val="auto"/>
        </w:rPr>
        <w:t>. In connection with any underwritten public offering by the Company of its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86" w:lineRule="exact"/>
        <w:rPr>
          <w:rFonts w:ascii="Times New Roman" w:cs="Times New Roman" w:eastAsia="Times New Roman" w:hAnsi="Times New Roman"/>
          <w:sz w:val="20"/>
          <w:szCs w:val="20"/>
          <w:color w:val="auto"/>
        </w:rPr>
      </w:pPr>
    </w:p>
    <w:p>
      <w:pPr>
        <w:ind w:firstLine="1735"/>
        <w:spacing w:after="0" w:line="273" w:lineRule="auto"/>
        <w:tabs>
          <w:tab w:leader="none" w:pos="259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Intent at Grant</w:t>
      </w:r>
      <w:r>
        <w:rPr>
          <w:rFonts w:ascii="Times New Roman" w:cs="Times New Roman" w:eastAsia="Times New Roman" w:hAnsi="Times New Roman"/>
          <w:sz w:val="20"/>
          <w:szCs w:val="20"/>
          <w:color w:val="auto"/>
        </w:rPr>
        <w:t>. The Optionee represents and agrees that the Shares to be acquired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exercising this option will be acquired for investment, and not with a view to the sale or distribution thereof.</w:t>
      </w:r>
    </w:p>
    <w:p>
      <w:pPr>
        <w:spacing w:after="0" w:line="151"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Intent at Exercise</w:t>
      </w:r>
      <w:r>
        <w:rPr>
          <w:rFonts w:ascii="Times New Roman" w:cs="Times New Roman" w:eastAsia="Times New Roman" w:hAnsi="Times New Roman"/>
          <w:sz w:val="20"/>
          <w:szCs w:val="20"/>
          <w:color w:val="auto"/>
        </w:rPr>
        <w:t>. In the event that the sale of Shares under the Plan is not registered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3" w:name="page244"/>
    <w:bookmarkEnd w:id="243"/>
    <w:p>
      <w:pPr>
        <w:ind w:left="1740"/>
        <w:spacing w:after="0"/>
        <w:tabs>
          <w:tab w:leader="none" w:pos="2580" w:val="left"/>
          <w:tab w:leader="none" w:pos="352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b w:val="1"/>
          <w:bCs w:val="1"/>
          <w:color w:val="auto"/>
        </w:rPr>
        <w:t>Legends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All certificates evidencing Shares purchased under this Agreement shall bear the following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legend:</w:t>
      </w:r>
    </w:p>
    <w:p>
      <w:pPr>
        <w:spacing w:after="0" w:line="194" w:lineRule="exact"/>
        <w:rPr>
          <w:sz w:val="20"/>
          <w:szCs w:val="20"/>
          <w:color w:val="auto"/>
        </w:rPr>
      </w:pPr>
    </w:p>
    <w:p>
      <w:pPr>
        <w:jc w:val="both"/>
        <w:ind w:left="880" w:right="860"/>
        <w:spacing w:after="0" w:line="242" w:lineRule="auto"/>
        <w:rPr>
          <w:sz w:val="20"/>
          <w:szCs w:val="20"/>
          <w:color w:val="auto"/>
        </w:rPr>
      </w:pPr>
      <w:r>
        <w:rPr>
          <w:rFonts w:ascii="Times New Roman" w:cs="Times New Roman" w:eastAsia="Times New Roman" w:hAnsi="Times New Roman"/>
          <w:sz w:val="20"/>
          <w:szCs w:val="20"/>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8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159" w:lineRule="exact"/>
        <w:rPr>
          <w:sz w:val="20"/>
          <w:szCs w:val="20"/>
          <w:color w:val="auto"/>
        </w:rPr>
      </w:pPr>
    </w:p>
    <w:p>
      <w:pPr>
        <w:jc w:val="both"/>
        <w:ind w:left="880" w:right="860"/>
        <w:spacing w:after="0" w:line="242"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6" w:lineRule="exact"/>
        <w:rPr>
          <w:sz w:val="20"/>
          <w:szCs w:val="20"/>
          <w:color w:val="auto"/>
        </w:rPr>
      </w:pPr>
    </w:p>
    <w:p>
      <w:pPr>
        <w:jc w:val="both"/>
        <w:ind w:right="20" w:firstLine="1735"/>
        <w:spacing w:after="0" w:line="256" w:lineRule="auto"/>
        <w:tabs>
          <w:tab w:leader="none" w:pos="2573"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Removal of Legends</w:t>
      </w:r>
      <w:r>
        <w:rPr>
          <w:rFonts w:ascii="Times New Roman" w:cs="Times New Roman" w:eastAsia="Times New Roman" w:hAnsi="Times New Roman"/>
          <w:sz w:val="20"/>
          <w:szCs w:val="20"/>
          <w:color w:val="auto"/>
        </w:rPr>
        <w:t>. If, in the opinion of the Company and its counsel, any legend placed on a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representing Shares sold under this Agreement is no longer required, the holder of such certificate shall be entitled to exchange such certificate for a certificate representing the same number of Shares but without such legend.</w:t>
      </w:r>
    </w:p>
    <w:p>
      <w:pPr>
        <w:spacing w:after="0" w:line="168"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Any determination by the Company and its counsel in connection with any of the matters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this Section 11 shall be conclusive and binding on the Optionee and all other persons.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0"/>
          <w:szCs w:val="20"/>
          <w:b w:val="1"/>
          <w:bCs w:val="1"/>
          <w:color w:val="auto"/>
        </w:rPr>
        <w:t>SECTION 12. ADJUSTMENT OF SHARES.</w:t>
      </w:r>
    </w:p>
    <w:p>
      <w:pPr>
        <w:spacing w:after="0" w:line="220"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0"/>
          <w:szCs w:val="20"/>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13. MISCELLANEOUS PROVISIONS.</w:t>
      </w:r>
    </w:p>
    <w:p>
      <w:pPr>
        <w:spacing w:after="0" w:line="216" w:lineRule="exact"/>
        <w:rPr>
          <w:sz w:val="20"/>
          <w:szCs w:val="20"/>
          <w:color w:val="auto"/>
        </w:rPr>
      </w:pPr>
    </w:p>
    <w:p>
      <w:pPr>
        <w:jc w:val="both"/>
        <w:ind w:firstLine="1735"/>
        <w:spacing w:after="0" w:line="256" w:lineRule="auto"/>
        <w:tabs>
          <w:tab w:leader="none" w:pos="259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Rights as a Stockholder</w:t>
      </w:r>
      <w:r>
        <w:rPr>
          <w:rFonts w:ascii="Times New Roman" w:cs="Times New Roman" w:eastAsia="Times New Roman" w:hAnsi="Times New Roman"/>
          <w:sz w:val="20"/>
          <w:szCs w:val="20"/>
          <w:color w:val="auto"/>
        </w:rPr>
        <w:t>. Neither the Optionee nor the Optionee’s representative shall have any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68"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Retention Rights</w:t>
      </w:r>
      <w:r>
        <w:rPr>
          <w:rFonts w:ascii="Times New Roman" w:cs="Times New Roman" w:eastAsia="Times New Roman" w:hAnsi="Times New Roman"/>
          <w:sz w:val="20"/>
          <w:szCs w:val="20"/>
          <w:color w:val="auto"/>
        </w:rPr>
        <w:t>. Nothing in this option or in the Plan shall confer upon the Optionee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75" w:lineRule="exact"/>
        <w:rPr>
          <w:rFonts w:ascii="Times New Roman" w:cs="Times New Roman" w:eastAsia="Times New Roman" w:hAnsi="Times New Roman"/>
          <w:sz w:val="20"/>
          <w:szCs w:val="20"/>
          <w:color w:val="auto"/>
        </w:rPr>
      </w:pPr>
    </w:p>
    <w:p>
      <w:pPr>
        <w:jc w:val="both"/>
        <w:ind w:firstLine="1735"/>
        <w:spacing w:after="0" w:line="247" w:lineRule="auto"/>
        <w:tabs>
          <w:tab w:leader="none" w:pos="259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Any notice required by the terms of this Agreement shall be given in writing. It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Notice shall be addressed to the Company at its principal executive office and to the Optionee at the address that he or she most recently provided to the Company in accordance with this Subsection (c).</w:t>
      </w:r>
    </w:p>
    <w:p>
      <w:pPr>
        <w:spacing w:after="0" w:line="180"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Modifications and Waivers</w:t>
      </w:r>
      <w:r>
        <w:rPr>
          <w:rFonts w:ascii="Times New Roman" w:cs="Times New Roman" w:eastAsia="Times New Roman" w:hAnsi="Times New Roman"/>
          <w:sz w:val="20"/>
          <w:szCs w:val="20"/>
          <w:color w:val="auto"/>
        </w:rPr>
        <w:t>. No provision of this Agreement shall be modified, waived or discharged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rFonts w:ascii="Times New Roman" w:cs="Times New Roman" w:eastAsia="Times New Roman" w:hAnsi="Times New Roman"/>
          <w:sz w:val="20"/>
          <w:szCs w:val="20"/>
          <w:color w:val="auto"/>
        </w:rPr>
      </w:pPr>
    </w:p>
    <w:p>
      <w:pPr>
        <w:jc w:val="both"/>
        <w:ind w:firstLine="1735"/>
        <w:spacing w:after="0" w:line="256" w:lineRule="auto"/>
        <w:tabs>
          <w:tab w:leader="none" w:pos="259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The Notice of Stock Option Grant, this Agreement and the Plan constitute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68" w:lineRule="exact"/>
        <w:rPr>
          <w:rFonts w:ascii="Times New Roman" w:cs="Times New Roman" w:eastAsia="Times New Roman" w:hAnsi="Times New Roman"/>
          <w:sz w:val="20"/>
          <w:szCs w:val="20"/>
          <w:color w:val="auto"/>
        </w:rPr>
      </w:pPr>
    </w:p>
    <w:p>
      <w:pPr>
        <w:ind w:firstLine="1735"/>
        <w:spacing w:after="0" w:line="273" w:lineRule="auto"/>
        <w:tabs>
          <w:tab w:leader="none" w:pos="2573"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Choice of Law</w:t>
      </w:r>
      <w:r>
        <w:rPr>
          <w:rFonts w:ascii="Times New Roman" w:cs="Times New Roman" w:eastAsia="Times New Roman" w:hAnsi="Times New Roman"/>
          <w:sz w:val="20"/>
          <w:szCs w:val="20"/>
          <w:color w:val="auto"/>
        </w:rPr>
        <w:t>. This Agreement shall be governed by, and construed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as such laws are applied to contracts entered into and performed in such State.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14. ACKNOWLEDGEMENTS OF THE OPTIONEE.</w:t>
      </w:r>
    </w:p>
    <w:p>
      <w:pPr>
        <w:spacing w:after="0" w:line="220" w:lineRule="exact"/>
        <w:rPr>
          <w:sz w:val="20"/>
          <w:szCs w:val="20"/>
          <w:color w:val="auto"/>
        </w:rPr>
      </w:pPr>
    </w:p>
    <w:p>
      <w:pPr>
        <w:jc w:val="both"/>
        <w:ind w:firstLine="1727"/>
        <w:spacing w:after="0" w:line="249" w:lineRule="auto"/>
        <w:rPr>
          <w:sz w:val="20"/>
          <w:szCs w:val="20"/>
          <w:color w:val="auto"/>
        </w:rPr>
      </w:pPr>
      <w:r>
        <w:rPr>
          <w:rFonts w:ascii="Times New Roman" w:cs="Times New Roman" w:eastAsia="Times New Roman" w:hAnsi="Times New Roman"/>
          <w:sz w:val="20"/>
          <w:szCs w:val="20"/>
          <w:color w:val="auto"/>
        </w:rPr>
        <w:t>In addition to the other terms, conditions and restrictions imposed on this option and the Shares issuable under this option pursuant to this Agreement and the Plan, the Optionee expressly acknowledges being subject to Sections 7 (Right of Repurchase), 8 (Right of First Refusal), 9 (Legality of Initial Issuance) and 11 (Restrictions on Transfer of Shares, including without limitation the Market Stand-Off), as well as the following provisions: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5" w:name="page246"/>
    <w:bookmarkEnd w:id="245"/>
    <w:p>
      <w:pPr>
        <w:jc w:val="both"/>
        <w:ind w:firstLine="1735"/>
        <w:spacing w:after="0" w:line="243" w:lineRule="auto"/>
        <w:tabs>
          <w:tab w:leader="none" w:pos="2595"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Consequences</w:t>
      </w:r>
      <w:r>
        <w:rPr>
          <w:rFonts w:ascii="Times New Roman" w:cs="Times New Roman" w:eastAsia="Times New Roman" w:hAnsi="Times New Roman"/>
          <w:sz w:val="20"/>
          <w:szCs w:val="20"/>
          <w:color w:val="auto"/>
        </w:rPr>
        <w:t>. The Optionee agrees that the Company does not have a duty to design or administer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85" w:lineRule="exact"/>
        <w:rPr>
          <w:rFonts w:ascii="Times New Roman" w:cs="Times New Roman" w:eastAsia="Times New Roman" w:hAnsi="Times New Roman"/>
          <w:sz w:val="20"/>
          <w:szCs w:val="20"/>
          <w:color w:val="auto"/>
        </w:rPr>
      </w:pPr>
    </w:p>
    <w:p>
      <w:pPr>
        <w:jc w:val="both"/>
        <w:ind w:firstLine="1735"/>
        <w:spacing w:after="0" w:line="244" w:lineRule="auto"/>
        <w:tabs>
          <w:tab w:leader="none" w:pos="2606"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Delivery of Documents</w:t>
      </w:r>
      <w:r>
        <w:rPr>
          <w:rFonts w:ascii="Times New Roman" w:cs="Times New Roman" w:eastAsia="Times New Roman" w:hAnsi="Times New Roman"/>
          <w:sz w:val="20"/>
          <w:szCs w:val="20"/>
          <w:color w:val="auto"/>
        </w:rPr>
        <w:t>. The Optionee agrees to accept by email all documents relating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the 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81" w:lineRule="exact"/>
        <w:rPr>
          <w:rFonts w:ascii="Times New Roman" w:cs="Times New Roman" w:eastAsia="Times New Roman" w:hAnsi="Times New Roman"/>
          <w:sz w:val="20"/>
          <w:szCs w:val="20"/>
          <w:color w:val="auto"/>
        </w:rPr>
      </w:pPr>
    </w:p>
    <w:p>
      <w:pPr>
        <w:jc w:val="both"/>
        <w:ind w:firstLine="1735"/>
        <w:spacing w:after="0" w:line="246" w:lineRule="auto"/>
        <w:tabs>
          <w:tab w:leader="none" w:pos="2595"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Notice of Expiration Date</w:t>
      </w:r>
      <w:r>
        <w:rPr>
          <w:rFonts w:ascii="Times New Roman" w:cs="Times New Roman" w:eastAsia="Times New Roman" w:hAnsi="Times New Roman"/>
          <w:sz w:val="20"/>
          <w:szCs w:val="20"/>
          <w:color w:val="auto"/>
        </w:rPr>
        <w:t>. The Optionee agrees that the Company and its officers,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178"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Statutory Information Rights</w:t>
      </w:r>
      <w:r>
        <w:rPr>
          <w:rFonts w:ascii="Times New Roman" w:cs="Times New Roman" w:eastAsia="Times New Roman" w:hAnsi="Times New Roman"/>
          <w:sz w:val="20"/>
          <w:szCs w:val="20"/>
          <w:color w:val="auto"/>
        </w:rPr>
        <w:t>. The Optionee acknowledges and agrees that, upon exercise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option and until the first sale of the Company’s Stock to the general public pursuant to a registration statement filed under the Securities Act, he or she will be deemed to have waived any rights the Optionee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the Optionee’s capacity as a stockholder and does not affect any other inspection rights the Optionee may have under other law or pursuant to a written agreement with the Company.</w:t>
      </w:r>
    </w:p>
    <w:p>
      <w:pPr>
        <w:spacing w:after="0" w:line="179"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Plan Discretionary</w:t>
      </w:r>
      <w:r>
        <w:rPr>
          <w:rFonts w:ascii="Times New Roman" w:cs="Times New Roman" w:eastAsia="Times New Roman" w:hAnsi="Times New Roman"/>
          <w:sz w:val="20"/>
          <w:szCs w:val="20"/>
          <w:color w:val="auto"/>
        </w:rPr>
        <w:t>. The Optionee understands and acknowledges that (i) the Plan is entirely discretionary,</w:t>
      </w:r>
    </w:p>
    <w:p>
      <w:pPr>
        <w:spacing w:after="0" w:line="25" w:lineRule="exact"/>
        <w:rPr>
          <w:rFonts w:ascii="Times New Roman" w:cs="Times New Roman" w:eastAsia="Times New Roman" w:hAnsi="Times New Roman"/>
          <w:sz w:val="20"/>
          <w:szCs w:val="20"/>
          <w:color w:val="auto"/>
        </w:rPr>
      </w:pPr>
    </w:p>
    <w:p>
      <w:pPr>
        <w:jc w:val="both"/>
        <w:ind w:firstLine="8"/>
        <w:spacing w:after="0" w:line="241" w:lineRule="auto"/>
        <w:tabs>
          <w:tab w:leader="none" w:pos="29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6" w:name="page247"/>
    <w:bookmarkEnd w:id="246"/>
    <w:p>
      <w:pPr>
        <w:ind w:right="20" w:firstLine="1735"/>
        <w:spacing w:after="0" w:line="273" w:lineRule="auto"/>
        <w:tabs>
          <w:tab w:leader="none" w:pos="2573"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Service</w:t>
      </w:r>
      <w:r>
        <w:rPr>
          <w:rFonts w:ascii="Times New Roman" w:cs="Times New Roman" w:eastAsia="Times New Roman" w:hAnsi="Times New Roman"/>
          <w:sz w:val="20"/>
          <w:szCs w:val="20"/>
          <w:color w:val="auto"/>
        </w:rPr>
        <w:t>. The Optionee understands and acknowledges that participation in the Plan ceases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termination of his or her Service for any reason, except as may explicitly be provided otherwise in the Plan or this Agreement.</w:t>
      </w:r>
    </w:p>
    <w:p>
      <w:pPr>
        <w:spacing w:after="0" w:line="151"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Extraordinary Compensation</w:t>
      </w:r>
      <w:r>
        <w:rPr>
          <w:rFonts w:ascii="Times New Roman" w:cs="Times New Roman" w:eastAsia="Times New Roman" w:hAnsi="Times New Roman"/>
          <w:sz w:val="20"/>
          <w:szCs w:val="20"/>
          <w:color w:val="auto"/>
        </w:rPr>
        <w:t>. The value of this option shall be an extraordinary item of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the scope of the 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75"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Authorization to Disclose</w:t>
      </w:r>
      <w:r>
        <w:rPr>
          <w:rFonts w:ascii="Times New Roman" w:cs="Times New Roman" w:eastAsia="Times New Roman" w:hAnsi="Times New Roman"/>
          <w:sz w:val="20"/>
          <w:szCs w:val="20"/>
          <w:color w:val="auto"/>
        </w:rPr>
        <w:t>. The Optionee hereby authorizes and directs the Optionee’s employer to disclose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175" w:lineRule="exact"/>
        <w:rPr>
          <w:rFonts w:ascii="Times New Roman" w:cs="Times New Roman" w:eastAsia="Times New Roman" w:hAnsi="Times New Roman"/>
          <w:sz w:val="20"/>
          <w:szCs w:val="20"/>
          <w:color w:val="auto"/>
        </w:rPr>
      </w:pPr>
    </w:p>
    <w:p>
      <w:pPr>
        <w:jc w:val="both"/>
        <w:ind w:firstLine="1735"/>
        <w:spacing w:after="0" w:line="241" w:lineRule="auto"/>
        <w:tabs>
          <w:tab w:leader="none" w:pos="2562"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Personal Data Authorization</w:t>
      </w:r>
      <w:r>
        <w:rPr>
          <w:rFonts w:ascii="Times New Roman" w:cs="Times New Roman" w:eastAsia="Times New Roman" w:hAnsi="Times New Roman"/>
          <w:sz w:val="20"/>
          <w:szCs w:val="20"/>
          <w:color w:val="auto"/>
        </w:rPr>
        <w:t>. The Optionee consents to the collection, use and transfer of personal data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described in 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15. DEFINITIONS.</w:t>
      </w:r>
    </w:p>
    <w:p>
      <w:pPr>
        <w:spacing w:after="0" w:line="216" w:lineRule="exact"/>
        <w:rPr>
          <w:sz w:val="20"/>
          <w:szCs w:val="20"/>
          <w:color w:val="auto"/>
        </w:rPr>
      </w:pPr>
    </w:p>
    <w:p>
      <w:pPr>
        <w:ind w:left="2600" w:hanging="865"/>
        <w:spacing w:after="0"/>
        <w:tabs>
          <w:tab w:leader="none" w:pos="260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mean this Stock Option Agreement.</w:t>
      </w:r>
    </w:p>
    <w:p>
      <w:pPr>
        <w:spacing w:after="0" w:line="215" w:lineRule="exact"/>
        <w:rPr>
          <w:rFonts w:ascii="Times New Roman" w:cs="Times New Roman" w:eastAsia="Times New Roman" w:hAnsi="Times New Roman"/>
          <w:sz w:val="20"/>
          <w:szCs w:val="20"/>
          <w:color w:val="auto"/>
        </w:rPr>
      </w:pPr>
    </w:p>
    <w:p>
      <w:pPr>
        <w:ind w:right="20" w:firstLine="1735"/>
        <w:spacing w:after="0" w:line="273" w:lineRule="auto"/>
        <w:tabs>
          <w:tab w:leader="none" w:pos="260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shall mean the Board of Directors of the Company, as constituted from time to time or, if a Committee has been appointed, such Committee.</w:t>
      </w:r>
    </w:p>
    <w:p>
      <w:pPr>
        <w:spacing w:after="0" w:line="151"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mean Tarsus Pharmaceuticals, Inc., a Delaware corporation.</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w:t>
      </w:r>
      <w:r>
        <w:rPr>
          <w:rFonts w:ascii="Times New Roman" w:cs="Times New Roman" w:eastAsia="Times New Roman" w:hAnsi="Times New Roman"/>
          <w:sz w:val="20"/>
          <w:szCs w:val="20"/>
          <w:color w:val="auto"/>
        </w:rPr>
        <w:t>” shall mean any child, stepchild, grandchild, parent, stepparent, grandparent, spouse, sibling, mother-in-law, father-in-law, son-in-law, daughter-in-law, brother-in-law or sister-in-law and shall include adoptive relationships.</w:t>
      </w:r>
    </w:p>
    <w:p>
      <w:pPr>
        <w:spacing w:after="0" w:line="151"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Optionee</w:t>
      </w:r>
      <w:r>
        <w:rPr>
          <w:rFonts w:ascii="Times New Roman" w:cs="Times New Roman" w:eastAsia="Times New Roman" w:hAnsi="Times New Roman"/>
          <w:sz w:val="20"/>
          <w:szCs w:val="20"/>
          <w:color w:val="auto"/>
        </w:rPr>
        <w:t>” shall mean the person named in the Notice of Stock Option Grant.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7" w:name="page248"/>
    <w:bookmarkEnd w:id="247"/>
    <w:p>
      <w:pPr>
        <w:ind w:left="2580" w:hanging="845"/>
        <w:spacing w:after="0"/>
        <w:tabs>
          <w:tab w:leader="none" w:pos="258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shall mean the Tarsus Pharmaceuticals, Inc. 2016 Stock Plan, as in effect on the Date of Grant.</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shall mean the Exercise Price multiplied by the number of Shares with respect to which</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is being exercised.</w:t>
      </w:r>
    </w:p>
    <w:p>
      <w:pPr>
        <w:spacing w:after="0" w:line="189"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Repurchase Period</w:t>
      </w:r>
      <w:r>
        <w:rPr>
          <w:rFonts w:ascii="Times New Roman" w:cs="Times New Roman" w:eastAsia="Times New Roman" w:hAnsi="Times New Roman"/>
          <w:sz w:val="20"/>
          <w:szCs w:val="20"/>
          <w:color w:val="auto"/>
        </w:rPr>
        <w:t>” shall mean a period of 90 consecutive days commencing on the date when the Optionee’s Service terminates for any reason, including (without limitation) death or disability.</w:t>
      </w:r>
    </w:p>
    <w:p>
      <w:pPr>
        <w:spacing w:after="0" w:line="151"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Share</w:t>
      </w:r>
      <w:r>
        <w:rPr>
          <w:rFonts w:ascii="Times New Roman" w:cs="Times New Roman" w:eastAsia="Times New Roman" w:hAnsi="Times New Roman"/>
          <w:sz w:val="20"/>
          <w:szCs w:val="20"/>
          <w:color w:val="auto"/>
        </w:rPr>
        <w:t>” shall mean a Share that is subject to the Right of Repurchase.</w:t>
      </w:r>
    </w:p>
    <w:p>
      <w:pPr>
        <w:spacing w:after="0" w:line="215"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shall mean the Company’s right of first refusal described in Section 8.</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Repurchase</w:t>
      </w:r>
      <w:r>
        <w:rPr>
          <w:rFonts w:ascii="Times New Roman" w:cs="Times New Roman" w:eastAsia="Times New Roman" w:hAnsi="Times New Roman"/>
          <w:sz w:val="20"/>
          <w:szCs w:val="20"/>
          <w:color w:val="auto"/>
        </w:rPr>
        <w:t>” shall mean the Company’s right of repurchase described in Section 7.</w:t>
      </w:r>
    </w:p>
    <w:p>
      <w:pPr>
        <w:spacing w:after="0" w:line="215"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shall mean service as an Employee, Outside Director or Consultant.</w:t>
      </w:r>
    </w:p>
    <w:p>
      <w:pPr>
        <w:spacing w:after="0" w:line="215" w:lineRule="exact"/>
        <w:rPr>
          <w:rFonts w:ascii="Times New Roman" w:cs="Times New Roman" w:eastAsia="Times New Roman" w:hAnsi="Times New Roman"/>
          <w:sz w:val="20"/>
          <w:szCs w:val="20"/>
          <w:color w:val="auto"/>
        </w:rPr>
      </w:pPr>
    </w:p>
    <w:p>
      <w:pPr>
        <w:ind w:left="2660" w:hanging="925"/>
        <w:spacing w:after="0"/>
        <w:tabs>
          <w:tab w:leader="none" w:pos="266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shall mean any person to whom the Optionee has directly or indirectly transferred any Share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under this Agreement.</w:t>
      </w:r>
    </w:p>
    <w:p>
      <w:pPr>
        <w:spacing w:after="0" w:line="189"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shall mean the notice of a proposed transfer of Shares described in Section 8.</w:t>
      </w:r>
    </w:p>
    <w:p>
      <w:pPr>
        <w:spacing w:after="0" w:line="215"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NSTALLMENT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You must sign this Notice on Page 3 before submitting it to the Company.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PTIONEE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w:t>
            </w:r>
            <w:r>
              <w:rPr>
                <w:rFonts w:ascii="Times New Roman" w:cs="Times New Roman" w:eastAsia="Times New Roman" w:hAnsi="Times New Roman"/>
                <w:sz w:val="20"/>
                <w:szCs w:val="20"/>
                <w:b w:val="1"/>
                <w:bCs w:val="1"/>
                <w:color w:val="auto"/>
              </w:rPr>
              <w:t>:</w:t>
            </w:r>
          </w:p>
        </w:tc>
        <w:tc>
          <w:tcPr>
            <w:tcW w:w="2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80" w:type="dxa"/>
            <w:vAlign w:val="bottom"/>
          </w:tcPr>
          <w:p>
            <w:pPr>
              <w:spacing w:after="0"/>
              <w:rPr>
                <w:sz w:val="22"/>
                <w:szCs w:val="22"/>
                <w:color w:val="auto"/>
              </w:rPr>
            </w:pPr>
          </w:p>
        </w:tc>
      </w:tr>
      <w:tr>
        <w:trPr>
          <w:trHeight w:val="467"/>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28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Social Security Number:</w:t>
            </w:r>
          </w:p>
        </w:tc>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3"/>
        </w:trPr>
        <w:tc>
          <w:tcPr>
            <w:tcW w:w="9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Address:</w:t>
            </w:r>
          </w:p>
        </w:tc>
        <w:tc>
          <w:tcPr>
            <w:tcW w:w="4100" w:type="dxa"/>
            <w:vAlign w:val="bottom"/>
            <w:tcBorders>
              <w:top w:val="single" w:sz="8" w:color="auto"/>
              <w:bottom w:val="single" w:sz="8" w:color="auto"/>
            </w:tcBorders>
          </w:tcPr>
          <w:p>
            <w:pPr>
              <w:spacing w:after="0"/>
              <w:rPr>
                <w:sz w:val="19"/>
                <w:szCs w:val="19"/>
                <w:color w:val="auto"/>
              </w:rPr>
            </w:pPr>
          </w:p>
        </w:tc>
        <w:tc>
          <w:tcPr>
            <w:tcW w:w="2800" w:type="dxa"/>
            <w:vAlign w:val="bottom"/>
          </w:tcPr>
          <w:p>
            <w:pPr>
              <w:ind w:left="420"/>
              <w:spacing w:after="0" w:line="223" w:lineRule="exact"/>
              <w:rPr>
                <w:sz w:val="20"/>
                <w:szCs w:val="20"/>
                <w:color w:val="auto"/>
              </w:rPr>
            </w:pPr>
            <w:r>
              <w:rPr>
                <w:rFonts w:ascii="Times New Roman" w:cs="Times New Roman" w:eastAsia="Times New Roman" w:hAnsi="Times New Roman"/>
                <w:sz w:val="20"/>
                <w:szCs w:val="20"/>
                <w:color w:val="auto"/>
              </w:rPr>
              <w:t>Employee Number:</w:t>
            </w:r>
          </w:p>
        </w:tc>
        <w:tc>
          <w:tcPr>
            <w:tcW w:w="500" w:type="dxa"/>
            <w:vAlign w:val="bottom"/>
          </w:tcPr>
          <w:p>
            <w:pPr>
              <w:spacing w:after="0"/>
              <w:rPr>
                <w:sz w:val="19"/>
                <w:szCs w:val="19"/>
                <w:color w:val="auto"/>
              </w:rPr>
            </w:pPr>
          </w:p>
        </w:tc>
        <w:tc>
          <w:tcPr>
            <w:tcW w:w="2880" w:type="dxa"/>
            <w:vAlign w:val="bottom"/>
            <w:tcBorders>
              <w:top w:val="single" w:sz="8" w:color="auto"/>
              <w:bottom w:val="single" w:sz="8" w:color="auto"/>
            </w:tcBorders>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45"/>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w:t>
            </w:r>
            <w:r>
              <w:rPr>
                <w:rFonts w:ascii="Times New Roman" w:cs="Times New Roman" w:eastAsia="Times New Roman" w:hAnsi="Times New Roman"/>
                <w:sz w:val="20"/>
                <w:szCs w:val="20"/>
                <w:b w:val="1"/>
                <w:bCs w:val="1"/>
                <w:color w:val="auto"/>
              </w:rPr>
              <w:t>:</w:t>
            </w: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73"/>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of Grant: _____________ ___, 20__</w:t>
            </w:r>
          </w:p>
        </w:tc>
        <w:tc>
          <w:tcPr>
            <w:tcW w:w="2800" w:type="dxa"/>
            <w:vAlign w:val="bottom"/>
          </w:tcPr>
          <w:p>
            <w:pPr>
              <w:spacing w:after="0"/>
              <w:rPr>
                <w:sz w:val="24"/>
                <w:szCs w:val="24"/>
                <w:color w:val="auto"/>
              </w:rPr>
            </w:pPr>
          </w:p>
        </w:tc>
        <w:tc>
          <w:tcPr>
            <w:tcW w:w="33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Type of Stock Option:</w:t>
            </w:r>
          </w:p>
        </w:tc>
      </w:tr>
      <w:tr>
        <w:trPr>
          <w:trHeight w:val="371"/>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Price per Share: $________</w:t>
            </w:r>
          </w:p>
        </w:tc>
        <w:tc>
          <w:tcPr>
            <w:tcW w:w="2800" w:type="dxa"/>
            <w:vAlign w:val="bottom"/>
          </w:tcPr>
          <w:p>
            <w:pPr>
              <w:spacing w:after="0"/>
              <w:rPr>
                <w:sz w:val="24"/>
                <w:szCs w:val="24"/>
                <w:color w:val="auto"/>
              </w:rPr>
            </w:pPr>
          </w:p>
        </w:tc>
        <w:tc>
          <w:tcPr>
            <w:tcW w:w="3380" w:type="dxa"/>
            <w:vAlign w:val="bottom"/>
            <w:gridSpan w:val="2"/>
          </w:tcPr>
          <w:p>
            <w:pPr>
              <w:ind w:left="42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Nonstatutory (NSO)</w:t>
            </w:r>
          </w:p>
        </w:tc>
      </w:tr>
      <w:tr>
        <w:trPr>
          <w:trHeight w:val="289"/>
        </w:trPr>
        <w:tc>
          <w:tcPr>
            <w:tcW w:w="7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number of shares of Common Stock of Tarsus Pharmaceuticals, Inc. (the</w:t>
            </w:r>
          </w:p>
        </w:tc>
        <w:tc>
          <w:tcPr>
            <w:tcW w:w="3380" w:type="dxa"/>
            <w:vAlign w:val="bottom"/>
            <w:gridSpan w:val="2"/>
          </w:tcPr>
          <w:p>
            <w:pPr>
              <w:ind w:left="42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Incentive (ISO)</w:t>
            </w:r>
          </w:p>
        </w:tc>
      </w:tr>
      <w:tr>
        <w:trPr>
          <w:trHeight w:val="258"/>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covered by the option: __________________</w:t>
            </w:r>
          </w:p>
        </w:tc>
        <w:tc>
          <w:tcPr>
            <w:tcW w:w="2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80" w:type="dxa"/>
            <w:vAlign w:val="bottom"/>
          </w:tcPr>
          <w:p>
            <w:pPr>
              <w:spacing w:after="0"/>
              <w:rPr>
                <w:sz w:val="22"/>
                <w:szCs w:val="22"/>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of Common Stock of the Company for which the option is being exercised now: ________________. (These shares are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referred to below as the “Purchased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Exercise Price for the Purchased Shares: $____________</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Form of payment enclosed </w:t>
      </w:r>
      <w:r>
        <w:rPr>
          <w:rFonts w:ascii="Times New Roman" w:cs="Times New Roman" w:eastAsia="Times New Roman" w:hAnsi="Times New Roman"/>
          <w:sz w:val="20"/>
          <w:szCs w:val="20"/>
          <w:b w:val="1"/>
          <w:bCs w:val="1"/>
          <w:i w:val="1"/>
          <w:iCs w:val="1"/>
          <w:color w:val="auto"/>
        </w:rPr>
        <w:t>[check all that apply]</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380" w:hanging="372"/>
        <w:spacing w:after="0"/>
        <w:tabs>
          <w:tab w:leader="none" w:pos="380" w:val="left"/>
        </w:tabs>
        <w:numPr>
          <w:ilvl w:val="0"/>
          <w:numId w:val="22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Check for $____________, payable to “Tarsus Pharmaceuticals, Inc.”</w:t>
      </w:r>
    </w:p>
    <w:p>
      <w:pPr>
        <w:spacing w:after="0" w:line="121" w:lineRule="exact"/>
        <w:rPr>
          <w:rFonts w:ascii="MS PGothic" w:cs="MS PGothic" w:eastAsia="MS PGothic" w:hAnsi="MS PGothic"/>
          <w:sz w:val="20"/>
          <w:szCs w:val="20"/>
          <w:color w:val="auto"/>
        </w:rPr>
      </w:pPr>
    </w:p>
    <w:p>
      <w:pPr>
        <w:ind w:left="420" w:right="60" w:hanging="412"/>
        <w:spacing w:after="0" w:line="269" w:lineRule="auto"/>
        <w:tabs>
          <w:tab w:leader="none" w:pos="388" w:val="left"/>
        </w:tabs>
        <w:numPr>
          <w:ilvl w:val="0"/>
          <w:numId w:val="22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Certificate(s) for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p>
    <w:p>
      <w:pPr>
        <w:spacing w:after="0" w:line="64" w:lineRule="exact"/>
        <w:rPr>
          <w:rFonts w:ascii="MS PGothic" w:cs="MS PGothic" w:eastAsia="MS PGothic" w:hAnsi="MS PGothic"/>
          <w:sz w:val="20"/>
          <w:szCs w:val="20"/>
          <w:color w:val="auto"/>
        </w:rPr>
      </w:pPr>
    </w:p>
    <w:p>
      <w:pPr>
        <w:ind w:left="420" w:right="20" w:hanging="412"/>
        <w:spacing w:after="0" w:line="269" w:lineRule="auto"/>
        <w:tabs>
          <w:tab w:leader="none" w:pos="377" w:val="left"/>
        </w:tabs>
        <w:numPr>
          <w:ilvl w:val="0"/>
          <w:numId w:val="22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Attestation Form covering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p>
    <w:p>
      <w:pPr>
        <w:spacing w:after="0" w:line="263"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color w:val="auto"/>
        </w:rPr>
        <w:t xml:space="preserve">Name(s) in which the Purchased Shares should be registered </w:t>
      </w:r>
      <w:r>
        <w:rPr>
          <w:rFonts w:ascii="Times New Roman" w:cs="Times New Roman" w:eastAsia="Times New Roman" w:hAnsi="Times New Roman"/>
          <w:sz w:val="20"/>
          <w:szCs w:val="20"/>
          <w:b w:val="1"/>
          <w:bCs w:val="1"/>
          <w:i w:val="1"/>
          <w:iCs w:val="1"/>
          <w:color w:val="auto"/>
        </w:rPr>
        <w:t>[please review the attached explanation of the available forms of ownership,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then check one box]</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ind w:left="380" w:hanging="372"/>
        <w:spacing w:after="0"/>
        <w:tabs>
          <w:tab w:leader="none" w:pos="380" w:val="left"/>
        </w:tabs>
        <w:numPr>
          <w:ilvl w:val="0"/>
          <w:numId w:val="23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my name only</w:t>
      </w:r>
    </w:p>
    <w:p>
      <w:pPr>
        <w:sectPr>
          <w:pgSz w:w="11900" w:h="16838" w:orient="portrait"/>
          <w:cols w:equalWidth="0" w:num="1">
            <w:col w:w="11240"/>
          </w:cols>
          <w:pgMar w:left="320" w:top="329" w:right="339" w:bottom="1440" w:gutter="0" w:footer="0" w:header="0"/>
        </w:sectPr>
      </w:pPr>
    </w:p>
    <w:p>
      <w:pPr>
        <w:spacing w:after="0" w:line="121" w:lineRule="exact"/>
        <w:rPr>
          <w:sz w:val="20"/>
          <w:szCs w:val="20"/>
          <w:color w:val="auto"/>
        </w:rPr>
      </w:pPr>
    </w:p>
    <w:p>
      <w:pPr>
        <w:ind w:left="420" w:right="740" w:hanging="412"/>
        <w:spacing w:after="0" w:line="269" w:lineRule="auto"/>
        <w:tabs>
          <w:tab w:leader="none" w:pos="388" w:val="left"/>
        </w:tabs>
        <w:numPr>
          <w:ilvl w:val="0"/>
          <w:numId w:val="23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the names of my spouse and myself as community property</w:t>
      </w:r>
    </w:p>
    <w:p>
      <w:pPr>
        <w:spacing w:after="0" w:line="64" w:lineRule="exact"/>
        <w:rPr>
          <w:rFonts w:ascii="MS PGothic" w:cs="MS PGothic" w:eastAsia="MS PGothic" w:hAnsi="MS PGothic"/>
          <w:sz w:val="20"/>
          <w:szCs w:val="20"/>
          <w:color w:val="auto"/>
        </w:rPr>
      </w:pPr>
    </w:p>
    <w:p>
      <w:pPr>
        <w:ind w:left="420" w:right="740" w:hanging="412"/>
        <w:spacing w:after="0" w:line="269" w:lineRule="auto"/>
        <w:tabs>
          <w:tab w:leader="none" w:pos="388" w:val="left"/>
        </w:tabs>
        <w:numPr>
          <w:ilvl w:val="0"/>
          <w:numId w:val="23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the names of my spouse and myself as community property with the right of survivorship</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spouse’s name (if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638810</wp:posOffset>
            </wp:positionV>
            <wp:extent cx="714946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5320" w:space="720"/>
            <w:col w:w="5200"/>
          </w:cols>
          <w:pgMar w:left="320" w:top="329" w:right="339" w:bottom="1440" w:gutter="0" w:footer="0" w:header="0"/>
          <w:type w:val="continuous"/>
        </w:sectPr>
      </w:pPr>
    </w:p>
    <w:bookmarkStart w:id="249" w:name="page250"/>
    <w:bookmarkEnd w:id="249"/>
    <w:p>
      <w:pPr>
        <w:ind w:left="420" w:right="320" w:hanging="412"/>
        <w:spacing w:after="0" w:line="269" w:lineRule="auto"/>
        <w:tabs>
          <w:tab w:leader="none" w:pos="339" w:val="left"/>
        </w:tabs>
        <w:numPr>
          <w:ilvl w:val="0"/>
          <w:numId w:val="23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the names of my spouse and myself as joint tenants with the right of survivorship</w:t>
      </w:r>
    </w:p>
    <w:p>
      <w:pPr>
        <w:spacing w:after="0" w:line="60" w:lineRule="exact"/>
        <w:rPr>
          <w:rFonts w:ascii="MS PGothic" w:cs="MS PGothic" w:eastAsia="MS PGothic" w:hAnsi="MS PGothic"/>
          <w:sz w:val="20"/>
          <w:szCs w:val="20"/>
          <w:color w:val="auto"/>
        </w:rPr>
      </w:pPr>
    </w:p>
    <w:p>
      <w:pPr>
        <w:ind w:left="340" w:hanging="332"/>
        <w:spacing w:after="0"/>
        <w:tabs>
          <w:tab w:leader="none" w:pos="340" w:val="left"/>
        </w:tabs>
        <w:numPr>
          <w:ilvl w:val="0"/>
          <w:numId w:val="23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In the name of an eligible revocable trust </w:t>
      </w:r>
      <w:r>
        <w:rPr>
          <w:rFonts w:ascii="Times New Roman" w:cs="Times New Roman" w:eastAsia="Times New Roman" w:hAnsi="Times New Roman"/>
          <w:sz w:val="20"/>
          <w:szCs w:val="20"/>
          <w:b w:val="1"/>
          <w:bCs w:val="1"/>
          <w:i w:val="1"/>
          <w:iCs w:val="1"/>
          <w:color w:val="auto"/>
        </w:rPr>
        <w:t>[requires Stock</w:t>
      </w:r>
    </w:p>
    <w:p>
      <w:pPr>
        <w:spacing w:after="0" w:line="25" w:lineRule="exact"/>
        <w:rPr>
          <w:rFonts w:ascii="MS PGothic" w:cs="MS PGothic" w:eastAsia="MS PGothic" w:hAnsi="MS PGothic"/>
          <w:sz w:val="20"/>
          <w:szCs w:val="20"/>
          <w:color w:val="auto"/>
        </w:rPr>
      </w:pPr>
    </w:p>
    <w:p>
      <w:pPr>
        <w:ind w:left="420"/>
        <w:spacing w:after="0"/>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i w:val="1"/>
          <w:iCs w:val="1"/>
          <w:color w:val="auto"/>
        </w:rPr>
        <w:t>Transfer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Full legal name of revocable trust: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97" w:lineRule="exact"/>
        <w:rPr>
          <w:sz w:val="20"/>
          <w:szCs w:val="20"/>
          <w:color w:val="auto"/>
        </w:rPr>
      </w:pPr>
    </w:p>
    <w:p>
      <w:pPr>
        <w:sectPr>
          <w:pgSz w:w="11900" w:h="16838" w:orient="portrait"/>
          <w:cols w:equalWidth="0" w:num="2">
            <w:col w:w="5320" w:space="720"/>
            <w:col w:w="5200"/>
          </w:cols>
          <w:pgMar w:left="320" w:top="562" w:right="339" w:bottom="1440" w:gutter="0" w:footer="0" w:header="0"/>
        </w:sectPr>
      </w:pPr>
    </w:p>
    <w:p>
      <w:pPr>
        <w:spacing w:after="0"/>
        <w:tabs>
          <w:tab w:leader="none" w:pos="5080" w:val="left"/>
        </w:tabs>
        <w:rPr>
          <w:sz w:val="20"/>
          <w:szCs w:val="20"/>
          <w:color w:val="auto"/>
        </w:rPr>
      </w:pPr>
      <w:r>
        <w:rPr>
          <w:rFonts w:ascii="Times New Roman" w:cs="Times New Roman" w:eastAsia="Times New Roman" w:hAnsi="Times New Roman"/>
          <w:sz w:val="20"/>
          <w:szCs w:val="20"/>
          <w:color w:val="auto"/>
        </w:rPr>
        <w:t>The certificate for the Purchased Shares should be sent</w:t>
      </w:r>
      <w:r>
        <w:rPr>
          <w:sz w:val="20"/>
          <w:szCs w:val="20"/>
          <w:color w:val="auto"/>
        </w:rPr>
        <w:tab/>
      </w:r>
      <w:r>
        <w:rPr>
          <w:rFonts w:ascii="Times New Roman" w:cs="Times New Roman" w:eastAsia="Times New Roman" w:hAnsi="Times New Roman"/>
          <w:sz w:val="19"/>
          <w:szCs w:val="19"/>
          <w:color w:val="auto"/>
        </w:rPr>
        <w:t>____________________________________________</w:t>
      </w:r>
    </w:p>
    <w:p>
      <w:pPr>
        <w:spacing w:after="0" w:line="21"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20"/>
          <w:szCs w:val="20"/>
          <w:color w:val="auto"/>
        </w:rPr>
        <w:t>to the following address:</w:t>
      </w:r>
      <w:r>
        <w:rPr>
          <w:sz w:val="20"/>
          <w:szCs w:val="20"/>
          <w:color w:val="auto"/>
        </w:rPr>
        <w:tab/>
      </w:r>
      <w:r>
        <w:rPr>
          <w:rFonts w:ascii="Times New Roman" w:cs="Times New Roman" w:eastAsia="Times New Roman" w:hAnsi="Times New Roman"/>
          <w:sz w:val="19"/>
          <w:szCs w:val="19"/>
          <w:color w:val="auto"/>
        </w:rPr>
        <w:t>____________________________________________</w:t>
      </w:r>
    </w:p>
    <w:p>
      <w:pPr>
        <w:ind w:left="510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ind w:left="510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Representations and Acknowledgements of the Optionee:</w:t>
      </w:r>
    </w:p>
    <w:p>
      <w:pPr>
        <w:spacing w:after="0" w:line="220" w:lineRule="exact"/>
        <w:rPr>
          <w:sz w:val="20"/>
          <w:szCs w:val="20"/>
          <w:color w:val="auto"/>
        </w:rPr>
      </w:pPr>
    </w:p>
    <w:p>
      <w:pPr>
        <w:jc w:val="both"/>
        <w:ind w:left="440" w:right="20" w:hanging="432"/>
        <w:spacing w:after="0" w:line="254" w:lineRule="auto"/>
        <w:tabs>
          <w:tab w:leader="none" w:pos="4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66" w:lineRule="exact"/>
        <w:rPr>
          <w:rFonts w:ascii="Times New Roman" w:cs="Times New Roman" w:eastAsia="Times New Roman" w:hAnsi="Times New Roman"/>
          <w:sz w:val="20"/>
          <w:szCs w:val="20"/>
          <w:color w:val="auto"/>
        </w:rPr>
      </w:pPr>
    </w:p>
    <w:p>
      <w:pPr>
        <w:jc w:val="both"/>
        <w:ind w:left="440" w:hanging="432"/>
        <w:spacing w:after="0" w:line="249" w:lineRule="auto"/>
        <w:tabs>
          <w:tab w:leader="none" w:pos="4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purchase of the Purchased Shares has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7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the Company is under no obligation to register the Purchased Shares or any sale or transfer thereof.</w:t>
      </w:r>
    </w:p>
    <w:p>
      <w:pPr>
        <w:spacing w:after="0" w:line="107" w:lineRule="exact"/>
        <w:rPr>
          <w:rFonts w:ascii="Times New Roman" w:cs="Times New Roman" w:eastAsia="Times New Roman" w:hAnsi="Times New Roman"/>
          <w:sz w:val="20"/>
          <w:szCs w:val="20"/>
          <w:color w:val="auto"/>
        </w:rPr>
      </w:pPr>
    </w:p>
    <w:p>
      <w:pPr>
        <w:jc w:val="both"/>
        <w:ind w:left="440" w:hanging="432"/>
        <w:spacing w:after="0" w:line="245" w:lineRule="auto"/>
        <w:tabs>
          <w:tab w:leader="none" w:pos="4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as of the date set forth below, and that the Company is not required to take action to satisfy any conditions applicable to it.</w:t>
      </w:r>
    </w:p>
    <w:p>
      <w:pPr>
        <w:spacing w:after="0" w:line="76" w:lineRule="exact"/>
        <w:rPr>
          <w:rFonts w:ascii="Times New Roman" w:cs="Times New Roman" w:eastAsia="Times New Roman" w:hAnsi="Times New Roman"/>
          <w:sz w:val="20"/>
          <w:szCs w:val="20"/>
          <w:color w:val="auto"/>
        </w:rPr>
      </w:pPr>
    </w:p>
    <w:p>
      <w:pPr>
        <w:ind w:left="440" w:hanging="432"/>
        <w:spacing w:after="0" w:line="269" w:lineRule="auto"/>
        <w:tabs>
          <w:tab w:leader="none" w:pos="4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51" w:lineRule="exact"/>
        <w:rPr>
          <w:rFonts w:ascii="Times New Roman" w:cs="Times New Roman" w:eastAsia="Times New Roman" w:hAnsi="Times New Roman"/>
          <w:sz w:val="20"/>
          <w:szCs w:val="20"/>
          <w:color w:val="auto"/>
        </w:rPr>
      </w:pPr>
    </w:p>
    <w:p>
      <w:pPr>
        <w:jc w:val="both"/>
        <w:ind w:left="440" w:hanging="432"/>
        <w:spacing w:after="0" w:line="254" w:lineRule="auto"/>
        <w:tabs>
          <w:tab w:leader="none" w:pos="4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66" w:lineRule="exact"/>
        <w:rPr>
          <w:rFonts w:ascii="Times New Roman" w:cs="Times New Roman" w:eastAsia="Times New Roman" w:hAnsi="Times New Roman"/>
          <w:sz w:val="20"/>
          <w:szCs w:val="20"/>
          <w:color w:val="auto"/>
        </w:rPr>
      </w:pPr>
    </w:p>
    <w:p>
      <w:pPr>
        <w:jc w:val="both"/>
        <w:ind w:left="440" w:hanging="432"/>
        <w:spacing w:after="0" w:line="254" w:lineRule="auto"/>
        <w:tabs>
          <w:tab w:leader="none" w:pos="4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type w:val="continuous"/>
        </w:sectPr>
      </w:pPr>
    </w:p>
    <w:bookmarkStart w:id="250" w:name="page251"/>
    <w:bookmarkEnd w:id="250"/>
    <w:p>
      <w:pPr>
        <w:ind w:left="440" w:hanging="432"/>
        <w:spacing w:after="0" w:line="269" w:lineRule="auto"/>
        <w:tabs>
          <w:tab w:leader="none" w:pos="44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the Purchased Shares remain subject to the Company’s right of first refusal and the market stand-off (sometimes referred to as the “lock-up”), all in accordance with the applicable Notice of Stock Option Grant and Stock Option Agreement.</w:t>
      </w:r>
    </w:p>
    <w:p>
      <w:pPr>
        <w:spacing w:after="0" w:line="51" w:lineRule="exact"/>
        <w:rPr>
          <w:rFonts w:ascii="Times New Roman" w:cs="Times New Roman" w:eastAsia="Times New Roman" w:hAnsi="Times New Roman"/>
          <w:sz w:val="20"/>
          <w:szCs w:val="20"/>
          <w:color w:val="auto"/>
        </w:rPr>
      </w:pPr>
    </w:p>
    <w:p>
      <w:pPr>
        <w:ind w:left="440" w:right="20" w:hanging="432"/>
        <w:spacing w:after="0" w:line="269" w:lineRule="auto"/>
        <w:tabs>
          <w:tab w:leader="none" w:pos="44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am acquiring the Purchased Shares subject to all other terms of the Notice of Stock Option Grant and Stock Option Agreement.</w:t>
      </w:r>
    </w:p>
    <w:p>
      <w:pPr>
        <w:spacing w:after="0" w:line="51" w:lineRule="exact"/>
        <w:rPr>
          <w:rFonts w:ascii="Times New Roman" w:cs="Times New Roman" w:eastAsia="Times New Roman" w:hAnsi="Times New Roman"/>
          <w:sz w:val="20"/>
          <w:szCs w:val="20"/>
          <w:color w:val="auto"/>
        </w:rPr>
      </w:pPr>
    </w:p>
    <w:p>
      <w:pPr>
        <w:jc w:val="both"/>
        <w:ind w:left="440" w:hanging="432"/>
        <w:spacing w:after="0" w:line="245" w:lineRule="auto"/>
        <w:tabs>
          <w:tab w:leader="none" w:pos="44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76" w:lineRule="exact"/>
        <w:rPr>
          <w:rFonts w:ascii="Times New Roman" w:cs="Times New Roman" w:eastAsia="Times New Roman" w:hAnsi="Times New Roman"/>
          <w:sz w:val="20"/>
          <w:szCs w:val="20"/>
          <w:color w:val="auto"/>
        </w:rPr>
      </w:pPr>
    </w:p>
    <w:p>
      <w:pPr>
        <w:jc w:val="both"/>
        <w:ind w:left="440" w:hanging="432"/>
        <w:spacing w:after="0" w:line="254" w:lineRule="auto"/>
        <w:tabs>
          <w:tab w:leader="none" w:pos="44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p>
      <w:pPr>
        <w:spacing w:after="0" w:line="66" w:lineRule="exact"/>
        <w:rPr>
          <w:rFonts w:ascii="Times New Roman" w:cs="Times New Roman" w:eastAsia="Times New Roman" w:hAnsi="Times New Roman"/>
          <w:sz w:val="20"/>
          <w:szCs w:val="20"/>
          <w:color w:val="auto"/>
        </w:rPr>
      </w:pPr>
    </w:p>
    <w:p>
      <w:pPr>
        <w:jc w:val="both"/>
        <w:ind w:left="440" w:hanging="432"/>
        <w:spacing w:after="0" w:line="242" w:lineRule="auto"/>
        <w:tabs>
          <w:tab w:leader="none" w:pos="44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that the Company does not have a duty to design or administer the 2016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84"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to seek the consent of my spouse to the extent required by the Company to enforce the foregoing.</w:t>
      </w:r>
    </w:p>
    <w:p>
      <w:pPr>
        <w:spacing w:after="0" w:line="225"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1" w:name="page252"/>
    <w:bookmarkEnd w:id="2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XPLANATION OF</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ORMS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WNERSHIP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 of This Explanation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159" w:lineRule="exact"/>
        <w:rPr>
          <w:sz w:val="20"/>
          <w:szCs w:val="20"/>
          <w:color w:val="auto"/>
        </w:rPr>
      </w:pPr>
    </w:p>
    <w:p>
      <w:pPr>
        <w:ind w:left="440" w:hanging="432"/>
        <w:spacing w:after="0" w:line="269" w:lineRule="auto"/>
        <w:tabs>
          <w:tab w:leader="none" w:pos="44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the explanation short and readable, only the highlights are covered. Some legal rules are not addressed, even though they may be important in particular cases.</w:t>
      </w:r>
    </w:p>
    <w:p>
      <w:pPr>
        <w:spacing w:after="0" w:line="15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summary attempts to deal with the most common situations, your own situation may well be different from the norm.</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law may change, and the Company is not responsible for updating this summary.</w:t>
      </w:r>
    </w:p>
    <w:p>
      <w:pPr>
        <w:spacing w:after="0" w:line="211" w:lineRule="exact"/>
        <w:rPr>
          <w:rFonts w:ascii="Times New Roman" w:cs="Times New Roman" w:eastAsia="Times New Roman" w:hAnsi="Times New Roman"/>
          <w:sz w:val="20"/>
          <w:szCs w:val="20"/>
          <w:color w:val="auto"/>
        </w:rPr>
      </w:pPr>
    </w:p>
    <w:p>
      <w:pPr>
        <w:ind w:left="440" w:right="20" w:hanging="432"/>
        <w:spacing w:after="0" w:line="273" w:lineRule="auto"/>
        <w:tabs>
          <w:tab w:leader="none" w:pos="44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form in which you own your shares may have a </w:t>
      </w:r>
      <w:r>
        <w:rPr>
          <w:rFonts w:ascii="Times New Roman" w:cs="Times New Roman" w:eastAsia="Times New Roman" w:hAnsi="Times New Roman"/>
          <w:sz w:val="20"/>
          <w:szCs w:val="20"/>
          <w:i w:val="1"/>
          <w:iCs w:val="1"/>
          <w:color w:val="auto"/>
        </w:rPr>
        <w:t>substantial</w:t>
      </w:r>
      <w:r>
        <w:rPr>
          <w:rFonts w:ascii="Times New Roman" w:cs="Times New Roman" w:eastAsia="Times New Roman" w:hAnsi="Times New Roman"/>
          <w:sz w:val="20"/>
          <w:szCs w:val="20"/>
          <w:color w:val="auto"/>
        </w:rPr>
        <w:t xml:space="preserve"> impact on the estate tax treatment that applies to those shares when you die or the income tax treatment that applies when your survivors sell the shares after your death.</w:t>
      </w:r>
    </w:p>
    <w:p>
      <w:pPr>
        <w:spacing w:after="0" w:line="15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F</w:t>
      </w:r>
      <w:r>
        <w:rPr>
          <w:rFonts w:ascii="Times New Roman" w:cs="Times New Roman" w:eastAsia="Times New Roman" w:hAnsi="Times New Roman"/>
          <w:sz w:val="13"/>
          <w:szCs w:val="13"/>
          <w:b w:val="1"/>
          <w:bCs w:val="1"/>
          <w:u w:val="single" w:color="auto"/>
          <w:color w:val="auto"/>
        </w:rPr>
        <w:t>OR THESE REASONS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3"/>
          <w:szCs w:val="13"/>
          <w:b w:val="1"/>
          <w:bCs w:val="1"/>
          <w:u w:val="single" w:color="auto"/>
          <w:color w:val="auto"/>
        </w:rPr>
        <w:t>OMPANY STRONGLY ENCOURAGES YOU TO CONSULT YOUR OWN ADVISER BEFORE EXERCISING YOUR OPTION AND BEFORE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MAKING A DECISION ABOUT THE FORM OF OWNERSHIP FOR YOUR SHARES</w:t>
      </w:r>
      <w:r>
        <w:rPr>
          <w:rFonts w:ascii="Times New Roman" w:cs="Times New Roman" w:eastAsia="Times New Roman" w:hAnsi="Times New Roman"/>
          <w:sz w:val="19"/>
          <w:szCs w:val="19"/>
          <w:b w:val="1"/>
          <w:bCs w:val="1"/>
          <w:u w:val="single" w:color="auto"/>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Notice of Stock Option Exercise offers five forms of taking title to the Purchased Shares:</w:t>
      </w:r>
    </w:p>
    <w:p>
      <w:pPr>
        <w:spacing w:after="0" w:line="216" w:lineRule="exact"/>
        <w:rPr>
          <w:sz w:val="20"/>
          <w:szCs w:val="20"/>
          <w:color w:val="auto"/>
        </w:rPr>
      </w:pPr>
    </w:p>
    <w:p>
      <w:pPr>
        <w:ind w:left="440" w:hanging="432"/>
        <w:spacing w:after="0"/>
        <w:tabs>
          <w:tab w:leader="none" w:pos="44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your name only,</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your name and the name of your spouse as community property,</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your name and the name of your spouse as community property with the right of survivorship,</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your name and the name of your spouse as joint tenants with the right of survivorship, or</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name of an eligible revocable trust.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Community Property and Joint Tenancy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2" w:name="page253"/>
    <w:bookmarkEnd w:id="252"/>
    <w:p>
      <w:pPr>
        <w:jc w:val="both"/>
        <w:spacing w:after="0" w:line="246" w:lineRule="auto"/>
        <w:rPr>
          <w:sz w:val="20"/>
          <w:szCs w:val="20"/>
          <w:color w:val="auto"/>
        </w:rPr>
      </w:pPr>
      <w:r>
        <w:rPr>
          <w:rFonts w:ascii="Times New Roman" w:cs="Times New Roman" w:eastAsia="Times New Roman" w:hAnsi="Times New Roman"/>
          <w:sz w:val="20"/>
          <w:szCs w:val="20"/>
          <w:color w:val="auto"/>
        </w:rPr>
        <w:t>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states are common-law property states. In a common-law property state, each spouse is generally deemed to own whatever he/she earns or acquires.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w:t>
      </w:r>
      <w:r>
        <w:rPr>
          <w:rFonts w:ascii="Times New Roman" w:cs="Times New Roman" w:eastAsia="Times New Roman" w:hAnsi="Times New Roman"/>
          <w:sz w:val="20"/>
          <w:szCs w:val="20"/>
          <w:i w:val="1"/>
          <w:iCs w:val="1"/>
          <w:color w:val="auto"/>
        </w:rPr>
        <w:t>automatically</w:t>
      </w:r>
      <w:r>
        <w:rPr>
          <w:rFonts w:ascii="Times New Roman" w:cs="Times New Roman" w:eastAsia="Times New Roman" w:hAnsi="Times New Roman"/>
          <w:sz w:val="20"/>
          <w:szCs w:val="20"/>
          <w:color w:val="auto"/>
        </w:rPr>
        <w:t xml:space="preserve">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control the disposition of the shares.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transfer to a trust generally should not be treated as a “disposition” of the Purchased Shares for tax purposes if the trust satisfies each of the following conditions:</w:t>
      </w:r>
    </w:p>
    <w:p>
      <w:pPr>
        <w:spacing w:after="0" w:line="159" w:lineRule="exact"/>
        <w:rPr>
          <w:sz w:val="20"/>
          <w:szCs w:val="20"/>
          <w:color w:val="auto"/>
        </w:rPr>
      </w:pPr>
    </w:p>
    <w:p>
      <w:pPr>
        <w:ind w:left="440" w:hanging="432"/>
        <w:spacing w:after="0"/>
        <w:tabs>
          <w:tab w:leader="none" w:pos="44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the sole grantor of the trust,</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the sole trustee, or you and your spouse are the sole co-trustees,</w:t>
      </w:r>
    </w:p>
    <w:p>
      <w:pPr>
        <w:spacing w:after="0" w:line="215" w:lineRule="exact"/>
        <w:rPr>
          <w:rFonts w:ascii="Times New Roman" w:cs="Times New Roman" w:eastAsia="Times New Roman" w:hAnsi="Times New Roman"/>
          <w:sz w:val="20"/>
          <w:szCs w:val="20"/>
          <w:color w:val="auto"/>
        </w:rPr>
      </w:pPr>
    </w:p>
    <w:p>
      <w:pPr>
        <w:ind w:left="440" w:hanging="432"/>
        <w:spacing w:after="0" w:line="269" w:lineRule="auto"/>
        <w:tabs>
          <w:tab w:leader="none" w:pos="44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or trustees are not required to distribute the income of the trust to any person other than you and/or your spouse while you are alive, and</w:t>
      </w:r>
    </w:p>
    <w:p>
      <w:pPr>
        <w:spacing w:after="0" w:line="159" w:lineRule="exact"/>
        <w:rPr>
          <w:rFonts w:ascii="Times New Roman" w:cs="Times New Roman" w:eastAsia="Times New Roman" w:hAnsi="Times New Roman"/>
          <w:sz w:val="20"/>
          <w:szCs w:val="20"/>
          <w:color w:val="auto"/>
        </w:rPr>
      </w:pPr>
    </w:p>
    <w:p>
      <w:pPr>
        <w:ind w:left="440" w:right="20" w:hanging="432"/>
        <w:spacing w:after="0" w:line="269" w:lineRule="auto"/>
        <w:tabs>
          <w:tab w:leader="none" w:pos="44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permits you to revoke all or part of the trust and to have the trust’s assets returned to you, without the consent of any other person (including your spouse).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3" w:name="page254"/>
    <w:bookmarkEnd w:id="253"/>
    <w:p>
      <w:pPr>
        <w:jc w:val="both"/>
        <w:spacing w:after="0" w:line="254" w:lineRule="auto"/>
        <w:rPr>
          <w:sz w:val="20"/>
          <w:szCs w:val="20"/>
          <w:color w:val="auto"/>
        </w:rPr>
      </w:pPr>
      <w:r>
        <w:rPr>
          <w:rFonts w:ascii="Times New Roman" w:cs="Times New Roman" w:eastAsia="Times New Roman" w:hAnsi="Times New Roman"/>
          <w:sz w:val="20"/>
          <w:szCs w:val="20"/>
          <w:color w:val="auto"/>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have the Purchased Shares issued to any trust, you will be required to sign a Stock Transfer Agreement in your capacity as trustee. Under the Stock Transfer Agreement, the Purchased Shares remain subject to the Company’s right of first refusal in accordance with the applicable Notice of Stock Option Grant and Stock Option Agreement.</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3"/>
          <w:szCs w:val="13"/>
          <w:b w:val="1"/>
          <w:bCs w:val="1"/>
          <w:u w:val="single" w:color="auto"/>
          <w:color w:val="auto"/>
        </w:rPr>
        <w: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3"/>
          <w:szCs w:val="13"/>
          <w:b w:val="1"/>
          <w:bCs w:val="1"/>
          <w:u w:val="single" w:color="auto"/>
          <w:color w:val="auto"/>
        </w:rPr>
        <w:t>OMPANY WILL NOT CHECK TO DETERMINE WHETHER THE FORM OF OWNERSHIP THAT YOU ELECT IN YOUR</w:t>
      </w:r>
      <w:r>
        <w:rPr>
          <w:rFonts w:ascii="Times New Roman" w:cs="Times New Roman" w:eastAsia="Times New Roman" w:hAnsi="Times New Roman"/>
          <w:sz w:val="20"/>
          <w:szCs w:val="20"/>
          <w:b w:val="1"/>
          <w:bCs w:val="1"/>
          <w:u w:val="single" w:color="auto"/>
          <w:color w:val="auto"/>
        </w:rPr>
        <w:t xml:space="preserve"> N</w:t>
      </w:r>
      <w:r>
        <w:rPr>
          <w:rFonts w:ascii="Times New Roman" w:cs="Times New Roman" w:eastAsia="Times New Roman" w:hAnsi="Times New Roman"/>
          <w:sz w:val="13"/>
          <w:szCs w:val="13"/>
          <w:b w:val="1"/>
          <w:bCs w:val="1"/>
          <w:u w:val="single" w:color="auto"/>
          <w:color w:val="auto"/>
        </w:rPr>
        <w:t>OTICE OF</w:t>
      </w:r>
      <w:r>
        <w:rPr>
          <w:rFonts w:ascii="Times New Roman" w:cs="Times New Roman" w:eastAsia="Times New Roman" w:hAnsi="Times New Roman"/>
          <w:sz w:val="20"/>
          <w:szCs w:val="20"/>
          <w:b w:val="1"/>
          <w:bCs w:val="1"/>
          <w:u w:val="single" w:color="auto"/>
          <w:color w:val="auto"/>
        </w:rPr>
        <w:t xml:space="preserve"> S</w:t>
      </w:r>
      <w:r>
        <w:rPr>
          <w:rFonts w:ascii="Times New Roman" w:cs="Times New Roman" w:eastAsia="Times New Roman" w:hAnsi="Times New Roman"/>
          <w:sz w:val="13"/>
          <w:szCs w:val="13"/>
          <w:b w:val="1"/>
          <w:bCs w:val="1"/>
          <w:u w:val="single" w:color="auto"/>
          <w:color w:val="auto"/>
        </w:rPr>
        <w:t>TOCK</w:t>
      </w:r>
      <w:r>
        <w:rPr>
          <w:rFonts w:ascii="Times New Roman" w:cs="Times New Roman" w:eastAsia="Times New Roman" w:hAnsi="Times New Roman"/>
          <w:sz w:val="20"/>
          <w:szCs w:val="20"/>
          <w:b w:val="1"/>
          <w:bCs w:val="1"/>
          <w:u w:val="single" w:color="auto"/>
          <w:color w:val="auto"/>
        </w:rPr>
        <w:t xml:space="preserve"> O</w:t>
      </w:r>
      <w:r>
        <w:rPr>
          <w:rFonts w:ascii="Times New Roman" w:cs="Times New Roman" w:eastAsia="Times New Roman" w:hAnsi="Times New Roman"/>
          <w:sz w:val="13"/>
          <w:szCs w:val="13"/>
          <w:b w:val="1"/>
          <w:bCs w:val="1"/>
          <w:u w:val="single" w:color="auto"/>
          <w:color w:val="auto"/>
        </w:rPr>
        <w:t>PTION</w:t>
      </w:r>
      <w:r>
        <w:rPr>
          <w:rFonts w:ascii="Times New Roman" w:cs="Times New Roman" w:eastAsia="Times New Roman" w:hAnsi="Times New Roman"/>
          <w:sz w:val="20"/>
          <w:szCs w:val="20"/>
          <w:b w:val="1"/>
          <w:bCs w:val="1"/>
          <w:u w:val="single" w:color="auto"/>
          <w:color w:val="auto"/>
        </w:rPr>
        <w:t xml:space="preserve"> E</w:t>
      </w:r>
      <w:r>
        <w:rPr>
          <w:rFonts w:ascii="Times New Roman" w:cs="Times New Roman" w:eastAsia="Times New Roman" w:hAnsi="Times New Roman"/>
          <w:sz w:val="13"/>
          <w:szCs w:val="13"/>
          <w:b w:val="1"/>
          <w:bCs w:val="1"/>
          <w:u w:val="single" w:color="auto"/>
          <w:color w:val="auto"/>
        </w:rPr>
        <w:t>XERCISE IS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APPROPRIATE</w:t>
      </w:r>
      <w:r>
        <w:rPr>
          <w:rFonts w:ascii="Times New Roman" w:cs="Times New Roman" w:eastAsia="Times New Roman" w:hAnsi="Times New Roman"/>
          <w:sz w:val="19"/>
          <w:szCs w:val="19"/>
          <w:b w:val="1"/>
          <w:bCs w:val="1"/>
          <w:u w:val="single" w:color="auto"/>
          <w:color w:val="auto"/>
        </w:rPr>
        <w:t>. Y</w:t>
      </w:r>
      <w:r>
        <w:rPr>
          <w:rFonts w:ascii="Times New Roman" w:cs="Times New Roman" w:eastAsia="Times New Roman" w:hAnsi="Times New Roman"/>
          <w:sz w:val="13"/>
          <w:szCs w:val="13"/>
          <w:b w:val="1"/>
          <w:bCs w:val="1"/>
          <w:u w:val="single" w:color="auto"/>
          <w:color w:val="auto"/>
        </w:rPr>
        <w:t>OU SHOULD CONSULT YOUR OWN ADVISERS ON THIS SUBJECT</w:t>
      </w:r>
      <w:r>
        <w:rPr>
          <w:rFonts w:ascii="Times New Roman" w:cs="Times New Roman" w:eastAsia="Times New Roman" w:hAnsi="Times New Roman"/>
          <w:sz w:val="19"/>
          <w:szCs w:val="19"/>
          <w:b w:val="1"/>
          <w:bCs w:val="1"/>
          <w:u w:val="single" w:color="auto"/>
          <w:color w:val="auto"/>
        </w:rPr>
        <w:t>. I</w:t>
      </w:r>
      <w:r>
        <w:rPr>
          <w:rFonts w:ascii="Times New Roman" w:cs="Times New Roman" w:eastAsia="Times New Roman" w:hAnsi="Times New Roman"/>
          <w:sz w:val="13"/>
          <w:szCs w:val="13"/>
          <w:b w:val="1"/>
          <w:bCs w:val="1"/>
          <w:u w:val="single" w:color="auto"/>
          <w:color w:val="auto"/>
        </w:rPr>
        <w:t>F AN INAPPROPRIATE ELECTION IS MADE</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3"/>
          <w:szCs w:val="13"/>
          <w:b w:val="1"/>
          <w:bCs w:val="1"/>
          <w:u w:val="single" w:color="auto"/>
          <w:color w:val="auto"/>
        </w:rPr>
        <w:t xml:space="preserve"> THE FORM OF OWNERSHIP MAY NOT WITHSTAND LEGAL SCRUTINY OR MAY HAVE ADVERSE TAX CONSEQUENCES</w:t>
      </w:r>
      <w:r>
        <w:rPr>
          <w:rFonts w:ascii="Times New Roman" w:cs="Times New Roman" w:eastAsia="Times New Roman" w:hAnsi="Times New Roman"/>
          <w:sz w:val="19"/>
          <w:szCs w:val="19"/>
          <w:b w:val="1"/>
          <w:bCs w:val="1"/>
          <w:u w:val="single" w:color="auto"/>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XPLANATION OF</w:t>
      </w:r>
      <w:r>
        <w:rPr>
          <w:rFonts w:ascii="Times New Roman" w:cs="Times New Roman" w:eastAsia="Times New Roman" w:hAnsi="Times New Roman"/>
          <w:sz w:val="20"/>
          <w:szCs w:val="20"/>
          <w:b w:val="1"/>
          <w:bCs w:val="1"/>
          <w:color w:val="auto"/>
        </w:rPr>
        <w:t xml:space="preserve"> U.S. F</w:t>
      </w:r>
      <w:r>
        <w:rPr>
          <w:rFonts w:ascii="Times New Roman" w:cs="Times New Roman" w:eastAsia="Times New Roman" w:hAnsi="Times New Roman"/>
          <w:sz w:val="13"/>
          <w:szCs w:val="13"/>
          <w:b w:val="1"/>
          <w:bCs w:val="1"/>
          <w:color w:val="auto"/>
        </w:rPr>
        <w:t>EDERAL</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NCOME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ONSEQUENCES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(Current as of October 2016)</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 of This Explanation</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purpose of this explanation is to provide you with a brief summary of the tax consequences of exercising your option. For a number of reasons, this explanation is no substitute for personal tax advice:</w:t>
      </w:r>
    </w:p>
    <w:p>
      <w:pPr>
        <w:spacing w:after="0" w:line="159" w:lineRule="exact"/>
        <w:rPr>
          <w:sz w:val="20"/>
          <w:szCs w:val="20"/>
          <w:color w:val="auto"/>
        </w:rPr>
      </w:pPr>
    </w:p>
    <w:p>
      <w:pPr>
        <w:ind w:left="440" w:hanging="432"/>
        <w:spacing w:after="0" w:line="269" w:lineRule="auto"/>
        <w:tabs>
          <w:tab w:leader="none" w:pos="44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the explanation short and readable, only the highlights are covered. Some tax rules are not addressed, even though they may be important in particular cases.</w:t>
      </w:r>
    </w:p>
    <w:p>
      <w:pPr>
        <w:spacing w:after="0" w:line="15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summary attempts to deal with the most common situations, your own tax situation may well be different from the norm.</w:t>
      </w:r>
    </w:p>
    <w:p>
      <w:pPr>
        <w:spacing w:after="0" w:line="215" w:lineRule="exact"/>
        <w:rPr>
          <w:rFonts w:ascii="Times New Roman" w:cs="Times New Roman" w:eastAsia="Times New Roman" w:hAnsi="Times New Roman"/>
          <w:sz w:val="20"/>
          <w:szCs w:val="20"/>
          <w:color w:val="auto"/>
        </w:rPr>
      </w:pPr>
    </w:p>
    <w:p>
      <w:pPr>
        <w:ind w:left="440" w:right="20" w:hanging="432"/>
        <w:spacing w:after="0" w:line="269" w:lineRule="auto"/>
        <w:tabs>
          <w:tab w:leader="none" w:pos="44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and foreign income taxes are not addressed at all, even though they could have a significant impact on your tax planning. Likewise, federal gift and estate taxes and state inheritance taxes are not discussed.</w:t>
      </w:r>
    </w:p>
    <w:p>
      <w:pPr>
        <w:spacing w:after="0" w:line="159" w:lineRule="exact"/>
        <w:rPr>
          <w:rFonts w:ascii="Times New Roman" w:cs="Times New Roman" w:eastAsia="Times New Roman" w:hAnsi="Times New Roman"/>
          <w:sz w:val="20"/>
          <w:szCs w:val="20"/>
          <w:color w:val="auto"/>
        </w:rPr>
      </w:pPr>
    </w:p>
    <w:p>
      <w:pPr>
        <w:ind w:left="440" w:hanging="432"/>
        <w:spacing w:after="0" w:line="269" w:lineRule="auto"/>
        <w:tabs>
          <w:tab w:leader="none" w:pos="44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planning involving incentive stock options is exceedingly complex, in part because of the possible application of the alternative minimum tax.</w:t>
      </w:r>
    </w:p>
    <w:p>
      <w:pPr>
        <w:spacing w:after="0" w:line="159" w:lineRule="exact"/>
        <w:rPr>
          <w:rFonts w:ascii="Times New Roman" w:cs="Times New Roman" w:eastAsia="Times New Roman" w:hAnsi="Times New Roman"/>
          <w:sz w:val="20"/>
          <w:szCs w:val="20"/>
          <w:color w:val="auto"/>
        </w:rPr>
      </w:pPr>
    </w:p>
    <w:p>
      <w:pPr>
        <w:jc w:val="both"/>
        <w:ind w:left="440" w:hanging="432"/>
        <w:spacing w:after="0" w:line="254" w:lineRule="auto"/>
        <w:tabs>
          <w:tab w:leader="none" w:pos="44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174" w:lineRule="exact"/>
        <w:rPr>
          <w:rFonts w:ascii="Times New Roman" w:cs="Times New Roman" w:eastAsia="Times New Roman" w:hAnsi="Times New Roman"/>
          <w:sz w:val="20"/>
          <w:szCs w:val="20"/>
          <w:color w:val="auto"/>
        </w:rPr>
      </w:pPr>
    </w:p>
    <w:p>
      <w:pPr>
        <w:ind w:left="440" w:hanging="432"/>
        <w:spacing w:after="0" w:line="269" w:lineRule="auto"/>
        <w:tabs>
          <w:tab w:leader="none" w:pos="44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rules change often, and the Company is not responsible for updating this summary. (Please refer to the date at the top of this page.)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w:t>
      </w:r>
      <w:r>
        <w:rPr>
          <w:rFonts w:ascii="Times New Roman" w:cs="Times New Roman" w:eastAsia="Times New Roman" w:hAnsi="Times New Roman"/>
          <w:sz w:val="13"/>
          <w:szCs w:val="13"/>
          <w:b w:val="1"/>
          <w:bCs w:val="1"/>
          <w:u w:val="single" w:color="auto"/>
          <w:color w:val="auto"/>
        </w:rPr>
        <w:t>OR THESE REASONS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3"/>
          <w:szCs w:val="13"/>
          <w:b w:val="1"/>
          <w:bCs w:val="1"/>
          <w:u w:val="single" w:color="auto"/>
          <w:color w:val="auto"/>
        </w:rPr>
        <w:t>OMPANY STRONGLY ENCOURAGES YOU TO CONSULT YOUR OWN TAX ADVISER BEFORE EXERCISING YOUR OPTION</w:t>
      </w:r>
      <w:r>
        <w:rPr>
          <w:rFonts w:ascii="Times New Roman" w:cs="Times New Roman" w:eastAsia="Times New Roman" w:hAnsi="Times New Roman"/>
          <w:sz w:val="20"/>
          <w:szCs w:val="20"/>
          <w:b w:val="1"/>
          <w:bCs w:val="1"/>
          <w:u w:val="single" w:color="auto"/>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NSO</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you are exercising an NSO, you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on the exercise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 of NSO Shares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When you dispose of the Purchased Shares, you will recognize a capital gain equal to the excess of (a) the sale proceeds over (b) your tax basis in the Purchased Shares. If the sale proceeds are less than your tax basis, you will recognize a capital loss. The capital gain or loss will be long-term if you held the Purchased Shares for more than 12 months. The holding period starts when you exercise your NSO. In general, the maximum marginal federal income tax rate on long-term capital gains is 20% under current law, but lower long-term capital gain rates may apply to taxpayers in the 15% and 10% marginal federal income tax brackets.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5" w:name="page256"/>
    <w:bookmarkEnd w:id="255"/>
    <w:p>
      <w:pPr>
        <w:jc w:val="both"/>
        <w:spacing w:after="0" w:line="249" w:lineRule="auto"/>
        <w:rPr>
          <w:sz w:val="20"/>
          <w:szCs w:val="20"/>
          <w:color w:val="auto"/>
        </w:rPr>
      </w:pPr>
      <w:r>
        <w:rPr>
          <w:rFonts w:ascii="Times New Roman" w:cs="Times New Roman" w:eastAsia="Times New Roman" w:hAnsi="Times New Roman"/>
          <w:sz w:val="20"/>
          <w:szCs w:val="20"/>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Depending on the level of your adjusted gross income, the additional Medicare contribution tax may be imposed on any short-term and long-term capital gain income and can increase your marginal tax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 on ISO Treatment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example, assume that you hold an option to buy 60,000 shares for $8 per share. Assume further that the entire option becomes exercisable in four equal annual installments. Only the first 50,000 shares qualify for ISO treatment. (12,500 times $8 equals $100,000.) The remaining 10,000 shares will be treated as if they had been acquired by exercising an NSO. This is true regardless of when the option is </w:t>
      </w:r>
      <w:r>
        <w:rPr>
          <w:rFonts w:ascii="Times New Roman" w:cs="Times New Roman" w:eastAsia="Times New Roman" w:hAnsi="Times New Roman"/>
          <w:sz w:val="20"/>
          <w:szCs w:val="20"/>
          <w:i w:val="1"/>
          <w:iCs w:val="1"/>
          <w:color w:val="auto"/>
        </w:rPr>
        <w:t>actually</w:t>
      </w:r>
      <w:r>
        <w:rPr>
          <w:rFonts w:ascii="Times New Roman" w:cs="Times New Roman" w:eastAsia="Times New Roman" w:hAnsi="Times New Roman"/>
          <w:sz w:val="20"/>
          <w:szCs w:val="20"/>
          <w:color w:val="auto"/>
        </w:rPr>
        <w:t xml:space="preserve"> exercised; what matters is when it first </w:t>
      </w:r>
      <w:r>
        <w:rPr>
          <w:rFonts w:ascii="Times New Roman" w:cs="Times New Roman" w:eastAsia="Times New Roman" w:hAnsi="Times New Roman"/>
          <w:sz w:val="20"/>
          <w:szCs w:val="20"/>
          <w:i w:val="1"/>
          <w:iCs w:val="1"/>
          <w:color w:val="auto"/>
        </w:rPr>
        <w:t>could</w:t>
      </w:r>
      <w:r>
        <w:rPr>
          <w:rFonts w:ascii="Times New Roman" w:cs="Times New Roman" w:eastAsia="Times New Roman" w:hAnsi="Times New Roman"/>
          <w:sz w:val="20"/>
          <w:szCs w:val="20"/>
          <w:color w:val="auto"/>
        </w:rPr>
        <w:t xml:space="preserve"> have been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ISO and ISO Holding Periods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If you are exercising an ISO, you will not be taxed under the </w:t>
      </w:r>
      <w:r>
        <w:rPr>
          <w:rFonts w:ascii="Times New Roman" w:cs="Times New Roman" w:eastAsia="Times New Roman" w:hAnsi="Times New Roman"/>
          <w:sz w:val="20"/>
          <w:szCs w:val="20"/>
          <w:i w:val="1"/>
          <w:iCs w:val="1"/>
          <w:color w:val="auto"/>
        </w:rPr>
        <w:t>regular</w:t>
      </w:r>
      <w:r>
        <w:rPr>
          <w:rFonts w:ascii="Times New Roman" w:cs="Times New Roman" w:eastAsia="Times New Roman" w:hAnsi="Times New Roman"/>
          <w:sz w:val="20"/>
          <w:szCs w:val="20"/>
          <w:color w:val="auto"/>
        </w:rPr>
        <w:t xml:space="preserve"> tax rules until you dispose of the Purchased Shares.</w:t>
      </w:r>
      <w:r>
        <w:rPr>
          <w:rFonts w:ascii="Times New Roman" w:cs="Times New Roman" w:eastAsia="Times New Roman" w:hAnsi="Times New Roman"/>
          <w:sz w:val="16"/>
          <w:szCs w:val="16"/>
          <w:color w:val="auto"/>
        </w:rPr>
        <w:t>5</w:t>
      </w:r>
      <w:r>
        <w:rPr>
          <w:rFonts w:ascii="Times New Roman" w:cs="Times New Roman" w:eastAsia="Times New Roman" w:hAnsi="Times New Roman"/>
          <w:sz w:val="20"/>
          <w:szCs w:val="20"/>
          <w:color w:val="auto"/>
        </w:rPr>
        <w:t xml:space="preserve"> (The alternative minimum tax rules are described below.) The tax treatment at the time of disposition depends on how long you hold the shares. You will satisfy the ISO holding periods if you hold the Purchased Shares until the </w:t>
      </w:r>
      <w:r>
        <w:rPr>
          <w:rFonts w:ascii="Times New Roman" w:cs="Times New Roman" w:eastAsia="Times New Roman" w:hAnsi="Times New Roman"/>
          <w:sz w:val="20"/>
          <w:szCs w:val="20"/>
          <w:i w:val="1"/>
          <w:iCs w:val="1"/>
          <w:color w:val="auto"/>
        </w:rPr>
        <w:t>later</w:t>
      </w:r>
      <w:r>
        <w:rPr>
          <w:rFonts w:ascii="Times New Roman" w:cs="Times New Roman" w:eastAsia="Times New Roman" w:hAnsi="Times New Roman"/>
          <w:sz w:val="20"/>
          <w:szCs w:val="20"/>
          <w:color w:val="auto"/>
        </w:rPr>
        <w:t xml:space="preserve"> of the following dates:</w:t>
      </w:r>
    </w:p>
    <w:p>
      <w:pPr>
        <w:spacing w:after="0" w:line="173" w:lineRule="exact"/>
        <w:rPr>
          <w:sz w:val="20"/>
          <w:szCs w:val="20"/>
          <w:color w:val="auto"/>
        </w:rPr>
      </w:pPr>
    </w:p>
    <w:p>
      <w:pPr>
        <w:ind w:left="440" w:hanging="432"/>
        <w:spacing w:after="0"/>
        <w:tabs>
          <w:tab w:leader="none" w:pos="44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two years after the ISO was granted, and</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one year after the ISO is exercised.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 of ISO Shares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If you dispose of the Purchased Shares after satisfying </w:t>
      </w:r>
      <w:r>
        <w:rPr>
          <w:rFonts w:ascii="Times New Roman" w:cs="Times New Roman" w:eastAsia="Times New Roman" w:hAnsi="Times New Roman"/>
          <w:sz w:val="20"/>
          <w:szCs w:val="20"/>
          <w:i w:val="1"/>
          <w:iCs w:val="1"/>
          <w:color w:val="auto"/>
        </w:rPr>
        <w:t>both</w:t>
      </w:r>
      <w:r>
        <w:rPr>
          <w:rFonts w:ascii="Times New Roman" w:cs="Times New Roman" w:eastAsia="Times New Roman" w:hAnsi="Times New Roman"/>
          <w:sz w:val="20"/>
          <w:szCs w:val="20"/>
          <w:color w:val="auto"/>
        </w:rPr>
        <w:t xml:space="preserve">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20% under current law, but lower long-term capital gain rates may apply to taxpayers in the 15% and 10% marginal federal income tax brackets.</w:t>
      </w:r>
    </w:p>
    <w:p>
      <w:pPr>
        <w:spacing w:after="0" w:line="126" w:lineRule="exact"/>
        <w:rPr>
          <w:sz w:val="20"/>
          <w:szCs w:val="20"/>
          <w:color w:val="auto"/>
        </w:rPr>
      </w:pPr>
    </w:p>
    <w:p>
      <w:pPr>
        <w:jc w:val="both"/>
        <w:ind w:left="140" w:hanging="132"/>
        <w:spacing w:after="0" w:line="249" w:lineRule="auto"/>
        <w:tabs>
          <w:tab w:leader="none" w:pos="241"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14230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6" w:name="page257"/>
    <w:bookmarkEnd w:id="256"/>
    <w:p>
      <w:pPr>
        <w:jc w:val="both"/>
        <w:spacing w:after="0" w:line="249" w:lineRule="auto"/>
        <w:rPr>
          <w:sz w:val="20"/>
          <w:szCs w:val="20"/>
          <w:color w:val="auto"/>
        </w:rPr>
      </w:pPr>
      <w:r>
        <w:rPr>
          <w:rFonts w:ascii="Times New Roman" w:cs="Times New Roman" w:eastAsia="Times New Roman" w:hAnsi="Times New Roman"/>
          <w:sz w:val="20"/>
          <w:szCs w:val="20"/>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you dispose of the Purchased Shares before either or both of the ISO holding periods are met, then you will recognize ordinary income at the time of disposition. The amount of ordinary income will be equal to the excess of (a) the fair market value of the Purchased Shares on the date of exercise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exercise.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Alternative Minimum Tax</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alternative minimum tax (AMT) must be paid to the extent that it exceeds your regular federal income tax for the year. For 2016, the first $186,300 ($93,150 for a married taxpayer filing a separate return) of your alternative minimum taxable income for the year over the allowable exemption amount (see below) is subject to alternative minimum taxation at the rate of 26%. The balance of your alternative minimum taxable income is subject to alternative minimum taxation at the rate of 28%. The dollar thresholds dividing the 26% and 28% rates are indexed for inflation in future years. Your alternative minimum tax base is equal to your alternative minimum taxable income (AMTI) minus your exemption amount.</w:t>
      </w:r>
    </w:p>
    <w:p>
      <w:pPr>
        <w:spacing w:after="0" w:line="180" w:lineRule="exact"/>
        <w:rPr>
          <w:sz w:val="20"/>
          <w:szCs w:val="20"/>
          <w:color w:val="auto"/>
        </w:rPr>
      </w:pPr>
    </w:p>
    <w:p>
      <w:pPr>
        <w:ind w:left="440" w:hanging="432"/>
        <w:spacing w:after="0" w:line="273" w:lineRule="auto"/>
        <w:tabs>
          <w:tab w:leader="none" w:pos="44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Alternative Minimum Taxable Income</w:t>
      </w:r>
      <w:r>
        <w:rPr>
          <w:rFonts w:ascii="Times New Roman" w:cs="Times New Roman" w:eastAsia="Times New Roman" w:hAnsi="Times New Roman"/>
          <w:sz w:val="20"/>
          <w:szCs w:val="20"/>
          <w:color w:val="auto"/>
        </w:rPr>
        <w:t>. Your AMTI is equal to your regular taxable income, subject to certain adjustments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increased by items of tax preference. Among the many adjustments made in computing AMTI are the following:</w:t>
      </w:r>
    </w:p>
    <w:p>
      <w:pPr>
        <w:spacing w:after="0" w:line="15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and local income and property taxes are not allowed as a deduction.</w:t>
      </w:r>
    </w:p>
    <w:p>
      <w:pPr>
        <w:spacing w:after="0" w:line="21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Miscellaneous itemized deductions are not allowed.</w:t>
      </w:r>
    </w:p>
    <w:p>
      <w:pPr>
        <w:spacing w:after="0" w:line="21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interest deductions are not allowed.</w:t>
      </w:r>
    </w:p>
    <w:p>
      <w:pPr>
        <w:spacing w:after="0" w:line="21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standard deduction and personal exemptions are not allowed.</w:t>
      </w:r>
    </w:p>
    <w:p>
      <w:pPr>
        <w:spacing w:after="0" w:line="21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an ISO is exercised, the spread is added to income for AMT purposes. (See discussion below.)</w:t>
      </w:r>
    </w:p>
    <w:p>
      <w:pPr>
        <w:spacing w:after="0" w:line="211" w:lineRule="exact"/>
        <w:rPr>
          <w:rFonts w:ascii="Times New Roman" w:cs="Times New Roman" w:eastAsia="Times New Roman" w:hAnsi="Times New Roman"/>
          <w:sz w:val="20"/>
          <w:szCs w:val="20"/>
          <w:color w:val="auto"/>
        </w:rPr>
      </w:pPr>
    </w:p>
    <w:p>
      <w:pPr>
        <w:ind w:left="440" w:hanging="432"/>
        <w:spacing w:after="0" w:line="273" w:lineRule="auto"/>
        <w:tabs>
          <w:tab w:leader="none" w:pos="44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Exemption Amount</w:t>
      </w:r>
      <w:r>
        <w:rPr>
          <w:rFonts w:ascii="Times New Roman" w:cs="Times New Roman" w:eastAsia="Times New Roman" w:hAnsi="Times New Roman"/>
          <w:sz w:val="20"/>
          <w:szCs w:val="20"/>
          <w:color w:val="auto"/>
        </w:rPr>
        <w:t>. Before AMT is calculated, AMTI is reduced by the exemption amount. Under current law, the exemption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is as follows: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7" w:name="page258"/>
    <w:bookmarkEnd w:id="257"/>
    <w:tbl>
      <w:tblPr>
        <w:tblLayout w:type="fixed"/>
        <w:tblInd w:w="10" w:type="dxa"/>
        <w:tblCellMar>
          <w:top w:w="0" w:type="dxa"/>
          <w:left w:w="0" w:type="dxa"/>
          <w:bottom w:w="0" w:type="dxa"/>
          <w:right w:w="0" w:type="dxa"/>
        </w:tblCellMar>
      </w:tblPr>
      <w:tr>
        <w:trPr>
          <w:trHeight w:val="303"/>
        </w:trPr>
        <w:tc>
          <w:tcPr>
            <w:tcW w:w="2840" w:type="dxa"/>
            <w:vAlign w:val="bottom"/>
            <w:tcBorders>
              <w:top w:val="single" w:sz="8" w:color="auto"/>
              <w:left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20"/>
                <w:szCs w:val="20"/>
                <w:b w:val="1"/>
                <w:bCs w:val="1"/>
                <w:color w:val="auto"/>
              </w:rPr>
              <w:t>Year: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Joint Returns: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Single Returns:</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Separate Returns:</w:t>
            </w: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83"/>
        </w:trPr>
        <w:tc>
          <w:tcPr>
            <w:tcW w:w="2840" w:type="dxa"/>
            <w:vAlign w:val="bottom"/>
            <w:tcBorders>
              <w:left w:val="single" w:sz="8" w:color="auto"/>
              <w:right w:val="single" w:sz="8" w:color="auto"/>
            </w:tcBorders>
          </w:tcPr>
          <w:p>
            <w:pPr>
              <w:jc w:val="center"/>
              <w:ind w:right="1061"/>
              <w:spacing w:after="0"/>
              <w:rPr>
                <w:sz w:val="20"/>
                <w:szCs w:val="20"/>
                <w:color w:val="auto"/>
              </w:rPr>
            </w:pPr>
            <w:r>
              <w:rPr>
                <w:rFonts w:ascii="Times New Roman" w:cs="Times New Roman" w:eastAsia="Times New Roman" w:hAnsi="Times New Roman"/>
                <w:sz w:val="20"/>
                <w:szCs w:val="20"/>
                <w:color w:val="auto"/>
              </w:rPr>
              <w:t>2015</w:t>
            </w:r>
            <w:r>
              <w:rPr>
                <w:rFonts w:ascii="Times New Roman" w:cs="Times New Roman" w:eastAsia="Times New Roman" w:hAnsi="Times New Roman"/>
                <w:sz w:val="16"/>
                <w:szCs w:val="16"/>
                <w:color w:val="auto"/>
              </w:rPr>
              <w:t>6</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$83,400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$53,600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$41,700</w:t>
            </w: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83"/>
        </w:trPr>
        <w:tc>
          <w:tcPr>
            <w:tcW w:w="2840" w:type="dxa"/>
            <w:vAlign w:val="bottom"/>
            <w:tcBorders>
              <w:left w:val="single" w:sz="8" w:color="auto"/>
              <w:right w:val="single" w:sz="8" w:color="auto"/>
            </w:tcBorders>
          </w:tcPr>
          <w:p>
            <w:pPr>
              <w:jc w:val="right"/>
              <w:ind w:right="1121"/>
              <w:spacing w:after="0"/>
              <w:rPr>
                <w:sz w:val="20"/>
                <w:szCs w:val="20"/>
                <w:color w:val="auto"/>
              </w:rPr>
            </w:pPr>
            <w:r>
              <w:rPr>
                <w:rFonts w:ascii="Times New Roman" w:cs="Times New Roman" w:eastAsia="Times New Roman" w:hAnsi="Times New Roman"/>
                <w:sz w:val="20"/>
                <w:szCs w:val="20"/>
                <w:color w:val="auto"/>
              </w:rPr>
              <w:t>2016</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$83,800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$53,900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$41,900</w:t>
            </w: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bl>
    <w:p>
      <w:pPr>
        <w:spacing w:after="0" w:line="193" w:lineRule="exact"/>
        <w:rPr>
          <w:sz w:val="20"/>
          <w:szCs w:val="20"/>
          <w:color w:val="auto"/>
        </w:rPr>
      </w:pPr>
    </w:p>
    <w:p>
      <w:pPr>
        <w:jc w:val="both"/>
        <w:ind w:left="440"/>
        <w:spacing w:after="0" w:line="269" w:lineRule="auto"/>
        <w:rPr>
          <w:sz w:val="20"/>
          <w:szCs w:val="20"/>
          <w:color w:val="auto"/>
        </w:rPr>
      </w:pPr>
      <w:r>
        <w:rPr>
          <w:rFonts w:ascii="Times New Roman" w:cs="Times New Roman" w:eastAsia="Times New Roman" w:hAnsi="Times New Roman"/>
          <w:sz w:val="20"/>
          <w:szCs w:val="20"/>
          <w:color w:val="auto"/>
        </w:rPr>
        <w:t>The allowable exemption amount is reduced by $0.25 for each $1.00 by which alternative minimum taxable income for the year exceeds the following amounts: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2840" w:type="dxa"/>
            <w:vAlign w:val="bottom"/>
            <w:tcBorders>
              <w:top w:val="single" w:sz="8" w:color="auto"/>
              <w:left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20"/>
                <w:szCs w:val="20"/>
                <w:b w:val="1"/>
                <w:bCs w:val="1"/>
                <w:color w:val="auto"/>
              </w:rPr>
              <w:t>Year: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Joint Returns: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Single Returns:</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Separate Returns:</w:t>
            </w: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83"/>
        </w:trPr>
        <w:tc>
          <w:tcPr>
            <w:tcW w:w="2840" w:type="dxa"/>
            <w:vAlign w:val="bottom"/>
            <w:tcBorders>
              <w:left w:val="single" w:sz="8" w:color="auto"/>
              <w:right w:val="single" w:sz="8" w:color="auto"/>
            </w:tcBorders>
          </w:tcPr>
          <w:p>
            <w:pPr>
              <w:jc w:val="center"/>
              <w:ind w:right="1061"/>
              <w:spacing w:after="0"/>
              <w:rPr>
                <w:sz w:val="20"/>
                <w:szCs w:val="20"/>
                <w:color w:val="auto"/>
              </w:rPr>
            </w:pPr>
            <w:r>
              <w:rPr>
                <w:rFonts w:ascii="Times New Roman" w:cs="Times New Roman" w:eastAsia="Times New Roman" w:hAnsi="Times New Roman"/>
                <w:sz w:val="20"/>
                <w:szCs w:val="20"/>
                <w:color w:val="auto"/>
              </w:rPr>
              <w:t>2015</w:t>
            </w:r>
            <w:r>
              <w:rPr>
                <w:rFonts w:ascii="Times New Roman" w:cs="Times New Roman" w:eastAsia="Times New Roman" w:hAnsi="Times New Roman"/>
                <w:sz w:val="16"/>
                <w:szCs w:val="16"/>
                <w:color w:val="auto"/>
              </w:rPr>
              <w:t>7</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$158,900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$119,200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$79,450</w:t>
            </w: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83"/>
        </w:trPr>
        <w:tc>
          <w:tcPr>
            <w:tcW w:w="2840" w:type="dxa"/>
            <w:vAlign w:val="bottom"/>
            <w:tcBorders>
              <w:left w:val="single" w:sz="8" w:color="auto"/>
              <w:right w:val="single" w:sz="8" w:color="auto"/>
            </w:tcBorders>
          </w:tcPr>
          <w:p>
            <w:pPr>
              <w:jc w:val="right"/>
              <w:ind w:right="1121"/>
              <w:spacing w:after="0"/>
              <w:rPr>
                <w:sz w:val="20"/>
                <w:szCs w:val="20"/>
                <w:color w:val="auto"/>
              </w:rPr>
            </w:pPr>
            <w:r>
              <w:rPr>
                <w:rFonts w:ascii="Times New Roman" w:cs="Times New Roman" w:eastAsia="Times New Roman" w:hAnsi="Times New Roman"/>
                <w:sz w:val="20"/>
                <w:szCs w:val="20"/>
                <w:color w:val="auto"/>
              </w:rPr>
              <w:t>2016</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$159,700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$119,700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$79,850</w:t>
            </w: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bl>
    <w:p>
      <w:pPr>
        <w:spacing w:after="0" w:line="207" w:lineRule="exact"/>
        <w:rPr>
          <w:sz w:val="20"/>
          <w:szCs w:val="20"/>
          <w:color w:val="auto"/>
        </w:rPr>
      </w:pPr>
    </w:p>
    <w:p>
      <w:pPr>
        <w:jc w:val="both"/>
        <w:ind w:left="440"/>
        <w:spacing w:after="0" w:line="269" w:lineRule="auto"/>
        <w:rPr>
          <w:sz w:val="20"/>
          <w:szCs w:val="20"/>
          <w:color w:val="auto"/>
        </w:rPr>
      </w:pPr>
      <w:r>
        <w:rPr>
          <w:rFonts w:ascii="Times New Roman" w:cs="Times New Roman" w:eastAsia="Times New Roman" w:hAnsi="Times New Roman"/>
          <w:sz w:val="20"/>
          <w:szCs w:val="20"/>
          <w:color w:val="auto"/>
        </w:rPr>
        <w:t>This means, for example, in 2016, the $83,800 exemption amount is phased out completely for married individuals filing joint returns when their alternative minimum taxable income reaches $494,900 [($83,800 ÷ $0.25) + $159,700].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 of AMT When ISO Is Exercised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noted above, when an ISO is exercised, the spread is included in AMTI at the time of exercise.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16"/>
          <w:szCs w:val="16"/>
          <w:color w:val="auto"/>
        </w:rPr>
        <w:t>8</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200" w:lineRule="exact"/>
        <w:rPr>
          <w:sz w:val="20"/>
          <w:szCs w:val="20"/>
          <w:color w:val="auto"/>
        </w:rPr>
      </w:pPr>
    </w:p>
    <w:p>
      <w:pPr>
        <w:spacing w:after="0" w:line="376" w:lineRule="exact"/>
        <w:rPr>
          <w:sz w:val="20"/>
          <w:szCs w:val="20"/>
          <w:color w:val="auto"/>
        </w:rPr>
      </w:pPr>
    </w:p>
    <w:p>
      <w:pPr>
        <w:ind w:left="240" w:hanging="232"/>
        <w:spacing w:after="0"/>
        <w:tabs>
          <w:tab w:leader="none" w:pos="24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Amounts are indexed for inflation in future years.</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9"/>
          <w:szCs w:val="19"/>
          <w:color w:val="auto"/>
        </w:rPr>
        <w:t>Amounts are indexed for inflation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14230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140" w:hanging="132"/>
        <w:spacing w:after="0" w:line="246" w:lineRule="auto"/>
        <w:tabs>
          <w:tab w:leader="none" w:pos="24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409A </w:t>
      </w:r>
      <w:r>
        <w:rPr>
          <w:rFonts w:ascii="Times New Roman" w:cs="Times New Roman" w:eastAsia="Times New Roman" w:hAnsi="Times New Roman"/>
          <w:sz w:val="13"/>
          <w:szCs w:val="13"/>
          <w:b w:val="1"/>
          <w:bCs w:val="1"/>
          <w:color w:val="auto"/>
        </w:rPr>
        <w:t>OF THE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NTERNAL</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EVENUE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ODE</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If your option were found to be subject to section 409A, then you would be required to recognize ordinary income as early as the year in which the option (or portion thereof) vests. This amount would also be subject to a 20% federal tax </w:t>
      </w:r>
      <w:r>
        <w:rPr>
          <w:rFonts w:ascii="Times New Roman" w:cs="Times New Roman" w:eastAsia="Times New Roman" w:hAnsi="Times New Roman"/>
          <w:sz w:val="20"/>
          <w:szCs w:val="20"/>
          <w:i w:val="1"/>
          <w:iCs w:val="1"/>
          <w:color w:val="auto"/>
        </w:rPr>
        <w:t>in addition to</w:t>
      </w:r>
      <w:r>
        <w:rPr>
          <w:rFonts w:ascii="Times New Roman" w:cs="Times New Roman" w:eastAsia="Times New Roman" w:hAnsi="Times New Roman"/>
          <w:sz w:val="20"/>
          <w:szCs w:val="20"/>
          <w:color w:val="auto"/>
        </w:rPr>
        <w:t xml:space="preserve"> the federal income tax at your usual marginal rate for ordinary income. Additional state income taxes may apply in some states.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Disclaimer Under IRS Circular 230</w:t>
      </w:r>
    </w:p>
    <w:p>
      <w:pPr>
        <w:spacing w:after="0" w:line="220" w:lineRule="exact"/>
        <w:rPr>
          <w:sz w:val="20"/>
          <w:szCs w:val="20"/>
          <w:color w:val="auto"/>
        </w:rPr>
      </w:pPr>
    </w:p>
    <w:p>
      <w:pPr>
        <w:jc w:val="both"/>
        <w:ind w:left="880" w:right="860"/>
        <w:spacing w:after="0" w:line="249" w:lineRule="auto"/>
        <w:rPr>
          <w:sz w:val="20"/>
          <w:szCs w:val="20"/>
          <w:color w:val="auto"/>
        </w:rPr>
      </w:pPr>
      <w:r>
        <w:rPr>
          <w:rFonts w:ascii="Times New Roman" w:cs="Times New Roman" w:eastAsia="Times New Roman" w:hAnsi="Times New Roman"/>
          <w:sz w:val="20"/>
          <w:szCs w:val="20"/>
          <w:color w:val="auto"/>
        </w:rPr>
        <w:t>To ensure compliance with requirements imposed by U.S. tax authorities, we inform you that any U.S. tax advice contained in the foregoing summary is not intended or written to be used, and cannot be used, for the purpose of (i) avoiding United States federal, state or local tax penalties, or (ii) promoting, marketing or recommending to another party any matters addressed herein (including any attachments).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ARLY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You must sign this Notice on Page 3 before submitting it to the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Optionee Information:</w:t>
            </w:r>
          </w:p>
        </w:tc>
        <w:tc>
          <w:tcPr>
            <w:tcW w:w="2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80" w:type="dxa"/>
            <w:vAlign w:val="bottom"/>
          </w:tcPr>
          <w:p>
            <w:pPr>
              <w:spacing w:after="0"/>
              <w:rPr>
                <w:sz w:val="22"/>
                <w:szCs w:val="22"/>
                <w:color w:val="auto"/>
              </w:rPr>
            </w:pPr>
          </w:p>
        </w:tc>
      </w:tr>
      <w:tr>
        <w:trPr>
          <w:trHeight w:val="453"/>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28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Social Security Number:</w:t>
            </w:r>
          </w:p>
        </w:tc>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3"/>
        </w:trPr>
        <w:tc>
          <w:tcPr>
            <w:tcW w:w="9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Address:</w:t>
            </w:r>
          </w:p>
        </w:tc>
        <w:tc>
          <w:tcPr>
            <w:tcW w:w="4100" w:type="dxa"/>
            <w:vAlign w:val="bottom"/>
            <w:tcBorders>
              <w:top w:val="single" w:sz="8" w:color="auto"/>
              <w:bottom w:val="single" w:sz="8" w:color="auto"/>
            </w:tcBorders>
          </w:tcPr>
          <w:p>
            <w:pPr>
              <w:spacing w:after="0"/>
              <w:rPr>
                <w:sz w:val="19"/>
                <w:szCs w:val="19"/>
                <w:color w:val="auto"/>
              </w:rPr>
            </w:pPr>
          </w:p>
        </w:tc>
        <w:tc>
          <w:tcPr>
            <w:tcW w:w="2800" w:type="dxa"/>
            <w:vAlign w:val="bottom"/>
          </w:tcPr>
          <w:p>
            <w:pPr>
              <w:ind w:left="420"/>
              <w:spacing w:after="0" w:line="223" w:lineRule="exact"/>
              <w:rPr>
                <w:sz w:val="20"/>
                <w:szCs w:val="20"/>
                <w:color w:val="auto"/>
              </w:rPr>
            </w:pPr>
            <w:r>
              <w:rPr>
                <w:rFonts w:ascii="Times New Roman" w:cs="Times New Roman" w:eastAsia="Times New Roman" w:hAnsi="Times New Roman"/>
                <w:sz w:val="20"/>
                <w:szCs w:val="20"/>
                <w:color w:val="auto"/>
              </w:rPr>
              <w:t>Employee Number:</w:t>
            </w:r>
          </w:p>
        </w:tc>
        <w:tc>
          <w:tcPr>
            <w:tcW w:w="500" w:type="dxa"/>
            <w:vAlign w:val="bottom"/>
          </w:tcPr>
          <w:p>
            <w:pPr>
              <w:spacing w:after="0"/>
              <w:rPr>
                <w:sz w:val="19"/>
                <w:szCs w:val="19"/>
                <w:color w:val="auto"/>
              </w:rPr>
            </w:pPr>
          </w:p>
        </w:tc>
        <w:tc>
          <w:tcPr>
            <w:tcW w:w="2880" w:type="dxa"/>
            <w:vAlign w:val="bottom"/>
            <w:tcBorders>
              <w:top w:val="single" w:sz="8" w:color="auto"/>
              <w:bottom w:val="single" w:sz="8" w:color="auto"/>
            </w:tcBorders>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58"/>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Option Information:</w:t>
            </w: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59"/>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of Grant: _____________ ___, 20__</w:t>
            </w:r>
          </w:p>
        </w:tc>
        <w:tc>
          <w:tcPr>
            <w:tcW w:w="2800" w:type="dxa"/>
            <w:vAlign w:val="bottom"/>
          </w:tcPr>
          <w:p>
            <w:pPr>
              <w:spacing w:after="0"/>
              <w:rPr>
                <w:sz w:val="24"/>
                <w:szCs w:val="24"/>
                <w:color w:val="auto"/>
              </w:rPr>
            </w:pPr>
          </w:p>
        </w:tc>
        <w:tc>
          <w:tcPr>
            <w:tcW w:w="33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Type of Stock Option:</w:t>
            </w:r>
          </w:p>
        </w:tc>
      </w:tr>
      <w:tr>
        <w:trPr>
          <w:trHeight w:val="371"/>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Price per Share: $________</w:t>
            </w:r>
          </w:p>
        </w:tc>
        <w:tc>
          <w:tcPr>
            <w:tcW w:w="2800" w:type="dxa"/>
            <w:vAlign w:val="bottom"/>
          </w:tcPr>
          <w:p>
            <w:pPr>
              <w:spacing w:after="0"/>
              <w:rPr>
                <w:sz w:val="24"/>
                <w:szCs w:val="24"/>
                <w:color w:val="auto"/>
              </w:rPr>
            </w:pPr>
          </w:p>
        </w:tc>
        <w:tc>
          <w:tcPr>
            <w:tcW w:w="3380" w:type="dxa"/>
            <w:vAlign w:val="bottom"/>
            <w:gridSpan w:val="2"/>
          </w:tcPr>
          <w:p>
            <w:pPr>
              <w:ind w:left="42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Nonstatutory (NSO)</w:t>
            </w:r>
          </w:p>
        </w:tc>
      </w:tr>
      <w:tr>
        <w:trPr>
          <w:trHeight w:val="289"/>
        </w:trPr>
        <w:tc>
          <w:tcPr>
            <w:tcW w:w="7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number of shares of Common Stock of Tarsus Pharmaceuticals, Inc. (the</w:t>
            </w:r>
          </w:p>
        </w:tc>
        <w:tc>
          <w:tcPr>
            <w:tcW w:w="3380" w:type="dxa"/>
            <w:vAlign w:val="bottom"/>
            <w:gridSpan w:val="2"/>
          </w:tcPr>
          <w:p>
            <w:pPr>
              <w:ind w:left="42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Incentive (ISO)</w:t>
            </w:r>
          </w:p>
        </w:tc>
      </w:tr>
      <w:tr>
        <w:trPr>
          <w:trHeight w:val="258"/>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covered by the option: __________________</w:t>
            </w:r>
          </w:p>
        </w:tc>
        <w:tc>
          <w:tcPr>
            <w:tcW w:w="2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80" w:type="dxa"/>
            <w:vAlign w:val="bottom"/>
          </w:tcPr>
          <w:p>
            <w:pPr>
              <w:spacing w:after="0"/>
              <w:rPr>
                <w:sz w:val="22"/>
                <w:szCs w:val="22"/>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of Common Stock of the Company for which the option is being exercised now: ________________. (These shares are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referred to below as the “Purchased Shares.”)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Exercise Price for the Purchased Shares: $____________</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Form of payment enclosed </w:t>
      </w:r>
      <w:r>
        <w:rPr>
          <w:rFonts w:ascii="Times New Roman" w:cs="Times New Roman" w:eastAsia="Times New Roman" w:hAnsi="Times New Roman"/>
          <w:sz w:val="20"/>
          <w:szCs w:val="20"/>
          <w:b w:val="1"/>
          <w:bCs w:val="1"/>
          <w:i w:val="1"/>
          <w:iCs w:val="1"/>
          <w:color w:val="auto"/>
        </w:rPr>
        <w:t>[check all that apply]</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380" w:hanging="372"/>
        <w:spacing w:after="0"/>
        <w:tabs>
          <w:tab w:leader="none" w:pos="380" w:val="left"/>
        </w:tabs>
        <w:numPr>
          <w:ilvl w:val="0"/>
          <w:numId w:val="24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Check for $____________, payable to “Tarsus Pharmaceuticals, Inc.”</w:t>
      </w:r>
    </w:p>
    <w:p>
      <w:pPr>
        <w:spacing w:after="0" w:line="121" w:lineRule="exact"/>
        <w:rPr>
          <w:rFonts w:ascii="MS PGothic" w:cs="MS PGothic" w:eastAsia="MS PGothic" w:hAnsi="MS PGothic"/>
          <w:sz w:val="20"/>
          <w:szCs w:val="20"/>
          <w:color w:val="auto"/>
        </w:rPr>
      </w:pPr>
    </w:p>
    <w:p>
      <w:pPr>
        <w:ind w:left="420" w:right="60" w:hanging="412"/>
        <w:spacing w:after="0" w:line="269" w:lineRule="auto"/>
        <w:tabs>
          <w:tab w:leader="none" w:pos="388" w:val="left"/>
        </w:tabs>
        <w:numPr>
          <w:ilvl w:val="0"/>
          <w:numId w:val="24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Certificate(s) for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p>
    <w:p>
      <w:pPr>
        <w:spacing w:after="0" w:line="64" w:lineRule="exact"/>
        <w:rPr>
          <w:rFonts w:ascii="MS PGothic" w:cs="MS PGothic" w:eastAsia="MS PGothic" w:hAnsi="MS PGothic"/>
          <w:sz w:val="20"/>
          <w:szCs w:val="20"/>
          <w:color w:val="auto"/>
        </w:rPr>
      </w:pPr>
    </w:p>
    <w:p>
      <w:pPr>
        <w:ind w:left="420" w:right="20" w:hanging="412"/>
        <w:spacing w:after="0" w:line="269" w:lineRule="auto"/>
        <w:tabs>
          <w:tab w:leader="none" w:pos="377" w:val="left"/>
        </w:tabs>
        <w:numPr>
          <w:ilvl w:val="0"/>
          <w:numId w:val="24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Attestation Form covering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p>
    <w:p>
      <w:pPr>
        <w:spacing w:after="0" w:line="155"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color w:val="auto"/>
        </w:rPr>
        <w:t xml:space="preserve">Name(s) in which the Purchased Shares should be registered </w:t>
      </w:r>
      <w:r>
        <w:rPr>
          <w:rFonts w:ascii="Times New Roman" w:cs="Times New Roman" w:eastAsia="Times New Roman" w:hAnsi="Times New Roman"/>
          <w:sz w:val="20"/>
          <w:szCs w:val="20"/>
          <w:b w:val="1"/>
          <w:bCs w:val="1"/>
          <w:i w:val="1"/>
          <w:iCs w:val="1"/>
          <w:color w:val="auto"/>
        </w:rPr>
        <w:t>[please review the attached explanation of the available forms of ownership,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then check one box]</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ind w:left="380" w:hanging="372"/>
        <w:spacing w:after="0"/>
        <w:tabs>
          <w:tab w:leader="none" w:pos="380" w:val="left"/>
        </w:tabs>
        <w:numPr>
          <w:ilvl w:val="0"/>
          <w:numId w:val="24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my name only</w:t>
      </w:r>
    </w:p>
    <w:p>
      <w:pPr>
        <w:sectPr>
          <w:pgSz w:w="11900" w:h="16838" w:orient="portrait"/>
          <w:cols w:equalWidth="0" w:num="1">
            <w:col w:w="11240"/>
          </w:cols>
          <w:pgMar w:left="320" w:top="329" w:right="339" w:bottom="1440" w:gutter="0" w:footer="0" w:header="0"/>
        </w:sectPr>
      </w:pPr>
    </w:p>
    <w:p>
      <w:pPr>
        <w:spacing w:after="0" w:line="121" w:lineRule="exact"/>
        <w:rPr>
          <w:sz w:val="20"/>
          <w:szCs w:val="20"/>
          <w:color w:val="auto"/>
        </w:rPr>
      </w:pPr>
    </w:p>
    <w:p>
      <w:pPr>
        <w:ind w:left="420" w:right="740" w:hanging="412"/>
        <w:spacing w:after="0" w:line="269" w:lineRule="auto"/>
        <w:tabs>
          <w:tab w:leader="none" w:pos="388" w:val="left"/>
        </w:tabs>
        <w:numPr>
          <w:ilvl w:val="0"/>
          <w:numId w:val="246"/>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the names of my spouse and myself as community property</w:t>
      </w:r>
    </w:p>
    <w:p>
      <w:pPr>
        <w:spacing w:after="0" w:line="64" w:lineRule="exact"/>
        <w:rPr>
          <w:rFonts w:ascii="MS PGothic" w:cs="MS PGothic" w:eastAsia="MS PGothic" w:hAnsi="MS PGothic"/>
          <w:sz w:val="20"/>
          <w:szCs w:val="20"/>
          <w:color w:val="auto"/>
        </w:rPr>
      </w:pPr>
    </w:p>
    <w:p>
      <w:pPr>
        <w:ind w:left="420" w:right="740" w:hanging="412"/>
        <w:spacing w:after="0" w:line="269" w:lineRule="auto"/>
        <w:tabs>
          <w:tab w:leader="none" w:pos="388" w:val="left"/>
        </w:tabs>
        <w:numPr>
          <w:ilvl w:val="0"/>
          <w:numId w:val="246"/>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the names of my spouse and myself as community property with the right of survivorship</w:t>
      </w:r>
    </w:p>
    <w:p>
      <w:pPr>
        <w:spacing w:after="0" w:line="64" w:lineRule="exact"/>
        <w:rPr>
          <w:rFonts w:ascii="MS PGothic" w:cs="MS PGothic" w:eastAsia="MS PGothic" w:hAnsi="MS PGothic"/>
          <w:sz w:val="20"/>
          <w:szCs w:val="20"/>
          <w:color w:val="auto"/>
        </w:rPr>
      </w:pPr>
    </w:p>
    <w:p>
      <w:pPr>
        <w:ind w:left="420" w:right="260" w:hanging="412"/>
        <w:spacing w:after="0" w:line="269" w:lineRule="auto"/>
        <w:tabs>
          <w:tab w:leader="none" w:pos="388" w:val="left"/>
        </w:tabs>
        <w:numPr>
          <w:ilvl w:val="0"/>
          <w:numId w:val="246"/>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the names of my spouse and myself as joint tenants with the right of survivorship</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spouse’s name (if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930275</wp:posOffset>
            </wp:positionV>
            <wp:extent cx="71494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5320" w:space="720"/>
            <w:col w:w="5200"/>
          </w:cols>
          <w:pgMar w:left="320" w:top="329" w:right="339" w:bottom="1440" w:gutter="0" w:footer="0" w:header="0"/>
          <w:type w:val="continuous"/>
        </w:sectPr>
      </w:pPr>
    </w:p>
    <w:bookmarkStart w:id="260" w:name="page261"/>
    <w:bookmarkEnd w:id="260"/>
    <w:p>
      <w:pPr>
        <w:spacing w:after="0" w:line="9" w:lineRule="exact"/>
        <w:rPr>
          <w:sz w:val="20"/>
          <w:szCs w:val="20"/>
          <w:color w:val="auto"/>
        </w:rPr>
      </w:pPr>
    </w:p>
    <w:p>
      <w:pPr>
        <w:ind w:left="380" w:hanging="372"/>
        <w:spacing w:after="0"/>
        <w:tabs>
          <w:tab w:leader="none" w:pos="380" w:val="left"/>
        </w:tabs>
        <w:numPr>
          <w:ilvl w:val="0"/>
          <w:numId w:val="247"/>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In the name of an eligible revocable trust </w:t>
      </w:r>
      <w:r>
        <w:rPr>
          <w:rFonts w:ascii="Times New Roman" w:cs="Times New Roman" w:eastAsia="Times New Roman" w:hAnsi="Times New Roman"/>
          <w:sz w:val="19"/>
          <w:szCs w:val="19"/>
          <w:b w:val="1"/>
          <w:bCs w:val="1"/>
          <w:i w:val="1"/>
          <w:iCs w:val="1"/>
          <w:color w:val="auto"/>
        </w:rPr>
        <w:t>[requires Stock</w:t>
      </w:r>
    </w:p>
    <w:p>
      <w:pPr>
        <w:spacing w:after="0" w:line="37" w:lineRule="exact"/>
        <w:rPr>
          <w:rFonts w:ascii="MS PGothic" w:cs="MS PGothic" w:eastAsia="MS PGothic" w:hAnsi="MS PGothic"/>
          <w:sz w:val="19"/>
          <w:szCs w:val="19"/>
          <w:color w:val="auto"/>
        </w:rPr>
      </w:pPr>
    </w:p>
    <w:p>
      <w:pPr>
        <w:ind w:left="420"/>
        <w:spacing w:after="0"/>
        <w:rPr>
          <w:rFonts w:ascii="MS PGothic" w:cs="MS PGothic" w:eastAsia="MS PGothic" w:hAnsi="MS PGothic"/>
          <w:sz w:val="19"/>
          <w:szCs w:val="19"/>
          <w:color w:val="auto"/>
        </w:rPr>
      </w:pPr>
      <w:r>
        <w:rPr>
          <w:rFonts w:ascii="Times New Roman" w:cs="Times New Roman" w:eastAsia="Times New Roman" w:hAnsi="Times New Roman"/>
          <w:sz w:val="20"/>
          <w:szCs w:val="20"/>
          <w:b w:val="1"/>
          <w:bCs w:val="1"/>
          <w:i w:val="1"/>
          <w:iCs w:val="1"/>
          <w:color w:val="auto"/>
        </w:rPr>
        <w:t>Transfer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Full legal name of revocable trust: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97" w:lineRule="exact"/>
        <w:rPr>
          <w:sz w:val="20"/>
          <w:szCs w:val="20"/>
          <w:color w:val="auto"/>
        </w:rPr>
      </w:pPr>
    </w:p>
    <w:p>
      <w:pPr>
        <w:sectPr>
          <w:pgSz w:w="11900" w:h="16838" w:orient="portrait"/>
          <w:cols w:equalWidth="0" w:num="2">
            <w:col w:w="5320" w:space="720"/>
            <w:col w:w="5200"/>
          </w:cols>
          <w:pgMar w:left="320" w:top="549" w:right="339" w:bottom="1440" w:gutter="0" w:footer="0" w:header="0"/>
        </w:sectPr>
      </w:pPr>
    </w:p>
    <w:p>
      <w:pPr>
        <w:spacing w:after="0"/>
        <w:tabs>
          <w:tab w:leader="none" w:pos="5080" w:val="left"/>
        </w:tabs>
        <w:rPr>
          <w:sz w:val="20"/>
          <w:szCs w:val="20"/>
          <w:color w:val="auto"/>
        </w:rPr>
      </w:pPr>
      <w:r>
        <w:rPr>
          <w:rFonts w:ascii="Times New Roman" w:cs="Times New Roman" w:eastAsia="Times New Roman" w:hAnsi="Times New Roman"/>
          <w:sz w:val="20"/>
          <w:szCs w:val="20"/>
          <w:color w:val="auto"/>
        </w:rPr>
        <w:t>The certificate for the Purchased Shares should be sent to</w:t>
      </w:r>
      <w:r>
        <w:rPr>
          <w:sz w:val="20"/>
          <w:szCs w:val="20"/>
          <w:color w:val="auto"/>
        </w:rPr>
        <w:tab/>
      </w:r>
      <w:r>
        <w:rPr>
          <w:rFonts w:ascii="Times New Roman" w:cs="Times New Roman" w:eastAsia="Times New Roman" w:hAnsi="Times New Roman"/>
          <w:sz w:val="19"/>
          <w:szCs w:val="19"/>
          <w:color w:val="auto"/>
        </w:rPr>
        <w:t>____________________________________________</w:t>
      </w:r>
    </w:p>
    <w:p>
      <w:pPr>
        <w:spacing w:after="0" w:line="21"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20"/>
          <w:szCs w:val="20"/>
          <w:color w:val="auto"/>
        </w:rPr>
        <w:t>the following address:</w:t>
      </w:r>
      <w:r>
        <w:rPr>
          <w:sz w:val="20"/>
          <w:szCs w:val="20"/>
          <w:color w:val="auto"/>
        </w:rPr>
        <w:tab/>
      </w:r>
      <w:r>
        <w:rPr>
          <w:rFonts w:ascii="Times New Roman" w:cs="Times New Roman" w:eastAsia="Times New Roman" w:hAnsi="Times New Roman"/>
          <w:sz w:val="19"/>
          <w:szCs w:val="19"/>
          <w:color w:val="auto"/>
        </w:rPr>
        <w:t>____________________________________________</w:t>
      </w:r>
    </w:p>
    <w:p>
      <w:pPr>
        <w:ind w:left="510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ind w:left="510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Representations and Acknowledgements of the Optionee:</w:t>
      </w:r>
    </w:p>
    <w:p>
      <w:pPr>
        <w:spacing w:after="0" w:line="220" w:lineRule="exact"/>
        <w:rPr>
          <w:sz w:val="20"/>
          <w:szCs w:val="20"/>
          <w:color w:val="auto"/>
        </w:rPr>
      </w:pPr>
    </w:p>
    <w:p>
      <w:pPr>
        <w:jc w:val="both"/>
        <w:ind w:left="440" w:right="20" w:hanging="432"/>
        <w:spacing w:after="0" w:line="254" w:lineRule="auto"/>
        <w:tabs>
          <w:tab w:leader="none" w:pos="4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66" w:lineRule="exact"/>
        <w:rPr>
          <w:rFonts w:ascii="Times New Roman" w:cs="Times New Roman" w:eastAsia="Times New Roman" w:hAnsi="Times New Roman"/>
          <w:sz w:val="20"/>
          <w:szCs w:val="20"/>
          <w:color w:val="auto"/>
        </w:rPr>
      </w:pPr>
    </w:p>
    <w:p>
      <w:pPr>
        <w:jc w:val="both"/>
        <w:ind w:left="440" w:hanging="432"/>
        <w:spacing w:after="0" w:line="249" w:lineRule="auto"/>
        <w:tabs>
          <w:tab w:leader="none" w:pos="4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purchase of the Purchased Shares has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7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the Company is under no obligation to register the Purchased Shares or any sale or transfer thereof.</w:t>
      </w:r>
    </w:p>
    <w:p>
      <w:pPr>
        <w:spacing w:after="0" w:line="107" w:lineRule="exact"/>
        <w:rPr>
          <w:rFonts w:ascii="Times New Roman" w:cs="Times New Roman" w:eastAsia="Times New Roman" w:hAnsi="Times New Roman"/>
          <w:sz w:val="20"/>
          <w:szCs w:val="20"/>
          <w:color w:val="auto"/>
        </w:rPr>
      </w:pPr>
    </w:p>
    <w:p>
      <w:pPr>
        <w:jc w:val="both"/>
        <w:ind w:left="440" w:hanging="432"/>
        <w:spacing w:after="0" w:line="245" w:lineRule="auto"/>
        <w:tabs>
          <w:tab w:leader="none" w:pos="4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as of the date set forth below and that the Company is not required to take action to satisfy any conditions applicable to it.</w:t>
      </w:r>
    </w:p>
    <w:p>
      <w:pPr>
        <w:spacing w:after="0" w:line="76" w:lineRule="exact"/>
        <w:rPr>
          <w:rFonts w:ascii="Times New Roman" w:cs="Times New Roman" w:eastAsia="Times New Roman" w:hAnsi="Times New Roman"/>
          <w:sz w:val="20"/>
          <w:szCs w:val="20"/>
          <w:color w:val="auto"/>
        </w:rPr>
      </w:pPr>
    </w:p>
    <w:p>
      <w:pPr>
        <w:ind w:left="440" w:hanging="432"/>
        <w:spacing w:after="0" w:line="269" w:lineRule="auto"/>
        <w:tabs>
          <w:tab w:leader="none" w:pos="4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51" w:lineRule="exact"/>
        <w:rPr>
          <w:rFonts w:ascii="Times New Roman" w:cs="Times New Roman" w:eastAsia="Times New Roman" w:hAnsi="Times New Roman"/>
          <w:sz w:val="20"/>
          <w:szCs w:val="20"/>
          <w:color w:val="auto"/>
        </w:rPr>
      </w:pPr>
    </w:p>
    <w:p>
      <w:pPr>
        <w:jc w:val="both"/>
        <w:ind w:left="440" w:hanging="432"/>
        <w:spacing w:after="0" w:line="254" w:lineRule="auto"/>
        <w:tabs>
          <w:tab w:leader="none" w:pos="4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66" w:lineRule="exact"/>
        <w:rPr>
          <w:rFonts w:ascii="Times New Roman" w:cs="Times New Roman" w:eastAsia="Times New Roman" w:hAnsi="Times New Roman"/>
          <w:sz w:val="20"/>
          <w:szCs w:val="20"/>
          <w:color w:val="auto"/>
        </w:rPr>
      </w:pPr>
    </w:p>
    <w:p>
      <w:pPr>
        <w:jc w:val="both"/>
        <w:ind w:left="440" w:hanging="432"/>
        <w:spacing w:after="0" w:line="254" w:lineRule="auto"/>
        <w:tabs>
          <w:tab w:leader="none" w:pos="4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66" w:lineRule="exact"/>
        <w:rPr>
          <w:rFonts w:ascii="Times New Roman" w:cs="Times New Roman" w:eastAsia="Times New Roman" w:hAnsi="Times New Roman"/>
          <w:sz w:val="20"/>
          <w:szCs w:val="20"/>
          <w:color w:val="auto"/>
        </w:rPr>
      </w:pPr>
    </w:p>
    <w:p>
      <w:pPr>
        <w:jc w:val="both"/>
        <w:ind w:left="440" w:hanging="432"/>
        <w:spacing w:after="0" w:line="254" w:lineRule="auto"/>
        <w:tabs>
          <w:tab w:leader="none" w:pos="4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the Purchased Shares remain subject to the Company’s right of first refusal and the market stand-off (sometimes referred to as the “lock-up”) and may remain subject to the Company’s right of repurchase, all in accordance with the applicable Notice of Stock Option Grant and Stock Option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61" w:name="page262"/>
    <w:bookmarkEnd w:id="261"/>
    <w:p>
      <w:pPr>
        <w:ind w:left="440" w:right="20" w:hanging="432"/>
        <w:spacing w:after="0" w:line="269" w:lineRule="auto"/>
        <w:tabs>
          <w:tab w:leader="none" w:pos="44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am acquiring the Purchased Shares subject to all other terms of the Notice of Stock Option Grant and Stock Option Agreement.</w:t>
      </w:r>
    </w:p>
    <w:p>
      <w:pPr>
        <w:spacing w:after="0" w:line="51" w:lineRule="exact"/>
        <w:rPr>
          <w:rFonts w:ascii="Times New Roman" w:cs="Times New Roman" w:eastAsia="Times New Roman" w:hAnsi="Times New Roman"/>
          <w:sz w:val="20"/>
          <w:szCs w:val="20"/>
          <w:color w:val="auto"/>
        </w:rPr>
      </w:pPr>
    </w:p>
    <w:p>
      <w:pPr>
        <w:jc w:val="both"/>
        <w:ind w:left="440" w:hanging="432"/>
        <w:spacing w:after="0" w:line="245" w:lineRule="auto"/>
        <w:tabs>
          <w:tab w:leader="none" w:pos="44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76" w:lineRule="exact"/>
        <w:rPr>
          <w:rFonts w:ascii="Times New Roman" w:cs="Times New Roman" w:eastAsia="Times New Roman" w:hAnsi="Times New Roman"/>
          <w:sz w:val="20"/>
          <w:szCs w:val="20"/>
          <w:color w:val="auto"/>
        </w:rPr>
      </w:pPr>
    </w:p>
    <w:p>
      <w:pPr>
        <w:jc w:val="both"/>
        <w:ind w:left="440" w:hanging="432"/>
        <w:spacing w:after="0" w:line="246" w:lineRule="auto"/>
        <w:tabs>
          <w:tab w:leader="none" w:pos="44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 copy of the Company’s explanation of the federal income tax consequences of an option exercise and the tax election under section 83(b) of the Internal Revenue Code. In the event that I choose to make a section 83(b) election, I acknowledge that it is my responsibility—and not the Company’s responsibility—to file the election in a timely manner, even if I ask the Company or its agents to make the filing on my behalf. I acknowledge that the Company has encouraged me to consult my own adviser to determine the tax consequences of acquiring the Purchased Shares at this time.</w:t>
      </w:r>
    </w:p>
    <w:p>
      <w:pPr>
        <w:spacing w:after="0" w:line="76" w:lineRule="exact"/>
        <w:rPr>
          <w:rFonts w:ascii="Times New Roman" w:cs="Times New Roman" w:eastAsia="Times New Roman" w:hAnsi="Times New Roman"/>
          <w:sz w:val="20"/>
          <w:szCs w:val="20"/>
          <w:color w:val="auto"/>
        </w:rPr>
      </w:pPr>
    </w:p>
    <w:p>
      <w:pPr>
        <w:jc w:val="both"/>
        <w:ind w:left="440" w:hanging="432"/>
        <w:spacing w:after="0" w:line="242" w:lineRule="auto"/>
        <w:tabs>
          <w:tab w:leader="none" w:pos="44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that the Company does not have a duty to design or administer the 2016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84"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to seek the consent of my spouse to the extent required by the Company to enforce the foregoing.</w:t>
      </w:r>
    </w:p>
    <w:p>
      <w:pPr>
        <w:spacing w:after="0" w:line="200" w:lineRule="exact"/>
        <w:rPr>
          <w:sz w:val="20"/>
          <w:szCs w:val="20"/>
          <w:color w:val="auto"/>
        </w:rPr>
      </w:pPr>
    </w:p>
    <w:p>
      <w:pPr>
        <w:spacing w:after="0" w:line="241"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62" w:name="page263"/>
    <w:bookmarkEnd w:id="26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XPLANATION OF</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ORMS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WNERSHIP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 of This Explanation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159" w:lineRule="exact"/>
        <w:rPr>
          <w:sz w:val="20"/>
          <w:szCs w:val="20"/>
          <w:color w:val="auto"/>
        </w:rPr>
      </w:pPr>
    </w:p>
    <w:p>
      <w:pPr>
        <w:ind w:left="440" w:hanging="432"/>
        <w:spacing w:after="0" w:line="269" w:lineRule="auto"/>
        <w:tabs>
          <w:tab w:leader="none" w:pos="44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the explanation short and readable, only the highlights are covered. Some legal rules are not addressed, even though they may be important in particular cases.</w:t>
      </w:r>
    </w:p>
    <w:p>
      <w:pPr>
        <w:spacing w:after="0" w:line="15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summary attempts to deal with the most common situations, your own situation may well be different from the norm.</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law may change, and the Company is not responsible for updating this summary.</w:t>
      </w:r>
    </w:p>
    <w:p>
      <w:pPr>
        <w:spacing w:after="0" w:line="211" w:lineRule="exact"/>
        <w:rPr>
          <w:rFonts w:ascii="Times New Roman" w:cs="Times New Roman" w:eastAsia="Times New Roman" w:hAnsi="Times New Roman"/>
          <w:sz w:val="20"/>
          <w:szCs w:val="20"/>
          <w:color w:val="auto"/>
        </w:rPr>
      </w:pPr>
    </w:p>
    <w:p>
      <w:pPr>
        <w:ind w:left="440" w:right="20" w:hanging="432"/>
        <w:spacing w:after="0" w:line="273" w:lineRule="auto"/>
        <w:tabs>
          <w:tab w:leader="none" w:pos="44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form in which you own your shares may have a </w:t>
      </w:r>
      <w:r>
        <w:rPr>
          <w:rFonts w:ascii="Times New Roman" w:cs="Times New Roman" w:eastAsia="Times New Roman" w:hAnsi="Times New Roman"/>
          <w:sz w:val="20"/>
          <w:szCs w:val="20"/>
          <w:i w:val="1"/>
          <w:iCs w:val="1"/>
          <w:color w:val="auto"/>
        </w:rPr>
        <w:t>substantial</w:t>
      </w:r>
      <w:r>
        <w:rPr>
          <w:rFonts w:ascii="Times New Roman" w:cs="Times New Roman" w:eastAsia="Times New Roman" w:hAnsi="Times New Roman"/>
          <w:sz w:val="20"/>
          <w:szCs w:val="20"/>
          <w:color w:val="auto"/>
        </w:rPr>
        <w:t xml:space="preserve"> impact on the estate tax treatment that applies to those shares when you die or the income tax treatment that applies when your survivors sell the shares after your death.</w:t>
      </w:r>
    </w:p>
    <w:p>
      <w:pPr>
        <w:spacing w:after="0" w:line="15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F</w:t>
      </w:r>
      <w:r>
        <w:rPr>
          <w:rFonts w:ascii="Times New Roman" w:cs="Times New Roman" w:eastAsia="Times New Roman" w:hAnsi="Times New Roman"/>
          <w:sz w:val="13"/>
          <w:szCs w:val="13"/>
          <w:b w:val="1"/>
          <w:bCs w:val="1"/>
          <w:u w:val="single" w:color="auto"/>
          <w:color w:val="auto"/>
        </w:rPr>
        <w:t>OR THESE REASONS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3"/>
          <w:szCs w:val="13"/>
          <w:b w:val="1"/>
          <w:bCs w:val="1"/>
          <w:u w:val="single" w:color="auto"/>
          <w:color w:val="auto"/>
        </w:rPr>
        <w:t>OMPANY STRONGLY ENCOURAGES YOU TO CONSULT YOUR OWN ADVISER BEFORE EXERCISING YOUR OPTION AND BEFORE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MAKING A DECISION ABOUT THE FORM OF OWNERSHIP FOR YOUR SHARES</w:t>
      </w:r>
      <w:r>
        <w:rPr>
          <w:rFonts w:ascii="Times New Roman" w:cs="Times New Roman" w:eastAsia="Times New Roman" w:hAnsi="Times New Roman"/>
          <w:sz w:val="19"/>
          <w:szCs w:val="19"/>
          <w:b w:val="1"/>
          <w:bCs w:val="1"/>
          <w:u w:val="single" w:color="auto"/>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Notice of Stock Option Exercise offers five forms of taking title to the Purchased Shares:</w:t>
      </w:r>
    </w:p>
    <w:p>
      <w:pPr>
        <w:spacing w:after="0" w:line="216" w:lineRule="exact"/>
        <w:rPr>
          <w:sz w:val="20"/>
          <w:szCs w:val="20"/>
          <w:color w:val="auto"/>
        </w:rPr>
      </w:pPr>
    </w:p>
    <w:p>
      <w:pPr>
        <w:ind w:left="440" w:hanging="432"/>
        <w:spacing w:after="0"/>
        <w:tabs>
          <w:tab w:leader="none" w:pos="44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your name only,</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your name and the name of your spouse as community property,</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your name and the name of your spouse as community property with the right of survivorship,</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your name and the name of your spouse as joint tenants with the right of survivorship, or</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name of an eligible revocable trust.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Community Property and Joint Tenancy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3" w:name="page264"/>
    <w:bookmarkEnd w:id="263"/>
    <w:p>
      <w:pPr>
        <w:jc w:val="both"/>
        <w:spacing w:after="0" w:line="246" w:lineRule="auto"/>
        <w:rPr>
          <w:sz w:val="20"/>
          <w:szCs w:val="20"/>
          <w:color w:val="auto"/>
        </w:rPr>
      </w:pPr>
      <w:r>
        <w:rPr>
          <w:rFonts w:ascii="Times New Roman" w:cs="Times New Roman" w:eastAsia="Times New Roman" w:hAnsi="Times New Roman"/>
          <w:sz w:val="20"/>
          <w:szCs w:val="20"/>
          <w:color w:val="auto"/>
        </w:rPr>
        <w:t>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states are common-law property states. In a common-law property state, each spouse is generally deemed to own whatever he/she earns or acquires.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w:t>
      </w:r>
      <w:r>
        <w:rPr>
          <w:rFonts w:ascii="Times New Roman" w:cs="Times New Roman" w:eastAsia="Times New Roman" w:hAnsi="Times New Roman"/>
          <w:sz w:val="20"/>
          <w:szCs w:val="20"/>
          <w:i w:val="1"/>
          <w:iCs w:val="1"/>
          <w:color w:val="auto"/>
        </w:rPr>
        <w:t>automatically</w:t>
      </w:r>
      <w:r>
        <w:rPr>
          <w:rFonts w:ascii="Times New Roman" w:cs="Times New Roman" w:eastAsia="Times New Roman" w:hAnsi="Times New Roman"/>
          <w:sz w:val="20"/>
          <w:szCs w:val="20"/>
          <w:color w:val="auto"/>
        </w:rPr>
        <w:t xml:space="preserve">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control the disposition of the shares.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transfer to a trust generally should not be treated as a “disposition” of the Purchased Shares for tax purposes if the trust satisfies each of the following conditions:</w:t>
      </w:r>
    </w:p>
    <w:p>
      <w:pPr>
        <w:spacing w:after="0" w:line="159" w:lineRule="exact"/>
        <w:rPr>
          <w:sz w:val="20"/>
          <w:szCs w:val="20"/>
          <w:color w:val="auto"/>
        </w:rPr>
      </w:pPr>
    </w:p>
    <w:p>
      <w:pPr>
        <w:ind w:left="440" w:hanging="432"/>
        <w:spacing w:after="0"/>
        <w:tabs>
          <w:tab w:leader="none" w:pos="44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the sole grantor of the trust,</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the sole trustee, or you and your spouse are the sole co-trustees,</w:t>
      </w:r>
    </w:p>
    <w:p>
      <w:pPr>
        <w:spacing w:after="0" w:line="215" w:lineRule="exact"/>
        <w:rPr>
          <w:rFonts w:ascii="Times New Roman" w:cs="Times New Roman" w:eastAsia="Times New Roman" w:hAnsi="Times New Roman"/>
          <w:sz w:val="20"/>
          <w:szCs w:val="20"/>
          <w:color w:val="auto"/>
        </w:rPr>
      </w:pPr>
    </w:p>
    <w:p>
      <w:pPr>
        <w:ind w:left="440" w:hanging="432"/>
        <w:spacing w:after="0" w:line="269" w:lineRule="auto"/>
        <w:tabs>
          <w:tab w:leader="none" w:pos="44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or trustees are not required to distribute the income of the trust to any person other than you and/or your spouse while you are alive, and</w:t>
      </w:r>
    </w:p>
    <w:p>
      <w:pPr>
        <w:spacing w:after="0" w:line="159" w:lineRule="exact"/>
        <w:rPr>
          <w:rFonts w:ascii="Times New Roman" w:cs="Times New Roman" w:eastAsia="Times New Roman" w:hAnsi="Times New Roman"/>
          <w:sz w:val="20"/>
          <w:szCs w:val="20"/>
          <w:color w:val="auto"/>
        </w:rPr>
      </w:pPr>
    </w:p>
    <w:p>
      <w:pPr>
        <w:ind w:left="440" w:right="20" w:hanging="432"/>
        <w:spacing w:after="0" w:line="269" w:lineRule="auto"/>
        <w:tabs>
          <w:tab w:leader="none" w:pos="44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permits you to revoke all or part of the trust and to have the trust’s assets returned to you, without the consent of any other person (including your spouse).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4" w:name="page265"/>
    <w:bookmarkEnd w:id="264"/>
    <w:p>
      <w:pPr>
        <w:jc w:val="both"/>
        <w:spacing w:after="0" w:line="254" w:lineRule="auto"/>
        <w:rPr>
          <w:sz w:val="20"/>
          <w:szCs w:val="20"/>
          <w:color w:val="auto"/>
        </w:rPr>
      </w:pPr>
      <w:r>
        <w:rPr>
          <w:rFonts w:ascii="Times New Roman" w:cs="Times New Roman" w:eastAsia="Times New Roman" w:hAnsi="Times New Roman"/>
          <w:sz w:val="20"/>
          <w:szCs w:val="20"/>
          <w:color w:val="auto"/>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you have the Purchased Shares issued to any trust, you will be required to sign a Stock Transfer Agreement in your capacity as trustee. Under the Stock Transfer Agreement, the Purchased Shares remain subject to the Company’s right of first refusal and may remain subject to the Company’s right of repurchase, all in accordance with the applicable Notice of Stock Option Grant and Stock Option Agreement.</w:t>
      </w: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3"/>
          <w:szCs w:val="13"/>
          <w:b w:val="1"/>
          <w:bCs w:val="1"/>
          <w:u w:val="single" w:color="auto"/>
          <w:color w:val="auto"/>
        </w:rPr>
        <w: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3"/>
          <w:szCs w:val="13"/>
          <w:b w:val="1"/>
          <w:bCs w:val="1"/>
          <w:u w:val="single" w:color="auto"/>
          <w:color w:val="auto"/>
        </w:rPr>
        <w:t>OMPANY WILL NOT CHECK TO DETERMINE WHETHER THE FORM OF OWNERSHIP THAT YOU ELECT IN YOUR</w:t>
      </w:r>
      <w:r>
        <w:rPr>
          <w:rFonts w:ascii="Times New Roman" w:cs="Times New Roman" w:eastAsia="Times New Roman" w:hAnsi="Times New Roman"/>
          <w:sz w:val="20"/>
          <w:szCs w:val="20"/>
          <w:b w:val="1"/>
          <w:bCs w:val="1"/>
          <w:u w:val="single" w:color="auto"/>
          <w:color w:val="auto"/>
        </w:rPr>
        <w:t xml:space="preserve"> N</w:t>
      </w:r>
      <w:r>
        <w:rPr>
          <w:rFonts w:ascii="Times New Roman" w:cs="Times New Roman" w:eastAsia="Times New Roman" w:hAnsi="Times New Roman"/>
          <w:sz w:val="13"/>
          <w:szCs w:val="13"/>
          <w:b w:val="1"/>
          <w:bCs w:val="1"/>
          <w:u w:val="single" w:color="auto"/>
          <w:color w:val="auto"/>
        </w:rPr>
        <w:t>OTICE OF</w:t>
      </w:r>
      <w:r>
        <w:rPr>
          <w:rFonts w:ascii="Times New Roman" w:cs="Times New Roman" w:eastAsia="Times New Roman" w:hAnsi="Times New Roman"/>
          <w:sz w:val="20"/>
          <w:szCs w:val="20"/>
          <w:b w:val="1"/>
          <w:bCs w:val="1"/>
          <w:u w:val="single" w:color="auto"/>
          <w:color w:val="auto"/>
        </w:rPr>
        <w:t xml:space="preserve"> S</w:t>
      </w:r>
      <w:r>
        <w:rPr>
          <w:rFonts w:ascii="Times New Roman" w:cs="Times New Roman" w:eastAsia="Times New Roman" w:hAnsi="Times New Roman"/>
          <w:sz w:val="13"/>
          <w:szCs w:val="13"/>
          <w:b w:val="1"/>
          <w:bCs w:val="1"/>
          <w:u w:val="single" w:color="auto"/>
          <w:color w:val="auto"/>
        </w:rPr>
        <w:t>TOCK</w:t>
      </w:r>
      <w:r>
        <w:rPr>
          <w:rFonts w:ascii="Times New Roman" w:cs="Times New Roman" w:eastAsia="Times New Roman" w:hAnsi="Times New Roman"/>
          <w:sz w:val="20"/>
          <w:szCs w:val="20"/>
          <w:b w:val="1"/>
          <w:bCs w:val="1"/>
          <w:u w:val="single" w:color="auto"/>
          <w:color w:val="auto"/>
        </w:rPr>
        <w:t xml:space="preserve"> O</w:t>
      </w:r>
      <w:r>
        <w:rPr>
          <w:rFonts w:ascii="Times New Roman" w:cs="Times New Roman" w:eastAsia="Times New Roman" w:hAnsi="Times New Roman"/>
          <w:sz w:val="13"/>
          <w:szCs w:val="13"/>
          <w:b w:val="1"/>
          <w:bCs w:val="1"/>
          <w:u w:val="single" w:color="auto"/>
          <w:color w:val="auto"/>
        </w:rPr>
        <w:t>PTION</w:t>
      </w:r>
      <w:r>
        <w:rPr>
          <w:rFonts w:ascii="Times New Roman" w:cs="Times New Roman" w:eastAsia="Times New Roman" w:hAnsi="Times New Roman"/>
          <w:sz w:val="20"/>
          <w:szCs w:val="20"/>
          <w:b w:val="1"/>
          <w:bCs w:val="1"/>
          <w:u w:val="single" w:color="auto"/>
          <w:color w:val="auto"/>
        </w:rPr>
        <w:t xml:space="preserve"> E</w:t>
      </w:r>
      <w:r>
        <w:rPr>
          <w:rFonts w:ascii="Times New Roman" w:cs="Times New Roman" w:eastAsia="Times New Roman" w:hAnsi="Times New Roman"/>
          <w:sz w:val="13"/>
          <w:szCs w:val="13"/>
          <w:b w:val="1"/>
          <w:bCs w:val="1"/>
          <w:u w:val="single" w:color="auto"/>
          <w:color w:val="auto"/>
        </w:rPr>
        <w:t>XERCISE IS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APPROPRIATE</w:t>
      </w:r>
      <w:r>
        <w:rPr>
          <w:rFonts w:ascii="Times New Roman" w:cs="Times New Roman" w:eastAsia="Times New Roman" w:hAnsi="Times New Roman"/>
          <w:sz w:val="19"/>
          <w:szCs w:val="19"/>
          <w:b w:val="1"/>
          <w:bCs w:val="1"/>
          <w:u w:val="single" w:color="auto"/>
          <w:color w:val="auto"/>
        </w:rPr>
        <w:t>. Y</w:t>
      </w:r>
      <w:r>
        <w:rPr>
          <w:rFonts w:ascii="Times New Roman" w:cs="Times New Roman" w:eastAsia="Times New Roman" w:hAnsi="Times New Roman"/>
          <w:sz w:val="13"/>
          <w:szCs w:val="13"/>
          <w:b w:val="1"/>
          <w:bCs w:val="1"/>
          <w:u w:val="single" w:color="auto"/>
          <w:color w:val="auto"/>
        </w:rPr>
        <w:t>OU SHOULD CONSULT YOUR OWN ADVISERS ON THIS SUBJECT</w:t>
      </w:r>
      <w:r>
        <w:rPr>
          <w:rFonts w:ascii="Times New Roman" w:cs="Times New Roman" w:eastAsia="Times New Roman" w:hAnsi="Times New Roman"/>
          <w:sz w:val="19"/>
          <w:szCs w:val="19"/>
          <w:b w:val="1"/>
          <w:bCs w:val="1"/>
          <w:u w:val="single" w:color="auto"/>
          <w:color w:val="auto"/>
        </w:rPr>
        <w:t>. I</w:t>
      </w:r>
      <w:r>
        <w:rPr>
          <w:rFonts w:ascii="Times New Roman" w:cs="Times New Roman" w:eastAsia="Times New Roman" w:hAnsi="Times New Roman"/>
          <w:sz w:val="13"/>
          <w:szCs w:val="13"/>
          <w:b w:val="1"/>
          <w:bCs w:val="1"/>
          <w:u w:val="single" w:color="auto"/>
          <w:color w:val="auto"/>
        </w:rPr>
        <w:t>F AN INAPPROPRIATE ELECTION IS MADE</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3"/>
          <w:szCs w:val="13"/>
          <w:b w:val="1"/>
          <w:bCs w:val="1"/>
          <w:u w:val="single" w:color="auto"/>
          <w:color w:val="auto"/>
        </w:rPr>
        <w:t xml:space="preserve"> THE FORM OF OWNERSHIP MAY NOT WITHSTAND LEGAL SCRUTINY OR MAY HAVE ADVERSE TAX CONSEQUENCES</w:t>
      </w:r>
      <w:r>
        <w:rPr>
          <w:rFonts w:ascii="Times New Roman" w:cs="Times New Roman" w:eastAsia="Times New Roman" w:hAnsi="Times New Roman"/>
          <w:sz w:val="19"/>
          <w:szCs w:val="19"/>
          <w:b w:val="1"/>
          <w:bCs w:val="1"/>
          <w:u w:val="single" w:color="auto"/>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XPLANATION OF</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EDERAL</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NCOME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ONSEQUENCES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AND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 xml:space="preserve">ECTION </w:t>
      </w:r>
      <w:r>
        <w:rPr>
          <w:rFonts w:ascii="Times New Roman" w:cs="Times New Roman" w:eastAsia="Times New Roman" w:hAnsi="Times New Roman"/>
          <w:sz w:val="19"/>
          <w:szCs w:val="19"/>
          <w:b w:val="1"/>
          <w:bCs w:val="1"/>
          <w:color w:val="auto"/>
        </w:rPr>
        <w:t>83(b) E</w:t>
      </w:r>
      <w:r>
        <w:rPr>
          <w:rFonts w:ascii="Times New Roman" w:cs="Times New Roman" w:eastAsia="Times New Roman" w:hAnsi="Times New Roman"/>
          <w:sz w:val="13"/>
          <w:szCs w:val="13"/>
          <w:b w:val="1"/>
          <w:bCs w:val="1"/>
          <w:color w:val="auto"/>
        </w:rPr>
        <w:t>LECTION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(Current as of October 2016)</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 of This Explanation</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purpose of this explanation is to provide you with a brief summary of the tax consequences of exercising your option. For a number of reasons, this explanation is no substitute for personal tax advice:</w:t>
      </w:r>
    </w:p>
    <w:p>
      <w:pPr>
        <w:spacing w:after="0" w:line="159" w:lineRule="exact"/>
        <w:rPr>
          <w:sz w:val="20"/>
          <w:szCs w:val="20"/>
          <w:color w:val="auto"/>
        </w:rPr>
      </w:pPr>
    </w:p>
    <w:p>
      <w:pPr>
        <w:ind w:left="440" w:hanging="432"/>
        <w:spacing w:after="0" w:line="269" w:lineRule="auto"/>
        <w:tabs>
          <w:tab w:leader="none" w:pos="44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the explanation short and readable, only the highlights are covered. Some tax rules are not addressed, even though they may be important in particular cases.</w:t>
      </w:r>
    </w:p>
    <w:p>
      <w:pPr>
        <w:spacing w:after="0" w:line="15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summary attempts to deal with the most common situations, your own tax situation may well be different from the norm.</w:t>
      </w:r>
    </w:p>
    <w:p>
      <w:pPr>
        <w:spacing w:after="0" w:line="215" w:lineRule="exact"/>
        <w:rPr>
          <w:rFonts w:ascii="Times New Roman" w:cs="Times New Roman" w:eastAsia="Times New Roman" w:hAnsi="Times New Roman"/>
          <w:sz w:val="20"/>
          <w:szCs w:val="20"/>
          <w:color w:val="auto"/>
        </w:rPr>
      </w:pPr>
    </w:p>
    <w:p>
      <w:pPr>
        <w:ind w:left="440" w:right="20" w:hanging="432"/>
        <w:spacing w:after="0" w:line="269" w:lineRule="auto"/>
        <w:tabs>
          <w:tab w:leader="none" w:pos="44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and foreign income taxes are not addressed at all, even though they could have a significant impact on your tax planning. Likewise, federal gift and estate taxes and state inheritance taxes are not discussed.</w:t>
      </w:r>
    </w:p>
    <w:p>
      <w:pPr>
        <w:spacing w:after="0" w:line="159" w:lineRule="exact"/>
        <w:rPr>
          <w:rFonts w:ascii="Times New Roman" w:cs="Times New Roman" w:eastAsia="Times New Roman" w:hAnsi="Times New Roman"/>
          <w:sz w:val="20"/>
          <w:szCs w:val="20"/>
          <w:color w:val="auto"/>
        </w:rPr>
      </w:pPr>
    </w:p>
    <w:p>
      <w:pPr>
        <w:ind w:left="440" w:hanging="432"/>
        <w:spacing w:after="0" w:line="269" w:lineRule="auto"/>
        <w:tabs>
          <w:tab w:leader="none" w:pos="44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planning involving incentive stock options is exceedingly complex, in part because of the possible application of the alternative minimum tax.</w:t>
      </w:r>
    </w:p>
    <w:p>
      <w:pPr>
        <w:spacing w:after="0" w:line="159" w:lineRule="exact"/>
        <w:rPr>
          <w:rFonts w:ascii="Times New Roman" w:cs="Times New Roman" w:eastAsia="Times New Roman" w:hAnsi="Times New Roman"/>
          <w:sz w:val="20"/>
          <w:szCs w:val="20"/>
          <w:color w:val="auto"/>
        </w:rPr>
      </w:pPr>
    </w:p>
    <w:p>
      <w:pPr>
        <w:jc w:val="both"/>
        <w:ind w:left="440" w:hanging="432"/>
        <w:spacing w:after="0" w:line="254" w:lineRule="auto"/>
        <w:tabs>
          <w:tab w:leader="none" w:pos="44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explanation assumes that you are paying the exercise price of your option in cash (or in the form of a full-recourse promissory note with an interest rate that meets IRS requirements). If you are paying the exercise price in the form of stock, you become subject to special rules that are not addressed here.</w:t>
      </w:r>
    </w:p>
    <w:p>
      <w:pPr>
        <w:spacing w:after="0" w:line="174" w:lineRule="exact"/>
        <w:rPr>
          <w:rFonts w:ascii="Times New Roman" w:cs="Times New Roman" w:eastAsia="Times New Roman" w:hAnsi="Times New Roman"/>
          <w:sz w:val="20"/>
          <w:szCs w:val="20"/>
          <w:color w:val="auto"/>
        </w:rPr>
      </w:pPr>
    </w:p>
    <w:p>
      <w:pPr>
        <w:jc w:val="both"/>
        <w:ind w:left="440" w:hanging="432"/>
        <w:spacing w:after="0" w:line="254" w:lineRule="auto"/>
        <w:tabs>
          <w:tab w:leader="none" w:pos="44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174" w:lineRule="exact"/>
        <w:rPr>
          <w:rFonts w:ascii="Times New Roman" w:cs="Times New Roman" w:eastAsia="Times New Roman" w:hAnsi="Times New Roman"/>
          <w:sz w:val="20"/>
          <w:szCs w:val="20"/>
          <w:color w:val="auto"/>
        </w:rPr>
      </w:pPr>
    </w:p>
    <w:p>
      <w:pPr>
        <w:ind w:left="440" w:hanging="432"/>
        <w:spacing w:after="0" w:line="269" w:lineRule="auto"/>
        <w:tabs>
          <w:tab w:leader="none" w:pos="44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rules change often, and the Company is not responsible for updating this summary. (Please refer to the date at the top of this page.)</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F</w:t>
      </w:r>
      <w:r>
        <w:rPr>
          <w:rFonts w:ascii="Times New Roman" w:cs="Times New Roman" w:eastAsia="Times New Roman" w:hAnsi="Times New Roman"/>
          <w:sz w:val="13"/>
          <w:szCs w:val="13"/>
          <w:b w:val="1"/>
          <w:bCs w:val="1"/>
          <w:u w:val="single" w:color="auto"/>
          <w:color w:val="auto"/>
        </w:rPr>
        <w:t>OR THESE REASONS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3"/>
          <w:szCs w:val="13"/>
          <w:b w:val="1"/>
          <w:bCs w:val="1"/>
          <w:u w:val="single" w:color="auto"/>
          <w:color w:val="auto"/>
        </w:rPr>
        <w:t>OMPANY STRONGLY ENCOURAGES YOU TO CONSULT YOUR OWN TAX ADVISER BEFORE EXERCISING YOUR OPTION AND BEFORE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 xml:space="preserve">MAKING A DECISION ABOUT FILING OR NOT FILING A SECTION </w:t>
      </w:r>
      <w:r>
        <w:rPr>
          <w:rFonts w:ascii="Times New Roman" w:cs="Times New Roman" w:eastAsia="Times New Roman" w:hAnsi="Times New Roman"/>
          <w:sz w:val="19"/>
          <w:szCs w:val="19"/>
          <w:b w:val="1"/>
          <w:bCs w:val="1"/>
          <w:u w:val="single" w:color="auto"/>
          <w:color w:val="auto"/>
        </w:rPr>
        <w:t>83(b)</w:t>
      </w:r>
      <w:r>
        <w:rPr>
          <w:rFonts w:ascii="Times New Roman" w:cs="Times New Roman" w:eastAsia="Times New Roman" w:hAnsi="Times New Roman"/>
          <w:sz w:val="13"/>
          <w:szCs w:val="13"/>
          <w:b w:val="1"/>
          <w:bCs w:val="1"/>
          <w:u w:val="single" w:color="auto"/>
          <w:color w:val="auto"/>
        </w:rPr>
        <w:t xml:space="preserve"> ELECTION</w:t>
      </w:r>
      <w:r>
        <w:rPr>
          <w:rFonts w:ascii="Times New Roman" w:cs="Times New Roman" w:eastAsia="Times New Roman" w:hAnsi="Times New Roman"/>
          <w:sz w:val="19"/>
          <w:szCs w:val="19"/>
          <w:b w:val="1"/>
          <w:bCs w:val="1"/>
          <w:u w:val="single" w:color="auto"/>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NSO to Purchase Vested Shares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Notice of Stock Option Grant indicates whether your Purchased Shares are already vested. Vested shares are no longer subject to the Company’s right to repurchase them, although they are still subject to the Company’s right of first refusal. If you know that your Purchased Shares are already vested, there is no need to file a section 83(b) election.</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you are exercising an NSO to purchase vested shares, you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on the exercise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0"/>
          <w:szCs w:val="20"/>
          <w:b w:val="1"/>
          <w:bCs w:val="1"/>
          <w:color w:val="auto"/>
        </w:rPr>
        <w:t>Exercise of NSO to Purchase Non-Vested Shares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you are exercising an NSO to purchase non-vested shares, and if you do not file a timely election under section 83(b) of the Internal Revenue Code, then you will not be taxed at the time of exercise. Instead, you will be taxed whenever an increment of Purchased Shares vests—in other words, when the Company no longer has the right to repurchase those shares. The Notice of Stock Option Grant indicates when this occurs, generally over a period of several years. Whenever an increment of Purchased Shares vests, you will recognize ordinary income in an amount equal to the excess of (a) the fair market value of those Purchased Shares on the date of vesting over (b) the exercise price you are paying for those Purchased Shares. If you are an employee or former employee of the Company, this amount will be subject to withholding for income and payroll taxes. Your tax basis in the Purchased Shares (to calculate capital gain when you sell the shares) will be equal to the sum of the exercise price you paid for the Purchased Shares plus any additional amount you recognized as income on each vesting date.</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you are exercising an NSO to purchase non-vested shares, and if you file a timely election under section 83(b) of the Internal Revenue Code, then you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as a result of filing the section 83(b) election. Even if the fair market value of the Purchased Shares on the date of exercise equals the exercise price (and thus no tax is payable), the section 83(b) election must be made in order to avoid having any subsequent appreciation taxed as ordinary income at the time of vesting.</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Y</w:t>
      </w:r>
      <w:r>
        <w:rPr>
          <w:rFonts w:ascii="Times New Roman" w:cs="Times New Roman" w:eastAsia="Times New Roman" w:hAnsi="Times New Roman"/>
          <w:sz w:val="13"/>
          <w:szCs w:val="13"/>
          <w:b w:val="1"/>
          <w:bCs w:val="1"/>
          <w:u w:val="single" w:color="auto"/>
          <w:color w:val="auto"/>
        </w:rPr>
        <w:t>OU MUST FILE A SECTION</w:t>
      </w:r>
      <w:r>
        <w:rPr>
          <w:rFonts w:ascii="Times New Roman" w:cs="Times New Roman" w:eastAsia="Times New Roman" w:hAnsi="Times New Roman"/>
          <w:sz w:val="20"/>
          <w:szCs w:val="20"/>
          <w:b w:val="1"/>
          <w:bCs w:val="1"/>
          <w:u w:val="single" w:color="auto"/>
          <w:color w:val="auto"/>
        </w:rPr>
        <w:t xml:space="preserve"> 83(b) </w:t>
      </w:r>
      <w:r>
        <w:rPr>
          <w:rFonts w:ascii="Times New Roman" w:cs="Times New Roman" w:eastAsia="Times New Roman" w:hAnsi="Times New Roman"/>
          <w:sz w:val="13"/>
          <w:szCs w:val="13"/>
          <w:b w:val="1"/>
          <w:bCs w:val="1"/>
          <w:u w:val="single" w:color="auto"/>
          <w:color w:val="auto"/>
        </w:rPr>
        <w:t>ELECTION WITH THE</w:t>
      </w:r>
      <w:r>
        <w:rPr>
          <w:rFonts w:ascii="Times New Roman" w:cs="Times New Roman" w:eastAsia="Times New Roman" w:hAnsi="Times New Roman"/>
          <w:sz w:val="20"/>
          <w:szCs w:val="20"/>
          <w:b w:val="1"/>
          <w:bCs w:val="1"/>
          <w:u w:val="single" w:color="auto"/>
          <w:color w:val="auto"/>
        </w:rPr>
        <w:t xml:space="preserve"> I</w:t>
      </w:r>
      <w:r>
        <w:rPr>
          <w:rFonts w:ascii="Times New Roman" w:cs="Times New Roman" w:eastAsia="Times New Roman" w:hAnsi="Times New Roman"/>
          <w:sz w:val="13"/>
          <w:szCs w:val="13"/>
          <w:b w:val="1"/>
          <w:bCs w:val="1"/>
          <w:u w:val="single" w:color="auto"/>
          <w:color w:val="auto"/>
        </w:rPr>
        <w:t>NTERNAL</w:t>
      </w:r>
      <w:r>
        <w:rPr>
          <w:rFonts w:ascii="Times New Roman" w:cs="Times New Roman" w:eastAsia="Times New Roman" w:hAnsi="Times New Roman"/>
          <w:sz w:val="20"/>
          <w:szCs w:val="20"/>
          <w:b w:val="1"/>
          <w:bCs w:val="1"/>
          <w:u w:val="single" w:color="auto"/>
          <w:color w:val="auto"/>
        </w:rPr>
        <w:t xml:space="preserve"> R</w:t>
      </w:r>
      <w:r>
        <w:rPr>
          <w:rFonts w:ascii="Times New Roman" w:cs="Times New Roman" w:eastAsia="Times New Roman" w:hAnsi="Times New Roman"/>
          <w:sz w:val="13"/>
          <w:szCs w:val="13"/>
          <w:b w:val="1"/>
          <w:bCs w:val="1"/>
          <w:u w:val="single" w:color="auto"/>
          <w:color w:val="auto"/>
        </w:rPr>
        <w:t>EVENUE</w:t>
      </w:r>
      <w:r>
        <w:rPr>
          <w:rFonts w:ascii="Times New Roman" w:cs="Times New Roman" w:eastAsia="Times New Roman" w:hAnsi="Times New Roman"/>
          <w:sz w:val="20"/>
          <w:szCs w:val="20"/>
          <w:b w:val="1"/>
          <w:bCs w:val="1"/>
          <w:u w:val="single" w:color="auto"/>
          <w:color w:val="auto"/>
        </w:rPr>
        <w:t xml:space="preserve"> S</w:t>
      </w:r>
      <w:r>
        <w:rPr>
          <w:rFonts w:ascii="Times New Roman" w:cs="Times New Roman" w:eastAsia="Times New Roman" w:hAnsi="Times New Roman"/>
          <w:sz w:val="13"/>
          <w:szCs w:val="13"/>
          <w:b w:val="1"/>
          <w:bCs w:val="1"/>
          <w:u w:val="single" w:color="auto"/>
          <w:color w:val="auto"/>
        </w:rPr>
        <w:t>ERVICE WITHIN</w:t>
      </w:r>
      <w:r>
        <w:rPr>
          <w:rFonts w:ascii="Times New Roman" w:cs="Times New Roman" w:eastAsia="Times New Roman" w:hAnsi="Times New Roman"/>
          <w:sz w:val="20"/>
          <w:szCs w:val="20"/>
          <w:b w:val="1"/>
          <w:bCs w:val="1"/>
          <w:u w:val="single" w:color="auto"/>
          <w:color w:val="auto"/>
        </w:rPr>
        <w:t xml:space="preserve"> 30 </w:t>
      </w:r>
      <w:r>
        <w:rPr>
          <w:rFonts w:ascii="Times New Roman" w:cs="Times New Roman" w:eastAsia="Times New Roman" w:hAnsi="Times New Roman"/>
          <w:sz w:val="13"/>
          <w:szCs w:val="13"/>
          <w:b w:val="1"/>
          <w:bCs w:val="1"/>
          <w:u w:val="single" w:color="auto"/>
          <w:color w:val="auto"/>
        </w:rPr>
        <w:t>DAYS AFTER THE</w:t>
      </w:r>
      <w:r>
        <w:rPr>
          <w:rFonts w:ascii="Times New Roman" w:cs="Times New Roman" w:eastAsia="Times New Roman" w:hAnsi="Times New Roman"/>
          <w:sz w:val="20"/>
          <w:szCs w:val="20"/>
          <w:b w:val="1"/>
          <w:bCs w:val="1"/>
          <w:u w:val="single" w:color="auto"/>
          <w:color w:val="auto"/>
        </w:rPr>
        <w:t xml:space="preserve"> N</w:t>
      </w:r>
      <w:r>
        <w:rPr>
          <w:rFonts w:ascii="Times New Roman" w:cs="Times New Roman" w:eastAsia="Times New Roman" w:hAnsi="Times New Roman"/>
          <w:sz w:val="13"/>
          <w:szCs w:val="13"/>
          <w:b w:val="1"/>
          <w:bCs w:val="1"/>
          <w:u w:val="single" w:color="auto"/>
          <w:color w:val="auto"/>
        </w:rPr>
        <w:t>OTICE OF</w:t>
      </w:r>
      <w:r>
        <w:rPr>
          <w:rFonts w:ascii="Times New Roman" w:cs="Times New Roman" w:eastAsia="Times New Roman" w:hAnsi="Times New Roman"/>
          <w:sz w:val="20"/>
          <w:szCs w:val="20"/>
          <w:b w:val="1"/>
          <w:bCs w:val="1"/>
          <w:u w:val="single" w:color="auto"/>
          <w:color w:val="auto"/>
        </w:rPr>
        <w:t xml:space="preserve"> S</w:t>
      </w:r>
      <w:r>
        <w:rPr>
          <w:rFonts w:ascii="Times New Roman" w:cs="Times New Roman" w:eastAsia="Times New Roman" w:hAnsi="Times New Roman"/>
          <w:sz w:val="13"/>
          <w:szCs w:val="13"/>
          <w:b w:val="1"/>
          <w:bCs w:val="1"/>
          <w:u w:val="single" w:color="auto"/>
          <w:color w:val="auto"/>
        </w:rPr>
        <w:t>TOCK</w:t>
      </w:r>
      <w:r>
        <w:rPr>
          <w:rFonts w:ascii="Times New Roman" w:cs="Times New Roman" w:eastAsia="Times New Roman" w:hAnsi="Times New Roman"/>
          <w:sz w:val="20"/>
          <w:szCs w:val="20"/>
          <w:b w:val="1"/>
          <w:bCs w:val="1"/>
          <w:u w:val="single" w:color="auto"/>
          <w:color w:val="auto"/>
        </w:rPr>
        <w:t xml:space="preserve"> O</w:t>
      </w:r>
      <w:r>
        <w:rPr>
          <w:rFonts w:ascii="Times New Roman" w:cs="Times New Roman" w:eastAsia="Times New Roman" w:hAnsi="Times New Roman"/>
          <w:sz w:val="13"/>
          <w:szCs w:val="13"/>
          <w:b w:val="1"/>
          <w:bCs w:val="1"/>
          <w:u w:val="single" w:color="auto"/>
          <w:color w:val="auto"/>
        </w:rPr>
        <w:t>PTION</w:t>
      </w:r>
      <w:r>
        <w:rPr>
          <w:rFonts w:ascii="Times New Roman" w:cs="Times New Roman" w:eastAsia="Times New Roman" w:hAnsi="Times New Roman"/>
          <w:sz w:val="20"/>
          <w:szCs w:val="20"/>
          <w:b w:val="1"/>
          <w:bCs w:val="1"/>
          <w:u w:val="single" w:color="auto"/>
          <w:color w:val="auto"/>
        </w:rPr>
        <w:t xml:space="preserve"> E</w:t>
      </w:r>
      <w:r>
        <w:rPr>
          <w:rFonts w:ascii="Times New Roman" w:cs="Times New Roman" w:eastAsia="Times New Roman" w:hAnsi="Times New Roman"/>
          <w:sz w:val="13"/>
          <w:szCs w:val="13"/>
          <w:b w:val="1"/>
          <w:bCs w:val="1"/>
          <w:u w:val="single" w:color="auto"/>
          <w:color w:val="auto"/>
        </w:rPr>
        <w:t>XERCISE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IS SIGNED</w:t>
      </w:r>
      <w:r>
        <w:rPr>
          <w:rFonts w:ascii="Times New Roman" w:cs="Times New Roman" w:eastAsia="Times New Roman" w:hAnsi="Times New Roman"/>
          <w:sz w:val="19"/>
          <w:szCs w:val="19"/>
          <w:color w:val="auto"/>
        </w:rPr>
        <w:t>. The 30-day filing period cannot be extended. If you miss the deadline, you will be taxed as the Purchased Shares vest, based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9"/>
          <w:szCs w:val="19"/>
          <w:color w:val="auto"/>
        </w:rPr>
        <w:t>the value of the shares at that time. (See above.) The form for making the 83(b) election is attached. Additional copies of the form must be filed with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 of NSO Shares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When you dispose of the Purchased Shares, you will recognize a capital gain equal to the excess of (a) the sale proceeds over (b) your tax basis in the Purchased Shares. If the sale proceeds are less than your tax basis, you will recognize a capital loss. The capital gain or loss will be long-term if you held the Purchased Shares for more than 12 months. The holding period normally starts when you exercise your NSO. In general, the maximum marginal federal income tax rate on long-term capital gains is 20% under current law, but lower long-term capital gain rates may apply to taxpayers in the 15% and 10% marginal federal income tax brackets.</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Depending on the level of your adjusted gross income, the additional Medicare contribution tax may be imposed on any short-term and long-term capital gain income and can increase your marginal tax rate.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20"/>
          <w:szCs w:val="20"/>
          <w:b w:val="1"/>
          <w:bCs w:val="1"/>
          <w:color w:val="auto"/>
        </w:rPr>
        <w:t>Limit on ISO Treatment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example, assume that you hold an option to buy 50,000 shares for $4 per share. Assume further that the entire option is exercisable immediately after the date of grant. (It is irrelevant when the underlying stock vests.) Only the first 25,000 shares qualify for ISO treatment. (25,000 times $4 equals $100,000.) The remaining 25,000 shares will be treated as if they had been acquired by exercising an NSO. This is true regardless of when the option is </w:t>
      </w:r>
      <w:r>
        <w:rPr>
          <w:rFonts w:ascii="Times New Roman" w:cs="Times New Roman" w:eastAsia="Times New Roman" w:hAnsi="Times New Roman"/>
          <w:sz w:val="20"/>
          <w:szCs w:val="20"/>
          <w:i w:val="1"/>
          <w:iCs w:val="1"/>
          <w:color w:val="auto"/>
        </w:rPr>
        <w:t>actually</w:t>
      </w:r>
      <w:r>
        <w:rPr>
          <w:rFonts w:ascii="Times New Roman" w:cs="Times New Roman" w:eastAsia="Times New Roman" w:hAnsi="Times New Roman"/>
          <w:sz w:val="20"/>
          <w:szCs w:val="20"/>
          <w:color w:val="auto"/>
        </w:rPr>
        <w:t xml:space="preserve"> exercised; what matters is when it first </w:t>
      </w:r>
      <w:r>
        <w:rPr>
          <w:rFonts w:ascii="Times New Roman" w:cs="Times New Roman" w:eastAsia="Times New Roman" w:hAnsi="Times New Roman"/>
          <w:sz w:val="20"/>
          <w:szCs w:val="20"/>
          <w:i w:val="1"/>
          <w:iCs w:val="1"/>
          <w:color w:val="auto"/>
        </w:rPr>
        <w:t>could</w:t>
      </w:r>
      <w:r>
        <w:rPr>
          <w:rFonts w:ascii="Times New Roman" w:cs="Times New Roman" w:eastAsia="Times New Roman" w:hAnsi="Times New Roman"/>
          <w:sz w:val="20"/>
          <w:szCs w:val="20"/>
          <w:color w:val="auto"/>
        </w:rPr>
        <w:t xml:space="preserve"> have been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ISO and ISO Holding Periods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If you are exercising an ISO, you will not be taxed under the </w:t>
      </w:r>
      <w:r>
        <w:rPr>
          <w:rFonts w:ascii="Times New Roman" w:cs="Times New Roman" w:eastAsia="Times New Roman" w:hAnsi="Times New Roman"/>
          <w:sz w:val="20"/>
          <w:szCs w:val="20"/>
          <w:i w:val="1"/>
          <w:iCs w:val="1"/>
          <w:color w:val="auto"/>
        </w:rPr>
        <w:t>regular</w:t>
      </w:r>
      <w:r>
        <w:rPr>
          <w:rFonts w:ascii="Times New Roman" w:cs="Times New Roman" w:eastAsia="Times New Roman" w:hAnsi="Times New Roman"/>
          <w:sz w:val="20"/>
          <w:szCs w:val="20"/>
          <w:color w:val="auto"/>
        </w:rPr>
        <w:t xml:space="preserve"> tax rules until you dispose of the Purchased Shares.</w:t>
      </w:r>
      <w:r>
        <w:rPr>
          <w:rFonts w:ascii="Times New Roman" w:cs="Times New Roman" w:eastAsia="Times New Roman" w:hAnsi="Times New Roman"/>
          <w:sz w:val="16"/>
          <w:szCs w:val="16"/>
          <w:color w:val="auto"/>
        </w:rPr>
        <w:t>9</w:t>
      </w:r>
      <w:r>
        <w:rPr>
          <w:rFonts w:ascii="Times New Roman" w:cs="Times New Roman" w:eastAsia="Times New Roman" w:hAnsi="Times New Roman"/>
          <w:sz w:val="20"/>
          <w:szCs w:val="20"/>
          <w:color w:val="auto"/>
        </w:rPr>
        <w:t xml:space="preserve"> (The alternative minimum tax rules are described below.) The tax treatment at the time of disposition depends on how long you hold the shares. You will satisfy the ISO holding periods if you hold the Purchased Shares until the </w:t>
      </w:r>
      <w:r>
        <w:rPr>
          <w:rFonts w:ascii="Times New Roman" w:cs="Times New Roman" w:eastAsia="Times New Roman" w:hAnsi="Times New Roman"/>
          <w:sz w:val="20"/>
          <w:szCs w:val="20"/>
          <w:i w:val="1"/>
          <w:iCs w:val="1"/>
          <w:color w:val="auto"/>
        </w:rPr>
        <w:t>later</w:t>
      </w:r>
      <w:r>
        <w:rPr>
          <w:rFonts w:ascii="Times New Roman" w:cs="Times New Roman" w:eastAsia="Times New Roman" w:hAnsi="Times New Roman"/>
          <w:sz w:val="20"/>
          <w:szCs w:val="20"/>
          <w:color w:val="auto"/>
        </w:rPr>
        <w:t xml:space="preserve"> of the following dates:</w:t>
      </w:r>
    </w:p>
    <w:p>
      <w:pPr>
        <w:spacing w:after="0" w:line="173" w:lineRule="exact"/>
        <w:rPr>
          <w:sz w:val="20"/>
          <w:szCs w:val="20"/>
          <w:color w:val="auto"/>
        </w:rPr>
      </w:pPr>
    </w:p>
    <w:p>
      <w:pPr>
        <w:ind w:left="440" w:hanging="432"/>
        <w:spacing w:after="0"/>
        <w:tabs>
          <w:tab w:leader="none" w:pos="44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two years after the ISO was granted, and</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one year after the ISO is exercised.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 of ISO Shares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If you dispose of the Purchased Shares after satisfying </w:t>
      </w:r>
      <w:r>
        <w:rPr>
          <w:rFonts w:ascii="Times New Roman" w:cs="Times New Roman" w:eastAsia="Times New Roman" w:hAnsi="Times New Roman"/>
          <w:sz w:val="20"/>
          <w:szCs w:val="20"/>
          <w:i w:val="1"/>
          <w:iCs w:val="1"/>
          <w:color w:val="auto"/>
        </w:rPr>
        <w:t>both</w:t>
      </w:r>
      <w:r>
        <w:rPr>
          <w:rFonts w:ascii="Times New Roman" w:cs="Times New Roman" w:eastAsia="Times New Roman" w:hAnsi="Times New Roman"/>
          <w:sz w:val="20"/>
          <w:szCs w:val="20"/>
          <w:color w:val="auto"/>
        </w:rPr>
        <w:t xml:space="preserve">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20% under current law, but lower long-term capital gain rates may apply to taxpayers in the 15% and 10% marginal federal income tax brackets.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dispose of the Purchased Shares before either or both of the ISO holding periods are met, then you will recognize ordinary income at the time of disposition. The calculation of the ordinary income amount depends on whether the shares are vested at the time of exercise.</w:t>
      </w:r>
    </w:p>
    <w:p>
      <w:pPr>
        <w:spacing w:after="0" w:line="105" w:lineRule="exact"/>
        <w:rPr>
          <w:sz w:val="20"/>
          <w:szCs w:val="20"/>
          <w:color w:val="auto"/>
        </w:rPr>
      </w:pPr>
    </w:p>
    <w:p>
      <w:pPr>
        <w:jc w:val="both"/>
        <w:ind w:left="140" w:hanging="132"/>
        <w:spacing w:after="0" w:line="249" w:lineRule="auto"/>
        <w:tabs>
          <w:tab w:leader="none" w:pos="241"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14230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68" w:name="page269"/>
    <w:bookmarkEnd w:id="268"/>
    <w:p>
      <w:pPr>
        <w:jc w:val="both"/>
        <w:ind w:left="440" w:hanging="432"/>
        <w:spacing w:after="0" w:line="245" w:lineRule="auto"/>
        <w:tabs>
          <w:tab w:leader="none" w:pos="44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Shares Vested</w:t>
      </w:r>
      <w:r>
        <w:rPr>
          <w:rFonts w:ascii="Times New Roman" w:cs="Times New Roman" w:eastAsia="Times New Roman" w:hAnsi="Times New Roman"/>
          <w:sz w:val="20"/>
          <w:szCs w:val="20"/>
          <w:color w:val="auto"/>
        </w:rPr>
        <w:t>. If the shares are vested at the time of exercise, the amount of ordinary income will be equal to the excess of (a) the fair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 value of the Purchased Shares on the date of exercise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 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exercise.</w:t>
      </w:r>
    </w:p>
    <w:p>
      <w:pPr>
        <w:spacing w:after="0" w:line="179" w:lineRule="exact"/>
        <w:rPr>
          <w:rFonts w:ascii="Times New Roman" w:cs="Times New Roman" w:eastAsia="Times New Roman" w:hAnsi="Times New Roman"/>
          <w:sz w:val="20"/>
          <w:szCs w:val="20"/>
          <w:color w:val="auto"/>
        </w:rPr>
      </w:pPr>
    </w:p>
    <w:p>
      <w:pPr>
        <w:jc w:val="both"/>
        <w:ind w:left="440" w:hanging="432"/>
        <w:spacing w:after="0" w:line="243" w:lineRule="auto"/>
        <w:tabs>
          <w:tab w:leader="none" w:pos="44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Shares Not Vested</w:t>
      </w:r>
      <w:r>
        <w:rPr>
          <w:rFonts w:ascii="Times New Roman" w:cs="Times New Roman" w:eastAsia="Times New Roman" w:hAnsi="Times New Roman"/>
          <w:sz w:val="20"/>
          <w:szCs w:val="20"/>
          <w:color w:val="auto"/>
        </w:rPr>
        <w:t>. If the Purchased Shares are not vested at the time of exercise, then the amount of ordinary income will be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excess of (a) the fair market value of the Purchased Shares on the date of </w:t>
      </w:r>
      <w:r>
        <w:rPr>
          <w:rFonts w:ascii="Times New Roman" w:cs="Times New Roman" w:eastAsia="Times New Roman" w:hAnsi="Times New Roman"/>
          <w:sz w:val="20"/>
          <w:szCs w:val="20"/>
          <w:i w:val="1"/>
          <w:iCs w:val="1"/>
          <w:color w:val="auto"/>
        </w:rPr>
        <w:t>vesting</w:t>
      </w:r>
      <w:r>
        <w:rPr>
          <w:rFonts w:ascii="Times New Roman" w:cs="Times New Roman" w:eastAsia="Times New Roman" w:hAnsi="Times New Roman"/>
          <w:sz w:val="20"/>
          <w:szCs w:val="20"/>
          <w:color w:val="auto"/>
        </w:rPr>
        <w:t xml:space="preserv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 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vesting. Please note that it makes no difference under the </w:t>
      </w:r>
      <w:r>
        <w:rPr>
          <w:rFonts w:ascii="Times New Roman" w:cs="Times New Roman" w:eastAsia="Times New Roman" w:hAnsi="Times New Roman"/>
          <w:sz w:val="20"/>
          <w:szCs w:val="20"/>
          <w:i w:val="1"/>
          <w:iCs w:val="1"/>
          <w:color w:val="auto"/>
        </w:rPr>
        <w:t>regular</w:t>
      </w:r>
      <w:r>
        <w:rPr>
          <w:rFonts w:ascii="Times New Roman" w:cs="Times New Roman" w:eastAsia="Times New Roman" w:hAnsi="Times New Roman"/>
          <w:sz w:val="20"/>
          <w:szCs w:val="20"/>
          <w:color w:val="auto"/>
        </w:rPr>
        <w:t xml:space="preserve"> tax rules whether or not you filed a section 83(b) election at the time you exercised your ISO. In either case, your regular taxable income is measured as of the time of vesting rather than the time of exercise.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Alternative Minimum Tax</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alternative minimum tax (AMT) must be paid to the extent that it exceeds your regular federal income tax for the year. For 2016, the first $186,300 ($93,150 for a married taxpayer filing a separate return) of your alternative minimum taxable income for the year over the allowable exemption amount (see below) is subject to alternative minimum taxation at the rate of 26%. The balance of your alternative minimum taxable income is subject to alternative minimum taxation at the rate of 28%. The dollar thresholds dividing the 26% and 28% rates are indexed for inflation in future years. Your alternative minimum tax base is equal to your alternative minimum taxable income (AMTI) minus your exemption amount.</w:t>
      </w:r>
    </w:p>
    <w:p>
      <w:pPr>
        <w:spacing w:after="0" w:line="180" w:lineRule="exact"/>
        <w:rPr>
          <w:sz w:val="20"/>
          <w:szCs w:val="20"/>
          <w:color w:val="auto"/>
        </w:rPr>
      </w:pPr>
    </w:p>
    <w:p>
      <w:pPr>
        <w:ind w:left="440" w:hanging="432"/>
        <w:spacing w:after="0" w:line="273" w:lineRule="auto"/>
        <w:tabs>
          <w:tab w:leader="none" w:pos="44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Alternative Minimum Taxable Income</w:t>
      </w:r>
      <w:r>
        <w:rPr>
          <w:rFonts w:ascii="Times New Roman" w:cs="Times New Roman" w:eastAsia="Times New Roman" w:hAnsi="Times New Roman"/>
          <w:sz w:val="20"/>
          <w:szCs w:val="20"/>
          <w:color w:val="auto"/>
        </w:rPr>
        <w:t>. Your AMTI is equal to your regular taxable income, subject to certain adjustments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increased by items of tax preference. Among the many adjustments made in computing AMTI are the following:</w:t>
      </w:r>
    </w:p>
    <w:p>
      <w:pPr>
        <w:spacing w:after="0" w:line="15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and local income and property taxes are not allowed as a deduction.</w:t>
      </w:r>
    </w:p>
    <w:p>
      <w:pPr>
        <w:spacing w:after="0" w:line="21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Miscellaneous itemized deductions are not allowed.</w:t>
      </w:r>
    </w:p>
    <w:p>
      <w:pPr>
        <w:spacing w:after="0" w:line="21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interest deductions are not allowed.</w:t>
      </w:r>
    </w:p>
    <w:p>
      <w:pPr>
        <w:spacing w:after="0" w:line="21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standard deduction and personal exemptions are not allowed.</w:t>
      </w:r>
    </w:p>
    <w:p>
      <w:pPr>
        <w:spacing w:after="0" w:line="21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an ISO is exercised, the spread is added to income for AMT purposes. (See discussion below.)</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69" w:name="page270"/>
    <w:bookmarkEnd w:id="269"/>
    <w:tbl>
      <w:tblPr>
        <w:tblLayout w:type="fixed"/>
        <w:tblInd w:w="10" w:type="dxa"/>
        <w:tblCellMar>
          <w:top w:w="0" w:type="dxa"/>
          <w:left w:w="0" w:type="dxa"/>
          <w:bottom w:w="0" w:type="dxa"/>
          <w:right w:w="0" w:type="dxa"/>
        </w:tblCellMar>
      </w:tblPr>
      <w:tr>
        <w:trPr>
          <w:trHeight w:val="233"/>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980" w:type="dxa"/>
            <w:vAlign w:val="bottom"/>
            <w:gridSpan w:val="5"/>
          </w:tcPr>
          <w:p>
            <w:pPr>
              <w:ind w:left="180"/>
              <w:spacing w:after="0"/>
              <w:rPr>
                <w:sz w:val="20"/>
                <w:szCs w:val="20"/>
                <w:color w:val="auto"/>
              </w:rPr>
            </w:pPr>
            <w:r>
              <w:rPr>
                <w:rFonts w:ascii="Times New Roman" w:cs="Times New Roman" w:eastAsia="Times New Roman" w:hAnsi="Times New Roman"/>
                <w:sz w:val="20"/>
                <w:szCs w:val="20"/>
                <w:b w:val="1"/>
                <w:bCs w:val="1"/>
                <w:color w:val="auto"/>
              </w:rPr>
              <w:t>Exemption Amount</w:t>
            </w:r>
            <w:r>
              <w:rPr>
                <w:rFonts w:ascii="Times New Roman" w:cs="Times New Roman" w:eastAsia="Times New Roman" w:hAnsi="Times New Roman"/>
                <w:sz w:val="20"/>
                <w:szCs w:val="20"/>
                <w:color w:val="auto"/>
              </w:rPr>
              <w:t>.  Before AMT is calculated, AMTI is reduced by the exemption amount.  Under current law, the exemption</w:t>
            </w:r>
          </w:p>
        </w:tc>
      </w:tr>
      <w:tr>
        <w:trPr>
          <w:trHeight w:val="258"/>
        </w:trPr>
        <w:tc>
          <w:tcPr>
            <w:tcW w:w="260" w:type="dxa"/>
            <w:vAlign w:val="bottom"/>
          </w:tcPr>
          <w:p>
            <w:pPr>
              <w:spacing w:after="0"/>
              <w:rPr>
                <w:sz w:val="22"/>
                <w:szCs w:val="22"/>
                <w:color w:val="auto"/>
              </w:rPr>
            </w:pPr>
          </w:p>
        </w:tc>
        <w:tc>
          <w:tcPr>
            <w:tcW w:w="3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amount is as follows:</w:t>
            </w:r>
          </w:p>
        </w:tc>
        <w:tc>
          <w:tcPr>
            <w:tcW w:w="23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r>
      <w:tr>
        <w:trPr>
          <w:trHeight w:val="283"/>
        </w:trPr>
        <w:tc>
          <w:tcPr>
            <w:tcW w:w="260" w:type="dxa"/>
            <w:vAlign w:val="bottom"/>
            <w:tcBorders>
              <w:left w:val="single" w:sz="8" w:color="auto"/>
            </w:tcBorders>
          </w:tcPr>
          <w:p>
            <w:pPr>
              <w:spacing w:after="0"/>
              <w:rPr>
                <w:sz w:val="24"/>
                <w:szCs w:val="24"/>
                <w:color w:val="auto"/>
              </w:rPr>
            </w:pPr>
          </w:p>
        </w:tc>
        <w:tc>
          <w:tcPr>
            <w:tcW w:w="258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rPr>
              <w:t>Year:</w:t>
            </w:r>
          </w:p>
        </w:tc>
        <w:tc>
          <w:tcPr>
            <w:tcW w:w="440" w:type="dxa"/>
            <w:vAlign w:val="bottom"/>
          </w:tcPr>
          <w:p>
            <w:pPr>
              <w:spacing w:after="0"/>
              <w:rPr>
                <w:sz w:val="24"/>
                <w:szCs w:val="24"/>
                <w:color w:val="auto"/>
              </w:rPr>
            </w:pPr>
          </w:p>
        </w:tc>
        <w:tc>
          <w:tcPr>
            <w:tcW w:w="23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Joint Returns:</w:t>
            </w:r>
          </w:p>
        </w:tc>
        <w:tc>
          <w:tcPr>
            <w:tcW w:w="28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b w:val="1"/>
                <w:bCs w:val="1"/>
                <w:color w:val="auto"/>
              </w:rPr>
              <w:t>Single Returns:</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Separate Returns:</w:t>
            </w:r>
          </w:p>
        </w:tc>
      </w:tr>
      <w:tr>
        <w:trPr>
          <w:trHeight w:val="48"/>
        </w:trPr>
        <w:tc>
          <w:tcPr>
            <w:tcW w:w="260" w:type="dxa"/>
            <w:vAlign w:val="bottom"/>
            <w:tcBorders>
              <w:left w:val="single" w:sz="8" w:color="auto"/>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83"/>
        </w:trPr>
        <w:tc>
          <w:tcPr>
            <w:tcW w:w="260" w:type="dxa"/>
            <w:vAlign w:val="bottom"/>
            <w:tcBorders>
              <w:left w:val="single" w:sz="8" w:color="auto"/>
            </w:tcBorders>
          </w:tcPr>
          <w:p>
            <w:pPr>
              <w:spacing w:after="0"/>
              <w:rPr>
                <w:sz w:val="24"/>
                <w:szCs w:val="24"/>
                <w:color w:val="auto"/>
              </w:rPr>
            </w:pPr>
          </w:p>
        </w:tc>
        <w:tc>
          <w:tcPr>
            <w:tcW w:w="2580" w:type="dxa"/>
            <w:vAlign w:val="bottom"/>
            <w:tcBorders>
              <w:right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9"/>
              </w:rPr>
              <w:t>2015</w:t>
            </w:r>
            <w:r>
              <w:rPr>
                <w:rFonts w:ascii="Times New Roman" w:cs="Times New Roman" w:eastAsia="Times New Roman" w:hAnsi="Times New Roman"/>
                <w:sz w:val="16"/>
                <w:szCs w:val="16"/>
                <w:color w:val="auto"/>
                <w:w w:val="99"/>
              </w:rPr>
              <w:t>10</w:t>
            </w:r>
          </w:p>
        </w:tc>
        <w:tc>
          <w:tcPr>
            <w:tcW w:w="440" w:type="dxa"/>
            <w:vAlign w:val="bottom"/>
          </w:tcPr>
          <w:p>
            <w:pPr>
              <w:spacing w:after="0"/>
              <w:rPr>
                <w:sz w:val="24"/>
                <w:szCs w:val="24"/>
                <w:color w:val="auto"/>
              </w:rPr>
            </w:pPr>
          </w:p>
        </w:tc>
        <w:tc>
          <w:tcPr>
            <w:tcW w:w="2360" w:type="dxa"/>
            <w:vAlign w:val="bottom"/>
            <w:tcBorders>
              <w:right w:val="single" w:sz="8" w:color="auto"/>
            </w:tcBorders>
          </w:tcPr>
          <w:p>
            <w:pPr>
              <w:jc w:val="center"/>
              <w:ind w:right="381"/>
              <w:spacing w:after="0"/>
              <w:rPr>
                <w:sz w:val="20"/>
                <w:szCs w:val="20"/>
                <w:color w:val="auto"/>
              </w:rPr>
            </w:pPr>
            <w:r>
              <w:rPr>
                <w:rFonts w:ascii="Times New Roman" w:cs="Times New Roman" w:eastAsia="Times New Roman" w:hAnsi="Times New Roman"/>
                <w:sz w:val="20"/>
                <w:szCs w:val="20"/>
                <w:color w:val="auto"/>
                <w:w w:val="98"/>
              </w:rPr>
              <w:t>$83,400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$53,600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$41,700</w:t>
            </w:r>
          </w:p>
        </w:tc>
      </w:tr>
      <w:tr>
        <w:trPr>
          <w:trHeight w:val="48"/>
        </w:trPr>
        <w:tc>
          <w:tcPr>
            <w:tcW w:w="260" w:type="dxa"/>
            <w:vAlign w:val="bottom"/>
            <w:tcBorders>
              <w:left w:val="single" w:sz="8" w:color="auto"/>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83"/>
        </w:trPr>
        <w:tc>
          <w:tcPr>
            <w:tcW w:w="260" w:type="dxa"/>
            <w:vAlign w:val="bottom"/>
            <w:tcBorders>
              <w:left w:val="single" w:sz="8" w:color="auto"/>
            </w:tcBorders>
          </w:tcPr>
          <w:p>
            <w:pPr>
              <w:spacing w:after="0"/>
              <w:rPr>
                <w:sz w:val="24"/>
                <w:szCs w:val="24"/>
                <w:color w:val="auto"/>
              </w:rPr>
            </w:pPr>
          </w:p>
        </w:tc>
        <w:tc>
          <w:tcPr>
            <w:tcW w:w="2580" w:type="dxa"/>
            <w:vAlign w:val="bottom"/>
            <w:tcBorders>
              <w:right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9"/>
              </w:rPr>
              <w:t>2016</w:t>
            </w:r>
          </w:p>
        </w:tc>
        <w:tc>
          <w:tcPr>
            <w:tcW w:w="440" w:type="dxa"/>
            <w:vAlign w:val="bottom"/>
          </w:tcPr>
          <w:p>
            <w:pPr>
              <w:spacing w:after="0"/>
              <w:rPr>
                <w:sz w:val="24"/>
                <w:szCs w:val="24"/>
                <w:color w:val="auto"/>
              </w:rPr>
            </w:pPr>
          </w:p>
        </w:tc>
        <w:tc>
          <w:tcPr>
            <w:tcW w:w="2360" w:type="dxa"/>
            <w:vAlign w:val="bottom"/>
            <w:tcBorders>
              <w:right w:val="single" w:sz="8" w:color="auto"/>
            </w:tcBorders>
          </w:tcPr>
          <w:p>
            <w:pPr>
              <w:jc w:val="center"/>
              <w:ind w:right="381"/>
              <w:spacing w:after="0"/>
              <w:rPr>
                <w:sz w:val="20"/>
                <w:szCs w:val="20"/>
                <w:color w:val="auto"/>
              </w:rPr>
            </w:pPr>
            <w:r>
              <w:rPr>
                <w:rFonts w:ascii="Times New Roman" w:cs="Times New Roman" w:eastAsia="Times New Roman" w:hAnsi="Times New Roman"/>
                <w:sz w:val="20"/>
                <w:szCs w:val="20"/>
                <w:color w:val="auto"/>
                <w:w w:val="98"/>
              </w:rPr>
              <w:t>$83,800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$53,900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$41,900</w:t>
            </w:r>
          </w:p>
        </w:tc>
      </w:tr>
      <w:tr>
        <w:trPr>
          <w:trHeight w:val="48"/>
        </w:trPr>
        <w:tc>
          <w:tcPr>
            <w:tcW w:w="260" w:type="dxa"/>
            <w:vAlign w:val="bottom"/>
            <w:tcBorders>
              <w:left w:val="single" w:sz="8" w:color="auto"/>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gridSpan w:val="2"/>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416"/>
        </w:trPr>
        <w:tc>
          <w:tcPr>
            <w:tcW w:w="260" w:type="dxa"/>
            <w:vAlign w:val="bottom"/>
          </w:tcPr>
          <w:p>
            <w:pPr>
              <w:spacing w:after="0"/>
              <w:rPr>
                <w:sz w:val="24"/>
                <w:szCs w:val="24"/>
                <w:color w:val="auto"/>
              </w:rPr>
            </w:pPr>
          </w:p>
        </w:tc>
        <w:tc>
          <w:tcPr>
            <w:tcW w:w="1098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The allowable exemption amount is reduced by $0.25 for each $1.00 by which alternative minimum taxable income for the year</w:t>
            </w:r>
          </w:p>
        </w:tc>
      </w:tr>
      <w:tr>
        <w:trPr>
          <w:trHeight w:val="258"/>
        </w:trPr>
        <w:tc>
          <w:tcPr>
            <w:tcW w:w="260" w:type="dxa"/>
            <w:vAlign w:val="bottom"/>
          </w:tcPr>
          <w:p>
            <w:pPr>
              <w:spacing w:after="0"/>
              <w:rPr>
                <w:sz w:val="22"/>
                <w:szCs w:val="22"/>
                <w:color w:val="auto"/>
              </w:rPr>
            </w:pPr>
          </w:p>
        </w:tc>
        <w:tc>
          <w:tcPr>
            <w:tcW w:w="3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exceeds the following amounts:</w:t>
            </w:r>
          </w:p>
        </w:tc>
        <w:tc>
          <w:tcPr>
            <w:tcW w:w="23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2"/>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r>
      <w:tr>
        <w:trPr>
          <w:trHeight w:val="283"/>
        </w:trPr>
        <w:tc>
          <w:tcPr>
            <w:tcW w:w="260" w:type="dxa"/>
            <w:vAlign w:val="bottom"/>
            <w:tcBorders>
              <w:left w:val="single" w:sz="8" w:color="auto"/>
            </w:tcBorders>
          </w:tcPr>
          <w:p>
            <w:pPr>
              <w:spacing w:after="0"/>
              <w:rPr>
                <w:sz w:val="24"/>
                <w:szCs w:val="24"/>
                <w:color w:val="auto"/>
              </w:rPr>
            </w:pPr>
          </w:p>
        </w:tc>
        <w:tc>
          <w:tcPr>
            <w:tcW w:w="258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rPr>
              <w:t>Year:</w:t>
            </w:r>
          </w:p>
        </w:tc>
        <w:tc>
          <w:tcPr>
            <w:tcW w:w="440" w:type="dxa"/>
            <w:vAlign w:val="bottom"/>
          </w:tcPr>
          <w:p>
            <w:pPr>
              <w:spacing w:after="0"/>
              <w:rPr>
                <w:sz w:val="24"/>
                <w:szCs w:val="24"/>
                <w:color w:val="auto"/>
              </w:rPr>
            </w:pPr>
          </w:p>
        </w:tc>
        <w:tc>
          <w:tcPr>
            <w:tcW w:w="23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Joint Returns:</w:t>
            </w:r>
          </w:p>
        </w:tc>
        <w:tc>
          <w:tcPr>
            <w:tcW w:w="28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b w:val="1"/>
                <w:bCs w:val="1"/>
                <w:color w:val="auto"/>
              </w:rPr>
              <w:t>Single Returns:</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Separate Returns:</w:t>
            </w:r>
          </w:p>
        </w:tc>
      </w:tr>
      <w:tr>
        <w:trPr>
          <w:trHeight w:val="48"/>
        </w:trPr>
        <w:tc>
          <w:tcPr>
            <w:tcW w:w="260" w:type="dxa"/>
            <w:vAlign w:val="bottom"/>
            <w:tcBorders>
              <w:left w:val="single" w:sz="8" w:color="auto"/>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83"/>
        </w:trPr>
        <w:tc>
          <w:tcPr>
            <w:tcW w:w="260" w:type="dxa"/>
            <w:vAlign w:val="bottom"/>
            <w:tcBorders>
              <w:left w:val="single" w:sz="8" w:color="auto"/>
            </w:tcBorders>
          </w:tcPr>
          <w:p>
            <w:pPr>
              <w:spacing w:after="0"/>
              <w:rPr>
                <w:sz w:val="24"/>
                <w:szCs w:val="24"/>
                <w:color w:val="auto"/>
              </w:rPr>
            </w:pPr>
          </w:p>
        </w:tc>
        <w:tc>
          <w:tcPr>
            <w:tcW w:w="2580" w:type="dxa"/>
            <w:vAlign w:val="bottom"/>
            <w:tcBorders>
              <w:right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9"/>
              </w:rPr>
              <w:t>2015</w:t>
            </w:r>
            <w:r>
              <w:rPr>
                <w:rFonts w:ascii="Times New Roman" w:cs="Times New Roman" w:eastAsia="Times New Roman" w:hAnsi="Times New Roman"/>
                <w:sz w:val="16"/>
                <w:szCs w:val="16"/>
                <w:color w:val="auto"/>
                <w:w w:val="99"/>
              </w:rPr>
              <w:t>11</w:t>
            </w:r>
          </w:p>
        </w:tc>
        <w:tc>
          <w:tcPr>
            <w:tcW w:w="440" w:type="dxa"/>
            <w:vAlign w:val="bottom"/>
          </w:tcPr>
          <w:p>
            <w:pPr>
              <w:spacing w:after="0"/>
              <w:rPr>
                <w:sz w:val="24"/>
                <w:szCs w:val="24"/>
                <w:color w:val="auto"/>
              </w:rPr>
            </w:pPr>
          </w:p>
        </w:tc>
        <w:tc>
          <w:tcPr>
            <w:tcW w:w="2360" w:type="dxa"/>
            <w:vAlign w:val="bottom"/>
            <w:tcBorders>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$158,900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$119,200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$79,450</w:t>
            </w:r>
          </w:p>
        </w:tc>
      </w:tr>
      <w:tr>
        <w:trPr>
          <w:trHeight w:val="48"/>
        </w:trPr>
        <w:tc>
          <w:tcPr>
            <w:tcW w:w="260" w:type="dxa"/>
            <w:vAlign w:val="bottom"/>
            <w:tcBorders>
              <w:left w:val="single" w:sz="8" w:color="auto"/>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83"/>
        </w:trPr>
        <w:tc>
          <w:tcPr>
            <w:tcW w:w="260" w:type="dxa"/>
            <w:vAlign w:val="bottom"/>
            <w:tcBorders>
              <w:left w:val="single" w:sz="8" w:color="auto"/>
            </w:tcBorders>
          </w:tcPr>
          <w:p>
            <w:pPr>
              <w:spacing w:after="0"/>
              <w:rPr>
                <w:sz w:val="24"/>
                <w:szCs w:val="24"/>
                <w:color w:val="auto"/>
              </w:rPr>
            </w:pPr>
          </w:p>
        </w:tc>
        <w:tc>
          <w:tcPr>
            <w:tcW w:w="2580" w:type="dxa"/>
            <w:vAlign w:val="bottom"/>
            <w:tcBorders>
              <w:right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9"/>
              </w:rPr>
              <w:t>2016</w:t>
            </w:r>
          </w:p>
        </w:tc>
        <w:tc>
          <w:tcPr>
            <w:tcW w:w="440" w:type="dxa"/>
            <w:vAlign w:val="bottom"/>
          </w:tcPr>
          <w:p>
            <w:pPr>
              <w:spacing w:after="0"/>
              <w:rPr>
                <w:sz w:val="24"/>
                <w:szCs w:val="24"/>
                <w:color w:val="auto"/>
              </w:rPr>
            </w:pPr>
          </w:p>
        </w:tc>
        <w:tc>
          <w:tcPr>
            <w:tcW w:w="2360" w:type="dxa"/>
            <w:vAlign w:val="bottom"/>
            <w:tcBorders>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$159,700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$119,700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$79,850</w:t>
            </w:r>
          </w:p>
        </w:tc>
      </w:tr>
      <w:tr>
        <w:trPr>
          <w:trHeight w:val="48"/>
        </w:trPr>
        <w:tc>
          <w:tcPr>
            <w:tcW w:w="260" w:type="dxa"/>
            <w:vAlign w:val="bottom"/>
            <w:tcBorders>
              <w:left w:val="single" w:sz="8" w:color="auto"/>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bl>
    <w:p>
      <w:pPr>
        <w:spacing w:after="0" w:line="193" w:lineRule="exact"/>
        <w:rPr>
          <w:sz w:val="20"/>
          <w:szCs w:val="20"/>
          <w:color w:val="auto"/>
        </w:rPr>
      </w:pPr>
    </w:p>
    <w:p>
      <w:pPr>
        <w:ind w:left="440"/>
        <w:spacing w:after="0" w:line="269" w:lineRule="auto"/>
        <w:rPr>
          <w:sz w:val="20"/>
          <w:szCs w:val="20"/>
          <w:color w:val="auto"/>
        </w:rPr>
      </w:pPr>
      <w:r>
        <w:rPr>
          <w:rFonts w:ascii="Times New Roman" w:cs="Times New Roman" w:eastAsia="Times New Roman" w:hAnsi="Times New Roman"/>
          <w:sz w:val="20"/>
          <w:szCs w:val="20"/>
          <w:color w:val="auto"/>
        </w:rPr>
        <w:t>This means, for example, in 2016, the $83,800 exemption amount is phased out completely for married individuals filing joint returns when their alternative minimum taxable income reaches $494,900 [($83,800 ÷ $0.25) + $159,700].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 of AMT When ISO Is Exercised</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As noted above, when an ISO is exercised, the spread is included in AMTI at the time of exercise, unless the Purchased Shares are not yet vested at the time of exercise. If the Purchased Shares are not yet vested, the value of the shares minus the exercise price is included in AMTI when the shares vest. However, if you make an election under section 83(b) within 30 days after exercise, then the spread is included in AMTI at the time of exercise. </w:t>
      </w:r>
      <w:r>
        <w:rPr>
          <w:rFonts w:ascii="Times New Roman" w:cs="Times New Roman" w:eastAsia="Times New Roman" w:hAnsi="Times New Roman"/>
          <w:sz w:val="20"/>
          <w:szCs w:val="20"/>
          <w:b w:val="1"/>
          <w:bCs w:val="1"/>
          <w:u w:val="single" w:color="auto"/>
          <w:color w:val="auto"/>
        </w:rPr>
        <w:t>Y</w:t>
      </w:r>
      <w:r>
        <w:rPr>
          <w:rFonts w:ascii="Times New Roman" w:cs="Times New Roman" w:eastAsia="Times New Roman" w:hAnsi="Times New Roman"/>
          <w:sz w:val="13"/>
          <w:szCs w:val="13"/>
          <w:b w:val="1"/>
          <w:bCs w:val="1"/>
          <w:u w:val="single" w:color="auto"/>
          <w:color w:val="auto"/>
        </w:rPr>
        <w:t>OU MUST FILE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83(b)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b w:val="1"/>
          <w:bCs w:val="1"/>
          <w:u w:val="single" w:color="auto"/>
          <w:color w:val="auto"/>
        </w:rPr>
        <w:t>ELECTION WITH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I</w:t>
      </w:r>
      <w:r>
        <w:rPr>
          <w:rFonts w:ascii="Times New Roman" w:cs="Times New Roman" w:eastAsia="Times New Roman" w:hAnsi="Times New Roman"/>
          <w:sz w:val="13"/>
          <w:szCs w:val="13"/>
          <w:b w:val="1"/>
          <w:bCs w:val="1"/>
          <w:u w:val="single" w:color="auto"/>
          <w:color w:val="auto"/>
        </w:rPr>
        <w:t>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R</w:t>
      </w:r>
      <w:r>
        <w:rPr>
          <w:rFonts w:ascii="Times New Roman" w:cs="Times New Roman" w:eastAsia="Times New Roman" w:hAnsi="Times New Roman"/>
          <w:sz w:val="13"/>
          <w:szCs w:val="13"/>
          <w:b w:val="1"/>
          <w:bCs w:val="1"/>
          <w:u w:val="single" w:color="auto"/>
          <w:color w:val="auto"/>
        </w:rPr>
        <w:t>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ERVICE WITHIN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30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b w:val="1"/>
          <w:bCs w:val="1"/>
          <w:u w:val="single" w:color="auto"/>
          <w:color w:val="auto"/>
        </w:rPr>
        <w:t>DAYS AFTER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N</w:t>
      </w:r>
      <w:r>
        <w:rPr>
          <w:rFonts w:ascii="Times New Roman" w:cs="Times New Roman" w:eastAsia="Times New Roman" w:hAnsi="Times New Roman"/>
          <w:sz w:val="13"/>
          <w:szCs w:val="13"/>
          <w:b w:val="1"/>
          <w:bCs w:val="1"/>
          <w:u w:val="single" w:color="auto"/>
          <w:color w:val="auto"/>
        </w:rPr>
        <w:t>OTICE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O</w:t>
      </w:r>
      <w:r>
        <w:rPr>
          <w:rFonts w:ascii="Times New Roman" w:cs="Times New Roman" w:eastAsia="Times New Roman" w:hAnsi="Times New Roman"/>
          <w:sz w:val="13"/>
          <w:szCs w:val="13"/>
          <w:b w:val="1"/>
          <w:bCs w:val="1"/>
          <w:u w:val="single" w:color="auto"/>
          <w:color w:val="auto"/>
        </w:rPr>
        <w:t>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XERCISE IS SIGNED</w:t>
      </w:r>
      <w:r>
        <w:rPr>
          <w:rFonts w:ascii="Times New Roman" w:cs="Times New Roman" w:eastAsia="Times New Roman" w:hAnsi="Times New Roman"/>
          <w:sz w:val="20"/>
          <w:szCs w:val="20"/>
          <w:color w:val="auto"/>
        </w:rPr>
        <w:t>. The 30-day filing period cannot be extended.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16"/>
          <w:szCs w:val="16"/>
          <w:color w:val="auto"/>
        </w:rPr>
        <w:t>12</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130" w:lineRule="exact"/>
        <w:rPr>
          <w:sz w:val="20"/>
          <w:szCs w:val="20"/>
          <w:color w:val="auto"/>
        </w:rPr>
      </w:pPr>
    </w:p>
    <w:p>
      <w:pPr>
        <w:ind w:left="320" w:hanging="312"/>
        <w:spacing w:after="0"/>
        <w:tabs>
          <w:tab w:leader="none" w:pos="32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Amounts are indexed for inflation in future years.</w:t>
      </w:r>
    </w:p>
    <w:p>
      <w:pPr>
        <w:spacing w:after="0" w:line="21"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Amounts are indexed for inflation in future years.</w:t>
      </w:r>
    </w:p>
    <w:p>
      <w:pPr>
        <w:ind w:left="240" w:hanging="232"/>
        <w:spacing w:after="0" w:line="246" w:lineRule="auto"/>
        <w:tabs>
          <w:tab w:leader="none" w:pos="349"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14230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0"/>
          <w:szCs w:val="20"/>
          <w:b w:val="1"/>
          <w:bCs w:val="1"/>
          <w:color w:val="auto"/>
        </w:rPr>
        <w:t>Section 409A of the Internal Revenue Code</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If your option were found to be subject to section 409A, then you would be required to recognize ordinary income as early as the year in which the option (or portion thereof) vests. This amount would also be subject to a 20% federal tax </w:t>
      </w:r>
      <w:r>
        <w:rPr>
          <w:rFonts w:ascii="Times New Roman" w:cs="Times New Roman" w:eastAsia="Times New Roman" w:hAnsi="Times New Roman"/>
          <w:sz w:val="20"/>
          <w:szCs w:val="20"/>
          <w:i w:val="1"/>
          <w:iCs w:val="1"/>
          <w:color w:val="auto"/>
        </w:rPr>
        <w:t>in addition to</w:t>
      </w:r>
      <w:r>
        <w:rPr>
          <w:rFonts w:ascii="Times New Roman" w:cs="Times New Roman" w:eastAsia="Times New Roman" w:hAnsi="Times New Roman"/>
          <w:sz w:val="20"/>
          <w:szCs w:val="20"/>
          <w:color w:val="auto"/>
        </w:rPr>
        <w:t xml:space="preserve"> the federal income tax at your usual marginal rate for ordinary income. Additional state income taxes may apply in some states.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Disclaimer Under IRS Circular 230</w:t>
      </w:r>
    </w:p>
    <w:p>
      <w:pPr>
        <w:spacing w:after="0" w:line="220" w:lineRule="exact"/>
        <w:rPr>
          <w:sz w:val="20"/>
          <w:szCs w:val="20"/>
          <w:color w:val="auto"/>
        </w:rPr>
      </w:pPr>
    </w:p>
    <w:p>
      <w:pPr>
        <w:jc w:val="both"/>
        <w:ind w:left="880" w:right="860"/>
        <w:spacing w:after="0" w:line="249" w:lineRule="auto"/>
        <w:rPr>
          <w:sz w:val="20"/>
          <w:szCs w:val="20"/>
          <w:color w:val="auto"/>
        </w:rPr>
      </w:pPr>
      <w:r>
        <w:rPr>
          <w:rFonts w:ascii="Times New Roman" w:cs="Times New Roman" w:eastAsia="Times New Roman" w:hAnsi="Times New Roman"/>
          <w:sz w:val="20"/>
          <w:szCs w:val="20"/>
          <w:color w:val="auto"/>
        </w:rPr>
        <w:t>To ensure compliance with requirements imposed by U.S. tax authorities, we inform you that any U.S. tax advice contained in the foregoing summary is not intended or written to be used, and cannot be used, for the purpose of (i) avoiding United States federal, state or local tax penalties, or (ii) promoting, marketing or recommending to another party any matters addressed herein (including any attachments).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4946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83(b) E</w:t>
      </w:r>
      <w:r>
        <w:rPr>
          <w:rFonts w:ascii="Times New Roman" w:cs="Times New Roman" w:eastAsia="Times New Roman" w:hAnsi="Times New Roman"/>
          <w:sz w:val="13"/>
          <w:szCs w:val="13"/>
          <w:b w:val="1"/>
          <w:bCs w:val="1"/>
          <w:color w:val="auto"/>
        </w:rPr>
        <w:t>LECTION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undersigned taxpayer hereby elects, pursuant to Sections 55 and 83(b) of the Internal Revenue Code of 1986, as amended, and pursuant to Treasury Regulations Section 1.83-2, to include in gross income as compensation for services the excess (if any) of the fair market value of the shares described below over an amount paid for those shares.</w:t>
      </w:r>
    </w:p>
    <w:p>
      <w:pPr>
        <w:spacing w:after="0" w:line="174" w:lineRule="exact"/>
        <w:rPr>
          <w:sz w:val="20"/>
          <w:szCs w:val="20"/>
          <w:color w:val="auto"/>
        </w:rPr>
      </w:pPr>
    </w:p>
    <w:p>
      <w:pPr>
        <w:ind w:left="1540" w:right="6020" w:hanging="682"/>
        <w:spacing w:after="0" w:line="486" w:lineRule="auto"/>
        <w:tabs>
          <w:tab w:leader="none" w:pos="1705"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taxpayer who performed the services is: Name:</w:t>
      </w:r>
    </w:p>
    <w:p>
      <w:pPr>
        <w:ind w:left="1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168275</wp:posOffset>
            </wp:positionV>
            <wp:extent cx="21170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13970</wp:posOffset>
            </wp:positionV>
            <wp:extent cx="21170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-285115</wp:posOffset>
            </wp:positionV>
            <wp:extent cx="21170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13970</wp:posOffset>
            </wp:positionV>
            <wp:extent cx="15519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700" w:hanging="842"/>
        <w:spacing w:after="0" w:line="269" w:lineRule="auto"/>
        <w:tabs>
          <w:tab w:leader="none" w:pos="17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with respect to which the election is made is ______ shares of the common stock of Tarsus Pharmaceuticals, Inc.</w:t>
      </w:r>
    </w:p>
    <w:p>
      <w:pPr>
        <w:spacing w:after="0" w:line="159"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was transferred to the taxpayer on __________ ___, _____.</w:t>
      </w:r>
    </w:p>
    <w:p>
      <w:pPr>
        <w:spacing w:after="0" w:line="215"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taxable year for which the election is made is the calendar year _____.</w:t>
      </w:r>
    </w:p>
    <w:p>
      <w:pPr>
        <w:spacing w:after="0" w:line="215" w:lineRule="exact"/>
        <w:rPr>
          <w:rFonts w:ascii="Times New Roman" w:cs="Times New Roman" w:eastAsia="Times New Roman" w:hAnsi="Times New Roman"/>
          <w:sz w:val="20"/>
          <w:szCs w:val="20"/>
          <w:color w:val="auto"/>
        </w:rPr>
      </w:pPr>
    </w:p>
    <w:p>
      <w:pPr>
        <w:jc w:val="both"/>
        <w:ind w:left="1700" w:hanging="842"/>
        <w:spacing w:after="0" w:line="254" w:lineRule="auto"/>
        <w:tabs>
          <w:tab w:leader="none" w:pos="17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is subject to a repurchase right pursuant to which the issuer has the right to acquire the property if for any reason taxpayer’s service with the issuer terminates. The issuer’s repurchase right lapses in a series of installments over a ______-year period ending on __________ ___, _____.</w:t>
      </w:r>
    </w:p>
    <w:p>
      <w:pPr>
        <w:spacing w:after="0" w:line="174" w:lineRule="exact"/>
        <w:rPr>
          <w:rFonts w:ascii="Times New Roman" w:cs="Times New Roman" w:eastAsia="Times New Roman" w:hAnsi="Times New Roman"/>
          <w:sz w:val="20"/>
          <w:szCs w:val="20"/>
          <w:color w:val="auto"/>
        </w:rPr>
      </w:pPr>
    </w:p>
    <w:p>
      <w:pPr>
        <w:ind w:left="1700" w:hanging="842"/>
        <w:spacing w:after="0" w:line="269" w:lineRule="auto"/>
        <w:tabs>
          <w:tab w:leader="none" w:pos="17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such property at the time of transfer (determined without regard to any restriction other than a restriction that by its terms will never lapse) is $_____ per share x _____ shares = $_________.</w:t>
      </w:r>
    </w:p>
    <w:p>
      <w:pPr>
        <w:spacing w:after="0" w:line="159"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property transferred, the taxpayer paid $_____ per share × _____ shares = $_____.</w:t>
      </w:r>
    </w:p>
    <w:p>
      <w:pPr>
        <w:spacing w:after="0" w:line="211"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to include in gross income is $__________. </w:t>
      </w:r>
      <w:r>
        <w:rPr>
          <w:rFonts w:ascii="Times New Roman" w:cs="Times New Roman" w:eastAsia="Times New Roman" w:hAnsi="Times New Roman"/>
          <w:sz w:val="20"/>
          <w:szCs w:val="20"/>
          <w:b w:val="1"/>
          <w:bCs w:val="1"/>
          <w:i w:val="1"/>
          <w:iCs w:val="1"/>
          <w:color w:val="auto"/>
        </w:rPr>
        <w:t>[The amount in Item F less the amount in Item G]</w:t>
      </w:r>
    </w:p>
    <w:p>
      <w:pPr>
        <w:spacing w:after="0" w:line="219" w:lineRule="exact"/>
        <w:rPr>
          <w:rFonts w:ascii="Times New Roman" w:cs="Times New Roman" w:eastAsia="Times New Roman" w:hAnsi="Times New Roman"/>
          <w:sz w:val="20"/>
          <w:szCs w:val="20"/>
          <w:color w:val="auto"/>
        </w:rPr>
      </w:pPr>
    </w:p>
    <w:p>
      <w:pPr>
        <w:ind w:left="1700" w:hanging="842"/>
        <w:spacing w:after="0"/>
        <w:tabs>
          <w:tab w:leader="none" w:pos="17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statement is executed on __________ ___, 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20"/>
          <w:szCs w:val="20"/>
          <w:color w:val="auto"/>
        </w:rPr>
        <w:t>Signature of Spouse (if any)</w:t>
      </w:r>
      <w:r>
        <w:rPr>
          <w:sz w:val="20"/>
          <w:szCs w:val="20"/>
          <w:color w:val="auto"/>
        </w:rPr>
        <w:tab/>
      </w:r>
      <w:r>
        <w:rPr>
          <w:rFonts w:ascii="Times New Roman" w:cs="Times New Roman" w:eastAsia="Times New Roman" w:hAnsi="Times New Roman"/>
          <w:sz w:val="19"/>
          <w:szCs w:val="19"/>
          <w:color w:val="auto"/>
        </w:rPr>
        <w:t>Signature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 deliver a copy of the completed form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4946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2" w:name="page273"/>
    <w:bookmarkEnd w:id="27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UMMARY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ERVICES</w:t>
      </w:r>
      <w:r>
        <w:rPr>
          <w:rFonts w:ascii="Times New Roman" w:cs="Times New Roman" w:eastAsia="Times New Roman" w:hAnsi="Times New Roman"/>
          <w:sz w:val="20"/>
          <w:szCs w:val="20"/>
          <w:b w:val="1"/>
          <w:bCs w:val="1"/>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Transferee is acquiring shares of the Common Stock of Tarsus Pharmaceuticals, Inc. on the following terms:</w:t>
      </w:r>
    </w:p>
    <w:p>
      <w:pPr>
        <w:sectPr>
          <w:pgSz w:w="11900" w:h="16838" w:orient="portrait"/>
          <w:cols w:equalWidth="0" w:num="1">
            <w:col w:w="11260"/>
          </w:cols>
          <w:pgMar w:left="320" w:top="329" w:right="319" w:bottom="1440" w:gutter="0" w:footer="0" w:header="0"/>
        </w:sectPr>
      </w:pPr>
    </w:p>
    <w:p>
      <w:pPr>
        <w:spacing w:after="0" w:line="2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Name of Transferee: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200" w:lineRule="exact"/>
        <w:rPr>
          <w:sz w:val="20"/>
          <w:szCs w:val="20"/>
          <w:color w:val="auto"/>
        </w:rPr>
      </w:pPr>
    </w:p>
    <w:p>
      <w:pPr>
        <w:sectPr>
          <w:pgSz w:w="11900" w:h="16838" w:orient="portrait"/>
          <w:cols w:equalWidth="0" w:num="2">
            <w:col w:w="4380" w:space="720"/>
            <w:col w:w="6160"/>
          </w:cols>
          <w:pgMar w:left="320" w:top="329" w:right="31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Total Number of Transferred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«TotalShares»</w:t>
      </w:r>
    </w:p>
    <w:p>
      <w:pPr>
        <w:spacing w:after="0" w:line="200" w:lineRule="exact"/>
        <w:rPr>
          <w:sz w:val="20"/>
          <w:szCs w:val="20"/>
          <w:color w:val="auto"/>
        </w:rPr>
      </w:pPr>
    </w:p>
    <w:p>
      <w:pPr>
        <w:sectPr>
          <w:pgSz w:w="11900" w:h="16838" w:orient="portrait"/>
          <w:cols w:equalWidth="0" w:num="2">
            <w:col w:w="4380" w:space="720"/>
            <w:col w:w="6160"/>
          </w:cols>
          <w:pgMar w:left="320" w:top="329" w:right="31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Date of Transfer: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«DateTransfer»</w:t>
      </w:r>
    </w:p>
    <w:p>
      <w:pPr>
        <w:spacing w:after="0" w:line="200" w:lineRule="exact"/>
        <w:rPr>
          <w:sz w:val="20"/>
          <w:szCs w:val="20"/>
          <w:color w:val="auto"/>
        </w:rPr>
      </w:pPr>
    </w:p>
    <w:p>
      <w:pPr>
        <w:sectPr>
          <w:pgSz w:w="11900" w:h="16838" w:orient="portrait"/>
          <w:cols w:equalWidth="0" w:num="2">
            <w:col w:w="4380" w:space="720"/>
            <w:col w:w="6160"/>
          </w:cols>
          <w:pgMar w:left="320" w:top="329" w:right="31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«VestComDate»</w:t>
      </w:r>
    </w:p>
    <w:p>
      <w:pPr>
        <w:spacing w:after="0" w:line="200" w:lineRule="exact"/>
        <w:rPr>
          <w:sz w:val="20"/>
          <w:szCs w:val="20"/>
          <w:color w:val="auto"/>
        </w:rPr>
      </w:pPr>
    </w:p>
    <w:p>
      <w:pPr>
        <w:sectPr>
          <w:pgSz w:w="11900" w:h="16838" w:orient="portrait"/>
          <w:cols w:equalWidth="0" w:num="2">
            <w:col w:w="4380" w:space="720"/>
            <w:col w:w="6160"/>
          </w:cols>
          <w:pgMar w:left="320" w:top="329" w:right="31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Vesting Schedule: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The Forfeiture Condition shall lapse with respect to the first «Percent»% of the Transferred Shares when the Transferee completes «CliffPeriod» months of continuous Service beginning with the Vesting Commencement Date set forth above. The Forfeiture Condition shall lapse with respect to an additional «Fraction»% of the Transferred Shares when the Transferee completes each month of continuous Service thereafter.</w:t>
      </w:r>
    </w:p>
    <w:p>
      <w:pPr>
        <w:spacing w:after="0" w:line="184" w:lineRule="exact"/>
        <w:rPr>
          <w:sz w:val="20"/>
          <w:szCs w:val="20"/>
          <w:color w:val="auto"/>
        </w:rPr>
      </w:pPr>
    </w:p>
    <w:p>
      <w:pPr>
        <w:sectPr>
          <w:pgSz w:w="11900" w:h="16838" w:orient="portrait"/>
          <w:cols w:equalWidth="0" w:num="2">
            <w:col w:w="4380" w:space="720"/>
            <w:col w:w="6160"/>
          </w:cols>
          <w:pgMar w:left="320" w:top="329" w:right="319" w:bottom="1440" w:gutter="0" w:footer="0" w:header="0"/>
          <w:type w:val="continuous"/>
        </w:sect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By signing below, the Transferee and the Company agree that the acquisition of the Transferred Shares is governed by the terms and conditions of the 2016 Stock Plan and the Stock Grant Agreement. Both of these documents are attached to, and made a part of, this Summary of Stock Grant. The Transferee agrees to accept by email all documents relating to the Company, the Plan or this grant and all other documents that the Company is required to deliver to its security holders (including, without limitation, disclosures that may be required by the Securities and Exchange Commission). The Transferee also agrees that the Company may deliver these documents by posting them on a website maintained by the Company or by a third party under contract with the Company. If the Company posts these documents on a website, it shall notify the Transferee by email of their availability. The Transferee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the Transferee gives the Company written notice that it should deliver paper documents.</w:t>
      </w:r>
    </w:p>
    <w:p>
      <w:pPr>
        <w:spacing w:after="0" w:line="20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RANSFEREE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20" w:type="dxa"/>
            <w:vAlign w:val="bottom"/>
          </w:tcPr>
          <w:p>
            <w:pPr>
              <w:spacing w:after="0"/>
              <w:rPr>
                <w:sz w:val="23"/>
                <w:szCs w:val="23"/>
                <w:color w:val="auto"/>
              </w:rPr>
            </w:pPr>
          </w:p>
        </w:tc>
        <w:tc>
          <w:tcPr>
            <w:tcW w:w="624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By:</w:t>
            </w:r>
          </w:p>
        </w:tc>
      </w:tr>
      <w:tr>
        <w:trPr>
          <w:trHeight w:val="277"/>
        </w:trPr>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Address for Mailing Stock Certificate:</w:t>
            </w:r>
          </w:p>
        </w:tc>
        <w:tc>
          <w:tcPr>
            <w:tcW w:w="1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Title:</w:t>
            </w:r>
          </w:p>
        </w:tc>
        <w:tc>
          <w:tcPr>
            <w:tcW w:w="50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02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502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59"/>
        </w:trPr>
        <w:tc>
          <w:tcPr>
            <w:tcW w:w="50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type w:val="continuous"/>
        </w:sectPr>
      </w:pPr>
    </w:p>
    <w:bookmarkStart w:id="273" w:name="page274"/>
    <w:bookmarkEnd w:id="273"/>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ACQUISITION OF SHARES.</w:t>
      </w:r>
    </w:p>
    <w:p>
      <w:pPr>
        <w:spacing w:after="0" w:line="216" w:lineRule="exact"/>
        <w:rPr>
          <w:sz w:val="20"/>
          <w:szCs w:val="20"/>
          <w:color w:val="auto"/>
        </w:rPr>
      </w:pPr>
    </w:p>
    <w:p>
      <w:pPr>
        <w:jc w:val="both"/>
        <w:ind w:firstLine="1735"/>
        <w:spacing w:after="0" w:line="250" w:lineRule="auto"/>
        <w:tabs>
          <w:tab w:leader="none" w:pos="2595"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On the terms and conditions set forth in the Summary of Stock Grant and this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agrees to transfer to the Transferee the number of Shares set forth in the Summary of Stock Grant. The transfer shall occur at the offices of the Company on the date of transfer set forth in the Summary of Stock Grant or at such other place and time as the parties may agree.</w:t>
      </w:r>
    </w:p>
    <w:p>
      <w:pPr>
        <w:spacing w:after="0" w:line="175"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The Transferee and the Company agree that the Transferred Shares are being issued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Transferee as consideration for a portion of the services performed by the Transferee for the Company. The value of such portion is agreed to be not less than 100% of the Fair Market Value of the Transferred Shares.</w:t>
      </w:r>
    </w:p>
    <w:p>
      <w:pPr>
        <w:spacing w:after="0" w:line="168"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Plan and Defined Terms</w:t>
      </w:r>
      <w:r>
        <w:rPr>
          <w:rFonts w:ascii="Times New Roman" w:cs="Times New Roman" w:eastAsia="Times New Roman" w:hAnsi="Times New Roman"/>
          <w:sz w:val="20"/>
          <w:szCs w:val="20"/>
          <w:color w:val="auto"/>
        </w:rPr>
        <w:t>. The transfer of the Transferred Shares is subject to the Plan, a copy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the Transferee acknowledges having received. The provisions of the Plan are incorporated into this Agreement by this reference. Except as otherwise defined in this Agreement (including without limitation Section 11 hereof), capitalized terms shall have the meaning ascribed to such terms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FORFEITURE CONDITION.</w:t>
      </w:r>
    </w:p>
    <w:p>
      <w:pPr>
        <w:spacing w:after="0" w:line="216" w:lineRule="exact"/>
        <w:rPr>
          <w:sz w:val="20"/>
          <w:szCs w:val="20"/>
          <w:color w:val="auto"/>
        </w:rPr>
      </w:pPr>
    </w:p>
    <w:p>
      <w:pPr>
        <w:jc w:val="both"/>
        <w:ind w:firstLine="1735"/>
        <w:spacing w:after="0" w:line="245" w:lineRule="auto"/>
        <w:tabs>
          <w:tab w:leader="none" w:pos="2595"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Scope of Forfeiture Condition</w:t>
      </w:r>
      <w:r>
        <w:rPr>
          <w:rFonts w:ascii="Times New Roman" w:cs="Times New Roman" w:eastAsia="Times New Roman" w:hAnsi="Times New Roman"/>
          <w:sz w:val="20"/>
          <w:szCs w:val="20"/>
          <w:color w:val="auto"/>
        </w:rPr>
        <w:t>. All Transferred Shares initially shall be Restricted Shares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forfeiture to the Company. The Transferee shall not transfer, assign, encumber or otherwise dispose of any Restricted Shares without the Company’s written consent, except as provided in the following sentence. The Transferee may transfer Restricted Shares to one or more members of the Transferee’s Immediate Family or to a trust established by the Transferee for the benefit of the Transferee and/or one or more members of the Transferee’s Immediate Family, provided in either case that the Transferee agrees in writing on a form prescribed by the Company to be bound by all provisions of this Agreement. If the Transferee transfers any Restricted Shares, then this Agreement shall apply to the Subsequent Transferee to the same extent as to the Transferee.</w:t>
      </w:r>
    </w:p>
    <w:p>
      <w:pPr>
        <w:spacing w:after="0" w:line="179" w:lineRule="exact"/>
        <w:rPr>
          <w:rFonts w:ascii="Times New Roman" w:cs="Times New Roman" w:eastAsia="Times New Roman" w:hAnsi="Times New Roman"/>
          <w:sz w:val="20"/>
          <w:szCs w:val="20"/>
          <w:color w:val="auto"/>
        </w:rPr>
      </w:pPr>
    </w:p>
    <w:p>
      <w:pPr>
        <w:ind w:firstLine="1735"/>
        <w:spacing w:after="0" w:line="273" w:lineRule="auto"/>
        <w:tabs>
          <w:tab w:leader="none" w:pos="2606"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The Forfeiture Condition shall lapse and the Restricted Shares shall become vested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vesting schedule set forth in the Summary of Stock Grant.</w:t>
      </w:r>
    </w:p>
    <w:p>
      <w:pPr>
        <w:spacing w:after="0" w:line="151"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Execution of Forfeiture</w:t>
      </w:r>
      <w:r>
        <w:rPr>
          <w:rFonts w:ascii="Times New Roman" w:cs="Times New Roman" w:eastAsia="Times New Roman" w:hAnsi="Times New Roman"/>
          <w:sz w:val="20"/>
          <w:szCs w:val="20"/>
          <w:color w:val="auto"/>
        </w:rPr>
        <w:t>. The Forfeiture Condition shall be applicable only if the Transferee’s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terminates for any reason, with or without cause, including (without limitation) death or disability, before all Restricted Shares have become vested. In the event that the Transferee’s Service terminates for any reason, the certificate(s) representing any remaining Restricted Shares shall be delivered to the Company. The Company shall make no payment for Restricted Shares that are forfeited.</w:t>
      </w:r>
    </w:p>
    <w:p>
      <w:pPr>
        <w:spacing w:after="0" w:line="175" w:lineRule="exact"/>
        <w:rPr>
          <w:rFonts w:ascii="Times New Roman" w:cs="Times New Roman" w:eastAsia="Times New Roman" w:hAnsi="Times New Roman"/>
          <w:sz w:val="20"/>
          <w:szCs w:val="20"/>
          <w:color w:val="auto"/>
        </w:rPr>
      </w:pPr>
    </w:p>
    <w:p>
      <w:pPr>
        <w:jc w:val="both"/>
        <w:ind w:firstLine="1735"/>
        <w:spacing w:after="0" w:line="235" w:lineRule="exact"/>
        <w:tabs>
          <w:tab w:leader="none" w:pos="2606"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 sale of all or substantially all of the Company’s stock or assets, any other corporate reorganization, the declaration of a stock dividend, the declaration of an extraordinary dividend payable in a form other than stock, a spin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 stock split,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or into which such Restricted Shares thereby become convertible shall immediately be subject to the Forfeiture Condition. Appropriate adjustments to reflect the exchange or distribution of such securities or property shall be made to the number and/or class of the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4946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4" w:name="page275"/>
    <w:bookmarkEnd w:id="274"/>
    <w:p>
      <w:pPr>
        <w:jc w:val="both"/>
        <w:ind w:firstLine="1735"/>
        <w:spacing w:after="0" w:line="250" w:lineRule="auto"/>
        <w:tabs>
          <w:tab w:leader="none" w:pos="2595"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Rights as Stockholder</w:t>
      </w:r>
      <w:r>
        <w:rPr>
          <w:rFonts w:ascii="Times New Roman" w:cs="Times New Roman" w:eastAsia="Times New Roman" w:hAnsi="Times New Roman"/>
          <w:sz w:val="20"/>
          <w:szCs w:val="20"/>
          <w:color w:val="auto"/>
        </w:rPr>
        <w:t>. If Restricted Shares are forfeited in accordance with this 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the person who is to forfeit such Restricted Shares shall no longer have any rights as a holder of such Restricted Shares. Such Restricted Shares shall be deemed to have been forfeited in accordance with the applicable provisions hereof, whether or not the certificate(s) therefor have been delivered as required by this Agreement.</w:t>
      </w:r>
    </w:p>
    <w:p>
      <w:pPr>
        <w:spacing w:after="0" w:line="175" w:lineRule="exact"/>
        <w:rPr>
          <w:rFonts w:ascii="Times New Roman" w:cs="Times New Roman" w:eastAsia="Times New Roman" w:hAnsi="Times New Roman"/>
          <w:sz w:val="20"/>
          <w:szCs w:val="20"/>
          <w:color w:val="auto"/>
        </w:rPr>
      </w:pPr>
    </w:p>
    <w:p>
      <w:pPr>
        <w:jc w:val="both"/>
        <w:ind w:firstLine="1735"/>
        <w:spacing w:after="0" w:line="257" w:lineRule="auto"/>
        <w:tabs>
          <w:tab w:leader="none" w:pos="2565"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Escrow</w:t>
      </w:r>
      <w:r>
        <w:rPr>
          <w:rFonts w:ascii="Times New Roman" w:cs="Times New Roman" w:eastAsia="Times New Roman" w:hAnsi="Times New Roman"/>
          <w:sz w:val="19"/>
          <w:szCs w:val="19"/>
          <w:color w:val="auto"/>
        </w:rPr>
        <w:t>. Upon issuance, the certificates for Restricted Shares shall be deposited in escrow with the Company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held in accordance with the provisions of this Agreement. Any new, substituted or additional securities or other property described in Subsection (d) above shall immediately be delivered to the Company to be held in escrow, but only to the extent the Transferred Shares are at the time Restricted Shares. All regular cash dividends on Restricted Shares (or other securities at the time held in escrow) shall be paid directly to the Transferee and shall not be held in escrow. Restricted Shares, together with any other assets or securities held in escrow hereunder, shall be</w:t>
      </w:r>
    </w:p>
    <w:p>
      <w:pPr>
        <w:spacing w:after="0" w:line="3" w:lineRule="exact"/>
        <w:rPr>
          <w:rFonts w:ascii="Times New Roman" w:cs="Times New Roman" w:eastAsia="Times New Roman" w:hAnsi="Times New Roman"/>
          <w:sz w:val="19"/>
          <w:szCs w:val="19"/>
          <w:color w:val="auto"/>
        </w:rPr>
      </w:pPr>
    </w:p>
    <w:p>
      <w:pPr>
        <w:ind w:left="260" w:hanging="252"/>
        <w:spacing w:after="0"/>
        <w:tabs>
          <w:tab w:leader="none" w:pos="26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surrendered to the Company for forfeiture and cancellation in the event that the Forfeiture Condition or Right of First Refusal applies or</w:t>
      </w:r>
    </w:p>
    <w:p>
      <w:pPr>
        <w:jc w:val="both"/>
        <w:ind w:firstLine="8"/>
        <w:spacing w:after="0" w:line="241" w:lineRule="auto"/>
        <w:tabs>
          <w:tab w:leader="none" w:pos="296"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released to the Transferee upon the Transferee’s request to the extent the Transferred Shares are no longer Restricted Shares (but not more frequently than once every six months). In any event, all Transferred Shares that have vested (and any other vested assets and securities attributable thereto) shall be released within 60 days after the earlier of (i) the termination of the Transferee’s Service or (ii) the lapse of the Right of First Refusal.</w:t>
      </w:r>
    </w:p>
    <w:p>
      <w:pPr>
        <w:spacing w:after="0" w:line="184"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Part-Time Employment and Leaves of Absence</w:t>
      </w:r>
      <w:r>
        <w:rPr>
          <w:rFonts w:ascii="Times New Roman" w:cs="Times New Roman" w:eastAsia="Times New Roman" w:hAnsi="Times New Roman"/>
          <w:sz w:val="20"/>
          <w:szCs w:val="20"/>
          <w:color w:val="auto"/>
        </w:rPr>
        <w:t>. If the Transferee commences working on a part-time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basis, then the Company may adjust the vesting schedule set forth in the Summary of Stock Grant. If the Transferee goes on a leave of absence, then the Company may adjust the vesting schedule set forth in the Summary of Stock Grant in accordance with the Company’s leave of absence policy or the terms of such leave. Except as provided in the preceding sentence, Service shall be deemed to continue while the Transferee is on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leave of absence, if (i) such leave was approved by the Company in writing and (ii) continued crediting of Service is expressly required by the terms of such leave or by applicable law (as determined by the Company). Service shall be deemed to terminate when such leave ends, unless the Transferee immediately returns to active work.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RIGHT OF FIRST REFUSAL.</w:t>
      </w:r>
    </w:p>
    <w:p>
      <w:pPr>
        <w:spacing w:after="0" w:line="216" w:lineRule="exact"/>
        <w:rPr>
          <w:sz w:val="20"/>
          <w:szCs w:val="20"/>
          <w:color w:val="auto"/>
        </w:rPr>
      </w:pPr>
    </w:p>
    <w:p>
      <w:pPr>
        <w:jc w:val="both"/>
        <w:ind w:firstLine="1735"/>
        <w:spacing w:after="0" w:line="242" w:lineRule="auto"/>
        <w:tabs>
          <w:tab w:leader="none" w:pos="2595"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In the event that the Transferee proposes to sell, pledge or otherwise transfer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any Transferred Shares, or any interest in Transferred Shares, the Company shall have the Right of First Refusal with respect to all (and not less than all) of such Transferred Shares. If the Transferee desires to transfer Transferred Shares, the Transferee shall give a written Transfer Notice to the Company describing fully the proposed transfer, including the number of Transferred Shares proposed to be transferred, the proposed transfer price, the name and address of the proposed Subsequent Transferee and proof satisfactory to the Company that the proposed sale or transfer will not violate any applicable federal, State or foreign securities laws. The Transfer Notice shall be signed both by the Transferee and by the proposed Subsequent Transferee and must constitute a binding commitment of both parties to the transfer of the Transferred Shares. The Company shall have the right to purchase all, and not less than all, of the Transferred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9"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 of Shares</w:t>
      </w:r>
      <w:r>
        <w:rPr>
          <w:rFonts w:ascii="Times New Roman" w:cs="Times New Roman" w:eastAsia="Times New Roman" w:hAnsi="Times New Roman"/>
          <w:sz w:val="20"/>
          <w:szCs w:val="20"/>
          <w:color w:val="auto"/>
        </w:rPr>
        <w:t>. If the Company fails to exercise its Right of First Refusal within 30 days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receiving the Transfer Notice, the Transferee may, not later than 90 days after the Company received the Transfer Notice, conclude a transfer of the Transferred Shares subject to the Transfer Notice on the terms and conditions described in the Transfer Notice, provided that any such sale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75" w:name="page276"/>
    <w:bookmarkEnd w:id="275"/>
    <w:p>
      <w:pPr>
        <w:jc w:val="both"/>
        <w:spacing w:after="0" w:line="243" w:lineRule="auto"/>
        <w:rPr>
          <w:sz w:val="20"/>
          <w:szCs w:val="20"/>
          <w:color w:val="auto"/>
        </w:rPr>
      </w:pPr>
      <w:r>
        <w:rPr>
          <w:rFonts w:ascii="Times New Roman" w:cs="Times New Roman" w:eastAsia="Times New Roman" w:hAnsi="Times New Roman"/>
          <w:sz w:val="20"/>
          <w:szCs w:val="20"/>
          <w:color w:val="auto"/>
        </w:rPr>
        <w:t>is made in compliance with applicable federal, State and foreign securities laws and not in violation of any other contractual restrictions to which the Transferee is bound. Any proposed transfer on terms and conditions different from those described in the Transfer Notice, as well as any subsequent proposed transfer by the Transferee, shall again be subject to the Right of First Refusal and shall require compliance with the procedure described in Subsection (a) above. If the Company exercises its Right of First Refusal, the parties shall consummate the sale of the Transferred Shares on the terms set forth in the Transfer Notice within 60 days after the Company received the Transfer Notice (or within such longer period as may have been specified in the Transfer Notice); provided, however, that in the event the Transfer Notice provided that payment for the Transferred Shares was to be made in a form other than cash or cash equivalents paid at the time of transfer, the Company shall have the option of paying for the Transferred Shares with cash or cash equivalents equal to the present value of the consideration described in the Transfer Notice.</w:t>
      </w:r>
    </w:p>
    <w:p>
      <w:pPr>
        <w:spacing w:after="0" w:line="182" w:lineRule="exact"/>
        <w:rPr>
          <w:sz w:val="20"/>
          <w:szCs w:val="20"/>
          <w:color w:val="auto"/>
        </w:rPr>
      </w:pPr>
    </w:p>
    <w:p>
      <w:pPr>
        <w:jc w:val="both"/>
        <w:ind w:firstLine="1735"/>
        <w:spacing w:after="0" w:line="236" w:lineRule="exact"/>
        <w:tabs>
          <w:tab w:leader="none" w:pos="2595"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 sale of all or substantially all of the Company’s stock or assets, any other corporate reorganization, a stock split, the declaration of a stock dividend, the declaration of an extraordinary dividend payable in a form other than stock, a spin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Transferred Shares subject to this Section 3 shall immediately be subject to the Right of First Refusal. Appropriate adjustments to reflect the exchange or distribution of such securities or property shall be made to the number and/or class of the Transferred Shares subject to this Section 3.</w:t>
      </w:r>
    </w:p>
    <w:p>
      <w:pPr>
        <w:spacing w:after="0" w:line="185"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 of First Refusal</w:t>
      </w:r>
      <w:r>
        <w:rPr>
          <w:rFonts w:ascii="Times New Roman" w:cs="Times New Roman" w:eastAsia="Times New Roman" w:hAnsi="Times New Roman"/>
          <w:sz w:val="20"/>
          <w:szCs w:val="20"/>
          <w:color w:val="auto"/>
        </w:rPr>
        <w:t>. Any other provision of this Section 3 notwithstanding, in the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Stock is readily tradable on an established securities market when the Transferee desires to transfer Transferred Shares, the Company shall have no Right of First Refusal, and the Transferee shall have no obligation to comply with the procedures prescribed by Subsections (a) and (b) above.</w:t>
      </w:r>
    </w:p>
    <w:p>
      <w:pPr>
        <w:spacing w:after="0" w:line="175" w:lineRule="exact"/>
        <w:rPr>
          <w:rFonts w:ascii="Times New Roman" w:cs="Times New Roman" w:eastAsia="Times New Roman" w:hAnsi="Times New Roman"/>
          <w:sz w:val="20"/>
          <w:szCs w:val="20"/>
          <w:color w:val="auto"/>
        </w:rPr>
      </w:pPr>
    </w:p>
    <w:p>
      <w:pPr>
        <w:jc w:val="both"/>
        <w:ind w:firstLine="1735"/>
        <w:spacing w:after="0" w:line="246" w:lineRule="auto"/>
        <w:tabs>
          <w:tab w:leader="none" w:pos="2595"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Permitted Transfers</w:t>
      </w:r>
      <w:r>
        <w:rPr>
          <w:rFonts w:ascii="Times New Roman" w:cs="Times New Roman" w:eastAsia="Times New Roman" w:hAnsi="Times New Roman"/>
          <w:sz w:val="20"/>
          <w:szCs w:val="20"/>
          <w:color w:val="auto"/>
        </w:rPr>
        <w:t>. This Section 3 shall not apply to (i) a transfer by beneficiary designation, will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intestate succession or (ii) a transfer to one or more members of the Transferee’s Immediate Family or to a trust established by the Transferee for the benefit of the Transferee and/or one or more members of the Transferee’s Immediate Family, provided in either case that the Transferee agrees in writing on a form prescribed by the Company to be bound by all provisions of this Agreement. If the Transferee transfers any Transferred Shares, either under this Subsection (e) or after the Company has failed to exercise the Right of First Refusal, then this Agreement shall apply to the Subsequent Transferee to the same extent as to the Transferee.</w:t>
      </w:r>
    </w:p>
    <w:p>
      <w:pPr>
        <w:spacing w:after="0" w:line="178" w:lineRule="exact"/>
        <w:rPr>
          <w:rFonts w:ascii="Times New Roman" w:cs="Times New Roman" w:eastAsia="Times New Roman" w:hAnsi="Times New Roman"/>
          <w:sz w:val="20"/>
          <w:szCs w:val="20"/>
          <w:color w:val="auto"/>
        </w:rPr>
      </w:pPr>
    </w:p>
    <w:p>
      <w:pPr>
        <w:jc w:val="both"/>
        <w:ind w:firstLine="1735"/>
        <w:spacing w:after="0" w:line="246" w:lineRule="auto"/>
        <w:tabs>
          <w:tab w:leader="none" w:pos="2573"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Rights as Stockholder</w:t>
      </w:r>
      <w:r>
        <w:rPr>
          <w:rFonts w:ascii="Times New Roman" w:cs="Times New Roman" w:eastAsia="Times New Roman" w:hAnsi="Times New Roman"/>
          <w:sz w:val="20"/>
          <w:szCs w:val="20"/>
          <w:color w:val="auto"/>
        </w:rPr>
        <w:t>. If the Company makes available, at the time and place and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and form provided in this 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8"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of Right of First Refusal</w:t>
      </w:r>
      <w:r>
        <w:rPr>
          <w:rFonts w:ascii="Times New Roman" w:cs="Times New Roman" w:eastAsia="Times New Roman" w:hAnsi="Times New Roman"/>
          <w:sz w:val="20"/>
          <w:szCs w:val="20"/>
          <w:color w:val="auto"/>
        </w:rPr>
        <w:t>. The Board of Directors may freely assign the Company’s Right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Refusal, in whole or in part. Any person who accepts an assignment of the Right of First Refusal from the Company shall assume all of the Company’s rights and obligations under this Section 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20"/>
          <w:szCs w:val="20"/>
          <w:b w:val="1"/>
          <w:bCs w:val="1"/>
          <w:color w:val="auto"/>
        </w:rPr>
        <w:t>SECTION 4. OTHER RESTRICTIONS ON TRANSFER.</w:t>
      </w:r>
    </w:p>
    <w:p>
      <w:pPr>
        <w:spacing w:after="0" w:line="216" w:lineRule="exact"/>
        <w:rPr>
          <w:sz w:val="20"/>
          <w:szCs w:val="20"/>
          <w:color w:val="auto"/>
        </w:rPr>
      </w:pPr>
    </w:p>
    <w:p>
      <w:pPr>
        <w:ind w:firstLine="1735"/>
        <w:spacing w:after="0" w:line="273" w:lineRule="auto"/>
        <w:tabs>
          <w:tab w:leader="none" w:pos="2595"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Transferee Representations</w:t>
      </w:r>
      <w:r>
        <w:rPr>
          <w:rFonts w:ascii="Times New Roman" w:cs="Times New Roman" w:eastAsia="Times New Roman" w:hAnsi="Times New Roman"/>
          <w:sz w:val="20"/>
          <w:szCs w:val="20"/>
          <w:color w:val="auto"/>
        </w:rPr>
        <w:t>. In connection with the issuance and acquisition of Shares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Transferee hereby represents and warrants to the Company as follows:</w:t>
      </w:r>
    </w:p>
    <w:p>
      <w:pPr>
        <w:spacing w:after="0" w:line="156" w:lineRule="exact"/>
        <w:rPr>
          <w:sz w:val="20"/>
          <w:szCs w:val="20"/>
          <w:color w:val="auto"/>
        </w:rPr>
      </w:pPr>
    </w:p>
    <w:p>
      <w:pPr>
        <w:jc w:val="both"/>
        <w:ind w:left="880" w:right="860" w:firstLine="1453"/>
        <w:spacing w:after="0" w:line="254" w:lineRule="auto"/>
        <w:tabs>
          <w:tab w:leader="none" w:pos="3176"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is acquiring and will hold the Transferred Shares for investment for his or her account only and not with a view to, or for resale in connection with, any “distribution” thereof within the meaning of the Securities Act.</w:t>
      </w:r>
    </w:p>
    <w:p>
      <w:pPr>
        <w:spacing w:after="0" w:line="174" w:lineRule="exact"/>
        <w:rPr>
          <w:rFonts w:ascii="Times New Roman" w:cs="Times New Roman" w:eastAsia="Times New Roman" w:hAnsi="Times New Roman"/>
          <w:sz w:val="20"/>
          <w:szCs w:val="20"/>
          <w:color w:val="auto"/>
        </w:rPr>
      </w:pPr>
    </w:p>
    <w:p>
      <w:pPr>
        <w:jc w:val="both"/>
        <w:ind w:left="880" w:right="860" w:firstLine="1453"/>
        <w:spacing w:after="0" w:line="245" w:lineRule="auto"/>
        <w:tabs>
          <w:tab w:leader="none" w:pos="3231"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understands that the Transferred Shares have not been registered under the Securities Act by reason of a specific exemption therefrom and that the Transferred Shares must be held indefinitely, unless their sale or other transfer is subsequently registered under the Securities Act or the Transferee obtains an opinion of counsel, in form and substance satisfactory to the Company and its counsel, that such registration is not required. The Transferee further acknowledges and understands that the Company is under no obligation to register the Transferred Shares.</w:t>
      </w:r>
    </w:p>
    <w:p>
      <w:pPr>
        <w:spacing w:after="0" w:line="184" w:lineRule="exact"/>
        <w:rPr>
          <w:rFonts w:ascii="Times New Roman" w:cs="Times New Roman" w:eastAsia="Times New Roman" w:hAnsi="Times New Roman"/>
          <w:sz w:val="20"/>
          <w:szCs w:val="20"/>
          <w:color w:val="auto"/>
        </w:rPr>
      </w:pPr>
    </w:p>
    <w:p>
      <w:pPr>
        <w:jc w:val="both"/>
        <w:ind w:left="880" w:right="860" w:firstLine="1453"/>
        <w:spacing w:after="0" w:line="235" w:lineRule="exact"/>
        <w:tabs>
          <w:tab w:leader="none" w:pos="3286"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is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month period not exceed specified limitations. The Transferee acknowledges and understands that the conditions for resale set forth in Rule 144 have not been satisfied as of the Date of Transfer and that the Company is not required to take action to satisfy any such conditions.</w:t>
      </w:r>
    </w:p>
    <w:p>
      <w:pPr>
        <w:spacing w:after="0" w:line="187" w:lineRule="exact"/>
        <w:rPr>
          <w:rFonts w:ascii="Times New Roman" w:cs="Times New Roman" w:eastAsia="Times New Roman" w:hAnsi="Times New Roman"/>
          <w:sz w:val="20"/>
          <w:szCs w:val="20"/>
          <w:color w:val="auto"/>
        </w:rPr>
      </w:pPr>
    </w:p>
    <w:p>
      <w:pPr>
        <w:jc w:val="both"/>
        <w:ind w:left="880" w:right="860" w:firstLine="1453"/>
        <w:spacing w:after="0" w:line="255" w:lineRule="auto"/>
        <w:tabs>
          <w:tab w:leader="none" w:pos="3275" w:val="left"/>
        </w:tabs>
        <w:numPr>
          <w:ilvl w:val="1"/>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Transferee will not sell, transfer or otherwise dispose of the Transferred Shares in violation of the Securities Act, the Securities Exchange Act of 1934, or the rules promulgated thereunder, including Rule 144 under the Securities Act. The Transferee agrees that he or she will not dispose of the Transferred Shares unless and until he or she has complied with all requirements of this Agreement applicable to the disposition of Transferred Shares and he or she has provided the Company with written assurances, in substance and form satisfactory to the Company, that (A) the proposed disposition does not require registration of the Transferred Shares under the Securities Act or all appropriate action necessary for compliance with the registration requirements of the Securities Act or with any exemption from registration available under the Securities Act (including Rule 144) has been taken and</w:t>
      </w:r>
    </w:p>
    <w:p>
      <w:pPr>
        <w:ind w:left="880" w:right="880" w:hanging="8"/>
        <w:spacing w:after="0" w:line="246" w:lineRule="auto"/>
        <w:tabs>
          <w:tab w:leader="none" w:pos="119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disposition will not result in the contravention of any transfer restrictions applicable to the Transferred Shares under applicable state law.</w:t>
      </w:r>
    </w:p>
    <w:p>
      <w:pPr>
        <w:spacing w:after="0" w:line="181" w:lineRule="exact"/>
        <w:rPr>
          <w:rFonts w:ascii="Times New Roman" w:cs="Times New Roman" w:eastAsia="Times New Roman" w:hAnsi="Times New Roman"/>
          <w:sz w:val="20"/>
          <w:szCs w:val="20"/>
          <w:color w:val="auto"/>
        </w:rPr>
      </w:pPr>
    </w:p>
    <w:p>
      <w:pPr>
        <w:jc w:val="both"/>
        <w:ind w:left="880" w:right="860" w:firstLine="1453"/>
        <w:spacing w:after="0" w:line="249" w:lineRule="auto"/>
        <w:tabs>
          <w:tab w:leader="none" w:pos="3220"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has received and has had access to such information as he or she considers necessary or appropriate for deciding whether to invest in the Transferred Shares, and the Transferee has had an opportunity to ask questions and receive answers from the Company regarding the terms and conditions of the issuance of the Transferred Shares.</w:t>
      </w:r>
    </w:p>
    <w:p>
      <w:pPr>
        <w:spacing w:after="0" w:line="179" w:lineRule="exact"/>
        <w:rPr>
          <w:rFonts w:ascii="Times New Roman" w:cs="Times New Roman" w:eastAsia="Times New Roman" w:hAnsi="Times New Roman"/>
          <w:sz w:val="20"/>
          <w:szCs w:val="20"/>
          <w:color w:val="auto"/>
        </w:rPr>
      </w:pPr>
    </w:p>
    <w:p>
      <w:pPr>
        <w:jc w:val="both"/>
        <w:ind w:left="880" w:right="860" w:firstLine="1453"/>
        <w:spacing w:after="0" w:line="249" w:lineRule="auto"/>
        <w:tabs>
          <w:tab w:leader="none" w:pos="3275"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is aware that his or her investment in the Company is a speculative investment that has limited liquidity and is subject to the risk of complete loss. The Transferee is able, without impairing his or her financial condition, to hold the Transferred Shares for an indefinite period and to suffer a complete loss of his or her investment in the Transferred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77" w:name="page278"/>
    <w:bookmarkEnd w:id="277"/>
    <w:p>
      <w:pPr>
        <w:jc w:val="both"/>
        <w:ind w:firstLine="1735"/>
        <w:spacing w:after="0" w:line="235" w:lineRule="exact"/>
        <w:tabs>
          <w:tab w:leader="none" w:pos="2606"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Securities Law Restrictions</w:t>
      </w:r>
      <w:r>
        <w:rPr>
          <w:rFonts w:ascii="Times New Roman" w:cs="Times New Roman" w:eastAsia="Times New Roman" w:hAnsi="Times New Roman"/>
          <w:sz w:val="20"/>
          <w:szCs w:val="20"/>
          <w:color w:val="auto"/>
        </w:rPr>
        <w:t>. Regardless of whether the offer and sale of Shares under the Plan have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under the Securities Act or have been registered or qualified under the securities laws of any State or other relevant jurisdiction, the Company at its discretion may impose restrictions upon the sale, pledge or other transfer of the Transferred Shares (including the placement of appropriate legends on the stock certificates (or electronic equivalent) or the imposition of stop</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87" w:lineRule="exact"/>
        <w:rPr>
          <w:rFonts w:ascii="Times New Roman" w:cs="Times New Roman" w:eastAsia="Times New Roman" w:hAnsi="Times New Roman"/>
          <w:sz w:val="20"/>
          <w:szCs w:val="20"/>
          <w:color w:val="auto"/>
        </w:rPr>
      </w:pPr>
    </w:p>
    <w:p>
      <w:pPr>
        <w:jc w:val="both"/>
        <w:ind w:firstLine="1735"/>
        <w:spacing w:after="0" w:line="232" w:lineRule="exact"/>
        <w:tabs>
          <w:tab w:leader="none" w:pos="259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Market Stand-Off</w:t>
      </w:r>
      <w:r>
        <w:rPr>
          <w:rFonts w:ascii="Times New Roman" w:cs="Times New Roman" w:eastAsia="Times New Roman" w:hAnsi="Times New Roman"/>
          <w:sz w:val="20"/>
          <w:szCs w:val="20"/>
          <w:color w:val="auto"/>
        </w:rPr>
        <w:t>. In connection with any underwritten public offering by the Company of its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pursuant to an effective registration statement filed under the Securities Act, including the Company’s initial public offering, the Transferee or a Subsequent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Transferred Shares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Transferred Shares until the end of the applicable stand-off period. The Company’s underwriters shall be beneficiaries of the agreement set forth in this Subsection (c). This Subsection (c) shall not apply to Shares registered in the public offering under the Securities Act.</w:t>
      </w:r>
    </w:p>
    <w:p>
      <w:pPr>
        <w:spacing w:after="0" w:line="186"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Rights of the Company</w:t>
      </w:r>
      <w:r>
        <w:rPr>
          <w:rFonts w:ascii="Times New Roman" w:cs="Times New Roman" w:eastAsia="Times New Roman" w:hAnsi="Times New Roman"/>
          <w:sz w:val="20"/>
          <w:szCs w:val="20"/>
          <w:color w:val="auto"/>
        </w:rPr>
        <w:t>. The Company shall not be required to (i) transfer on its books any Transferred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that have been sold or transferred in contravention of this Agreement or (ii) treat as the owner of Transferred Shares, or otherwise to accord voting, dividend or liquidation rights to, any Subsequent Transferee to whom Transferred Shares have been transferred in contravention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SUCCESSORS AND ASSIGNS.</w:t>
      </w:r>
    </w:p>
    <w:p>
      <w:pPr>
        <w:spacing w:after="0" w:line="220" w:lineRule="exact"/>
        <w:rPr>
          <w:sz w:val="20"/>
          <w:szCs w:val="20"/>
          <w:color w:val="auto"/>
        </w:rPr>
      </w:pPr>
    </w:p>
    <w:p>
      <w:pPr>
        <w:jc w:val="both"/>
        <w:ind w:firstLine="1727"/>
        <w:spacing w:after="0" w:line="249" w:lineRule="auto"/>
        <w:rPr>
          <w:sz w:val="20"/>
          <w:szCs w:val="20"/>
          <w:color w:val="auto"/>
        </w:rPr>
      </w:pPr>
      <w:r>
        <w:rPr>
          <w:rFonts w:ascii="Times New Roman" w:cs="Times New Roman" w:eastAsia="Times New Roman" w:hAnsi="Times New Roman"/>
          <w:sz w:val="20"/>
          <w:szCs w:val="20"/>
          <w:color w:val="auto"/>
        </w:rPr>
        <w:t>Except as otherwise expressly provided to the contrary, the provisions of this Agreement shall inure to the benefit of, and be binding upon, the Company and its successors and assigns and be binding upon the Transferee and the Transferee’s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0"/>
          <w:szCs w:val="20"/>
          <w:b w:val="1"/>
          <w:bCs w:val="1"/>
          <w:color w:val="auto"/>
        </w:rPr>
        <w:t>SECTION 6. NO RETENTION RIGHTS.</w:t>
      </w:r>
    </w:p>
    <w:p>
      <w:pPr>
        <w:spacing w:after="0" w:line="220" w:lineRule="exact"/>
        <w:rPr>
          <w:sz w:val="20"/>
          <w:szCs w:val="20"/>
          <w:color w:val="auto"/>
        </w:rPr>
      </w:pPr>
    </w:p>
    <w:p>
      <w:pPr>
        <w:jc w:val="both"/>
        <w:ind w:firstLine="1727"/>
        <w:spacing w:after="0" w:line="249" w:lineRule="auto"/>
        <w:rPr>
          <w:sz w:val="20"/>
          <w:szCs w:val="20"/>
          <w:color w:val="auto"/>
        </w:rPr>
      </w:pPr>
      <w:r>
        <w:rPr>
          <w:rFonts w:ascii="Times New Roman" w:cs="Times New Roman" w:eastAsia="Times New Roman" w:hAnsi="Times New Roman"/>
          <w:sz w:val="20"/>
          <w:szCs w:val="20"/>
          <w:color w:val="auto"/>
        </w:rPr>
        <w:t>Nothing in this Agreement or in the Plan shall confer upon the Transferee any right to continue providing services to the Company for any period of specific duration or interfere with or otherwise restrict in any way the rights of the Company (or any Parent or Subsidiary employing or retaining the Transferee) or of the Transferee, which rights are hereby expressly reserved by each, to terminate his or her Service at any time and for any reason, with or without cause.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 TAX ELECTION.</w:t>
      </w:r>
    </w:p>
    <w:p>
      <w:pPr>
        <w:spacing w:after="0" w:line="220"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0"/>
          <w:szCs w:val="20"/>
          <w:color w:val="auto"/>
        </w:rPr>
        <w:t xml:space="preserve">The acquisition of the Transferred Shares may result in adverse tax consequences that may be avoided or mitigated by filing an election under Code Section 83(b). Such election may be filed only within 30 days after the date of transfer set forth in the Summary of Stock Grant. The form for making the Code Section 83(b) election is attached to this Agreement as an Exhibit. </w:t>
      </w:r>
      <w:r>
        <w:rPr>
          <w:rFonts w:ascii="Times New Roman" w:cs="Times New Roman" w:eastAsia="Times New Roman" w:hAnsi="Times New Roman"/>
          <w:sz w:val="20"/>
          <w:szCs w:val="20"/>
          <w:b w:val="1"/>
          <w:bCs w:val="1"/>
          <w:color w:val="auto"/>
        </w:rPr>
        <w:t>The Transferee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should consult with his or her tax advisor to determine the tax consequences of acquiring the Transferred Shares and the advantages and disadvantages of filing the Code Section 83(b) election. The Transferee acknowledges that it is his or her sole responsibility, and not the Company’s, to file a timely election under Code Section 83(b), even if the Transferee requests the Company or its representatives to make this filing on his or her behalf.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 LEGENDS.</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All certificates evidencing Transferred Shares shall bear the following legends:</w:t>
      </w:r>
    </w:p>
    <w:p>
      <w:pPr>
        <w:spacing w:after="0" w:line="216" w:lineRule="exact"/>
        <w:rPr>
          <w:sz w:val="20"/>
          <w:szCs w:val="20"/>
          <w:color w:val="auto"/>
        </w:rPr>
      </w:pPr>
    </w:p>
    <w:p>
      <w:pPr>
        <w:jc w:val="both"/>
        <w:ind w:left="880" w:right="860"/>
        <w:spacing w:after="0" w:line="242" w:lineRule="auto"/>
        <w:rPr>
          <w:sz w:val="20"/>
          <w:szCs w:val="20"/>
          <w:color w:val="auto"/>
        </w:rPr>
      </w:pPr>
      <w:r>
        <w:rPr>
          <w:rFonts w:ascii="Times New Roman" w:cs="Times New Roman" w:eastAsia="Times New Roman" w:hAnsi="Times New Roman"/>
          <w:sz w:val="20"/>
          <w:szCs w:val="20"/>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IMPOSES CERTAIN FORFEITURE CONDITIONS UPON TERMINATION OF SERVICE WITH THE COMPANY.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All certificates evidencing the Transferred Shares acquired under this Agreement in an unregistered transaction shall bear the following legend (and such other restrictive legends as are required or deemed advisable under the provisions of any applicable law):</w:t>
      </w:r>
    </w:p>
    <w:p>
      <w:pPr>
        <w:spacing w:after="0" w:line="159" w:lineRule="exact"/>
        <w:rPr>
          <w:sz w:val="20"/>
          <w:szCs w:val="20"/>
          <w:color w:val="auto"/>
        </w:rPr>
      </w:pPr>
    </w:p>
    <w:p>
      <w:pPr>
        <w:jc w:val="both"/>
        <w:ind w:left="880" w:right="880"/>
        <w:spacing w:after="0" w:line="246"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79" w:name="page280"/>
    <w:bookmarkEnd w:id="279"/>
    <w:p>
      <w:pPr>
        <w:jc w:val="both"/>
        <w:ind w:left="880" w:right="860"/>
        <w:spacing w:after="0" w:line="244" w:lineRule="auto"/>
        <w:rPr>
          <w:sz w:val="20"/>
          <w:szCs w:val="20"/>
          <w:color w:val="auto"/>
        </w:rPr>
      </w:pPr>
      <w:r>
        <w:rPr>
          <w:rFonts w:ascii="Times New Roman" w:cs="Times New Roman" w:eastAsia="Times New Roman" w:hAnsi="Times New Roman"/>
          <w:sz w:val="20"/>
          <w:szCs w:val="20"/>
          <w:color w:val="auto"/>
        </w:rPr>
        <w:t>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required by the authorities of any State in connection with the issuance of the Transferred Shares, the legend or legends required by such State authorities shall also be endorsed on all such certificates.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 MISCELLANEOUS PROVISIONS.</w:t>
      </w:r>
    </w:p>
    <w:p>
      <w:pPr>
        <w:spacing w:after="0" w:line="216" w:lineRule="exact"/>
        <w:rPr>
          <w:sz w:val="20"/>
          <w:szCs w:val="20"/>
          <w:color w:val="auto"/>
        </w:rPr>
      </w:pPr>
    </w:p>
    <w:p>
      <w:pPr>
        <w:ind w:firstLine="1735"/>
        <w:spacing w:after="0" w:line="273" w:lineRule="auto"/>
        <w:tabs>
          <w:tab w:leader="none" w:pos="2595"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Choice of Law</w:t>
      </w:r>
      <w:r>
        <w:rPr>
          <w:rFonts w:ascii="Times New Roman" w:cs="Times New Roman" w:eastAsia="Times New Roman" w:hAnsi="Times New Roman"/>
          <w:sz w:val="20"/>
          <w:szCs w:val="20"/>
          <w:color w:val="auto"/>
        </w:rPr>
        <w:t>. This Agreement shall be governed by, and construed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as such laws are applied to contracts entered into and performed in such State.</w:t>
      </w:r>
    </w:p>
    <w:p>
      <w:pPr>
        <w:spacing w:after="0" w:line="151" w:lineRule="exact"/>
        <w:rPr>
          <w:rFonts w:ascii="Times New Roman" w:cs="Times New Roman" w:eastAsia="Times New Roman" w:hAnsi="Times New Roman"/>
          <w:sz w:val="20"/>
          <w:szCs w:val="20"/>
          <w:color w:val="auto"/>
        </w:rPr>
      </w:pPr>
    </w:p>
    <w:p>
      <w:pPr>
        <w:jc w:val="both"/>
        <w:ind w:firstLine="1735"/>
        <w:spacing w:after="0" w:line="247" w:lineRule="auto"/>
        <w:tabs>
          <w:tab w:leader="none" w:pos="2606"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Any notice required by the terms of this Agreement shall be given in writing. It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Notice shall be addressed to the Company at its principal executive office and to the Transferee at the address that he or she most recently provided to the Company in accordance with this Subsection (b).</w:t>
      </w:r>
    </w:p>
    <w:p>
      <w:pPr>
        <w:spacing w:after="0" w:line="180" w:lineRule="exact"/>
        <w:rPr>
          <w:rFonts w:ascii="Times New Roman" w:cs="Times New Roman" w:eastAsia="Times New Roman" w:hAnsi="Times New Roman"/>
          <w:sz w:val="20"/>
          <w:szCs w:val="20"/>
          <w:color w:val="auto"/>
        </w:rPr>
      </w:pPr>
    </w:p>
    <w:p>
      <w:pPr>
        <w:jc w:val="both"/>
        <w:ind w:firstLine="1735"/>
        <w:spacing w:after="0" w:line="256" w:lineRule="auto"/>
        <w:tabs>
          <w:tab w:leader="none" w:pos="2595"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The Summary of Stock Grant, this Agreement and the Plan constitute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 ACKNOWLEDGEMENTS OF THE TRANSFEREE.</w:t>
      </w:r>
    </w:p>
    <w:p>
      <w:pPr>
        <w:spacing w:after="0" w:line="220"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In addition to the other terms, conditions and restrictions imposed on the Shares acquired pursuant to this Agreement, the Transferee expressly acknowledges being subject to Sections 2 (Forfeiture Condition), 3 (Right of First Refusal) and 4 (Other Restrictions on Transfer, including without limitation the Market Stand-Off), as well as the following provisions:</w:t>
      </w:r>
    </w:p>
    <w:p>
      <w:pPr>
        <w:spacing w:after="0" w:line="170" w:lineRule="exact"/>
        <w:rPr>
          <w:sz w:val="20"/>
          <w:szCs w:val="20"/>
          <w:color w:val="auto"/>
        </w:rPr>
      </w:pPr>
    </w:p>
    <w:p>
      <w:pPr>
        <w:jc w:val="both"/>
        <w:ind w:firstLine="1735"/>
        <w:spacing w:after="0" w:line="245" w:lineRule="auto"/>
        <w:tabs>
          <w:tab w:leader="none" w:pos="2595"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Statutory Information Rights</w:t>
      </w:r>
      <w:r>
        <w:rPr>
          <w:rFonts w:ascii="Times New Roman" w:cs="Times New Roman" w:eastAsia="Times New Roman" w:hAnsi="Times New Roman"/>
          <w:sz w:val="20"/>
          <w:szCs w:val="20"/>
          <w:color w:val="auto"/>
        </w:rPr>
        <w:t>. The Transferee acknowledges and agrees that, until the first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Company’s Stock to the general public pursuant to a registration statement filed under the Securities Act, he or she will be deemed to have waived any rights the Transferee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the Transferee’s capacity as a stockholder and does not affect any other inspection rights the Transferee may have under other law or pursuant to a written agreement with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0" w:name="page281"/>
    <w:bookmarkEnd w:id="280"/>
    <w:p>
      <w:pPr>
        <w:jc w:val="both"/>
        <w:ind w:firstLine="1735"/>
        <w:spacing w:after="0" w:line="253" w:lineRule="auto"/>
        <w:tabs>
          <w:tab w:leader="none" w:pos="2606"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Plan Discretionary</w:t>
      </w:r>
      <w:r>
        <w:rPr>
          <w:rFonts w:ascii="Times New Roman" w:cs="Times New Roman" w:eastAsia="Times New Roman" w:hAnsi="Times New Roman"/>
          <w:sz w:val="20"/>
          <w:szCs w:val="20"/>
          <w:color w:val="auto"/>
        </w:rPr>
        <w:t>. The Transferee understands and acknowledges that (i) the Plan is entirely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discretionary, (ii) the Company and the Transferee’s employer have reserved the right to amend, suspend or terminate the Plan at any time,</w:t>
      </w:r>
    </w:p>
    <w:p>
      <w:pPr>
        <w:jc w:val="both"/>
        <w:ind w:firstLine="8"/>
        <w:spacing w:after="0" w:line="242" w:lineRule="auto"/>
        <w:tabs>
          <w:tab w:leader="none" w:pos="362"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the Transferred Shares does not in any way create any contractual or other right to receive additional awards under the Plan at any time or in any amount and (iv) all determinations with respect to any additional awards, including (without limitation) the times when awards will be granted, the number of Shares offered and the vesting schedule, will be at the sole discretion of the Company.</w:t>
      </w:r>
    </w:p>
    <w:p>
      <w:pPr>
        <w:spacing w:after="0" w:line="182" w:lineRule="exact"/>
        <w:rPr>
          <w:rFonts w:ascii="Times New Roman" w:cs="Times New Roman" w:eastAsia="Times New Roman" w:hAnsi="Times New Roman"/>
          <w:sz w:val="20"/>
          <w:szCs w:val="20"/>
          <w:color w:val="auto"/>
        </w:rPr>
      </w:pPr>
    </w:p>
    <w:p>
      <w:pPr>
        <w:ind w:firstLine="1735"/>
        <w:spacing w:after="0" w:line="273" w:lineRule="auto"/>
        <w:tabs>
          <w:tab w:leader="none" w:pos="2595"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Service</w:t>
      </w:r>
      <w:r>
        <w:rPr>
          <w:rFonts w:ascii="Times New Roman" w:cs="Times New Roman" w:eastAsia="Times New Roman" w:hAnsi="Times New Roman"/>
          <w:sz w:val="20"/>
          <w:szCs w:val="20"/>
          <w:color w:val="auto"/>
        </w:rPr>
        <w:t>. The Transferee understands and acknowledges that participation in the Plan ceases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termination of his or her Service for any reason, except as may explicitly be provided otherwise in the Plan or this Agreement.</w:t>
      </w:r>
    </w:p>
    <w:p>
      <w:pPr>
        <w:spacing w:after="0" w:line="151"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Extraordinary Compensation</w:t>
      </w:r>
      <w:r>
        <w:rPr>
          <w:rFonts w:ascii="Times New Roman" w:cs="Times New Roman" w:eastAsia="Times New Roman" w:hAnsi="Times New Roman"/>
          <w:sz w:val="20"/>
          <w:szCs w:val="20"/>
          <w:color w:val="auto"/>
        </w:rPr>
        <w:t>. The value of the Transferred Shares shall be an extraordinary item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outside the scope of the Transferee’s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75"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Authorization to Disclose</w:t>
      </w:r>
      <w:r>
        <w:rPr>
          <w:rFonts w:ascii="Times New Roman" w:cs="Times New Roman" w:eastAsia="Times New Roman" w:hAnsi="Times New Roman"/>
          <w:sz w:val="20"/>
          <w:szCs w:val="20"/>
          <w:color w:val="auto"/>
        </w:rPr>
        <w:t>. The Transferee hereby authorizes and directs the Transferee’s employer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disclose to the Company or any Subsidiary any information regarding the Transferee’s employment, the nature and amount of the Transferee’s compensation and the fact and conditions of the Transferee’s participation in the Plan, as the Transferee’s employer deems necessary or appropriate to facilitate the administration of the Plan.</w:t>
      </w:r>
    </w:p>
    <w:p>
      <w:pPr>
        <w:spacing w:after="0" w:line="175" w:lineRule="exact"/>
        <w:rPr>
          <w:rFonts w:ascii="Times New Roman" w:cs="Times New Roman" w:eastAsia="Times New Roman" w:hAnsi="Times New Roman"/>
          <w:sz w:val="20"/>
          <w:szCs w:val="20"/>
          <w:color w:val="auto"/>
        </w:rPr>
      </w:pPr>
    </w:p>
    <w:p>
      <w:pPr>
        <w:jc w:val="both"/>
        <w:ind w:firstLine="1735"/>
        <w:spacing w:after="0" w:line="241" w:lineRule="auto"/>
        <w:tabs>
          <w:tab w:leader="none" w:pos="2573"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Personal Data Authorization</w:t>
      </w:r>
      <w:r>
        <w:rPr>
          <w:rFonts w:ascii="Times New Roman" w:cs="Times New Roman" w:eastAsia="Times New Roman" w:hAnsi="Times New Roman"/>
          <w:sz w:val="20"/>
          <w:szCs w:val="20"/>
          <w:color w:val="auto"/>
        </w:rPr>
        <w:t>. The Transferee consents to the collection, use and transfer of personal 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described in this Subsection (f). The Transferee understands and acknowledges that the Company, the Transferee’s employer and the Company’s other Subsidiaries hold certain personal information regarding the Transferee for the purpose of managing and administering the Plan, including (without limitation) the Transferee’s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Transferee’s favor (the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The Transferee further understands and acknowledges that the Company and/or its Subsidiaries will transfer Data among themselves as necessary for the purpose of implementation, administration and management of the Transferee’s participation in the Plan and that the Company and/or any Subsidiary may each further transfer Data to any third party assisting the Company in the implementation, administration and management of the Plan. The Transferee understands and acknowledges that the recipients of Data may be located in the United States or elsewhere. The Transferee authorizes such recipients to receive, possess, use, retain and transfer Data, in electronic or other form, for the purpose of administering the Transferee’s participation in the Plan, including a transfer to any broker or other third party with whom the Transferee elects to deposit Shares acquired under the Plan of such Data as may be required for the administration of the Plan and/or the subsequent holding of Shares on the Transferee’s behalf. The Transferee may, at any time, view the Data, require any necessary modifications of Data or withdraw the consents set forth in this Subsection (f) by contacting the Company in writing.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 DEFINITIONS.</w:t>
      </w:r>
    </w:p>
    <w:p>
      <w:pPr>
        <w:spacing w:after="0" w:line="216" w:lineRule="exact"/>
        <w:rPr>
          <w:sz w:val="20"/>
          <w:szCs w:val="20"/>
          <w:color w:val="auto"/>
        </w:rPr>
      </w:pPr>
    </w:p>
    <w:p>
      <w:pPr>
        <w:ind w:left="2600" w:hanging="865"/>
        <w:spacing w:after="0"/>
        <w:tabs>
          <w:tab w:leader="none" w:pos="260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mean this Stock Grant Agreement.</w:t>
      </w:r>
    </w:p>
    <w:p>
      <w:pPr>
        <w:spacing w:after="0" w:line="215" w:lineRule="exact"/>
        <w:rPr>
          <w:rFonts w:ascii="Times New Roman" w:cs="Times New Roman" w:eastAsia="Times New Roman" w:hAnsi="Times New Roman"/>
          <w:sz w:val="20"/>
          <w:szCs w:val="20"/>
          <w:color w:val="auto"/>
        </w:rPr>
      </w:pPr>
    </w:p>
    <w:p>
      <w:pPr>
        <w:ind w:right="20" w:firstLine="1735"/>
        <w:spacing w:after="0" w:line="273" w:lineRule="auto"/>
        <w:tabs>
          <w:tab w:leader="none" w:pos="2606"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shall mean the Board of Directors of the Company, as constituted from time to time or, if a Committee has been appointed, such Committee.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81" w:name="page282"/>
    <w:bookmarkEnd w:id="281"/>
    <w:p>
      <w:pPr>
        <w:ind w:left="2600" w:hanging="865"/>
        <w:spacing w:after="0"/>
        <w:tabs>
          <w:tab w:leader="none" w:pos="260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mean Tarsus Pharmaceuticals, Inc., a Delaware corporation.</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Forfeiture Condition</w:t>
      </w:r>
      <w:r>
        <w:rPr>
          <w:rFonts w:ascii="Times New Roman" w:cs="Times New Roman" w:eastAsia="Times New Roman" w:hAnsi="Times New Roman"/>
          <w:sz w:val="20"/>
          <w:szCs w:val="20"/>
          <w:color w:val="auto"/>
        </w:rPr>
        <w:t>” shall mean the forfeiture condition described in Section 2.</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595"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w:t>
      </w:r>
      <w:r>
        <w:rPr>
          <w:rFonts w:ascii="Times New Roman" w:cs="Times New Roman" w:eastAsia="Times New Roman" w:hAnsi="Times New Roman"/>
          <w:sz w:val="20"/>
          <w:szCs w:val="20"/>
          <w:color w:val="auto"/>
        </w:rPr>
        <w:t>” shall mean any child, stepchild, grandchild, parent, stepparent, grandparent, spouse, sibling, mother-in-law, father-in-law, son-in-law, daughter-in-law, brother-in-law or sister-in-law and shall include adoptive relationships.</w:t>
      </w:r>
    </w:p>
    <w:p>
      <w:pPr>
        <w:spacing w:after="0" w:line="151"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shall mean the Tarsus Pharmaceuticals, Inc. 2016 Stock Plan, as amended.</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Share</w:t>
      </w:r>
      <w:r>
        <w:rPr>
          <w:rFonts w:ascii="Times New Roman" w:cs="Times New Roman" w:eastAsia="Times New Roman" w:hAnsi="Times New Roman"/>
          <w:sz w:val="20"/>
          <w:szCs w:val="20"/>
          <w:color w:val="auto"/>
        </w:rPr>
        <w:t>” shall mean a Transferred Share that is subject to the Forfeiture Condition.</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shall mean the Company’s right of first refusal described in Section 3.</w:t>
      </w:r>
    </w:p>
    <w:p>
      <w:pPr>
        <w:spacing w:after="0" w:line="215"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shall mean service as an Employee, Outside Director or Consultant.</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562"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Subsequent Transferee</w:t>
      </w:r>
      <w:r>
        <w:rPr>
          <w:rFonts w:ascii="Times New Roman" w:cs="Times New Roman" w:eastAsia="Times New Roman" w:hAnsi="Times New Roman"/>
          <w:sz w:val="20"/>
          <w:szCs w:val="20"/>
          <w:color w:val="auto"/>
        </w:rPr>
        <w:t>” shall mean any person to whom the Transferee has directly or indirectly transferred any Transferred Shares.</w:t>
      </w:r>
    </w:p>
    <w:p>
      <w:pPr>
        <w:spacing w:after="0" w:line="151"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shall mean the individual named in the Summary of Stock Grant.</w:t>
      </w:r>
    </w:p>
    <w:p>
      <w:pPr>
        <w:spacing w:after="0" w:line="215"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Notice</w:t>
      </w:r>
      <w:r>
        <w:rPr>
          <w:rFonts w:ascii="Times New Roman" w:cs="Times New Roman" w:eastAsia="Times New Roman" w:hAnsi="Times New Roman"/>
          <w:sz w:val="19"/>
          <w:szCs w:val="19"/>
          <w:color w:val="auto"/>
        </w:rPr>
        <w:t>” shall mean the notice of a proposed transfer of Transferred Shares described in Section 3.</w:t>
      </w:r>
    </w:p>
    <w:p>
      <w:pPr>
        <w:spacing w:after="0" w:line="227" w:lineRule="exact"/>
        <w:rPr>
          <w:rFonts w:ascii="Times New Roman" w:cs="Times New Roman" w:eastAsia="Times New Roman" w:hAnsi="Times New Roman"/>
          <w:sz w:val="19"/>
          <w:szCs w:val="19"/>
          <w:color w:val="auto"/>
        </w:rPr>
      </w:pPr>
    </w:p>
    <w:p>
      <w:pPr>
        <w:ind w:left="2660" w:hanging="925"/>
        <w:spacing w:after="0"/>
        <w:tabs>
          <w:tab w:leader="none" w:pos="266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Transferred Shares</w:t>
      </w:r>
      <w:r>
        <w:rPr>
          <w:rFonts w:ascii="Times New Roman" w:cs="Times New Roman" w:eastAsia="Times New Roman" w:hAnsi="Times New Roman"/>
          <w:sz w:val="20"/>
          <w:szCs w:val="20"/>
          <w:color w:val="auto"/>
        </w:rPr>
        <w:t>” shall mean the Shares acquired by the Transferee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83(b) E</w:t>
      </w:r>
      <w:r>
        <w:rPr>
          <w:rFonts w:ascii="Times New Roman" w:cs="Times New Roman" w:eastAsia="Times New Roman" w:hAnsi="Times New Roman"/>
          <w:sz w:val="13"/>
          <w:szCs w:val="13"/>
          <w:b w:val="1"/>
          <w:bCs w:val="1"/>
          <w:color w:val="auto"/>
        </w:rPr>
        <w:t>LECTION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undersigned taxpayer hereby elects, pursuant to Section 83(b) of the Internal Revenue Code of 1986, as amended, and pursuant to Treasury Regulations Section 1.83-2, to include in gross income as compensation for services the fair market value of the shares described below.</w:t>
      </w:r>
    </w:p>
    <w:p>
      <w:pPr>
        <w:spacing w:after="0" w:line="174" w:lineRule="exact"/>
        <w:rPr>
          <w:sz w:val="20"/>
          <w:szCs w:val="20"/>
          <w:color w:val="auto"/>
        </w:rPr>
      </w:pPr>
    </w:p>
    <w:p>
      <w:pPr>
        <w:ind w:left="1540" w:right="6220" w:hanging="682"/>
        <w:spacing w:after="0" w:line="479" w:lineRule="auto"/>
        <w:tabs>
          <w:tab w:leader="none" w:pos="1502"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taxpayer who performed the services is: Name:</w:t>
      </w:r>
    </w:p>
    <w:p>
      <w:pPr>
        <w:ind w:left="1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168275</wp:posOffset>
            </wp:positionV>
            <wp:extent cx="21170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17090" cy="889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13970</wp:posOffset>
            </wp:positionV>
            <wp:extent cx="21170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-285115</wp:posOffset>
            </wp:positionV>
            <wp:extent cx="21170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13970</wp:posOffset>
            </wp:positionV>
            <wp:extent cx="15519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spacing w:after="0" w:line="209" w:lineRule="exact"/>
        <w:rPr>
          <w:sz w:val="20"/>
          <w:szCs w:val="20"/>
          <w:color w:val="auto"/>
        </w:rPr>
      </w:pPr>
    </w:p>
    <w:p>
      <w:pPr>
        <w:ind w:left="1500" w:hanging="642"/>
        <w:spacing w:after="0" w:line="269" w:lineRule="auto"/>
        <w:tabs>
          <w:tab w:leader="none" w:pos="15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with respect to which the election is made is ______ shares of the common stock of Tarsus Pharmaceuticals, Inc.</w:t>
      </w:r>
    </w:p>
    <w:p>
      <w:pPr>
        <w:spacing w:after="0" w:line="159" w:lineRule="exact"/>
        <w:rPr>
          <w:rFonts w:ascii="Times New Roman" w:cs="Times New Roman" w:eastAsia="Times New Roman" w:hAnsi="Times New Roman"/>
          <w:sz w:val="20"/>
          <w:szCs w:val="20"/>
          <w:color w:val="auto"/>
        </w:rPr>
      </w:pPr>
    </w:p>
    <w:p>
      <w:pPr>
        <w:ind w:left="1500" w:hanging="642"/>
        <w:spacing w:after="0"/>
        <w:tabs>
          <w:tab w:leader="none" w:pos="15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was transferred to the taxpayer on __________ __, ____.</w:t>
      </w:r>
    </w:p>
    <w:p>
      <w:pPr>
        <w:spacing w:after="0" w:line="215" w:lineRule="exact"/>
        <w:rPr>
          <w:rFonts w:ascii="Times New Roman" w:cs="Times New Roman" w:eastAsia="Times New Roman" w:hAnsi="Times New Roman"/>
          <w:sz w:val="20"/>
          <w:szCs w:val="20"/>
          <w:color w:val="auto"/>
        </w:rPr>
      </w:pPr>
    </w:p>
    <w:p>
      <w:pPr>
        <w:ind w:left="1500" w:hanging="642"/>
        <w:spacing w:after="0"/>
        <w:tabs>
          <w:tab w:leader="none" w:pos="15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taxable year for which the election is made is the calendar year ____.</w:t>
      </w:r>
    </w:p>
    <w:p>
      <w:pPr>
        <w:spacing w:after="0" w:line="215" w:lineRule="exact"/>
        <w:rPr>
          <w:rFonts w:ascii="Times New Roman" w:cs="Times New Roman" w:eastAsia="Times New Roman" w:hAnsi="Times New Roman"/>
          <w:sz w:val="20"/>
          <w:szCs w:val="20"/>
          <w:color w:val="auto"/>
        </w:rPr>
      </w:pPr>
    </w:p>
    <w:p>
      <w:pPr>
        <w:ind w:left="1500" w:hanging="642"/>
        <w:spacing w:after="0" w:line="269" w:lineRule="auto"/>
        <w:tabs>
          <w:tab w:leader="none" w:pos="15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is subject to forfeiture if for any reason taxpayer’s service with the issuer terminates. The forfeiture condition lapses in a series of installments over a ____-year period ending on __________ __, ____.</w:t>
      </w:r>
    </w:p>
    <w:p>
      <w:pPr>
        <w:spacing w:after="0" w:line="159" w:lineRule="exact"/>
        <w:rPr>
          <w:rFonts w:ascii="Times New Roman" w:cs="Times New Roman" w:eastAsia="Times New Roman" w:hAnsi="Times New Roman"/>
          <w:sz w:val="20"/>
          <w:szCs w:val="20"/>
          <w:color w:val="auto"/>
        </w:rPr>
      </w:pPr>
    </w:p>
    <w:p>
      <w:pPr>
        <w:ind w:left="1500" w:hanging="642"/>
        <w:spacing w:after="0" w:line="269" w:lineRule="auto"/>
        <w:tabs>
          <w:tab w:leader="none" w:pos="15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such property at the time of transfer (determined without regard to any restriction other than a restriction that by its terms will never lapse) is $______ per share x ______ shares = $__________.</w:t>
      </w:r>
    </w:p>
    <w:p>
      <w:pPr>
        <w:spacing w:after="0" w:line="159" w:lineRule="exact"/>
        <w:rPr>
          <w:rFonts w:ascii="Times New Roman" w:cs="Times New Roman" w:eastAsia="Times New Roman" w:hAnsi="Times New Roman"/>
          <w:sz w:val="20"/>
          <w:szCs w:val="20"/>
          <w:color w:val="auto"/>
        </w:rPr>
      </w:pPr>
    </w:p>
    <w:p>
      <w:pPr>
        <w:ind w:left="1500" w:hanging="642"/>
        <w:spacing w:after="0"/>
        <w:tabs>
          <w:tab w:leader="none" w:pos="15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amount was paid for such property.</w:t>
      </w:r>
    </w:p>
    <w:p>
      <w:pPr>
        <w:spacing w:after="0" w:line="211" w:lineRule="exact"/>
        <w:rPr>
          <w:rFonts w:ascii="Times New Roman" w:cs="Times New Roman" w:eastAsia="Times New Roman" w:hAnsi="Times New Roman"/>
          <w:sz w:val="20"/>
          <w:szCs w:val="20"/>
          <w:color w:val="auto"/>
        </w:rPr>
      </w:pPr>
    </w:p>
    <w:p>
      <w:pPr>
        <w:ind w:left="1500" w:hanging="642"/>
        <w:spacing w:after="0"/>
        <w:tabs>
          <w:tab w:leader="none" w:pos="15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to include in gross income is $______. </w:t>
      </w:r>
      <w:r>
        <w:rPr>
          <w:rFonts w:ascii="Times New Roman" w:cs="Times New Roman" w:eastAsia="Times New Roman" w:hAnsi="Times New Roman"/>
          <w:sz w:val="20"/>
          <w:szCs w:val="20"/>
          <w:b w:val="1"/>
          <w:bCs w:val="1"/>
          <w:i w:val="1"/>
          <w:iCs w:val="1"/>
          <w:color w:val="auto"/>
        </w:rPr>
        <w:t>[The amount in Line 6.]</w:t>
      </w:r>
    </w:p>
    <w:p>
      <w:pPr>
        <w:spacing w:after="0" w:line="219" w:lineRule="exact"/>
        <w:rPr>
          <w:rFonts w:ascii="Times New Roman" w:cs="Times New Roman" w:eastAsia="Times New Roman" w:hAnsi="Times New Roman"/>
          <w:sz w:val="20"/>
          <w:szCs w:val="20"/>
          <w:color w:val="auto"/>
        </w:rPr>
      </w:pPr>
    </w:p>
    <w:p>
      <w:pPr>
        <w:ind w:left="1500" w:right="20" w:hanging="642"/>
        <w:spacing w:after="0" w:line="269" w:lineRule="auto"/>
        <w:tabs>
          <w:tab w:leader="none" w:pos="15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this statement was furnished to Tarsus Pharmaceuticals, Inc., for whom taxpayer rendered the services underlying the transfer of such property.</w:t>
      </w:r>
    </w:p>
    <w:p>
      <w:pPr>
        <w:spacing w:after="0" w:line="159" w:lineRule="exact"/>
        <w:rPr>
          <w:rFonts w:ascii="Times New Roman" w:cs="Times New Roman" w:eastAsia="Times New Roman" w:hAnsi="Times New Roman"/>
          <w:sz w:val="20"/>
          <w:szCs w:val="20"/>
          <w:color w:val="auto"/>
        </w:rPr>
      </w:pPr>
    </w:p>
    <w:p>
      <w:pPr>
        <w:ind w:left="1500" w:hanging="642"/>
        <w:spacing w:after="0"/>
        <w:tabs>
          <w:tab w:leader="none" w:pos="15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statement is executed on __________ __, 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20"/>
          <w:szCs w:val="20"/>
          <w:color w:val="auto"/>
        </w:rPr>
        <w:t>Spouse (if any)</w:t>
      </w:r>
      <w:r>
        <w:rPr>
          <w:sz w:val="20"/>
          <w:szCs w:val="20"/>
          <w:color w:val="auto"/>
        </w:rPr>
        <w:tab/>
      </w:r>
      <w:r>
        <w:rPr>
          <w:rFonts w:ascii="Times New Roman" w:cs="Times New Roman" w:eastAsia="Times New Roman" w:hAnsi="Times New Roman"/>
          <w:sz w:val="19"/>
          <w:szCs w:val="19"/>
          <w:color w:val="auto"/>
        </w:rPr>
        <w:t>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 deliver a copy of the completed form to the Company.</w:t>
      </w:r>
    </w:p>
    <w:p>
      <w:pPr>
        <w:sectPr>
          <w:pgSz w:w="11900" w:h="16838" w:orient="portrait"/>
          <w:cols w:equalWidth="0" w:num="1">
            <w:col w:w="11240"/>
          </w:cols>
          <w:pgMar w:left="320" w:top="329" w:right="339" w:bottom="1440" w:gutter="0" w:footer="0" w:header="0"/>
        </w:sectPr>
      </w:pPr>
    </w:p>
    <w:bookmarkStart w:id="283" w:name="page284"/>
    <w:bookmarkEnd w:id="283"/>
    <w:p>
      <w:pPr>
        <w:ind w:left="10220"/>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September 14, 2018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Bobak Azamian, MD, PhD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Bobby:</w:t>
      </w:r>
    </w:p>
    <w:p>
      <w:pPr>
        <w:spacing w:after="0" w:line="2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Tarsus Pharmaceuticals, Inc. (the “Company”) is pleased to offer you employment on the following terms:</w:t>
      </w:r>
    </w:p>
    <w:p>
      <w:pPr>
        <w:spacing w:after="0" w:line="212" w:lineRule="exact"/>
        <w:rPr>
          <w:sz w:val="20"/>
          <w:szCs w:val="20"/>
          <w:color w:val="auto"/>
        </w:rPr>
      </w:pPr>
    </w:p>
    <w:p>
      <w:pPr>
        <w:jc w:val="both"/>
        <w:ind w:firstLine="872"/>
        <w:spacing w:after="0" w:line="235" w:lineRule="exact"/>
        <w:tabs>
          <w:tab w:leader="none" w:pos="1654"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Position</w:t>
      </w:r>
      <w:r>
        <w:rPr>
          <w:rFonts w:ascii="Times New Roman" w:cs="Times New Roman" w:eastAsia="Times New Roman" w:hAnsi="Times New Roman"/>
          <w:sz w:val="19"/>
          <w:szCs w:val="19"/>
          <w:color w:val="auto"/>
        </w:rPr>
        <w:t>. Your title will be Chief Executive Officer. This is a full-time position, reporting to the Company’s Board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Directors (the “Board”). While you render services to the Company, you will not engage in any other employment, consulting or other business activity (whether full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time or part-time) that would create a conflict of interest with the Company. By signing this letter agreement, you confirm to the Company that you have no contractual commitments or other legal obligations that would prohibit you from performing your duties for the Company. The Company acknowledges that you may serve on additional board of directors or provide consulting services while you render services to the Company, so long as those positions does not create a conflict of interest with the Company, provided further, that both the Company and you agree and confirm that you currently serve on the board of directors and provide consulting services to Metavention, Inc. and Vibrato Medical, Inc., and such roles are permitted hereunder (and accordingly do not create a conflict of interest with the Company).</w:t>
      </w:r>
    </w:p>
    <w:p>
      <w:pPr>
        <w:spacing w:after="0" w:line="186" w:lineRule="exact"/>
        <w:rPr>
          <w:rFonts w:ascii="Times New Roman" w:cs="Times New Roman" w:eastAsia="Times New Roman" w:hAnsi="Times New Roman"/>
          <w:sz w:val="19"/>
          <w:szCs w:val="19"/>
          <w:color w:val="auto"/>
        </w:rPr>
      </w:pPr>
    </w:p>
    <w:p>
      <w:pPr>
        <w:jc w:val="both"/>
        <w:ind w:firstLine="872"/>
        <w:spacing w:after="0" w:line="243" w:lineRule="auto"/>
        <w:tabs>
          <w:tab w:leader="none" w:pos="165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Compensation</w:t>
      </w:r>
      <w:r>
        <w:rPr>
          <w:rFonts w:ascii="Times New Roman" w:cs="Times New Roman" w:eastAsia="Times New Roman" w:hAnsi="Times New Roman"/>
          <w:sz w:val="20"/>
          <w:szCs w:val="20"/>
          <w:color w:val="auto"/>
        </w:rPr>
        <w:t>. The Company will pay you a starting salary at the rate of $300,000 per year, payable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Company’s standard payroll schedule. This salary will be subject to adjustment pursuant to the Company’s employee compensation policies in effect from time to time. In addition, commencing upon the closing of the Company’s Series B Preferred Stock financing, you will be eligible to be considered for an incentive bonus for each fiscal year of the Company. The bonus (if any) will be awarded based on objective or subjective criteria established and approved by the Board. Your annual target bonus, which is payable upon on the closing of the Company’s Series B Preferred Stock financing pursuant to which the Company raises at least $7,000,000, will be equal to 30% of your annual base salary and will accrue accordingly to reflect the commencement of your employment with the Company. Any bonus for a fiscal year will be paid within 2½ months after the close of that fiscal year, but only if you are still providing services to the Company at the time of payment. The determinations of the Board with respect to your bonus will be final and binding.</w:t>
      </w:r>
    </w:p>
    <w:p>
      <w:pPr>
        <w:spacing w:after="0" w:line="185" w:lineRule="exact"/>
        <w:rPr>
          <w:rFonts w:ascii="Times New Roman" w:cs="Times New Roman" w:eastAsia="Times New Roman" w:hAnsi="Times New Roman"/>
          <w:sz w:val="20"/>
          <w:szCs w:val="20"/>
          <w:color w:val="auto"/>
        </w:rPr>
      </w:pPr>
    </w:p>
    <w:p>
      <w:pPr>
        <w:jc w:val="both"/>
        <w:ind w:firstLine="872"/>
        <w:spacing w:after="0" w:line="256" w:lineRule="auto"/>
        <w:tabs>
          <w:tab w:leader="none" w:pos="165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168" w:lineRule="exact"/>
        <w:rPr>
          <w:rFonts w:ascii="Times New Roman" w:cs="Times New Roman" w:eastAsia="Times New Roman" w:hAnsi="Times New Roman"/>
          <w:sz w:val="20"/>
          <w:szCs w:val="20"/>
          <w:color w:val="auto"/>
        </w:rPr>
      </w:pPr>
    </w:p>
    <w:p>
      <w:pPr>
        <w:jc w:val="both"/>
        <w:ind w:firstLine="872"/>
        <w:spacing w:after="0" w:line="256" w:lineRule="auto"/>
        <w:tabs>
          <w:tab w:leader="none" w:pos="165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Subject to the approval of the Board or its Compensation Committee, you will be granted an option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853,393 shares of the Company’s Common Stock (the “Option”). The exercise price per share of the Option will be equal to the fair market value of the underlying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4946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20"/>
          <w:szCs w:val="20"/>
          <w:color w:val="auto"/>
        </w:rPr>
        <w:t>Bobak Azamian, MD, PhD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14, 2018</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the date of the grant. The Option will be subject to the terms and conditions applicable to options granted under the Company’s 2016 Stock Plan (the “Plan”), as described in the Plan and the applicable Stock Option Agreement. At your election, the Option may include the ability to be immediately exercised after grant for all or a portion thereof. You will vest the Option shares in equal monthly installments over the 48 months of continuous service, as described in the applicable Stock Option Agreement.</w:t>
      </w:r>
    </w:p>
    <w:p>
      <w:pPr>
        <w:spacing w:after="0" w:line="180" w:lineRule="exact"/>
        <w:rPr>
          <w:sz w:val="20"/>
          <w:szCs w:val="20"/>
          <w:color w:val="auto"/>
        </w:rPr>
      </w:pPr>
    </w:p>
    <w:p>
      <w:pPr>
        <w:jc w:val="both"/>
        <w:ind w:firstLine="1727"/>
        <w:spacing w:after="0" w:line="269" w:lineRule="auto"/>
        <w:rPr>
          <w:sz w:val="20"/>
          <w:szCs w:val="20"/>
          <w:color w:val="auto"/>
        </w:rPr>
      </w:pPr>
      <w:r>
        <w:rPr>
          <w:rFonts w:ascii="Times New Roman" w:cs="Times New Roman" w:eastAsia="Times New Roman" w:hAnsi="Times New Roman"/>
          <w:sz w:val="20"/>
          <w:szCs w:val="20"/>
          <w:color w:val="auto"/>
        </w:rPr>
        <w:t>You will vest in 100% of your remaining unvested Option shares if the Company is subject to a Change in Control before your service with the Company terminates.</w:t>
      </w:r>
    </w:p>
    <w:p>
      <w:pPr>
        <w:spacing w:after="0" w:line="159"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0"/>
          <w:szCs w:val="20"/>
          <w:color w:val="auto"/>
        </w:rPr>
        <w:t>For purposes of this letter agreement, “Change in Control”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the merger or consolidation in substantially the same proportions as their ownership of the voting power of the Company’s capital stock immediately prior to the merger or consolidation.</w:t>
      </w:r>
    </w:p>
    <w:p>
      <w:pPr>
        <w:spacing w:after="0" w:line="182" w:lineRule="exact"/>
        <w:rPr>
          <w:sz w:val="20"/>
          <w:szCs w:val="20"/>
          <w:color w:val="auto"/>
        </w:rPr>
      </w:pPr>
    </w:p>
    <w:p>
      <w:pPr>
        <w:jc w:val="both"/>
        <w:ind w:firstLine="872"/>
        <w:spacing w:after="0" w:line="256" w:lineRule="auto"/>
        <w:tabs>
          <w:tab w:leader="none" w:pos="1654"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your employment with the Company, to sign the Company’s standard Proprietary Information and Inventions Agreement, a copy of which is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firstLine="872"/>
        <w:spacing w:after="0" w:line="246" w:lineRule="auto"/>
        <w:tabs>
          <w:tab w:leader="none" w:pos="1654"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Relationship</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8"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460" w:firstLine="1735"/>
        <w:spacing w:after="0" w:line="273" w:lineRule="auto"/>
        <w:tabs>
          <w:tab w:leader="none" w:pos="2595"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 applicable withholding and payroll taxes and other deductions required by law.</w:t>
      </w:r>
    </w:p>
    <w:p>
      <w:pPr>
        <w:spacing w:after="0" w:line="138" w:lineRule="exact"/>
        <w:rPr>
          <w:rFonts w:ascii="Times New Roman" w:cs="Times New Roman" w:eastAsia="Times New Roman" w:hAnsi="Times New Roman"/>
          <w:sz w:val="20"/>
          <w:szCs w:val="20"/>
          <w:color w:val="auto"/>
        </w:rPr>
      </w:pPr>
    </w:p>
    <w:p>
      <w:pPr>
        <w:ind w:right="460" w:firstLine="1735"/>
        <w:spacing w:after="0" w:line="250" w:lineRule="auto"/>
        <w:tabs>
          <w:tab w:leader="none" w:pos="2606"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48" w:lineRule="exact"/>
        <w:rPr>
          <w:rFonts w:ascii="Times New Roman" w:cs="Times New Roman" w:eastAsia="Times New Roman" w:hAnsi="Times New Roman"/>
          <w:sz w:val="20"/>
          <w:szCs w:val="20"/>
          <w:color w:val="auto"/>
        </w:rPr>
      </w:pPr>
    </w:p>
    <w:p>
      <w:pPr>
        <w:jc w:val="both"/>
        <w:ind w:firstLine="872"/>
        <w:spacing w:after="0" w:line="247" w:lineRule="auto"/>
        <w:tabs>
          <w:tab w:leader="none" w:pos="1654"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Amendment and Enforcement</w:t>
      </w:r>
      <w:r>
        <w:rPr>
          <w:rFonts w:ascii="Times New Roman" w:cs="Times New Roman" w:eastAsia="Times New Roman" w:hAnsi="Times New Roman"/>
          <w:sz w:val="20"/>
          <w:szCs w:val="20"/>
          <w:color w:val="auto"/>
        </w:rPr>
        <w:t>. This letter agreement and Exhibit A supersede and replace any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494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20"/>
          <w:szCs w:val="20"/>
          <w:color w:val="auto"/>
        </w:rPr>
        <w:t>Bobak Azamian, MD, PhD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14, 2018</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Orange County, California in connection with any Dispute or any claim related to any Dispute.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727"/>
        <w:spacing w:after="0" w:line="245"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September 21, 2018. As required by law, your employment with the Company is contingent upon your providing legal proof of your identity and authorization to work in the United States. Your employment is also contingent upon your starting work with the Company on or before September 21, 2018.</w:t>
      </w:r>
    </w:p>
    <w:p>
      <w:pPr>
        <w:spacing w:after="0" w:line="292" w:lineRule="exact"/>
        <w:rPr>
          <w:sz w:val="20"/>
          <w:szCs w:val="20"/>
          <w:color w:val="auto"/>
        </w:rPr>
      </w:pPr>
    </w:p>
    <w:p>
      <w:pPr>
        <w:ind w:left="1740"/>
        <w:spacing w:after="0"/>
        <w:tabs>
          <w:tab w:leader="none" w:pos="5700" w:val="left"/>
        </w:tabs>
        <w:rPr>
          <w:sz w:val="20"/>
          <w:szCs w:val="20"/>
          <w:color w:val="auto"/>
        </w:rPr>
      </w:pPr>
      <w:r>
        <w:rPr>
          <w:rFonts w:ascii="Times New Roman" w:cs="Times New Roman" w:eastAsia="Times New Roman" w:hAnsi="Times New Roman"/>
          <w:sz w:val="20"/>
          <w:szCs w:val="20"/>
          <w:color w:val="auto"/>
        </w:rPr>
        <w:t>If you have any questions, please call me at</w:t>
      </w:r>
      <w:r>
        <w:rPr>
          <w:sz w:val="20"/>
          <w:szCs w:val="20"/>
          <w:color w:val="auto"/>
        </w:rPr>
        <w:tab/>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HARMACEUTICALS</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wp:posOffset>
            </wp:positionV>
            <wp:extent cx="121729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w:t>
      </w:r>
      <w:r>
        <w:rPr>
          <w:rFonts w:ascii="Times New Roman" w:cs="Times New Roman" w:eastAsia="Times New Roman" w:hAnsi="Times New Roman"/>
          <w:sz w:val="20"/>
          <w:szCs w:val="20"/>
          <w:u w:val="single" w:color="auto"/>
          <w:color w:val="auto"/>
        </w:rPr>
        <w:t>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65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Bobak Azamian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September 16, 2018</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Proprietary Information and Inventions Agreement</w:t>
      </w:r>
    </w:p>
    <w:p>
      <w:pPr>
        <w:sectPr>
          <w:pgSz w:w="11900" w:h="16838" w:orient="portrait"/>
          <w:cols w:equalWidth="0" w:num="1">
            <w:col w:w="11240"/>
          </w:cols>
          <w:pgMar w:left="320" w:top="118" w:right="339" w:bottom="1440" w:gutter="0" w:footer="0" w:header="0"/>
        </w:sectPr>
      </w:pPr>
    </w:p>
    <w:bookmarkStart w:id="286" w:name="page287"/>
    <w:bookmarkEnd w:id="286"/>
    <w:p>
      <w:pPr>
        <w:ind w:left="10220"/>
        <w:spacing w:after="0"/>
        <w:rPr>
          <w:sz w:val="20"/>
          <w:szCs w:val="20"/>
          <w:color w:val="auto"/>
        </w:rPr>
      </w:pPr>
      <w:r>
        <w:rPr>
          <w:rFonts w:ascii="Times New Roman" w:cs="Times New Roman" w:eastAsia="Times New Roman" w:hAnsi="Times New Roman"/>
          <w:sz w:val="19"/>
          <w:szCs w:val="19"/>
          <w:b w:val="1"/>
          <w:bCs w:val="1"/>
          <w:color w:val="auto"/>
        </w:rPr>
        <w:t>Exhibit 10.6</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March 15, 2020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Leo Greenstein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Leo:</w:t>
      </w:r>
    </w:p>
    <w:p>
      <w:pPr>
        <w:spacing w:after="0" w:line="2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Tarsus Pharmaceuticals, Inc. (the “Company”) is pleased to offer you employment on the following terms:</w:t>
      </w:r>
    </w:p>
    <w:p>
      <w:pPr>
        <w:spacing w:after="0" w:line="212" w:lineRule="exact"/>
        <w:rPr>
          <w:sz w:val="20"/>
          <w:szCs w:val="20"/>
          <w:color w:val="auto"/>
        </w:rPr>
      </w:pPr>
    </w:p>
    <w:p>
      <w:pPr>
        <w:jc w:val="both"/>
        <w:ind w:firstLine="872"/>
        <w:spacing w:after="0" w:line="241" w:lineRule="exact"/>
        <w:tabs>
          <w:tab w:leader="none" w:pos="1654"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Position</w:t>
      </w:r>
      <w:r>
        <w:rPr>
          <w:rFonts w:ascii="Times New Roman" w:cs="Times New Roman" w:eastAsia="Times New Roman" w:hAnsi="Times New Roman"/>
          <w:sz w:val="19"/>
          <w:szCs w:val="19"/>
          <w:color w:val="auto"/>
        </w:rPr>
        <w:t>. Your title will be Chief Financial Officer. This is a full-time position, reporting to the Company’s Chief Executive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Officer. While you render services to the Company, you will not engage in any other employment, consulting or other business activity (whether full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6" w:lineRule="exact"/>
        <w:rPr>
          <w:rFonts w:ascii="Times New Roman" w:cs="Times New Roman" w:eastAsia="Times New Roman" w:hAnsi="Times New Roman"/>
          <w:sz w:val="19"/>
          <w:szCs w:val="19"/>
          <w:color w:val="auto"/>
        </w:rPr>
      </w:pPr>
    </w:p>
    <w:p>
      <w:pPr>
        <w:jc w:val="both"/>
        <w:ind w:firstLine="872"/>
        <w:spacing w:after="0" w:line="244" w:lineRule="auto"/>
        <w:tabs>
          <w:tab w:leader="none" w:pos="165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Compensation</w:t>
      </w:r>
      <w:r>
        <w:rPr>
          <w:rFonts w:ascii="Times New Roman" w:cs="Times New Roman" w:eastAsia="Times New Roman" w:hAnsi="Times New Roman"/>
          <w:sz w:val="20"/>
          <w:szCs w:val="20"/>
          <w:color w:val="auto"/>
        </w:rPr>
        <w:t>. The Company will pay you a starting salary at the rate of $360,000 per year, payable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Company’s standard payroll schedule. This salary will be subject to adjustment pursuant to the Company’s employee compensation policies in effect from time to time. In addition, you will be eligible to be considered for an incentive bonus for each fiscal year of the Company. The bonus (if any) will be awarded based on objective or subjective criteria established and approved by the Company’s Board of Directors (the “Board”). Your annual target bonus will be equal to 35% of your annual base salary. Any bonus for the fiscal year in which your employment begins will be prorated, based on the number of days you are employed by the Company during that fiscal year. Any bonus for a fiscal year will be paid within 2½ months after the close of that fiscal year, but only if you are still providing services to the Company at the time of payment. The determinations of the Board with respect to your bonus will be final and binding.</w:t>
      </w:r>
    </w:p>
    <w:p>
      <w:pPr>
        <w:spacing w:after="0" w:line="181" w:lineRule="exact"/>
        <w:rPr>
          <w:rFonts w:ascii="Times New Roman" w:cs="Times New Roman" w:eastAsia="Times New Roman" w:hAnsi="Times New Roman"/>
          <w:sz w:val="20"/>
          <w:szCs w:val="20"/>
          <w:color w:val="auto"/>
        </w:rPr>
      </w:pPr>
    </w:p>
    <w:p>
      <w:pPr>
        <w:jc w:val="both"/>
        <w:ind w:firstLine="872"/>
        <w:spacing w:after="0" w:line="250" w:lineRule="auto"/>
        <w:tabs>
          <w:tab w:leader="none" w:pos="165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Signing Bonus</w:t>
      </w:r>
      <w:r>
        <w:rPr>
          <w:rFonts w:ascii="Times New Roman" w:cs="Times New Roman" w:eastAsia="Times New Roman" w:hAnsi="Times New Roman"/>
          <w:sz w:val="20"/>
          <w:szCs w:val="20"/>
          <w:color w:val="auto"/>
        </w:rPr>
        <w:t>. The Company will pay you a signing bonus in the amount of $40,000 within 30 days of your start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“Signing Bonus”). If (i) you resign from your employment with the Company and such resignation does not constitute a Resignation for Good Reason or (ii) you are terminated by the Company for Cause, in either case prior to completing 12 months of continuous employment following your start date, you agree to repay 100% of the Signing Bonus within 30 days of your termination of employment.</w:t>
      </w:r>
    </w:p>
    <w:p>
      <w:pPr>
        <w:spacing w:after="0" w:line="175" w:lineRule="exact"/>
        <w:rPr>
          <w:rFonts w:ascii="Times New Roman" w:cs="Times New Roman" w:eastAsia="Times New Roman" w:hAnsi="Times New Roman"/>
          <w:sz w:val="20"/>
          <w:szCs w:val="20"/>
          <w:color w:val="auto"/>
        </w:rPr>
      </w:pPr>
    </w:p>
    <w:p>
      <w:pPr>
        <w:jc w:val="both"/>
        <w:ind w:firstLine="872"/>
        <w:spacing w:after="0" w:line="256" w:lineRule="auto"/>
        <w:tabs>
          <w:tab w:leader="none" w:pos="165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168" w:lineRule="exact"/>
        <w:rPr>
          <w:rFonts w:ascii="Times New Roman" w:cs="Times New Roman" w:eastAsia="Times New Roman" w:hAnsi="Times New Roman"/>
          <w:sz w:val="20"/>
          <w:szCs w:val="20"/>
          <w:color w:val="auto"/>
        </w:rPr>
      </w:pPr>
    </w:p>
    <w:p>
      <w:pPr>
        <w:jc w:val="both"/>
        <w:ind w:firstLine="872"/>
        <w:spacing w:after="0" w:line="256" w:lineRule="auto"/>
        <w:tabs>
          <w:tab w:leader="none" w:pos="165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Subject to the approval of the Board or its Compensation Committee, you will be granted an option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1,041,077 shares of the Company’s Common Stock (the “Option”). The exercise price per share of the Option will be equal to the fair market value of the underlying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494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20"/>
          <w:szCs w:val="20"/>
          <w:color w:val="auto"/>
        </w:rPr>
        <w:t>Leo Greenstein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the date of the grant. The Option will be subject to the terms and conditions applicable to options granted under the Company’s 2016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spacing w:after="0" w:line="180"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You will vest in 100% of your remaining unvested Option shares if (a) the Company is subject to a Change in Control before your service with the Company terminates and (b) you are subject to an Involuntary Termination within 12 months after that Change in Control.</w:t>
      </w:r>
    </w:p>
    <w:p>
      <w:pPr>
        <w:spacing w:after="0" w:line="170" w:lineRule="exact"/>
        <w:rPr>
          <w:sz w:val="20"/>
          <w:szCs w:val="20"/>
          <w:color w:val="auto"/>
        </w:rPr>
      </w:pPr>
    </w:p>
    <w:p>
      <w:pPr>
        <w:jc w:val="both"/>
        <w:ind w:firstLine="872"/>
        <w:spacing w:after="0" w:line="256" w:lineRule="auto"/>
        <w:tabs>
          <w:tab w:leader="none" w:pos="1654"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Outside of a Change in Control</w:t>
      </w:r>
      <w:r>
        <w:rPr>
          <w:rFonts w:ascii="Times New Roman" w:cs="Times New Roman" w:eastAsia="Times New Roman" w:hAnsi="Times New Roman"/>
          <w:sz w:val="20"/>
          <w:szCs w:val="20"/>
          <w:color w:val="auto"/>
        </w:rPr>
        <w:t>. In the event you are subject to an Involuntary Termination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or within 12 months after a Change in Control, provided you satisfy the conditions described in Section 6(c) below, you will be entitled to the following benefits:</w:t>
      </w:r>
    </w:p>
    <w:p>
      <w:pPr>
        <w:spacing w:after="0" w:line="168" w:lineRule="exact"/>
        <w:rPr>
          <w:rFonts w:ascii="Times New Roman" w:cs="Times New Roman" w:eastAsia="Times New Roman" w:hAnsi="Times New Roman"/>
          <w:sz w:val="20"/>
          <w:szCs w:val="20"/>
          <w:color w:val="auto"/>
        </w:rPr>
      </w:pPr>
    </w:p>
    <w:p>
      <w:pPr>
        <w:jc w:val="both"/>
        <w:ind w:firstLine="1735"/>
        <w:spacing w:after="0" w:line="247" w:lineRule="auto"/>
        <w:tabs>
          <w:tab w:leader="none" w:pos="2595" w:val="left"/>
        </w:tabs>
        <w:numPr>
          <w:ilvl w:val="2"/>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Salary Continuation</w:t>
      </w:r>
      <w:r>
        <w:rPr>
          <w:rFonts w:ascii="Times New Roman" w:cs="Times New Roman" w:eastAsia="Times New Roman" w:hAnsi="Times New Roman"/>
          <w:sz w:val="20"/>
          <w:szCs w:val="20"/>
          <w:color w:val="auto"/>
        </w:rPr>
        <w:t>. The Company will continue to pay your base salary for a period of six (6)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your 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pacing w:after="0" w:line="180"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2"/>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Provided you elect to continue your health insurance coverage under the Consolidated Omnibus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Budget Reconciliation Act (“COBRA”) following your Separation, the Company will pay or reimburse you for your monthly premium under COBRA until the earliest of (i) the close of the six (6)-month period following your Separation, (ii) the expiration of your continuation coverage under COBRA or (iii) the date when you become eligible for substantially equivalent health insurance coverage in connection with new employment or self-employment (the “COBRA Benefit”). If necessary to avoid adverse tax consequences to you or the Company, the Company, in its sole discretion, reserves the right to treat the COBRA Benefit as taxable income.</w:t>
      </w:r>
    </w:p>
    <w:p>
      <w:pPr>
        <w:spacing w:after="0" w:line="178" w:lineRule="exact"/>
        <w:rPr>
          <w:rFonts w:ascii="Times New Roman" w:cs="Times New Roman" w:eastAsia="Times New Roman" w:hAnsi="Times New Roman"/>
          <w:sz w:val="20"/>
          <w:szCs w:val="20"/>
          <w:color w:val="auto"/>
        </w:rPr>
      </w:pPr>
    </w:p>
    <w:p>
      <w:pPr>
        <w:jc w:val="both"/>
        <w:ind w:firstLine="1735"/>
        <w:spacing w:after="0" w:line="266" w:lineRule="auto"/>
        <w:tabs>
          <w:tab w:leader="none" w:pos="2595" w:val="left"/>
        </w:tabs>
        <w:numPr>
          <w:ilvl w:val="2"/>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Conditions</w:t>
      </w:r>
      <w:r>
        <w:rPr>
          <w:rFonts w:ascii="Times New Roman" w:cs="Times New Roman" w:eastAsia="Times New Roman" w:hAnsi="Times New Roman"/>
          <w:sz w:val="19"/>
          <w:szCs w:val="19"/>
          <w:color w:val="auto"/>
        </w:rPr>
        <w:t>. This Section 6 will not apply unless you (i) have returned all Company property in your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possession, (ii) have resigned as a member of the Boards of Directors of the Company and all of its subsidiaries, to the extent applicable, and</w:t>
      </w:r>
    </w:p>
    <w:p>
      <w:pPr>
        <w:jc w:val="both"/>
        <w:ind w:firstLine="8"/>
        <w:spacing w:after="0" w:line="241" w:lineRule="auto"/>
        <w:tabs>
          <w:tab w:leader="none" w:pos="37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6.</w:t>
      </w:r>
    </w:p>
    <w:p>
      <w:pPr>
        <w:spacing w:after="0" w:line="182" w:lineRule="exact"/>
        <w:rPr>
          <w:rFonts w:ascii="Times New Roman" w:cs="Times New Roman" w:eastAsia="Times New Roman" w:hAnsi="Times New Roman"/>
          <w:sz w:val="20"/>
          <w:szCs w:val="20"/>
          <w:color w:val="auto"/>
        </w:rPr>
      </w:pPr>
    </w:p>
    <w:p>
      <w:pPr>
        <w:jc w:val="both"/>
        <w:ind w:firstLine="872"/>
        <w:spacing w:after="0" w:line="246" w:lineRule="auto"/>
        <w:tabs>
          <w:tab w:leader="none" w:pos="1654"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in Connection With a Change in Control</w:t>
      </w:r>
      <w:r>
        <w:rPr>
          <w:rFonts w:ascii="Times New Roman" w:cs="Times New Roman" w:eastAsia="Times New Roman" w:hAnsi="Times New Roman"/>
          <w:sz w:val="20"/>
          <w:szCs w:val="20"/>
          <w:color w:val="auto"/>
        </w:rPr>
        <w:t>. In the event you are subject to an Involuntary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or within 12 months after a Change in Control, provided you satisfy the conditions described in Section 6(c) above, you will be entitled to the benefits described in Sections 6(a) and 6(b) above (provided that the time periods applicable to each of the severance and COBRA benefits will be increased from six months to 18 months) plus the Bonus Payment. The Bonus Payment will be made in a lump sum within 60 days after your Separation; however, if the 60-day period described in the preceding sentence spans two calendar years, then the Bonus Payment will in any event be made in the second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946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20"/>
          <w:szCs w:val="20"/>
          <w:color w:val="auto"/>
        </w:rPr>
        <w:t>Leo Greenstein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3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year. For the sake of clarity, if you become entitled to the benefits in the preceding sentence you will not also be entitled to additional the benefits provided for in Sections 6(a) and (b) above. In addition, you will be entitled to the vesting acceleration benefits described in Section 5 above.</w:t>
      </w:r>
    </w:p>
    <w:p>
      <w:pPr>
        <w:spacing w:after="0" w:line="134" w:lineRule="exact"/>
        <w:rPr>
          <w:sz w:val="20"/>
          <w:szCs w:val="20"/>
          <w:color w:val="auto"/>
        </w:rPr>
      </w:pPr>
    </w:p>
    <w:p>
      <w:pPr>
        <w:jc w:val="both"/>
        <w:ind w:firstLine="872"/>
        <w:spacing w:after="0" w:line="256" w:lineRule="auto"/>
        <w:tabs>
          <w:tab w:leader="none" w:pos="165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your employment with the Company, to sign the Company’s standard Proprietary Information and Inventions Agreement, a copy of which is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firstLine="872"/>
        <w:spacing w:after="0" w:line="246" w:lineRule="auto"/>
        <w:tabs>
          <w:tab w:leader="none" w:pos="165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Relationship</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8"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595"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 applicable withholding and payroll taxes and other deductions required by law.</w:t>
      </w:r>
    </w:p>
    <w:p>
      <w:pPr>
        <w:spacing w:after="0" w:line="151"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The payments and benefits provided for under this letter agreement are intended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exempt from Section 409A of the Internal Revenue Code of 1986, as amended (the “Code”), and any ambiguity arising under this letter agreement shall be interpreted in a manner consistent with that intent. Nonetheless, to the extent any payment or benefit provided under this letter agreement is deemed to be nonqualified deferred compensation that is subject to Section 409A of the Code, and if the Company determines that you are a “specified employee” under Section 409A(a)(2)(B)(i) of the Code at the time of your Separation, then any such payment(s), to the extent they are subject to Section 409A of the Code, will be made or commence, as applicable, on the first business day following (i) expiration of the six-month period measured from your Separation or (ii) the date of your death, with any payment installments that otherwise would have been paid prior to such date paid in a lump sum at that time. In addition, for purposes of Section 409A of the Code, each salary continuation payment under Section 6(a) is hereby designated as a separate payment.</w:t>
      </w:r>
    </w:p>
    <w:p>
      <w:pPr>
        <w:spacing w:after="0" w:line="185"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5" w:lineRule="exact"/>
        <w:rPr>
          <w:rFonts w:ascii="Times New Roman" w:cs="Times New Roman" w:eastAsia="Times New Roman" w:hAnsi="Times New Roman"/>
          <w:sz w:val="20"/>
          <w:szCs w:val="20"/>
          <w:color w:val="auto"/>
        </w:rPr>
      </w:pPr>
    </w:p>
    <w:p>
      <w:pPr>
        <w:jc w:val="both"/>
        <w:ind w:firstLine="872"/>
        <w:spacing w:after="0" w:line="250" w:lineRule="auto"/>
        <w:tabs>
          <w:tab w:leader="none" w:pos="1743"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and Amendment</w:t>
      </w:r>
      <w:r>
        <w:rPr>
          <w:rFonts w:ascii="Times New Roman" w:cs="Times New Roman" w:eastAsia="Times New Roman" w:hAnsi="Times New Roman"/>
          <w:sz w:val="20"/>
          <w:szCs w:val="20"/>
          <w:color w:val="auto"/>
        </w:rPr>
        <w:t>. This letter agreement and Exhibit A supersede and replace any prior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494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20"/>
          <w:szCs w:val="20"/>
          <w:color w:val="auto"/>
        </w:rPr>
        <w:t>Leo Greenstein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233" w:lineRule="exact"/>
        <w:rPr>
          <w:sz w:val="20"/>
          <w:szCs w:val="20"/>
          <w:color w:val="auto"/>
        </w:rPr>
      </w:pPr>
    </w:p>
    <w:p>
      <w:pPr>
        <w:ind w:left="1760" w:hanging="888"/>
        <w:spacing w:after="0"/>
        <w:tabs>
          <w:tab w:leader="none" w:pos="176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The following terms have the meaning set forth below wherever they are used in this letter agreement:</w:t>
      </w:r>
    </w:p>
    <w:p>
      <w:pPr>
        <w:spacing w:after="0" w:line="216" w:lineRule="exact"/>
        <w:rPr>
          <w:sz w:val="20"/>
          <w:szCs w:val="20"/>
          <w:color w:val="auto"/>
        </w:rPr>
      </w:pPr>
    </w:p>
    <w:p>
      <w:pPr>
        <w:ind w:firstLine="172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Bonus Payment</w:t>
      </w:r>
      <w:r>
        <w:rPr>
          <w:rFonts w:ascii="Times New Roman" w:cs="Times New Roman" w:eastAsia="Times New Roman" w:hAnsi="Times New Roman"/>
          <w:sz w:val="20"/>
          <w:szCs w:val="20"/>
          <w:color w:val="auto"/>
        </w:rPr>
        <w:t>” means the sum of (a) a pro-rated portion of your target bonus amount for the year in which your Separation occurs and (b) 150% of your target bonus amount for the year in which your Separation occurs.</w:t>
      </w:r>
    </w:p>
    <w:p>
      <w:pPr>
        <w:spacing w:after="0" w:line="152" w:lineRule="exact"/>
        <w:rPr>
          <w:sz w:val="20"/>
          <w:szCs w:val="20"/>
          <w:color w:val="auto"/>
        </w:rPr>
      </w:pPr>
    </w:p>
    <w:p>
      <w:pPr>
        <w:jc w:val="both"/>
        <w:ind w:firstLine="172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means (a) your unauthorized use or disclosure of the Company’s confidential information or trade secrets, which use or disclosure causes material harm to the Company, (b) your material breach of any agreement between you and the Company,</w:t>
      </w:r>
    </w:p>
    <w:p>
      <w:pPr>
        <w:jc w:val="both"/>
        <w:ind w:firstLine="8"/>
        <w:spacing w:after="0" w:line="241" w:lineRule="auto"/>
        <w:tabs>
          <w:tab w:leader="none" w:pos="294"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Board or (g) your failure to cooperate in good faith with a governmental or internal investigation of the Company or its directors, officers or employees, if the Company has requested your cooperation.</w:t>
      </w:r>
    </w:p>
    <w:p>
      <w:pPr>
        <w:spacing w:after="0" w:line="183"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the merger or consolidation in substantially the same proportions as their ownership of the voting power of the Company’s capital stock immediately prior to the merger or consolidation.</w:t>
      </w:r>
    </w:p>
    <w:p>
      <w:pPr>
        <w:spacing w:after="0" w:line="17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Involuntary Termination</w:t>
      </w:r>
      <w:r>
        <w:rPr>
          <w:rFonts w:ascii="Times New Roman" w:cs="Times New Roman" w:eastAsia="Times New Roman" w:hAnsi="Times New Roman"/>
          <w:sz w:val="20"/>
          <w:szCs w:val="20"/>
          <w:color w:val="auto"/>
        </w:rPr>
        <w:t>” means either (a) your Termination Without Cause or (b) your Resignation for Good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Reason.</w:t>
      </w:r>
    </w:p>
    <w:p>
      <w:pPr>
        <w:spacing w:after="0" w:line="190" w:lineRule="exact"/>
        <w:rPr>
          <w:sz w:val="20"/>
          <w:szCs w:val="20"/>
          <w:color w:val="auto"/>
        </w:rPr>
      </w:pPr>
    </w:p>
    <w:p>
      <w:pPr>
        <w:jc w:val="both"/>
        <w:ind w:firstLine="172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Resignation for Good Reason</w:t>
      </w:r>
      <w:r>
        <w:rPr>
          <w:rFonts w:ascii="Times New Roman" w:cs="Times New Roman" w:eastAsia="Times New Roman" w:hAnsi="Times New Roman"/>
          <w:sz w:val="20"/>
          <w:szCs w:val="20"/>
          <w:color w:val="auto"/>
        </w:rPr>
        <w:t>” means a Separation as a result of your resignation within 12 months after one of the following conditions has come into existence without your consent:</w:t>
      </w:r>
    </w:p>
    <w:p>
      <w:pPr>
        <w:spacing w:after="0" w:line="156" w:lineRule="exact"/>
        <w:rPr>
          <w:sz w:val="20"/>
          <w:szCs w:val="20"/>
          <w:color w:val="auto"/>
        </w:rPr>
      </w:pPr>
    </w:p>
    <w:p>
      <w:pPr>
        <w:ind w:left="3200" w:hanging="867"/>
        <w:spacing w:after="0"/>
        <w:tabs>
          <w:tab w:leader="none" w:pos="320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salary;</w:t>
      </w:r>
    </w:p>
    <w:p>
      <w:pPr>
        <w:spacing w:after="0" w:line="215"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authority, duties or responsibilities; or</w:t>
      </w:r>
    </w:p>
    <w:p>
      <w:pPr>
        <w:spacing w:after="0" w:line="215" w:lineRule="exact"/>
        <w:rPr>
          <w:rFonts w:ascii="Times New Roman" w:cs="Times New Roman" w:eastAsia="Times New Roman" w:hAnsi="Times New Roman"/>
          <w:sz w:val="20"/>
          <w:szCs w:val="20"/>
          <w:color w:val="auto"/>
        </w:rPr>
      </w:pPr>
    </w:p>
    <w:p>
      <w:pPr>
        <w:ind w:left="3200" w:hanging="867"/>
        <w:spacing w:after="0"/>
        <w:tabs>
          <w:tab w:leader="none" w:pos="320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must perform your services for</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Company.</w:t>
      </w:r>
    </w:p>
    <w:p>
      <w:pPr>
        <w:spacing w:after="0" w:line="194"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spacing w:after="0" w:line="1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Separation</w:t>
      </w:r>
      <w:r>
        <w:rPr>
          <w:rFonts w:ascii="Times New Roman" w:cs="Times New Roman" w:eastAsia="Times New Roman" w:hAnsi="Times New Roman"/>
          <w:sz w:val="20"/>
          <w:szCs w:val="20"/>
          <w:color w:val="auto"/>
        </w:rPr>
        <w:t>” means a “separation from service,” as defined in the regulations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4946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20"/>
          <w:szCs w:val="20"/>
          <w:color w:val="auto"/>
        </w:rPr>
        <w:t>Leo Greenstein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200" w:lineRule="exact"/>
        <w:rPr>
          <w:sz w:val="20"/>
          <w:szCs w:val="20"/>
          <w:color w:val="auto"/>
        </w:rPr>
      </w:pPr>
    </w:p>
    <w:p>
      <w:pPr>
        <w:spacing w:after="0" w:line="233" w:lineRule="exact"/>
        <w:rPr>
          <w:sz w:val="20"/>
          <w:szCs w:val="20"/>
          <w:color w:val="auto"/>
        </w:rPr>
      </w:pPr>
    </w:p>
    <w:p>
      <w:pPr>
        <w:jc w:val="both"/>
        <w:ind w:firstLine="172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Without Cause</w:t>
      </w:r>
      <w:r>
        <w:rPr>
          <w:rFonts w:ascii="Times New Roman" w:cs="Times New Roman" w:eastAsia="Times New Roman" w:hAnsi="Times New Roman"/>
          <w:sz w:val="20"/>
          <w:szCs w:val="20"/>
          <w:color w:val="auto"/>
        </w:rPr>
        <w:t>” means a Separation as a result of a termination of your employment by the Company without Cause, provided you are willing and able to continue performing services within the meaning of Treasury Regulation 1.409A-1(n)</w:t>
      </w:r>
    </w:p>
    <w:p>
      <w:pPr>
        <w:spacing w:after="0"/>
        <w:rPr>
          <w:sz w:val="20"/>
          <w:szCs w:val="20"/>
          <w:color w:val="auto"/>
        </w:rPr>
      </w:pPr>
      <w:r>
        <w:rPr>
          <w:rFonts w:ascii="Times New Roman" w:cs="Times New Roman" w:eastAsia="Times New Roman" w:hAnsi="Times New Roman"/>
          <w:sz w:val="20"/>
          <w:szCs w:val="20"/>
          <w:color w:val="auto"/>
        </w:rPr>
        <w:t>(1).</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4946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20"/>
          <w:szCs w:val="20"/>
          <w:color w:val="auto"/>
        </w:rPr>
        <w:t>Leo Greenstein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200" w:lineRule="exact"/>
        <w:rPr>
          <w:sz w:val="20"/>
          <w:szCs w:val="20"/>
          <w:color w:val="auto"/>
        </w:rPr>
      </w:pP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March 20, 2020. As required by law, your employment with the Company is contingent upon your providing legal proof of your identity and authorization to work in the United States. Your employment is also contingent upon your starting work with the Company on or before April 20, 2020.</w:t>
      </w:r>
    </w:p>
    <w:p>
      <w:pPr>
        <w:spacing w:after="0" w:line="293" w:lineRule="exact"/>
        <w:rPr>
          <w:sz w:val="20"/>
          <w:szCs w:val="20"/>
          <w:color w:val="auto"/>
        </w:rPr>
      </w:pPr>
    </w:p>
    <w:p>
      <w:pPr>
        <w:ind w:left="1740"/>
        <w:spacing w:after="0"/>
        <w:tabs>
          <w:tab w:leader="none" w:pos="5700" w:val="left"/>
        </w:tabs>
        <w:rPr>
          <w:sz w:val="20"/>
          <w:szCs w:val="20"/>
          <w:color w:val="auto"/>
        </w:rPr>
      </w:pPr>
      <w:r>
        <w:rPr>
          <w:rFonts w:ascii="Times New Roman" w:cs="Times New Roman" w:eastAsia="Times New Roman" w:hAnsi="Times New Roman"/>
          <w:sz w:val="20"/>
          <w:szCs w:val="20"/>
          <w:color w:val="auto"/>
        </w:rPr>
        <w:t>If you have any questions, please call me at</w:t>
      </w:r>
      <w:r>
        <w:rPr>
          <w:sz w:val="20"/>
          <w:szCs w:val="20"/>
          <w:color w:val="auto"/>
        </w:rPr>
        <w:tab/>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HARMACEUTICALS</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wp:posOffset>
            </wp:positionV>
            <wp:extent cx="12172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w:t>
      </w:r>
      <w:r>
        <w:rPr>
          <w:rFonts w:ascii="Times New Roman" w:cs="Times New Roman" w:eastAsia="Times New Roman" w:hAnsi="Times New Roman"/>
          <w:sz w:val="20"/>
          <w:szCs w:val="20"/>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Leo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236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Leo Greenstein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18,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Proprietary Information and Inventions Agreement</w:t>
      </w:r>
    </w:p>
    <w:p>
      <w:pPr>
        <w:sectPr>
          <w:pgSz w:w="11900" w:h="16838" w:orient="portrait"/>
          <w:cols w:equalWidth="0" w:num="1">
            <w:col w:w="11240"/>
          </w:cols>
          <w:pgMar w:left="320" w:top="118" w:right="339" w:bottom="1440" w:gutter="0" w:footer="0" w:header="0"/>
        </w:sectPr>
      </w:pPr>
    </w:p>
    <w:bookmarkStart w:id="292" w:name="page293"/>
    <w:bookmarkEnd w:id="292"/>
    <w:p>
      <w:pPr>
        <w:ind w:left="10220"/>
        <w:spacing w:after="0"/>
        <w:rPr>
          <w:sz w:val="20"/>
          <w:szCs w:val="20"/>
          <w:color w:val="auto"/>
        </w:rPr>
      </w:pPr>
      <w:r>
        <w:rPr>
          <w:rFonts w:ascii="Times New Roman" w:cs="Times New Roman" w:eastAsia="Times New Roman" w:hAnsi="Times New Roman"/>
          <w:sz w:val="19"/>
          <w:szCs w:val="19"/>
          <w:b w:val="1"/>
          <w:bCs w:val="1"/>
          <w:color w:val="auto"/>
        </w:rPr>
        <w:t>Exhibit 10.7</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June 4, 2020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Seshadri Neervannan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Sesha:</w:t>
      </w:r>
    </w:p>
    <w:p>
      <w:pPr>
        <w:spacing w:after="0" w:line="2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Tarsus Pharmaceuticals, Inc. (the “Company”) is pleased to offer you employment on the following terms:</w:t>
      </w:r>
    </w:p>
    <w:p>
      <w:pPr>
        <w:spacing w:after="0" w:line="212" w:lineRule="exact"/>
        <w:rPr>
          <w:sz w:val="20"/>
          <w:szCs w:val="20"/>
          <w:color w:val="auto"/>
        </w:rPr>
      </w:pPr>
    </w:p>
    <w:p>
      <w:pPr>
        <w:jc w:val="both"/>
        <w:ind w:firstLine="872"/>
        <w:spacing w:after="0" w:line="239" w:lineRule="exact"/>
        <w:tabs>
          <w:tab w:leader="none" w:pos="165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Your title will be Chief Operating Officer. This is a full-time position, reporting to the Company’s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Officer. While you render services to the Company, you will not engage in any other employment, consulting or other business activity (whether full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3" w:lineRule="exact"/>
        <w:rPr>
          <w:rFonts w:ascii="Times New Roman" w:cs="Times New Roman" w:eastAsia="Times New Roman" w:hAnsi="Times New Roman"/>
          <w:sz w:val="20"/>
          <w:szCs w:val="20"/>
          <w:color w:val="auto"/>
        </w:rPr>
      </w:pPr>
    </w:p>
    <w:p>
      <w:pPr>
        <w:jc w:val="both"/>
        <w:ind w:firstLine="872"/>
        <w:spacing w:after="0" w:line="244" w:lineRule="auto"/>
        <w:tabs>
          <w:tab w:leader="none" w:pos="165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Compensation</w:t>
      </w:r>
      <w:r>
        <w:rPr>
          <w:rFonts w:ascii="Times New Roman" w:cs="Times New Roman" w:eastAsia="Times New Roman" w:hAnsi="Times New Roman"/>
          <w:sz w:val="20"/>
          <w:szCs w:val="20"/>
          <w:color w:val="auto"/>
        </w:rPr>
        <w:t>. The Company will pay you a starting salary at the rate of $400,000 per year, payable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Company’s standard payroll schedule. This salary will be subject to adjustment pursuant to the Company’s employee compensation policies in effect from time to time. In addition, you will be eligible to be considered for an incentive bonus for each fiscal year of the Company. The bonus (if any) will be awarded based on objective or subjective criteria established and approved by the Company’s Board of Directors (the “Board”). Your annual target bonus will be equal to 35% of your annual base salary. Any bonus for the fiscal year in which your employment begins will be prorated, based on the number of days you are employed by the Company during that fiscal year. Any bonus for a fiscal year will be paid within 2½ months after the close of that fiscal year, but only if you are still providing services to the Company at the end of that fiscal year. The determinations of the Board with respect to your bonus will be final and binding.</w:t>
      </w:r>
    </w:p>
    <w:p>
      <w:pPr>
        <w:spacing w:after="0" w:line="181" w:lineRule="exact"/>
        <w:rPr>
          <w:rFonts w:ascii="Times New Roman" w:cs="Times New Roman" w:eastAsia="Times New Roman" w:hAnsi="Times New Roman"/>
          <w:sz w:val="20"/>
          <w:szCs w:val="20"/>
          <w:color w:val="auto"/>
        </w:rPr>
      </w:pPr>
    </w:p>
    <w:p>
      <w:pPr>
        <w:jc w:val="both"/>
        <w:ind w:firstLine="872"/>
        <w:spacing w:after="0" w:line="264" w:lineRule="auto"/>
        <w:tabs>
          <w:tab w:leader="none" w:pos="1654"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Signing Bonus</w:t>
      </w:r>
      <w:r>
        <w:rPr>
          <w:rFonts w:ascii="Times New Roman" w:cs="Times New Roman" w:eastAsia="Times New Roman" w:hAnsi="Times New Roman"/>
          <w:sz w:val="19"/>
          <w:szCs w:val="19"/>
          <w:color w:val="auto"/>
        </w:rPr>
        <w:t>. If you are employed by the Company on the payments dates, the Company will pay you a signing bonus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aggregate amount of $75,000 (the “Signing Bonus”). 50% of the Signing Bonus will be paid by January 31, 2021 and another 50% of the Signing Bonus will be paid by July 31, 2021. If (i) you resign from your employment with the Company and such resignation does not constitute a Resignation for Good Reason or (ii) you are terminated by the Company for Cause, in either case prior to completing 12 months of continuous employment following your start date, you agree to repay 100% of the Signing Bonus within 30 days of your termination of employment.</w:t>
      </w:r>
    </w:p>
    <w:p>
      <w:pPr>
        <w:spacing w:after="0" w:line="161" w:lineRule="exact"/>
        <w:rPr>
          <w:rFonts w:ascii="Times New Roman" w:cs="Times New Roman" w:eastAsia="Times New Roman" w:hAnsi="Times New Roman"/>
          <w:sz w:val="19"/>
          <w:szCs w:val="19"/>
          <w:color w:val="auto"/>
        </w:rPr>
      </w:pPr>
    </w:p>
    <w:p>
      <w:pPr>
        <w:jc w:val="both"/>
        <w:ind w:firstLine="872"/>
        <w:spacing w:after="0" w:line="256" w:lineRule="auto"/>
        <w:tabs>
          <w:tab w:leader="none" w:pos="165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4946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20"/>
          <w:szCs w:val="20"/>
          <w:color w:val="auto"/>
        </w:rPr>
        <w:t>Seshadri Neervannan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4, 2020</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33" w:lineRule="exact"/>
        <w:rPr>
          <w:sz w:val="20"/>
          <w:szCs w:val="20"/>
          <w:color w:val="auto"/>
        </w:rPr>
      </w:pPr>
    </w:p>
    <w:p>
      <w:pPr>
        <w:jc w:val="both"/>
        <w:ind w:firstLine="872"/>
        <w:spacing w:after="0" w:line="246" w:lineRule="auto"/>
        <w:tabs>
          <w:tab w:leader="none" w:pos="1654"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Subject to the approval of the Board or its Compensation Committee, you will be granted an option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1,735,128 shares of the Company’s Common Stock (the “Option”). The exercise price per share of the Option will be equal to the fair market value of the underlying Common Stock on the date of the grant. The Option will be subject to the terms and conditions applicable to options granted under the Company’s 2016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spacing w:after="0" w:line="183"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You will vest in 100% of your remaining unvested Option shares if (a) the Company is subject to a Change in Control before your service with the Company terminates and (b) you are subject to an Involuntary Termination within 12 months after that Change in Control.</w:t>
      </w:r>
    </w:p>
    <w:p>
      <w:pPr>
        <w:spacing w:after="0" w:line="170" w:lineRule="exact"/>
        <w:rPr>
          <w:sz w:val="20"/>
          <w:szCs w:val="20"/>
          <w:color w:val="auto"/>
        </w:rPr>
      </w:pPr>
    </w:p>
    <w:p>
      <w:pPr>
        <w:jc w:val="both"/>
        <w:ind w:firstLine="872"/>
        <w:spacing w:after="0" w:line="256" w:lineRule="auto"/>
        <w:tabs>
          <w:tab w:leader="none" w:pos="1654"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Outside of a Change in Control</w:t>
      </w:r>
      <w:r>
        <w:rPr>
          <w:rFonts w:ascii="Times New Roman" w:cs="Times New Roman" w:eastAsia="Times New Roman" w:hAnsi="Times New Roman"/>
          <w:sz w:val="20"/>
          <w:szCs w:val="20"/>
          <w:color w:val="auto"/>
        </w:rPr>
        <w:t>. In the event you are subject to an Involuntary Termination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or within 12 months after a Change in Control, provided you satisfy the conditions described in Section 6(c) below, you will be entitled to the following benefits:</w:t>
      </w:r>
    </w:p>
    <w:p>
      <w:pPr>
        <w:spacing w:after="0" w:line="168" w:lineRule="exact"/>
        <w:rPr>
          <w:rFonts w:ascii="Times New Roman" w:cs="Times New Roman" w:eastAsia="Times New Roman" w:hAnsi="Times New Roman"/>
          <w:sz w:val="20"/>
          <w:szCs w:val="20"/>
          <w:color w:val="auto"/>
        </w:rPr>
      </w:pPr>
    </w:p>
    <w:p>
      <w:pPr>
        <w:jc w:val="both"/>
        <w:ind w:firstLine="1735"/>
        <w:spacing w:after="0" w:line="247" w:lineRule="auto"/>
        <w:tabs>
          <w:tab w:leader="none" w:pos="2595" w:val="left"/>
        </w:tabs>
        <w:numPr>
          <w:ilvl w:val="2"/>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Salary Continuation</w:t>
      </w:r>
      <w:r>
        <w:rPr>
          <w:rFonts w:ascii="Times New Roman" w:cs="Times New Roman" w:eastAsia="Times New Roman" w:hAnsi="Times New Roman"/>
          <w:sz w:val="20"/>
          <w:szCs w:val="20"/>
          <w:color w:val="auto"/>
        </w:rPr>
        <w:t>. The Company will continue to pay your base salary for a period of nine (9)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your 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pacing w:after="0" w:line="180"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2"/>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Provided you elect to continue your health insurance coverage under the Consolidated Omnibus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Budget Reconciliation Act (“COBRA”) following your Separation, the Company will pay or reimburse you for your monthly premium under COBRA until the earliest of (i) the close of the nine (9)-month period following your Separation, (ii) the expiration of your continuation coverage under COBRA or (iii) the date when you become eligible for substantially equivalent health insurance coverage in connection with new employment or self-employment (the “COBRA Benefit”). If necessary to avoid adverse tax consequences to you or the Company, the Company, in its sole discretion, reserves the right to treat the COBRA Benefit as taxable income.</w:t>
      </w:r>
    </w:p>
    <w:p>
      <w:pPr>
        <w:spacing w:after="0" w:line="178" w:lineRule="exact"/>
        <w:rPr>
          <w:rFonts w:ascii="Times New Roman" w:cs="Times New Roman" w:eastAsia="Times New Roman" w:hAnsi="Times New Roman"/>
          <w:sz w:val="20"/>
          <w:szCs w:val="20"/>
          <w:color w:val="auto"/>
        </w:rPr>
      </w:pPr>
    </w:p>
    <w:p>
      <w:pPr>
        <w:jc w:val="both"/>
        <w:ind w:firstLine="1735"/>
        <w:spacing w:after="0" w:line="266" w:lineRule="auto"/>
        <w:tabs>
          <w:tab w:leader="none" w:pos="2595" w:val="left"/>
        </w:tabs>
        <w:numPr>
          <w:ilvl w:val="2"/>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Conditions</w:t>
      </w:r>
      <w:r>
        <w:rPr>
          <w:rFonts w:ascii="Times New Roman" w:cs="Times New Roman" w:eastAsia="Times New Roman" w:hAnsi="Times New Roman"/>
          <w:sz w:val="19"/>
          <w:szCs w:val="19"/>
          <w:color w:val="auto"/>
        </w:rPr>
        <w:t>. This Section 6 will not apply unless you (i) have returned all Company property in your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possession, (ii) have resigned as a member of the Boards of Directors of the Company and all of its subsidiaries, to the extent applicable, and</w:t>
      </w:r>
    </w:p>
    <w:p>
      <w:pPr>
        <w:jc w:val="both"/>
        <w:ind w:firstLine="8"/>
        <w:spacing w:after="0" w:line="241" w:lineRule="auto"/>
        <w:tabs>
          <w:tab w:leader="none" w:pos="37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6.</w:t>
      </w:r>
    </w:p>
    <w:p>
      <w:pPr>
        <w:spacing w:after="0" w:line="182" w:lineRule="exact"/>
        <w:rPr>
          <w:rFonts w:ascii="Times New Roman" w:cs="Times New Roman" w:eastAsia="Times New Roman" w:hAnsi="Times New Roman"/>
          <w:sz w:val="20"/>
          <w:szCs w:val="20"/>
          <w:color w:val="auto"/>
        </w:rPr>
      </w:pPr>
    </w:p>
    <w:p>
      <w:pPr>
        <w:jc w:val="both"/>
        <w:ind w:firstLine="872"/>
        <w:spacing w:after="0" w:line="250" w:lineRule="auto"/>
        <w:tabs>
          <w:tab w:leader="none" w:pos="165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in Connection With a Change in Control</w:t>
      </w:r>
      <w:r>
        <w:rPr>
          <w:rFonts w:ascii="Times New Roman" w:cs="Times New Roman" w:eastAsia="Times New Roman" w:hAnsi="Times New Roman"/>
          <w:sz w:val="20"/>
          <w:szCs w:val="20"/>
          <w:color w:val="auto"/>
        </w:rPr>
        <w:t>. In the event you are subject to an Involuntary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or within 12 months after a Change in Control, provided you satisfy the conditions described in Section 6(c) above, you will be entitled to the benefits described in Sections 6(a) and 6(b) above (provided that the time periods applicable to each of the severance and COBRA benefits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20"/>
          <w:szCs w:val="20"/>
          <w:color w:val="auto"/>
        </w:rPr>
        <w:t>Seshadri Neervannan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4, 2020</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will be increased from nine (9) months to twelve (12) months) plus the Bonus Payment. The Bonus Payment will be made in a lump sum within 60 days after your Separation; however, if the 60-day period described in the preceding sentence spans two calendar years, then the Bonus Payment will in any event be made in the second calendar year. For the sake of clarity, if you become entitled to the benefits in the preceding sentence you will not also be entitled to additional the benefits provided for in Sections 6(a) and (b) above. In addition, you will be entitled to the vesting acceleration benefits described in Section 5 above.</w:t>
      </w:r>
    </w:p>
    <w:p>
      <w:pPr>
        <w:spacing w:after="0" w:line="181" w:lineRule="exact"/>
        <w:rPr>
          <w:sz w:val="20"/>
          <w:szCs w:val="20"/>
          <w:color w:val="auto"/>
        </w:rPr>
      </w:pPr>
    </w:p>
    <w:p>
      <w:pPr>
        <w:jc w:val="both"/>
        <w:ind w:firstLine="872"/>
        <w:spacing w:after="0" w:line="256" w:lineRule="auto"/>
        <w:tabs>
          <w:tab w:leader="none" w:pos="1654"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your employment with the Company, to sign the Company’s standard Proprietary Information and Inventions Agreement, a copy of which is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firstLine="872"/>
        <w:spacing w:after="0" w:line="246" w:lineRule="auto"/>
        <w:tabs>
          <w:tab w:leader="none" w:pos="1654"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Relationship</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8"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595"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 applicable withholding and payroll taxes and other deductions required by law.</w:t>
      </w:r>
    </w:p>
    <w:p>
      <w:pPr>
        <w:spacing w:after="0" w:line="151"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The payments and benefits provided for under this letter agreement are intended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exempt from Section 409A of the Internal Revenue Code of 1986, as amended (the “Code”), and any ambiguity arising under this letter agreement shall be interpreted in a manner consistent with that intent. Nonetheless, to the extent any payment or benefit provided under this letter agreement is deemed to be nonqualified deferred compensation that is subject to Section 409A of the Code, and if the Company determines that you are a “specified employee” under Section 409A(a)(2)(B)(i) of the Code at the time of your Separation, then any such payment(s), to the extent they are subject to Section 409A of the Code, will be made or commence, as applicable, on the first business day following (i) expiration of the six-month period measured from your Separation or (ii) the date of your death, with any payment installments that otherwise would have been paid prior to such date paid in a lump sum at that time. In addition, for purposes of Section 409A of the Code, each salary continuation payment under Section 6(a) is hereby designated as a separate payment.</w:t>
      </w:r>
    </w:p>
    <w:p>
      <w:pPr>
        <w:spacing w:after="0" w:line="185"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5" w:lineRule="exact"/>
        <w:rPr>
          <w:rFonts w:ascii="Times New Roman" w:cs="Times New Roman" w:eastAsia="Times New Roman" w:hAnsi="Times New Roman"/>
          <w:sz w:val="20"/>
          <w:szCs w:val="20"/>
          <w:color w:val="auto"/>
        </w:rPr>
      </w:pPr>
    </w:p>
    <w:p>
      <w:pPr>
        <w:jc w:val="both"/>
        <w:ind w:firstLine="872"/>
        <w:spacing w:after="0" w:line="256" w:lineRule="auto"/>
        <w:tabs>
          <w:tab w:leader="none" w:pos="1743"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and Amendment</w:t>
      </w:r>
      <w:r>
        <w:rPr>
          <w:rFonts w:ascii="Times New Roman" w:cs="Times New Roman" w:eastAsia="Times New Roman" w:hAnsi="Times New Roman"/>
          <w:sz w:val="20"/>
          <w:szCs w:val="20"/>
          <w:color w:val="auto"/>
        </w:rPr>
        <w:t>. This letter agreement and Exhibit A supersede and replace any prior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or understandings (whether written, oral, implied or otherwise) between you and the Company and constitute the complete agreement between you and the Company regarding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20"/>
          <w:szCs w:val="20"/>
          <w:color w:val="auto"/>
        </w:rPr>
        <w:t>Seshadri Neervannan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4, 2020</w:t>
      </w: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subject matter set forth herein. This letter agreement may not be amended or modified, except by an express written agreement signed by both you and a duly authorized officer of the Company.</w:t>
      </w:r>
    </w:p>
    <w:p>
      <w:pPr>
        <w:spacing w:after="0" w:line="155" w:lineRule="exact"/>
        <w:rPr>
          <w:sz w:val="20"/>
          <w:szCs w:val="20"/>
          <w:color w:val="auto"/>
        </w:rPr>
      </w:pPr>
    </w:p>
    <w:p>
      <w:pPr>
        <w:ind w:left="1760" w:hanging="888"/>
        <w:spacing w:after="0"/>
        <w:tabs>
          <w:tab w:leader="none" w:pos="176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The following terms have the meaning set forth below wherever they are used in this letter agreement:</w:t>
      </w:r>
    </w:p>
    <w:p>
      <w:pPr>
        <w:spacing w:after="0" w:line="216" w:lineRule="exact"/>
        <w:rPr>
          <w:sz w:val="20"/>
          <w:szCs w:val="20"/>
          <w:color w:val="auto"/>
        </w:rPr>
      </w:pPr>
    </w:p>
    <w:p>
      <w:pPr>
        <w:ind w:firstLine="172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Bonus Payment</w:t>
      </w:r>
      <w:r>
        <w:rPr>
          <w:rFonts w:ascii="Times New Roman" w:cs="Times New Roman" w:eastAsia="Times New Roman" w:hAnsi="Times New Roman"/>
          <w:sz w:val="20"/>
          <w:szCs w:val="20"/>
          <w:color w:val="auto"/>
        </w:rPr>
        <w:t>” means the sum of (a) a pro-rated portion of your target bonus amount for the year in which your Separation occurs and (b) 100% of your target bonus amount for the year in which your Separation occurs.</w:t>
      </w:r>
    </w:p>
    <w:p>
      <w:pPr>
        <w:spacing w:after="0" w:line="152" w:lineRule="exact"/>
        <w:rPr>
          <w:sz w:val="20"/>
          <w:szCs w:val="20"/>
          <w:color w:val="auto"/>
        </w:rPr>
      </w:pPr>
    </w:p>
    <w:p>
      <w:pPr>
        <w:jc w:val="both"/>
        <w:ind w:firstLine="172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means (a) your unauthorized use or disclosure of the Company’s confidential information or trade secrets, which use or disclosure causes material harm to the Company, (b) your material breach of any agreement between you and the Company,</w:t>
      </w:r>
    </w:p>
    <w:p>
      <w:pPr>
        <w:jc w:val="both"/>
        <w:ind w:firstLine="8"/>
        <w:spacing w:after="0" w:line="241" w:lineRule="auto"/>
        <w:tabs>
          <w:tab w:leader="none" w:pos="29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Board or (g) your failure to cooperate in good faith with a governmental or internal investigation of the Company or its directors, officers or employees, if the Company has requested your cooperation.</w:t>
      </w:r>
    </w:p>
    <w:p>
      <w:pPr>
        <w:spacing w:after="0" w:line="183"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the merger or consolidation in substantially the same proportions as their ownership of the voting power of the Company’s capital stock immediately prior to the merger or consolidation.</w:t>
      </w:r>
    </w:p>
    <w:p>
      <w:pPr>
        <w:spacing w:after="0" w:line="17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Involuntary Termination</w:t>
      </w:r>
      <w:r>
        <w:rPr>
          <w:rFonts w:ascii="Times New Roman" w:cs="Times New Roman" w:eastAsia="Times New Roman" w:hAnsi="Times New Roman"/>
          <w:sz w:val="20"/>
          <w:szCs w:val="20"/>
          <w:color w:val="auto"/>
        </w:rPr>
        <w:t>” means either (a) your Termination Without Cause or (b) your Resignation for Good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Reason.</w:t>
      </w:r>
    </w:p>
    <w:p>
      <w:pPr>
        <w:spacing w:after="0" w:line="190" w:lineRule="exact"/>
        <w:rPr>
          <w:sz w:val="20"/>
          <w:szCs w:val="20"/>
          <w:color w:val="auto"/>
        </w:rPr>
      </w:pPr>
    </w:p>
    <w:p>
      <w:pPr>
        <w:jc w:val="both"/>
        <w:ind w:firstLine="172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Resignation for Good Reason</w:t>
      </w:r>
      <w:r>
        <w:rPr>
          <w:rFonts w:ascii="Times New Roman" w:cs="Times New Roman" w:eastAsia="Times New Roman" w:hAnsi="Times New Roman"/>
          <w:sz w:val="20"/>
          <w:szCs w:val="20"/>
          <w:color w:val="auto"/>
        </w:rPr>
        <w:t>” means a Separation as a result of your resignation within 12 months after one of the following conditions has come into existence without your consent:</w:t>
      </w:r>
    </w:p>
    <w:p>
      <w:pPr>
        <w:spacing w:after="0" w:line="156" w:lineRule="exact"/>
        <w:rPr>
          <w:sz w:val="20"/>
          <w:szCs w:val="20"/>
          <w:color w:val="auto"/>
        </w:rPr>
      </w:pPr>
    </w:p>
    <w:p>
      <w:pPr>
        <w:ind w:left="3200" w:hanging="867"/>
        <w:spacing w:after="0"/>
        <w:tabs>
          <w:tab w:leader="none" w:pos="320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salary;</w:t>
      </w:r>
    </w:p>
    <w:p>
      <w:pPr>
        <w:spacing w:after="0" w:line="215"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authority, duties or responsibilities; or</w:t>
      </w:r>
    </w:p>
    <w:p>
      <w:pPr>
        <w:spacing w:after="0" w:line="215" w:lineRule="exact"/>
        <w:rPr>
          <w:rFonts w:ascii="Times New Roman" w:cs="Times New Roman" w:eastAsia="Times New Roman" w:hAnsi="Times New Roman"/>
          <w:sz w:val="20"/>
          <w:szCs w:val="20"/>
          <w:color w:val="auto"/>
        </w:rPr>
      </w:pPr>
    </w:p>
    <w:p>
      <w:pPr>
        <w:ind w:left="3200" w:hanging="867"/>
        <w:spacing w:after="0"/>
        <w:tabs>
          <w:tab w:leader="none" w:pos="320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must perform your services for</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Company.</w:t>
      </w:r>
    </w:p>
    <w:p>
      <w:pPr>
        <w:spacing w:after="0" w:line="194"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spacing w:after="0" w:line="1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Separation</w:t>
      </w:r>
      <w:r>
        <w:rPr>
          <w:rFonts w:ascii="Times New Roman" w:cs="Times New Roman" w:eastAsia="Times New Roman" w:hAnsi="Times New Roman"/>
          <w:sz w:val="20"/>
          <w:szCs w:val="20"/>
          <w:color w:val="auto"/>
        </w:rPr>
        <w:t>” means a “separation from service,” as defined in the regulations under Section 409A of the Code.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0"/>
          <w:szCs w:val="20"/>
          <w:color w:val="auto"/>
        </w:rPr>
        <w:t>Seshadri Neervannan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4, 2020</w:t>
      </w: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200" w:lineRule="exact"/>
        <w:rPr>
          <w:sz w:val="20"/>
          <w:szCs w:val="20"/>
          <w:color w:val="auto"/>
        </w:rPr>
      </w:pPr>
    </w:p>
    <w:p>
      <w:pPr>
        <w:spacing w:after="0" w:line="233" w:lineRule="exact"/>
        <w:rPr>
          <w:sz w:val="20"/>
          <w:szCs w:val="20"/>
          <w:color w:val="auto"/>
        </w:rPr>
      </w:pPr>
    </w:p>
    <w:p>
      <w:pPr>
        <w:jc w:val="both"/>
        <w:ind w:firstLine="172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Without Cause</w:t>
      </w:r>
      <w:r>
        <w:rPr>
          <w:rFonts w:ascii="Times New Roman" w:cs="Times New Roman" w:eastAsia="Times New Roman" w:hAnsi="Times New Roman"/>
          <w:sz w:val="20"/>
          <w:szCs w:val="20"/>
          <w:color w:val="auto"/>
        </w:rPr>
        <w:t>” means a Separation as a result of a termination of your employment by the Company without Cause, provided you are willing and able to continue performing services within the meaning of Treasury Regulation 1.409A-1(n)</w:t>
      </w:r>
    </w:p>
    <w:p>
      <w:pPr>
        <w:spacing w:after="0"/>
        <w:rPr>
          <w:sz w:val="20"/>
          <w:szCs w:val="20"/>
          <w:color w:val="auto"/>
        </w:rPr>
      </w:pPr>
      <w:r>
        <w:rPr>
          <w:rFonts w:ascii="Times New Roman" w:cs="Times New Roman" w:eastAsia="Times New Roman" w:hAnsi="Times New Roman"/>
          <w:sz w:val="20"/>
          <w:szCs w:val="20"/>
          <w:color w:val="auto"/>
        </w:rPr>
        <w:t>(1).</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20"/>
          <w:szCs w:val="20"/>
          <w:color w:val="auto"/>
        </w:rPr>
        <w:t>Seshadri Neervannan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4, 2020</w:t>
      </w: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200" w:lineRule="exact"/>
        <w:rPr>
          <w:sz w:val="20"/>
          <w:szCs w:val="20"/>
          <w:color w:val="auto"/>
        </w:rPr>
      </w:pP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June 5, 2020. Your employment with the Company is contingent upon satisfactory completion of a background check, Board approval and, as required by law, upon your providing legal proof of your identity and authorization to work in the United States. Your employment is also contingent upon your starting work with the Company on or before July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40"/>
        <w:spacing w:after="0"/>
        <w:tabs>
          <w:tab w:leader="none" w:pos="5700" w:val="left"/>
        </w:tabs>
        <w:rPr>
          <w:sz w:val="20"/>
          <w:szCs w:val="20"/>
          <w:color w:val="auto"/>
        </w:rPr>
      </w:pPr>
      <w:r>
        <w:rPr>
          <w:rFonts w:ascii="Times New Roman" w:cs="Times New Roman" w:eastAsia="Times New Roman" w:hAnsi="Times New Roman"/>
          <w:sz w:val="20"/>
          <w:szCs w:val="20"/>
          <w:color w:val="auto"/>
        </w:rPr>
        <w:t>If you have any questions, please call me at</w:t>
      </w:r>
      <w:r>
        <w:rPr>
          <w:sz w:val="20"/>
          <w:szCs w:val="20"/>
          <w:color w:val="auto"/>
        </w:rPr>
        <w:tab/>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HARMACEUTICALS</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wp:posOffset>
            </wp:positionV>
            <wp:extent cx="121729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w:t>
      </w:r>
      <w:r>
        <w:rPr>
          <w:rFonts w:ascii="Times New Roman" w:cs="Times New Roman" w:eastAsia="Times New Roman" w:hAnsi="Times New Roman"/>
          <w:sz w:val="20"/>
          <w:szCs w:val="20"/>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Seshadri Neervannan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491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8491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Seshadri Neervannan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June 4,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Proprietary Information and Inventions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8" w:right="339" w:bottom="1440" w:gutter="0" w:footer="0" w:header="0"/>
        </w:sectPr>
      </w:pPr>
    </w:p>
    <w:bookmarkStart w:id="298" w:name="page299"/>
    <w:bookmarkEnd w:id="298"/>
    <w:p>
      <w:pPr>
        <w:ind w:left="10220"/>
        <w:spacing w:after="0"/>
        <w:rPr>
          <w:sz w:val="20"/>
          <w:szCs w:val="20"/>
          <w:color w:val="auto"/>
        </w:rPr>
      </w:pPr>
      <w:r>
        <w:rPr>
          <w:rFonts w:ascii="Times New Roman" w:cs="Times New Roman" w:eastAsia="Times New Roman" w:hAnsi="Times New Roman"/>
          <w:sz w:val="19"/>
          <w:szCs w:val="19"/>
          <w:b w:val="1"/>
          <w:bCs w:val="1"/>
          <w:color w:val="auto"/>
        </w:rPr>
        <w:t>Exhibit 10.8</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29, 2018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J Holdbrook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Mark:</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Tarsus Pharmaceuticals,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pleased to offer you employment on the following terms:</w:t>
      </w:r>
    </w:p>
    <w:p>
      <w:pPr>
        <w:spacing w:after="0" w:line="212" w:lineRule="exact"/>
        <w:rPr>
          <w:sz w:val="20"/>
          <w:szCs w:val="20"/>
          <w:color w:val="auto"/>
        </w:rPr>
      </w:pPr>
    </w:p>
    <w:p>
      <w:pPr>
        <w:jc w:val="both"/>
        <w:ind w:firstLine="872"/>
        <w:spacing w:after="0" w:line="239" w:lineRule="exact"/>
        <w:tabs>
          <w:tab w:leader="none" w:pos="165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Your initial title will be Vice President, Clinical Affairs, and you will report to the Company’s Chief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This is a full-time position. While you render services to the Company, you will not engage in any other employment, consulting or other business activity (whether full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3" w:lineRule="exact"/>
        <w:rPr>
          <w:rFonts w:ascii="Times New Roman" w:cs="Times New Roman" w:eastAsia="Times New Roman" w:hAnsi="Times New Roman"/>
          <w:sz w:val="20"/>
          <w:szCs w:val="20"/>
          <w:color w:val="auto"/>
        </w:rPr>
      </w:pPr>
    </w:p>
    <w:p>
      <w:pPr>
        <w:jc w:val="both"/>
        <w:ind w:firstLine="872"/>
        <w:spacing w:after="0" w:line="257" w:lineRule="auto"/>
        <w:tabs>
          <w:tab w:leader="none" w:pos="1654"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Cash Compensation</w:t>
      </w:r>
      <w:r>
        <w:rPr>
          <w:rFonts w:ascii="Times New Roman" w:cs="Times New Roman" w:eastAsia="Times New Roman" w:hAnsi="Times New Roman"/>
          <w:sz w:val="19"/>
          <w:szCs w:val="19"/>
          <w:color w:val="auto"/>
        </w:rPr>
        <w:t>. The Company will pay you a starting salary at the rate of $250,000.00 per year, payable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 Company’s standard payroll schedule. This salary will be subject to adjustment pursuant to the Company’s employee compensation policies in effect from time to time. In addition, commencing upon the closing of the Company’s Series B Preferred Stock financing, you will be eligible to be considered for an incentive bonus for each fiscal year of the Company. The bonus (if any) will be awarded based on objective or subjective criteria established by the Company’s Chief Executive Officer and approved by the Company’s Board of Directors. Your target bonus, which is payable upon on the closing of the Company’s Series B Preferred Stock financing pursuant to which the Company raises at least $7,000,000.00, will be equal to 20.00% of your annual base salary. Any bonus for the fiscal year in which your employment begins will be prorated, based on the number of days you are employed by the Company during that fiscal year. Any bonus for a fiscal year will be paid within 2½ months after the close of that fiscal year, but only if you are still employed by the Company at the time of payment. The determinations of the Company’s Board of Directors with respect to your bonus will be final and binding.</w:t>
      </w:r>
    </w:p>
    <w:p>
      <w:pPr>
        <w:spacing w:after="0" w:line="171" w:lineRule="exact"/>
        <w:rPr>
          <w:rFonts w:ascii="Times New Roman" w:cs="Times New Roman" w:eastAsia="Times New Roman" w:hAnsi="Times New Roman"/>
          <w:sz w:val="19"/>
          <w:szCs w:val="19"/>
          <w:color w:val="auto"/>
        </w:rPr>
      </w:pPr>
    </w:p>
    <w:p>
      <w:pPr>
        <w:jc w:val="both"/>
        <w:ind w:firstLine="872"/>
        <w:spacing w:after="0" w:line="256" w:lineRule="auto"/>
        <w:tabs>
          <w:tab w:leader="none" w:pos="165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168" w:lineRule="exact"/>
        <w:rPr>
          <w:rFonts w:ascii="Times New Roman" w:cs="Times New Roman" w:eastAsia="Times New Roman" w:hAnsi="Times New Roman"/>
          <w:sz w:val="20"/>
          <w:szCs w:val="20"/>
          <w:color w:val="auto"/>
        </w:rPr>
      </w:pPr>
    </w:p>
    <w:p>
      <w:pPr>
        <w:jc w:val="both"/>
        <w:ind w:firstLine="872"/>
        <w:spacing w:after="0" w:line="247" w:lineRule="auto"/>
        <w:tabs>
          <w:tab w:leader="none" w:pos="165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You were granted an option to purchase up to 622,500 shares of the Company’s Common Stock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November 29, 2017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pursuant to the terms of that certain Consulting Agreement by and between you and the Company, dated November 1, 2017 (the “</w:t>
      </w:r>
      <w:r>
        <w:rPr>
          <w:rFonts w:ascii="Times New Roman" w:cs="Times New Roman" w:eastAsia="Times New Roman" w:hAnsi="Times New Roman"/>
          <w:sz w:val="20"/>
          <w:szCs w:val="20"/>
          <w:u w:val="single" w:color="auto"/>
          <w:color w:val="auto"/>
        </w:rPr>
        <w:t>Consulting Agreement</w:t>
      </w:r>
      <w:r>
        <w:rPr>
          <w:rFonts w:ascii="Times New Roman" w:cs="Times New Roman" w:eastAsia="Times New Roman" w:hAnsi="Times New Roman"/>
          <w:sz w:val="20"/>
          <w:szCs w:val="20"/>
          <w:color w:val="auto"/>
        </w:rPr>
        <w:t>”). The Company’s Board of Directors (the “Board”) or its Compensation Committee may, in its sole discretion, decide to issue you additional stock options. The terms of any such additional stock options shall be as determined by the Board or its Compensation Committee, as applicable, at the time such options are granted,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4946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20"/>
          <w:szCs w:val="20"/>
          <w:color w:val="auto"/>
        </w:rPr>
        <w:t>Mark Holdbrook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29, 2018</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33" w:lineRule="exact"/>
        <w:rPr>
          <w:sz w:val="20"/>
          <w:szCs w:val="20"/>
          <w:color w:val="auto"/>
        </w:rPr>
      </w:pPr>
    </w:p>
    <w:p>
      <w:pPr>
        <w:jc w:val="both"/>
        <w:ind w:firstLine="872"/>
        <w:spacing w:after="0" w:line="256" w:lineRule="auto"/>
        <w:tabs>
          <w:tab w:leader="none" w:pos="165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your employment with the Company, to sign the Company’s standard Proprietary Information and Inventions Agreement, a copy of which is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firstLine="872"/>
        <w:spacing w:after="0" w:line="246" w:lineRule="auto"/>
        <w:tabs>
          <w:tab w:leader="none" w:pos="165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Relationship</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8" w:lineRule="exact"/>
        <w:rPr>
          <w:rFonts w:ascii="Times New Roman" w:cs="Times New Roman" w:eastAsia="Times New Roman" w:hAnsi="Times New Roman"/>
          <w:sz w:val="20"/>
          <w:szCs w:val="20"/>
          <w:color w:val="auto"/>
        </w:rPr>
      </w:pPr>
    </w:p>
    <w:p>
      <w:pPr>
        <w:jc w:val="both"/>
        <w:ind w:firstLine="872"/>
        <w:spacing w:after="0" w:line="250" w:lineRule="auto"/>
        <w:tabs>
          <w:tab w:leader="none" w:pos="165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Consulting Agreement</w:t>
      </w:r>
      <w:r>
        <w:rPr>
          <w:rFonts w:ascii="Times New Roman" w:cs="Times New Roman" w:eastAsia="Times New Roman" w:hAnsi="Times New Roman"/>
          <w:sz w:val="20"/>
          <w:szCs w:val="20"/>
          <w:color w:val="auto"/>
        </w:rPr>
        <w:t>. Notwithstanding Section 4 thereof, you hereby acknowledge and agree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Consulting Agreement shall automatically and immediately terminate upon the commencement of your employment with the Company. For the avoidance of doubt, there shall be no break in Service as defined in the Option as a result of the commencement of your employment by the Company.</w:t>
      </w:r>
    </w:p>
    <w:p>
      <w:pPr>
        <w:spacing w:after="0" w:line="175"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595"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 applicable withholding and payroll taxes and other deductions required by law.</w:t>
      </w:r>
    </w:p>
    <w:p>
      <w:pPr>
        <w:spacing w:after="0" w:line="151" w:lineRule="exact"/>
        <w:rPr>
          <w:rFonts w:ascii="Times New Roman" w:cs="Times New Roman" w:eastAsia="Times New Roman" w:hAnsi="Times New Roman"/>
          <w:sz w:val="20"/>
          <w:szCs w:val="20"/>
          <w:color w:val="auto"/>
        </w:rPr>
      </w:pPr>
    </w:p>
    <w:p>
      <w:pPr>
        <w:jc w:val="both"/>
        <w:ind w:firstLine="1735"/>
        <w:spacing w:after="0" w:line="250" w:lineRule="auto"/>
        <w:tabs>
          <w:tab w:leader="none" w:pos="2606"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5" w:lineRule="exact"/>
        <w:rPr>
          <w:rFonts w:ascii="Times New Roman" w:cs="Times New Roman" w:eastAsia="Times New Roman" w:hAnsi="Times New Roman"/>
          <w:sz w:val="20"/>
          <w:szCs w:val="20"/>
          <w:color w:val="auto"/>
        </w:rPr>
      </w:pPr>
    </w:p>
    <w:p>
      <w:pPr>
        <w:jc w:val="both"/>
        <w:ind w:firstLine="872"/>
        <w:spacing w:after="0" w:line="243" w:lineRule="auto"/>
        <w:tabs>
          <w:tab w:leader="none" w:pos="165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Amendment and Enforcement</w:t>
      </w:r>
      <w:r>
        <w:rPr>
          <w:rFonts w:ascii="Times New Roman" w:cs="Times New Roman" w:eastAsia="Times New Roman" w:hAnsi="Times New Roman"/>
          <w:sz w:val="20"/>
          <w:szCs w:val="20"/>
          <w:color w:val="auto"/>
        </w:rPr>
        <w:t>. This letter agreement and Exhibit A supersede and replace any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will be governed by California law, excluding laws relating to conflicts or choice of law. You and the Company submit to the exclusive personal jurisdiction of the federal and state courts located in Orange County, California in connection with any Dispute or any claim related to any Dispute.</w:t>
      </w:r>
    </w:p>
    <w:p>
      <w:pPr>
        <w:spacing w:after="0" w:line="189" w:lineRule="exact"/>
        <w:rPr>
          <w:rFonts w:ascii="Times New Roman" w:cs="Times New Roman" w:eastAsia="Times New Roman" w:hAnsi="Times New Roman"/>
          <w:sz w:val="20"/>
          <w:szCs w:val="20"/>
          <w:color w:val="auto"/>
        </w:rPr>
      </w:pPr>
    </w:p>
    <w:p>
      <w:pPr>
        <w:ind w:left="52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20"/>
          <w:szCs w:val="20"/>
          <w:color w:val="auto"/>
        </w:rPr>
        <w:t>Mark Holdbrook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29, 2018</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37"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October 31, 2018. As required by law, your employment with the Company is contingent upon your providing legal proof of your identity and authorization to work in the United States. Your employment is also contingent upon your starting work with the Company on or before November 1, 2018.</w:t>
      </w:r>
    </w:p>
    <w:p>
      <w:pPr>
        <w:spacing w:after="0" w:line="185" w:lineRule="exact"/>
        <w:rPr>
          <w:sz w:val="20"/>
          <w:szCs w:val="20"/>
          <w:color w:val="auto"/>
        </w:rPr>
      </w:pPr>
    </w:p>
    <w:p>
      <w:pPr>
        <w:ind w:left="1740"/>
        <w:spacing w:after="0"/>
        <w:tabs>
          <w:tab w:leader="none" w:pos="5700" w:val="left"/>
        </w:tabs>
        <w:rPr>
          <w:sz w:val="20"/>
          <w:szCs w:val="20"/>
          <w:color w:val="auto"/>
        </w:rPr>
      </w:pPr>
      <w:r>
        <w:rPr>
          <w:rFonts w:ascii="Times New Roman" w:cs="Times New Roman" w:eastAsia="Times New Roman" w:hAnsi="Times New Roman"/>
          <w:sz w:val="20"/>
          <w:szCs w:val="20"/>
          <w:color w:val="auto"/>
        </w:rPr>
        <w:t>If you have any questions, please call me at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HARMACEUTICALS</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wp:posOffset>
            </wp:positionV>
            <wp:extent cx="12172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w:t>
      </w:r>
      <w:r>
        <w:rPr>
          <w:rFonts w:ascii="Times New Roman" w:cs="Times New Roman" w:eastAsia="Times New Roman" w:hAnsi="Times New Roman"/>
          <w:sz w:val="20"/>
          <w:szCs w:val="20"/>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ARK</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OLDBROOK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Mark Holdbrook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50050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Mark Holdbrook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Proprietary Information and Inventions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8" w:right="339" w:bottom="1440" w:gutter="0" w:footer="0" w:header="0"/>
        </w:sectPr>
      </w:pPr>
    </w:p>
    <w:bookmarkStart w:id="301" w:name="page302"/>
    <w:bookmarkEnd w:id="301"/>
    <w:p>
      <w:pPr>
        <w:ind w:left="10220"/>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June 22, 2020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w:t>
      </w:r>
    </w:p>
    <w:p>
      <w:pPr>
        <w:spacing w:after="0"/>
        <w:rPr>
          <w:sz w:val="20"/>
          <w:szCs w:val="20"/>
          <w:color w:val="auto"/>
        </w:rPr>
      </w:pPr>
      <w:r>
        <w:rPr>
          <w:rFonts w:ascii="Times New Roman" w:cs="Times New Roman" w:eastAsia="Times New Roman" w:hAnsi="Times New Roman"/>
          <w:sz w:val="20"/>
          <w:szCs w:val="20"/>
          <w:color w:val="auto"/>
        </w:rPr>
        <w:t>________________</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Aziz:</w:t>
      </w:r>
    </w:p>
    <w:p>
      <w:pPr>
        <w:spacing w:after="0" w:line="2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Tarsus Pharmaceuticals, Inc. (the “Company”) is pleased to offer you employment on the following terms:</w:t>
      </w:r>
    </w:p>
    <w:p>
      <w:pPr>
        <w:spacing w:after="0" w:line="212" w:lineRule="exact"/>
        <w:rPr>
          <w:sz w:val="20"/>
          <w:szCs w:val="20"/>
          <w:color w:val="auto"/>
        </w:rPr>
      </w:pPr>
    </w:p>
    <w:p>
      <w:pPr>
        <w:jc w:val="both"/>
        <w:ind w:firstLine="872"/>
        <w:spacing w:after="0" w:line="239" w:lineRule="exact"/>
        <w:tabs>
          <w:tab w:leader="none" w:pos="165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Your title will be Chief Commercial Officer. This is a full-time position, reporting to the Company’s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Officer. While you render services to the Company, you will not engage in any other employment, consulting or other business activity (whether full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3" w:lineRule="exact"/>
        <w:rPr>
          <w:rFonts w:ascii="Times New Roman" w:cs="Times New Roman" w:eastAsia="Times New Roman" w:hAnsi="Times New Roman"/>
          <w:sz w:val="20"/>
          <w:szCs w:val="20"/>
          <w:color w:val="auto"/>
        </w:rPr>
      </w:pPr>
    </w:p>
    <w:p>
      <w:pPr>
        <w:jc w:val="both"/>
        <w:ind w:firstLine="872"/>
        <w:spacing w:after="0" w:line="244" w:lineRule="auto"/>
        <w:tabs>
          <w:tab w:leader="none" w:pos="165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Compensation</w:t>
      </w:r>
      <w:r>
        <w:rPr>
          <w:rFonts w:ascii="Times New Roman" w:cs="Times New Roman" w:eastAsia="Times New Roman" w:hAnsi="Times New Roman"/>
          <w:sz w:val="20"/>
          <w:szCs w:val="20"/>
          <w:color w:val="auto"/>
        </w:rPr>
        <w:t>. The Company will pay you a starting salary at the rate of $360,000 per year, payable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Company’s standard payroll schedule. This salary will be subject to adjustment pursuant to the Company’s employee compensation policies in effect from time to time. In addition, you will be eligible to be considered for an incentive bonus for each fiscal year of the Company. The bonus (if any) will be awarded based on objective or subjective criteria established and approved by the Company’s Board of Directors (the “Board”). Your annual target bonus will be equal to 35% of your annual base salary. Any bonus for the fiscal year in which your employment begins will be prorated, based on the number of days you are employed by the Company during that fiscal year. Any bonus for a fiscal year will be paid within 2½ months after the close of that fiscal year, but only if you are still providing services to the Company at the time of payment. The determinations of the Board with respect to your bonus will be final and binding.</w:t>
      </w:r>
    </w:p>
    <w:p>
      <w:pPr>
        <w:spacing w:after="0" w:line="181" w:lineRule="exact"/>
        <w:rPr>
          <w:rFonts w:ascii="Times New Roman" w:cs="Times New Roman" w:eastAsia="Times New Roman" w:hAnsi="Times New Roman"/>
          <w:sz w:val="20"/>
          <w:szCs w:val="20"/>
          <w:color w:val="auto"/>
        </w:rPr>
      </w:pPr>
    </w:p>
    <w:p>
      <w:pPr>
        <w:jc w:val="both"/>
        <w:ind w:firstLine="872"/>
        <w:spacing w:after="0" w:line="246" w:lineRule="auto"/>
        <w:tabs>
          <w:tab w:leader="none" w:pos="165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Signing Bonus</w:t>
      </w:r>
      <w:r>
        <w:rPr>
          <w:rFonts w:ascii="Times New Roman" w:cs="Times New Roman" w:eastAsia="Times New Roman" w:hAnsi="Times New Roman"/>
          <w:sz w:val="20"/>
          <w:szCs w:val="20"/>
          <w:color w:val="auto"/>
        </w:rPr>
        <w:t>. If you are employed by the Company on the payments dates, the Company will pay you a signing bonus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aggregate amount of $100,000 (the “Signing Bonus”). 50% of the Signing Bonus will be paid within 15 days of your start date and another 50% of the Signing Bonus will be paid by your six month anniversary of your start date. If (i) you resign from your employment with the Company and such resignation does not constitute a Resignation for Good Reason or (ii) you are terminated by the Company for Cause, in either case prior to completing 12 months of continuous employment following your start date, you agree to repay 100% of the Signing Bonus within 30 days of your termination of employment.</w:t>
      </w:r>
    </w:p>
    <w:p>
      <w:pPr>
        <w:spacing w:after="0" w:line="178" w:lineRule="exact"/>
        <w:rPr>
          <w:rFonts w:ascii="Times New Roman" w:cs="Times New Roman" w:eastAsia="Times New Roman" w:hAnsi="Times New Roman"/>
          <w:sz w:val="20"/>
          <w:szCs w:val="20"/>
          <w:color w:val="auto"/>
        </w:rPr>
      </w:pPr>
    </w:p>
    <w:p>
      <w:pPr>
        <w:jc w:val="both"/>
        <w:ind w:firstLine="872"/>
        <w:spacing w:after="0" w:line="256" w:lineRule="auto"/>
        <w:tabs>
          <w:tab w:leader="none" w:pos="165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4946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20"/>
          <w:szCs w:val="20"/>
          <w:color w:val="auto"/>
        </w:rPr>
        <w:t>Aziz Mottiwala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33" w:lineRule="exact"/>
        <w:rPr>
          <w:sz w:val="20"/>
          <w:szCs w:val="20"/>
          <w:color w:val="auto"/>
        </w:rPr>
      </w:pPr>
    </w:p>
    <w:p>
      <w:pPr>
        <w:jc w:val="both"/>
        <w:ind w:firstLine="872"/>
        <w:spacing w:after="0" w:line="246" w:lineRule="auto"/>
        <w:tabs>
          <w:tab w:leader="none" w:pos="165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Subject to the approval of the Board or its Compensation Committee, you will be granted an option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778,329 shares of the Company’s Common Stock (the “Option”). The exercise price per share of the Option will be equal to the fair market value of the underlying Common Stock on the date of the grant. The Option will be subject to the terms and conditions applicable to options granted under the Company’s 2016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spacing w:after="0" w:line="183"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You will vest in 100% of your remaining unvested Option shares if (a) the Company is subject to a Change in Control before your service with the Company terminates and (b) you are subject to an Involuntary Termination within 12 months after that Change in Control.</w:t>
      </w:r>
    </w:p>
    <w:p>
      <w:pPr>
        <w:spacing w:after="0" w:line="170" w:lineRule="exact"/>
        <w:rPr>
          <w:sz w:val="20"/>
          <w:szCs w:val="20"/>
          <w:color w:val="auto"/>
        </w:rPr>
      </w:pPr>
    </w:p>
    <w:p>
      <w:pPr>
        <w:jc w:val="both"/>
        <w:ind w:firstLine="872"/>
        <w:spacing w:after="0" w:line="256" w:lineRule="auto"/>
        <w:tabs>
          <w:tab w:leader="none" w:pos="1654"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Outside of a Change in Control</w:t>
      </w:r>
      <w:r>
        <w:rPr>
          <w:rFonts w:ascii="Times New Roman" w:cs="Times New Roman" w:eastAsia="Times New Roman" w:hAnsi="Times New Roman"/>
          <w:sz w:val="20"/>
          <w:szCs w:val="20"/>
          <w:color w:val="auto"/>
        </w:rPr>
        <w:t>. In the event you are subject to an Involuntary Termination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or within 12 months after a Change in Control, provided you satisfy the conditions described in Section 6(c) below, you will be entitled to the following benefits:</w:t>
      </w:r>
    </w:p>
    <w:p>
      <w:pPr>
        <w:spacing w:after="0" w:line="168" w:lineRule="exact"/>
        <w:rPr>
          <w:rFonts w:ascii="Times New Roman" w:cs="Times New Roman" w:eastAsia="Times New Roman" w:hAnsi="Times New Roman"/>
          <w:sz w:val="20"/>
          <w:szCs w:val="20"/>
          <w:color w:val="auto"/>
        </w:rPr>
      </w:pPr>
    </w:p>
    <w:p>
      <w:pPr>
        <w:jc w:val="both"/>
        <w:ind w:firstLine="1735"/>
        <w:spacing w:after="0" w:line="247" w:lineRule="auto"/>
        <w:tabs>
          <w:tab w:leader="none" w:pos="2595" w:val="left"/>
        </w:tabs>
        <w:numPr>
          <w:ilvl w:val="2"/>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Salary Continuation</w:t>
      </w:r>
      <w:r>
        <w:rPr>
          <w:rFonts w:ascii="Times New Roman" w:cs="Times New Roman" w:eastAsia="Times New Roman" w:hAnsi="Times New Roman"/>
          <w:sz w:val="20"/>
          <w:szCs w:val="20"/>
          <w:color w:val="auto"/>
        </w:rPr>
        <w:t>. The Company will continue to pay your base salary for a period of nine (9)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your 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pacing w:after="0" w:line="180"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2"/>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Provided you elect to continue your health insurance coverage under the Consolidated Omnibus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Budget Reconciliation Act (“COBRA”) following your Separation, the Company will pay or reimburse you for your monthly premium under COBRA until the earliest of (i) the close of the nine (9)-month period following your Separation, (ii) the expiration of your continuation coverage under COBRA or (iii) the date when you become eligible for substantially equivalent health insurance coverage in connection with new employment or self-employment (the “COBRA Benefit”). If necessary to avoid adverse tax consequences to you or the Company, the Company, in its sole discretion, reserves the right to treat the COBRA Benefit as taxable income.</w:t>
      </w:r>
    </w:p>
    <w:p>
      <w:pPr>
        <w:spacing w:after="0" w:line="178" w:lineRule="exact"/>
        <w:rPr>
          <w:rFonts w:ascii="Times New Roman" w:cs="Times New Roman" w:eastAsia="Times New Roman" w:hAnsi="Times New Roman"/>
          <w:sz w:val="20"/>
          <w:szCs w:val="20"/>
          <w:color w:val="auto"/>
        </w:rPr>
      </w:pPr>
    </w:p>
    <w:p>
      <w:pPr>
        <w:jc w:val="both"/>
        <w:ind w:firstLine="1735"/>
        <w:spacing w:after="0" w:line="266" w:lineRule="auto"/>
        <w:tabs>
          <w:tab w:leader="none" w:pos="2595" w:val="left"/>
        </w:tabs>
        <w:numPr>
          <w:ilvl w:val="2"/>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Conditions</w:t>
      </w:r>
      <w:r>
        <w:rPr>
          <w:rFonts w:ascii="Times New Roman" w:cs="Times New Roman" w:eastAsia="Times New Roman" w:hAnsi="Times New Roman"/>
          <w:sz w:val="19"/>
          <w:szCs w:val="19"/>
          <w:color w:val="auto"/>
        </w:rPr>
        <w:t>. This Section 6 will not apply unless you (i) have returned all Company property in your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possession, (ii) have resigned as a member of the Boards of Directors of the Company and all of its subsidiaries, to the extent applicable, and</w:t>
      </w:r>
    </w:p>
    <w:p>
      <w:pPr>
        <w:jc w:val="both"/>
        <w:ind w:firstLine="8"/>
        <w:spacing w:after="0" w:line="241" w:lineRule="auto"/>
        <w:tabs>
          <w:tab w:leader="none" w:pos="37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6.</w:t>
      </w:r>
    </w:p>
    <w:p>
      <w:pPr>
        <w:spacing w:after="0" w:line="182" w:lineRule="exact"/>
        <w:rPr>
          <w:rFonts w:ascii="Times New Roman" w:cs="Times New Roman" w:eastAsia="Times New Roman" w:hAnsi="Times New Roman"/>
          <w:sz w:val="20"/>
          <w:szCs w:val="20"/>
          <w:color w:val="auto"/>
        </w:rPr>
      </w:pPr>
    </w:p>
    <w:p>
      <w:pPr>
        <w:jc w:val="both"/>
        <w:ind w:firstLine="872"/>
        <w:spacing w:after="0" w:line="268" w:lineRule="auto"/>
        <w:tabs>
          <w:tab w:leader="none" w:pos="1654"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Severance Benefits in Connection With a Change in Control</w:t>
      </w:r>
      <w:r>
        <w:rPr>
          <w:rFonts w:ascii="Times New Roman" w:cs="Times New Roman" w:eastAsia="Times New Roman" w:hAnsi="Times New Roman"/>
          <w:sz w:val="19"/>
          <w:szCs w:val="19"/>
          <w:color w:val="auto"/>
        </w:rPr>
        <w:t>. In the event you are subject to an Involuntary Termination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connection with or within 12 months after a Change in Control, provided you satisfy the conditions described in Section 6(c) above, you will be entitled to the benefits described in Sections 6(a) and 6(b) above (provided that the time periods applicable to each of the severance and COBRA benefits will be increased from nine (9) months to twelve (12) months) plus the Bonus Payment. The Bonus 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0"/>
          <w:szCs w:val="20"/>
          <w:color w:val="auto"/>
        </w:rPr>
        <w:t>Aziz Mottiwala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will be made in a lump sum within 60 days after your Separation; however, if the 60-day period described in the preceding sentence spans two calendar years, then the Bonus Payment will in any event be made in the second calendar year. For the sake of clarity, if you become entitled to the benefits in the preceding sentence you will not also be entitled to additional the benefits provided for in Sections 6(a) and (b) above. In addition, you will be entitled to the vesting acceleration benefits described in Section 5 above.</w:t>
      </w:r>
    </w:p>
    <w:p>
      <w:pPr>
        <w:spacing w:after="0" w:line="176" w:lineRule="exact"/>
        <w:rPr>
          <w:sz w:val="20"/>
          <w:szCs w:val="20"/>
          <w:color w:val="auto"/>
        </w:rPr>
      </w:pPr>
    </w:p>
    <w:p>
      <w:pPr>
        <w:jc w:val="both"/>
        <w:ind w:firstLine="872"/>
        <w:spacing w:after="0" w:line="256" w:lineRule="auto"/>
        <w:tabs>
          <w:tab w:leader="none" w:pos="165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your employment with the Company, to sign the Company’s standard Proprietary Information and Inventions Agreement, a copy of which is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firstLine="872"/>
        <w:spacing w:after="0" w:line="246" w:lineRule="auto"/>
        <w:tabs>
          <w:tab w:leader="none" w:pos="165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Relationship</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8"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735"/>
        <w:spacing w:after="0" w:line="273" w:lineRule="auto"/>
        <w:tabs>
          <w:tab w:leader="none" w:pos="2595"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 applicable withholding and payroll taxes and other deductions required by law.</w:t>
      </w:r>
    </w:p>
    <w:p>
      <w:pPr>
        <w:spacing w:after="0" w:line="151"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The payments and benefits provided for under this letter agreement are intended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exempt from Section 409A of the Internal Revenue Code of 1986, as amended (the “Code”), and any ambiguity arising under this letter agreement shall be interpreted in a manner consistent with that intent. Nonetheless, to the extent any payment or benefit provided under this letter agreement is deemed to be nonqualified deferred compensation that is subject to Section 409A of the Code, and if the Company determines that you are a “specified employee” under Section 409A(a)(2)(B)(i) of the Code at the time of your Separation, then any such payment(s), to the extent they are subject to Section 409A of the Code, will be made or commence, as applicable, on the first business day following (i) expiration of the six-month period measured from your Separation or (ii) the date of your death, with any payment installments that otherwise would have been paid prior to such date paid in a lump sum at that time. In addition, for purposes of Section 409A of the Code, each salary continuation payment under Section 6(a) is hereby designated as a separate payment.</w:t>
      </w:r>
    </w:p>
    <w:p>
      <w:pPr>
        <w:spacing w:after="0" w:line="185" w:lineRule="exact"/>
        <w:rPr>
          <w:rFonts w:ascii="Times New Roman" w:cs="Times New Roman" w:eastAsia="Times New Roman" w:hAnsi="Times New Roman"/>
          <w:sz w:val="20"/>
          <w:szCs w:val="20"/>
          <w:color w:val="auto"/>
        </w:rPr>
      </w:pPr>
    </w:p>
    <w:p>
      <w:pPr>
        <w:jc w:val="both"/>
        <w:ind w:firstLine="1735"/>
        <w:spacing w:after="0" w:line="250" w:lineRule="auto"/>
        <w:tabs>
          <w:tab w:leader="none" w:pos="2595"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5" w:lineRule="exact"/>
        <w:rPr>
          <w:rFonts w:ascii="Times New Roman" w:cs="Times New Roman" w:eastAsia="Times New Roman" w:hAnsi="Times New Roman"/>
          <w:sz w:val="20"/>
          <w:szCs w:val="20"/>
          <w:color w:val="auto"/>
        </w:rPr>
      </w:pPr>
    </w:p>
    <w:p>
      <w:pPr>
        <w:jc w:val="both"/>
        <w:ind w:firstLine="872"/>
        <w:spacing w:after="0" w:line="250" w:lineRule="auto"/>
        <w:tabs>
          <w:tab w:leader="none" w:pos="1743"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and Amendment</w:t>
      </w:r>
      <w:r>
        <w:rPr>
          <w:rFonts w:ascii="Times New Roman" w:cs="Times New Roman" w:eastAsia="Times New Roman" w:hAnsi="Times New Roman"/>
          <w:sz w:val="20"/>
          <w:szCs w:val="20"/>
          <w:color w:val="auto"/>
        </w:rPr>
        <w:t>. This letter agreement and Exhibit A supersede and replace any prior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20"/>
          <w:szCs w:val="20"/>
          <w:color w:val="auto"/>
        </w:rPr>
        <w:t>Aziz Mottiwala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233" w:lineRule="exact"/>
        <w:rPr>
          <w:sz w:val="20"/>
          <w:szCs w:val="20"/>
          <w:color w:val="auto"/>
        </w:rPr>
      </w:pPr>
    </w:p>
    <w:p>
      <w:pPr>
        <w:ind w:left="1760" w:hanging="888"/>
        <w:spacing w:after="0"/>
        <w:tabs>
          <w:tab w:leader="none" w:pos="176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The following terms have the meaning set forth below wherever they are used in this letter agreement:</w:t>
      </w:r>
    </w:p>
    <w:p>
      <w:pPr>
        <w:spacing w:after="0" w:line="216" w:lineRule="exact"/>
        <w:rPr>
          <w:sz w:val="20"/>
          <w:szCs w:val="20"/>
          <w:color w:val="auto"/>
        </w:rPr>
      </w:pPr>
    </w:p>
    <w:p>
      <w:pPr>
        <w:ind w:firstLine="172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Bonus Payment</w:t>
      </w:r>
      <w:r>
        <w:rPr>
          <w:rFonts w:ascii="Times New Roman" w:cs="Times New Roman" w:eastAsia="Times New Roman" w:hAnsi="Times New Roman"/>
          <w:sz w:val="20"/>
          <w:szCs w:val="20"/>
          <w:color w:val="auto"/>
        </w:rPr>
        <w:t>” means the sum of (a) a pro-rated portion of your target bonus amount for the year in which your Separation occurs and (b) 100% of your target bonus amount for the year in which your Separation occurs.</w:t>
      </w:r>
    </w:p>
    <w:p>
      <w:pPr>
        <w:spacing w:after="0" w:line="152" w:lineRule="exact"/>
        <w:rPr>
          <w:sz w:val="20"/>
          <w:szCs w:val="20"/>
          <w:color w:val="auto"/>
        </w:rPr>
      </w:pPr>
    </w:p>
    <w:p>
      <w:pPr>
        <w:jc w:val="both"/>
        <w:ind w:firstLine="172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means (a) your unauthorized use or disclosure of the Company’s confidential information or trade secrets, which use or disclosure causes material harm to the Company, (b) your material breach of any agreement between you and the Company,</w:t>
      </w:r>
    </w:p>
    <w:p>
      <w:pPr>
        <w:jc w:val="both"/>
        <w:ind w:firstLine="8"/>
        <w:spacing w:after="0" w:line="241" w:lineRule="auto"/>
        <w:tabs>
          <w:tab w:leader="none" w:pos="294"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Board or (g) your failure to cooperate in good faith with a governmental or internal investigation of the Company or its directors, officers or employees, if the Company has requested your cooperation.</w:t>
      </w:r>
    </w:p>
    <w:p>
      <w:pPr>
        <w:spacing w:after="0" w:line="183"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the merger or consolidation in substantially the same proportions as their ownership of the voting power of the Company’s capital stock immediately prior to the merger or consolidation.</w:t>
      </w:r>
    </w:p>
    <w:p>
      <w:pPr>
        <w:spacing w:after="0" w:line="17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Involuntary Termination</w:t>
      </w:r>
      <w:r>
        <w:rPr>
          <w:rFonts w:ascii="Times New Roman" w:cs="Times New Roman" w:eastAsia="Times New Roman" w:hAnsi="Times New Roman"/>
          <w:sz w:val="20"/>
          <w:szCs w:val="20"/>
          <w:color w:val="auto"/>
        </w:rPr>
        <w:t>” means either (a) your Termination Without Cause or (b) your Resignation for Good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Reason.</w:t>
      </w:r>
    </w:p>
    <w:p>
      <w:pPr>
        <w:spacing w:after="0" w:line="190" w:lineRule="exact"/>
        <w:rPr>
          <w:sz w:val="20"/>
          <w:szCs w:val="20"/>
          <w:color w:val="auto"/>
        </w:rPr>
      </w:pPr>
    </w:p>
    <w:p>
      <w:pPr>
        <w:jc w:val="both"/>
        <w:ind w:firstLine="172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Resignation for Good Reason</w:t>
      </w:r>
      <w:r>
        <w:rPr>
          <w:rFonts w:ascii="Times New Roman" w:cs="Times New Roman" w:eastAsia="Times New Roman" w:hAnsi="Times New Roman"/>
          <w:sz w:val="20"/>
          <w:szCs w:val="20"/>
          <w:color w:val="auto"/>
        </w:rPr>
        <w:t>” means a Separation as a result of your resignation within 12 months after one of the following conditions has come into existence without your consent:</w:t>
      </w:r>
    </w:p>
    <w:p>
      <w:pPr>
        <w:spacing w:after="0" w:line="156" w:lineRule="exact"/>
        <w:rPr>
          <w:sz w:val="20"/>
          <w:szCs w:val="20"/>
          <w:color w:val="auto"/>
        </w:rPr>
      </w:pPr>
    </w:p>
    <w:p>
      <w:pPr>
        <w:ind w:left="3200" w:hanging="867"/>
        <w:spacing w:after="0"/>
        <w:tabs>
          <w:tab w:leader="none" w:pos="320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salary;</w:t>
      </w:r>
    </w:p>
    <w:p>
      <w:pPr>
        <w:spacing w:after="0" w:line="215" w:lineRule="exact"/>
        <w:rPr>
          <w:rFonts w:ascii="Times New Roman" w:cs="Times New Roman" w:eastAsia="Times New Roman" w:hAnsi="Times New Roman"/>
          <w:sz w:val="20"/>
          <w:szCs w:val="20"/>
          <w:color w:val="auto"/>
        </w:rPr>
      </w:pPr>
    </w:p>
    <w:p>
      <w:pPr>
        <w:ind w:left="3220" w:hanging="887"/>
        <w:spacing w:after="0"/>
        <w:tabs>
          <w:tab w:leader="none" w:pos="322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authority, duties or responsibilities; or</w:t>
      </w:r>
    </w:p>
    <w:p>
      <w:pPr>
        <w:spacing w:after="0" w:line="215" w:lineRule="exact"/>
        <w:rPr>
          <w:rFonts w:ascii="Times New Roman" w:cs="Times New Roman" w:eastAsia="Times New Roman" w:hAnsi="Times New Roman"/>
          <w:sz w:val="20"/>
          <w:szCs w:val="20"/>
          <w:color w:val="auto"/>
        </w:rPr>
      </w:pPr>
    </w:p>
    <w:p>
      <w:pPr>
        <w:ind w:left="3200" w:hanging="867"/>
        <w:spacing w:after="0"/>
        <w:tabs>
          <w:tab w:leader="none" w:pos="320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must perform your services for</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Company.</w:t>
      </w:r>
    </w:p>
    <w:p>
      <w:pPr>
        <w:spacing w:after="0" w:line="194"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spacing w:after="0" w:line="1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Separation</w:t>
      </w:r>
      <w:r>
        <w:rPr>
          <w:rFonts w:ascii="Times New Roman" w:cs="Times New Roman" w:eastAsia="Times New Roman" w:hAnsi="Times New Roman"/>
          <w:sz w:val="20"/>
          <w:szCs w:val="20"/>
          <w:color w:val="auto"/>
        </w:rPr>
        <w:t>” means a “separation from service,” as defined in the regulations under Section 409A of the Code.</w:t>
      </w:r>
    </w:p>
    <w:p>
      <w:pPr>
        <w:spacing w:after="0" w:line="216" w:lineRule="exact"/>
        <w:rPr>
          <w:sz w:val="20"/>
          <w:szCs w:val="20"/>
          <w:color w:val="auto"/>
        </w:rPr>
      </w:pPr>
    </w:p>
    <w:p>
      <w:pPr>
        <w:jc w:val="both"/>
        <w:ind w:right="20" w:firstLine="172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Without Cause</w:t>
      </w:r>
      <w:r>
        <w:rPr>
          <w:rFonts w:ascii="Times New Roman" w:cs="Times New Roman" w:eastAsia="Times New Roman" w:hAnsi="Times New Roman"/>
          <w:sz w:val="20"/>
          <w:szCs w:val="20"/>
          <w:color w:val="auto"/>
        </w:rPr>
        <w:t>” means a Separation as a result of a termination of your employment by the Company without Cause, provided you are willing and able to continue performing services within the meaning of Treasury Regulation 1.409A-1(n)</w:t>
      </w:r>
    </w:p>
    <w:p>
      <w:pPr>
        <w:spacing w:after="0"/>
        <w:rPr>
          <w:sz w:val="20"/>
          <w:szCs w:val="20"/>
          <w:color w:val="auto"/>
        </w:rPr>
      </w:pPr>
      <w:r>
        <w:rPr>
          <w:rFonts w:ascii="Times New Roman" w:cs="Times New Roman" w:eastAsia="Times New Roman" w:hAnsi="Times New Roman"/>
          <w:sz w:val="20"/>
          <w:szCs w:val="20"/>
          <w:color w:val="auto"/>
        </w:rPr>
        <w:t>(1).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20"/>
          <w:szCs w:val="20"/>
          <w:color w:val="auto"/>
        </w:rPr>
        <w:t>Aziz Mottiwala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200" w:lineRule="exact"/>
        <w:rPr>
          <w:sz w:val="20"/>
          <w:szCs w:val="20"/>
          <w:color w:val="auto"/>
        </w:rPr>
      </w:pPr>
    </w:p>
    <w:p>
      <w:pPr>
        <w:spacing w:after="0" w:line="237"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0"/>
          <w:szCs w:val="20"/>
          <w:color w:val="auto"/>
        </w:rPr>
        <w:t>Aziz Mottiwala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200" w:lineRule="exact"/>
        <w:rPr>
          <w:sz w:val="20"/>
          <w:szCs w:val="20"/>
          <w:color w:val="auto"/>
        </w:rPr>
      </w:pP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June 24, 2020. Your employment with the Company is contingent upon satisfactory completion of a background check, Board approval and, as required by law, upon your providing legal proof of your identity and authorization to work in the United States. Your employment is also contingent upon your starting work with the Company on or before August 17, 2020.</w:t>
      </w:r>
    </w:p>
    <w:p>
      <w:pPr>
        <w:spacing w:after="0" w:line="29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If you have any questions, please call me at</w:t>
      </w:r>
    </w:p>
    <w:p>
      <w:pPr>
        <w:spacing w:after="0" w:line="3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HARMACEUTICALS</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wp:posOffset>
            </wp:positionV>
            <wp:extent cx="12172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w:t>
      </w:r>
      <w:r>
        <w:rPr>
          <w:rFonts w:ascii="Times New Roman" w:cs="Times New Roman" w:eastAsia="Times New Roman" w:hAnsi="Times New Roman"/>
          <w:sz w:val="20"/>
          <w:szCs w:val="20"/>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Aziz Mottiwala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376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Aziz Mottiwala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June 23,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Proprietary Information and Inventions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8" w:right="339" w:bottom="1440" w:gutter="0" w:footer="0" w:header="0"/>
        </w:sectPr>
      </w:pPr>
    </w:p>
    <w:bookmarkStart w:id="307" w:name="page308"/>
    <w:bookmarkEnd w:id="307"/>
    <w:p>
      <w:pPr>
        <w:jc w:val="center"/>
        <w:spacing w:after="0" w:line="258"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3"/>
          <w:szCs w:val="13"/>
          <w:b w:val="1"/>
          <w:bCs w:val="1"/>
          <w:color w:val="auto"/>
        </w:rPr>
        <w:t>ERTAIN IDENTIFIED INFORMATION HAS BEEN OMITTED FROM THIS DOCUMENT BECAUSE IT IS BOTH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3"/>
          <w:szCs w:val="13"/>
          <w:b w:val="1"/>
          <w:bCs w:val="1"/>
          <w:color w:val="auto"/>
        </w:rPr>
        <w:t>MATERIAL AND WOULD LIKELY CAUSE COMPETITIVE HARM TO THE REGISTRANT IF PUBLICLY DISCLOSED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3"/>
          <w:szCs w:val="13"/>
          <w:b w:val="1"/>
          <w:bCs w:val="1"/>
          <w:color w:val="auto"/>
        </w:rPr>
        <w:t xml:space="preserve"> AND HAS BEEN MARKED WITH </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3"/>
          <w:szCs w:val="13"/>
          <w:b w:val="1"/>
          <w:bCs w:val="1"/>
          <w:color w:val="auto"/>
        </w:rPr>
        <w:t>TO INDICATE WHERE OMISSIONS HAVE BEEN MADE</w:t>
      </w:r>
      <w:r>
        <w:rPr>
          <w:rFonts w:ascii="Times New Roman" w:cs="Times New Roman" w:eastAsia="Times New Roman" w:hAnsi="Times New Roman"/>
          <w:sz w:val="21"/>
          <w:szCs w:val="21"/>
          <w:b w:val="1"/>
          <w:bCs w:val="1"/>
          <w:color w:val="auto"/>
        </w:rPr>
        <w:t>.</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LICENSE AGREEMENT</w:t>
      </w:r>
    </w:p>
    <w:p>
      <w:pPr>
        <w:spacing w:after="0" w:line="324"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This Amendment to License Agreement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made and entered into as of September 3, 2020 (the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 between Elanco Tiergesundheit AG, a Swiss corporation having place of business at Mattenstrasse 24A, 4058 Basel,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Switzerland (“</w:t>
      </w:r>
      <w:r>
        <w:rPr>
          <w:rFonts w:ascii="Times New Roman" w:cs="Times New Roman" w:eastAsia="Times New Roman" w:hAnsi="Times New Roman"/>
          <w:sz w:val="20"/>
          <w:szCs w:val="20"/>
          <w:b w:val="1"/>
          <w:bCs w:val="1"/>
          <w:i w:val="1"/>
          <w:iCs w:val="1"/>
          <w:color w:val="auto"/>
        </w:rPr>
        <w:t>Elanco</w:t>
      </w:r>
      <w:r>
        <w:rPr>
          <w:rFonts w:ascii="Times New Roman" w:cs="Times New Roman" w:eastAsia="Times New Roman" w:hAnsi="Times New Roman"/>
          <w:sz w:val="20"/>
          <w:szCs w:val="20"/>
          <w:color w:val="auto"/>
        </w:rPr>
        <w:t>”) and Tarsus Pharmaceuticals, Inc., a Delaware corporation having its principal offices at 4590 MacArthur Blvd. Suite 500, Newport Beach, CA 92660 (“</w:t>
      </w:r>
      <w:r>
        <w:rPr>
          <w:rFonts w:ascii="Times New Roman" w:cs="Times New Roman" w:eastAsia="Times New Roman" w:hAnsi="Times New Roman"/>
          <w:sz w:val="20"/>
          <w:szCs w:val="20"/>
          <w:b w:val="1"/>
          <w:bCs w:val="1"/>
          <w:i w:val="1"/>
          <w:iCs w:val="1"/>
          <w:color w:val="auto"/>
        </w:rPr>
        <w:t>Tarsus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WHEREAS, Elanco and Tarsus entered into that certain License Agreement, dated January 31, 2019 (the “</w:t>
      </w:r>
      <w:r>
        <w:rPr>
          <w:rFonts w:ascii="Times New Roman" w:cs="Times New Roman" w:eastAsia="Times New Roman" w:hAnsi="Times New Roman"/>
          <w:sz w:val="20"/>
          <w:szCs w:val="20"/>
          <w:b w:val="1"/>
          <w:bCs w:val="1"/>
          <w:i w:val="1"/>
          <w:iCs w:val="1"/>
          <w:color w:val="auto"/>
        </w:rPr>
        <w:t>License Agreement</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194"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WHEREAS, Elanco and Tarsus desire to modify the License Agreement in accordance with the terms and conditions of this Amendment.</w:t>
      </w:r>
    </w:p>
    <w:p>
      <w:pPr>
        <w:spacing w:after="0" w:line="159"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and sufficiency of which is hereby acknowledged, Elanco and Tarsus agree and amend the License Agreement as follows:</w:t>
      </w:r>
    </w:p>
    <w:p>
      <w:pPr>
        <w:spacing w:after="0" w:line="171" w:lineRule="exact"/>
        <w:rPr>
          <w:sz w:val="20"/>
          <w:szCs w:val="20"/>
          <w:color w:val="auto"/>
        </w:rPr>
      </w:pPr>
    </w:p>
    <w:p>
      <w:pPr>
        <w:ind w:left="1260" w:hanging="820"/>
        <w:spacing w:after="0"/>
        <w:tabs>
          <w:tab w:leader="none" w:pos="1260"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capitalized terms used but not otherwise defined herein shall have the meanings ascribed to such terms in the License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Agreement.</w:t>
      </w:r>
    </w:p>
    <w:p>
      <w:pPr>
        <w:spacing w:after="0" w:line="207" w:lineRule="exact"/>
        <w:rPr>
          <w:rFonts w:ascii="Times New Roman" w:cs="Times New Roman" w:eastAsia="Times New Roman" w:hAnsi="Times New Roman"/>
          <w:sz w:val="22"/>
          <w:szCs w:val="22"/>
          <w:color w:val="auto"/>
        </w:rPr>
      </w:pPr>
    </w:p>
    <w:p>
      <w:pPr>
        <w:ind w:left="1260" w:hanging="820"/>
        <w:spacing w:after="0"/>
        <w:tabs>
          <w:tab w:leader="none" w:pos="126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New Section 1.10 is hereby added to the License Agreement as follows (and, accordingly, the numbering of Section previous</w:t>
      </w:r>
    </w:p>
    <w:p>
      <w:pPr>
        <w:spacing w:after="0" w:line="1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1.10 and all other subsections of Section 1 are increased by one (1) subsection number):</w:t>
      </w:r>
    </w:p>
    <w:p>
      <w:pPr>
        <w:spacing w:after="0" w:line="189" w:lineRule="exact"/>
        <w:rPr>
          <w:sz w:val="20"/>
          <w:szCs w:val="20"/>
          <w:color w:val="auto"/>
        </w:rPr>
      </w:pPr>
    </w:p>
    <w:p>
      <w:pPr>
        <w:jc w:val="both"/>
        <w:ind w:left="440" w:right="44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b w:val="1"/>
          <w:bCs w:val="1"/>
          <w:i w:val="1"/>
          <w:iCs w:val="1"/>
          <w:color w:val="auto"/>
        </w:rPr>
        <w:t>Elanco Field</w:t>
      </w:r>
      <w:r>
        <w:rPr>
          <w:rFonts w:ascii="Times New Roman" w:cs="Times New Roman" w:eastAsia="Times New Roman" w:hAnsi="Times New Roman"/>
          <w:sz w:val="19"/>
          <w:szCs w:val="19"/>
          <w:color w:val="auto"/>
        </w:rPr>
        <w:t>’ means all applications for non-human animals, agricultural applications, seed treatment applications and urban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pest applications related to structural, turf, lawns and gardens, including treatment of premises and ornamental pest markets but excluding, for clarity, any mosquito vector control for human disease or any human therapeutics.”</w:t>
      </w:r>
    </w:p>
    <w:p>
      <w:pPr>
        <w:spacing w:after="0" w:line="180" w:lineRule="exact"/>
        <w:rPr>
          <w:sz w:val="20"/>
          <w:szCs w:val="20"/>
          <w:color w:val="auto"/>
        </w:rPr>
      </w:pPr>
    </w:p>
    <w:p>
      <w:pPr>
        <w:ind w:firstLine="440"/>
        <w:spacing w:after="0" w:line="245" w:lineRule="auto"/>
        <w:tabs>
          <w:tab w:leader="none" w:pos="1242"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New Section 1.12 is hereby added to the License Agreement as follows (and, accordingly, the numbering of Section 1.12 and all other subsections of Section 1 are increased by one (1) subsection number):</w:t>
      </w:r>
    </w:p>
    <w:p>
      <w:pPr>
        <w:spacing w:after="0" w:line="178" w:lineRule="exact"/>
        <w:rPr>
          <w:sz w:val="20"/>
          <w:szCs w:val="20"/>
          <w:color w:val="auto"/>
        </w:rPr>
      </w:pPr>
    </w:p>
    <w:p>
      <w:pPr>
        <w:jc w:val="both"/>
        <w:ind w:left="440" w:right="4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Manufacturer</w:t>
      </w:r>
      <w:r>
        <w:rPr>
          <w:rFonts w:ascii="Times New Roman" w:cs="Times New Roman" w:eastAsia="Times New Roman" w:hAnsi="Times New Roman"/>
          <w:sz w:val="20"/>
          <w:szCs w:val="20"/>
          <w:color w:val="auto"/>
        </w:rPr>
        <w:t>” means a third party that manufactures for which Tarsus pays (or has paid) Elanco $[***] pursuant to Section 3.1 of that certain License Agreement entered into by and between Tarsus and Elanco on or around even date herewith (the “</w:t>
      </w:r>
      <w:r>
        <w:rPr>
          <w:rFonts w:ascii="Times New Roman" w:cs="Times New Roman" w:eastAsia="Times New Roman" w:hAnsi="Times New Roman"/>
          <w:sz w:val="20"/>
          <w:szCs w:val="20"/>
          <w:b w:val="1"/>
          <w:bCs w:val="1"/>
          <w:i w:val="1"/>
          <w:iCs w:val="1"/>
          <w:color w:val="auto"/>
        </w:rPr>
        <w:t>Systemic License 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right="20" w:firstLine="440"/>
        <w:spacing w:after="0" w:line="245" w:lineRule="auto"/>
        <w:tabs>
          <w:tab w:leader="none" w:pos="1242"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first sentence of Section 1.14 (previously Section 1.13) of the License Agreement is hereby amended and restated as follows (with new text marked in </w:t>
      </w:r>
      <w:r>
        <w:rPr>
          <w:rFonts w:ascii="Times New Roman" w:cs="Times New Roman" w:eastAsia="Times New Roman" w:hAnsi="Times New Roman"/>
          <w:sz w:val="20"/>
          <w:szCs w:val="20"/>
          <w:b w:val="1"/>
          <w:bCs w:val="1"/>
          <w:u w:val="single" w:color="auto"/>
          <w:color w:val="auto"/>
        </w:rPr>
        <w:t>bold underline</w:t>
      </w:r>
      <w:r>
        <w:rPr>
          <w:rFonts w:ascii="Times New Roman" w:cs="Times New Roman" w:eastAsia="Times New Roman" w:hAnsi="Times New Roman"/>
          <w:sz w:val="20"/>
          <w:szCs w:val="20"/>
          <w:color w:val="auto"/>
        </w:rPr>
        <w:t xml:space="preserve">, and deleted text marked in </w:t>
      </w:r>
      <w:r>
        <w:rPr>
          <w:rFonts w:ascii="Times New Roman" w:cs="Times New Roman" w:eastAsia="Times New Roman" w:hAnsi="Times New Roman"/>
          <w:sz w:val="20"/>
          <w:szCs w:val="20"/>
          <w:color w:val="auto"/>
          <w:strike w:val="1"/>
        </w:rPr>
        <w:t>strikethrough</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4946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8" w:name="page309"/>
    <w:bookmarkEnd w:id="308"/>
    <w:p>
      <w:pPr>
        <w:jc w:val="both"/>
        <w:ind w:left="420" w:right="440"/>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Commercial Sale</w:t>
      </w:r>
      <w:r>
        <w:rPr>
          <w:rFonts w:ascii="Times New Roman" w:cs="Times New Roman" w:eastAsia="Times New Roman" w:hAnsi="Times New Roman"/>
          <w:sz w:val="20"/>
          <w:szCs w:val="20"/>
          <w:color w:val="auto"/>
        </w:rPr>
        <w:t xml:space="preserve">’ for a country means the first commercial sale of a Licensed Product to a Third Party by Tarsus or any of its Affiliates or sublicensees of such Licensed Product after final approval by the applicable government authority to market such product for human use in </w:t>
      </w:r>
      <w:r>
        <w:rPr>
          <w:rFonts w:ascii="Times New Roman" w:cs="Times New Roman" w:eastAsia="Times New Roman" w:hAnsi="Times New Roman"/>
          <w:sz w:val="20"/>
          <w:szCs w:val="20"/>
          <w:b w:val="1"/>
          <w:bCs w:val="1"/>
          <w:u w:val="single" w:color="auto"/>
          <w:color w:val="auto"/>
        </w:rPr>
        <w:t>the Field in</w:t>
      </w:r>
      <w:r>
        <w:rPr>
          <w:rFonts w:ascii="Times New Roman" w:cs="Times New Roman" w:eastAsia="Times New Roman" w:hAnsi="Times New Roman"/>
          <w:sz w:val="20"/>
          <w:szCs w:val="20"/>
          <w:color w:val="auto"/>
        </w:rPr>
        <w:t xml:space="preserve"> such country (e.g. NDA approval).”</w:t>
      </w:r>
    </w:p>
    <w:p>
      <w:pPr>
        <w:spacing w:after="0" w:line="184" w:lineRule="exact"/>
        <w:rPr>
          <w:sz w:val="20"/>
          <w:szCs w:val="20"/>
          <w:color w:val="auto"/>
        </w:rPr>
      </w:pPr>
    </w:p>
    <w:p>
      <w:pPr>
        <w:ind w:left="-20" w:right="20" w:firstLine="440"/>
        <w:spacing w:after="0" w:line="245" w:lineRule="auto"/>
        <w:tabs>
          <w:tab w:leader="none" w:pos="1222"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first sentence of Section 1.26 (previously Section 1.25) of the License Agreement is hereby amended and restated as follows (with new text marked in </w:t>
      </w:r>
      <w:r>
        <w:rPr>
          <w:rFonts w:ascii="Times New Roman" w:cs="Times New Roman" w:eastAsia="Times New Roman" w:hAnsi="Times New Roman"/>
          <w:sz w:val="20"/>
          <w:szCs w:val="20"/>
          <w:b w:val="1"/>
          <w:bCs w:val="1"/>
          <w:u w:val="single" w:color="auto"/>
          <w:color w:val="auto"/>
        </w:rPr>
        <w:t>bold underline</w:t>
      </w:r>
      <w:r>
        <w:rPr>
          <w:rFonts w:ascii="Times New Roman" w:cs="Times New Roman" w:eastAsia="Times New Roman" w:hAnsi="Times New Roman"/>
          <w:sz w:val="20"/>
          <w:szCs w:val="20"/>
          <w:color w:val="auto"/>
        </w:rPr>
        <w:t xml:space="preserve">, and deleted text marked in </w:t>
      </w:r>
      <w:r>
        <w:rPr>
          <w:rFonts w:ascii="Times New Roman" w:cs="Times New Roman" w:eastAsia="Times New Roman" w:hAnsi="Times New Roman"/>
          <w:sz w:val="20"/>
          <w:szCs w:val="20"/>
          <w:color w:val="auto"/>
          <w:strike w:val="1"/>
        </w:rPr>
        <w:t>strikethrough</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2"/>
          <w:szCs w:val="22"/>
          <w:color w:val="auto"/>
        </w:rPr>
      </w:pPr>
    </w:p>
    <w:p>
      <w:pPr>
        <w:jc w:val="both"/>
        <w:ind w:left="860"/>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Net Sales</w:t>
      </w:r>
      <w:r>
        <w:rPr>
          <w:rFonts w:ascii="Times New Roman" w:cs="Times New Roman" w:eastAsia="Times New Roman" w:hAnsi="Times New Roman"/>
          <w:sz w:val="20"/>
          <w:szCs w:val="20"/>
          <w:color w:val="auto"/>
        </w:rPr>
        <w:t xml:space="preserve">’ means, with respect to a Licensed Product, the gross amount invoiced by Tarsus (including a Tarsus Affiliate) or any sublicensee thereof to unrelated Third Parties, excluding any sublicensee, for such Licensed Product </w:t>
      </w:r>
      <w:r>
        <w:rPr>
          <w:rFonts w:ascii="Times New Roman" w:cs="Times New Roman" w:eastAsia="Times New Roman" w:hAnsi="Times New Roman"/>
          <w:sz w:val="20"/>
          <w:szCs w:val="20"/>
          <w:b w:val="1"/>
          <w:bCs w:val="1"/>
          <w:u w:val="single" w:color="auto"/>
          <w:color w:val="auto"/>
        </w:rPr>
        <w:t>in the Field</w:t>
      </w:r>
      <w:r>
        <w:rPr>
          <w:rFonts w:ascii="Times New Roman" w:cs="Times New Roman" w:eastAsia="Times New Roman" w:hAnsi="Times New Roman"/>
          <w:sz w:val="20"/>
          <w:szCs w:val="20"/>
          <w:color w:val="auto"/>
        </w:rPr>
        <w:t xml:space="preserve"> in the Territory during the Royalty Term in the country of sale,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following items applied consistent with U.S. Generally Accepted Accounting Principles:</w:t>
      </w:r>
    </w:p>
    <w:p>
      <w:pPr>
        <w:spacing w:after="0" w:line="193" w:lineRule="exact"/>
        <w:rPr>
          <w:sz w:val="20"/>
          <w:szCs w:val="20"/>
          <w:color w:val="auto"/>
        </w:rPr>
      </w:pPr>
    </w:p>
    <w:p>
      <w:pPr>
        <w:ind w:left="1420" w:hanging="568"/>
        <w:spacing w:after="0"/>
        <w:tabs>
          <w:tab w:leader="none" w:pos="1420"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quantity and cash discounts allowed;</w:t>
      </w:r>
    </w:p>
    <w:p>
      <w:pPr>
        <w:spacing w:after="0" w:line="229" w:lineRule="exact"/>
        <w:rPr>
          <w:rFonts w:ascii="Times New Roman" w:cs="Times New Roman" w:eastAsia="Times New Roman" w:hAnsi="Times New Roman"/>
          <w:sz w:val="20"/>
          <w:szCs w:val="20"/>
          <w:color w:val="auto"/>
        </w:rPr>
      </w:pPr>
    </w:p>
    <w:p>
      <w:pPr>
        <w:ind w:left="860" w:right="140" w:hanging="8"/>
        <w:spacing w:after="0" w:line="269" w:lineRule="auto"/>
        <w:tabs>
          <w:tab w:leader="none" w:pos="1387"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refunds, rebates, chargebacks, retroactive price adjustments, and any other allowances which effectively reduce the net selling price;</w:t>
      </w:r>
    </w:p>
    <w:p>
      <w:pPr>
        <w:spacing w:after="0" w:line="172" w:lineRule="exact"/>
        <w:rPr>
          <w:rFonts w:ascii="Times New Roman" w:cs="Times New Roman" w:eastAsia="Times New Roman" w:hAnsi="Times New Roman"/>
          <w:sz w:val="20"/>
          <w:szCs w:val="20"/>
          <w:color w:val="auto"/>
        </w:rPr>
      </w:pPr>
    </w:p>
    <w:p>
      <w:pPr>
        <w:ind w:left="1320" w:hanging="468"/>
        <w:spacing w:after="0"/>
        <w:tabs>
          <w:tab w:leader="none" w:pos="1320"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Licensed Product returns and allowances;</w:t>
      </w:r>
    </w:p>
    <w:p>
      <w:pPr>
        <w:spacing w:after="0" w:line="229" w:lineRule="exact"/>
        <w:rPr>
          <w:rFonts w:ascii="Times New Roman" w:cs="Times New Roman" w:eastAsia="Times New Roman" w:hAnsi="Times New Roman"/>
          <w:sz w:val="20"/>
          <w:szCs w:val="20"/>
          <w:color w:val="auto"/>
        </w:rPr>
      </w:pPr>
    </w:p>
    <w:p>
      <w:pPr>
        <w:ind w:left="1380" w:hanging="528"/>
        <w:spacing w:after="0"/>
        <w:tabs>
          <w:tab w:leader="none" w:pos="1380"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portion of the sales value associated with drug delivery systems, where applicable;</w:t>
      </w:r>
    </w:p>
    <w:p>
      <w:pPr>
        <w:spacing w:after="0" w:line="229" w:lineRule="exact"/>
        <w:rPr>
          <w:rFonts w:ascii="Times New Roman" w:cs="Times New Roman" w:eastAsia="Times New Roman" w:hAnsi="Times New Roman"/>
          <w:sz w:val="20"/>
          <w:szCs w:val="20"/>
          <w:color w:val="auto"/>
        </w:rPr>
      </w:pPr>
    </w:p>
    <w:p>
      <w:pPr>
        <w:ind w:left="860" w:right="180" w:hanging="8"/>
        <w:spacing w:after="0" w:line="269" w:lineRule="auto"/>
        <w:tabs>
          <w:tab w:leader="none" w:pos="1376"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imposed on the production, sale, delivery or use of the Licensed Product, including, without limitation, sales, use, excise or value added taxes;</w:t>
      </w:r>
    </w:p>
    <w:p>
      <w:pPr>
        <w:spacing w:after="0" w:line="172" w:lineRule="exact"/>
        <w:rPr>
          <w:rFonts w:ascii="Times New Roman" w:cs="Times New Roman" w:eastAsia="Times New Roman" w:hAnsi="Times New Roman"/>
          <w:sz w:val="20"/>
          <w:szCs w:val="20"/>
          <w:color w:val="auto"/>
        </w:rPr>
      </w:pPr>
    </w:p>
    <w:p>
      <w:pPr>
        <w:ind w:left="1400" w:hanging="548"/>
        <w:spacing w:after="0"/>
        <w:tabs>
          <w:tab w:leader="none" w:pos="1400"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Wholesaler inventory management fees;</w:t>
      </w:r>
    </w:p>
    <w:p>
      <w:pPr>
        <w:spacing w:after="0" w:line="229" w:lineRule="exact"/>
        <w:rPr>
          <w:rFonts w:ascii="Times New Roman" w:cs="Times New Roman" w:eastAsia="Times New Roman" w:hAnsi="Times New Roman"/>
          <w:sz w:val="20"/>
          <w:szCs w:val="20"/>
          <w:color w:val="auto"/>
        </w:rPr>
      </w:pPr>
    </w:p>
    <w:p>
      <w:pPr>
        <w:ind w:left="1360" w:hanging="508"/>
        <w:spacing w:after="0"/>
        <w:tabs>
          <w:tab w:leader="none" w:pos="1360"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Allowance for distribution expenses; and</w:t>
      </w:r>
    </w:p>
    <w:p>
      <w:pPr>
        <w:spacing w:after="0" w:line="229" w:lineRule="exact"/>
        <w:rPr>
          <w:rFonts w:ascii="Times New Roman" w:cs="Times New Roman" w:eastAsia="Times New Roman" w:hAnsi="Times New Roman"/>
          <w:sz w:val="20"/>
          <w:szCs w:val="20"/>
          <w:color w:val="auto"/>
        </w:rPr>
      </w:pPr>
    </w:p>
    <w:p>
      <w:pPr>
        <w:ind w:left="1340" w:hanging="520"/>
        <w:spacing w:after="0"/>
        <w:tabs>
          <w:tab w:leader="none" w:pos="134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similar and customary deductions which are in accordance with GAAP.”</w:t>
      </w:r>
    </w:p>
    <w:p>
      <w:pPr>
        <w:spacing w:after="0" w:line="229" w:lineRule="exact"/>
        <w:rPr>
          <w:sz w:val="20"/>
          <w:szCs w:val="20"/>
          <w:color w:val="auto"/>
        </w:rPr>
      </w:pPr>
    </w:p>
    <w:p>
      <w:pPr>
        <w:ind w:left="-20" w:firstLine="440"/>
        <w:spacing w:after="0" w:line="245" w:lineRule="auto"/>
        <w:tabs>
          <w:tab w:leader="none" w:pos="1222"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Section 1.28 (previously Section 1.27) of the License Agreement is hereby amended and restated as follows (with new text marked in </w:t>
      </w:r>
      <w:r>
        <w:rPr>
          <w:rFonts w:ascii="Times New Roman" w:cs="Times New Roman" w:eastAsia="Times New Roman" w:hAnsi="Times New Roman"/>
          <w:sz w:val="20"/>
          <w:szCs w:val="20"/>
          <w:b w:val="1"/>
          <w:bCs w:val="1"/>
          <w:u w:val="single" w:color="auto"/>
          <w:color w:val="auto"/>
        </w:rPr>
        <w:t>bold underline</w:t>
      </w:r>
      <w:r>
        <w:rPr>
          <w:rFonts w:ascii="Times New Roman" w:cs="Times New Roman" w:eastAsia="Times New Roman" w:hAnsi="Times New Roman"/>
          <w:sz w:val="20"/>
          <w:szCs w:val="20"/>
          <w:color w:val="auto"/>
        </w:rPr>
        <w:t xml:space="preserve">, and deleted text marked in </w:t>
      </w:r>
      <w:r>
        <w:rPr>
          <w:rFonts w:ascii="Times New Roman" w:cs="Times New Roman" w:eastAsia="Times New Roman" w:hAnsi="Times New Roman"/>
          <w:sz w:val="20"/>
          <w:szCs w:val="20"/>
          <w:color w:val="auto"/>
          <w:strike w:val="1"/>
        </w:rPr>
        <w:t>strikethrough</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420" w:right="4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Phase 2 Clinical Trial’</w:t>
      </w:r>
      <w:r>
        <w:rPr>
          <w:rFonts w:ascii="Times New Roman" w:cs="Times New Roman" w:eastAsia="Times New Roman" w:hAnsi="Times New Roman"/>
          <w:sz w:val="20"/>
          <w:szCs w:val="20"/>
          <w:color w:val="auto"/>
        </w:rPr>
        <w:t xml:space="preserve"> means a clinical trial phase 2a, 2b or adaptive design </w:t>
      </w:r>
      <w:r>
        <w:rPr>
          <w:rFonts w:ascii="Times New Roman" w:cs="Times New Roman" w:eastAsia="Times New Roman" w:hAnsi="Times New Roman"/>
          <w:sz w:val="20"/>
          <w:szCs w:val="20"/>
          <w:b w:val="1"/>
          <w:bCs w:val="1"/>
          <w:u w:val="single" w:color="auto"/>
          <w:color w:val="auto"/>
        </w:rPr>
        <w:t>for an indication in the Field</w:t>
      </w:r>
      <w:r>
        <w:rPr>
          <w:rFonts w:ascii="Times New Roman" w:cs="Times New Roman" w:eastAsia="Times New Roman" w:hAnsi="Times New Roman"/>
          <w:sz w:val="20"/>
          <w:szCs w:val="20"/>
          <w:color w:val="auto"/>
        </w:rPr>
        <w:t xml:space="preserve"> that is both (a) designed to evaluate clinical efficacy and safety for a pharmaceutical product, in a manner that is generally consistent with 21 C.F.R. § 312.21(b), as amended (or its successor regulation) and/or any analogous applicable law outside of the United States, as applicable, and (b) is necessary to enable Regulatory Approval in the United States or any Major European Country.”</w:t>
      </w:r>
    </w:p>
    <w:p>
      <w:pPr>
        <w:spacing w:after="0" w:line="193" w:lineRule="exact"/>
        <w:rPr>
          <w:sz w:val="20"/>
          <w:szCs w:val="20"/>
          <w:color w:val="auto"/>
        </w:rPr>
      </w:pPr>
    </w:p>
    <w:p>
      <w:pPr>
        <w:ind w:left="-20" w:firstLine="440"/>
        <w:spacing w:after="0" w:line="245" w:lineRule="auto"/>
        <w:tabs>
          <w:tab w:leader="none" w:pos="1222"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Section 1.29 (previously Section 1.28) of the License Agreement is hereby amended and restated as follows (with new text marked in </w:t>
      </w:r>
      <w:r>
        <w:rPr>
          <w:rFonts w:ascii="Times New Roman" w:cs="Times New Roman" w:eastAsia="Times New Roman" w:hAnsi="Times New Roman"/>
          <w:sz w:val="20"/>
          <w:szCs w:val="20"/>
          <w:b w:val="1"/>
          <w:bCs w:val="1"/>
          <w:u w:val="single" w:color="auto"/>
          <w:color w:val="auto"/>
        </w:rPr>
        <w:t>bold underline</w:t>
      </w:r>
      <w:r>
        <w:rPr>
          <w:rFonts w:ascii="Times New Roman" w:cs="Times New Roman" w:eastAsia="Times New Roman" w:hAnsi="Times New Roman"/>
          <w:sz w:val="20"/>
          <w:szCs w:val="20"/>
          <w:color w:val="auto"/>
        </w:rPr>
        <w:t xml:space="preserve">, and deleted text marked in </w:t>
      </w:r>
      <w:r>
        <w:rPr>
          <w:rFonts w:ascii="Times New Roman" w:cs="Times New Roman" w:eastAsia="Times New Roman" w:hAnsi="Times New Roman"/>
          <w:sz w:val="20"/>
          <w:szCs w:val="20"/>
          <w:color w:val="auto"/>
          <w:strike w:val="1"/>
        </w:rPr>
        <w:t>strikethrough</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420" w:right="440"/>
        <w:spacing w:after="0" w:line="247" w:lineRule="auto"/>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Phase 3 Clinical Trial</w:t>
      </w:r>
      <w:r>
        <w:rPr>
          <w:rFonts w:ascii="Times New Roman" w:cs="Times New Roman" w:eastAsia="Times New Roman" w:hAnsi="Times New Roman"/>
          <w:sz w:val="20"/>
          <w:szCs w:val="20"/>
          <w:color w:val="auto"/>
        </w:rPr>
        <w:t xml:space="preserve">’ means a pivotal clinical trial </w:t>
      </w:r>
      <w:r>
        <w:rPr>
          <w:rFonts w:ascii="Times New Roman" w:cs="Times New Roman" w:eastAsia="Times New Roman" w:hAnsi="Times New Roman"/>
          <w:sz w:val="20"/>
          <w:szCs w:val="20"/>
          <w:b w:val="1"/>
          <w:bCs w:val="1"/>
          <w:u w:val="single" w:color="auto"/>
          <w:color w:val="auto"/>
        </w:rPr>
        <w:t>for an indication in the Field</w:t>
      </w:r>
      <w:r>
        <w:rPr>
          <w:rFonts w:ascii="Times New Roman" w:cs="Times New Roman" w:eastAsia="Times New Roman" w:hAnsi="Times New Roman"/>
          <w:sz w:val="20"/>
          <w:szCs w:val="20"/>
          <w:color w:val="auto"/>
        </w:rPr>
        <w:t xml:space="preserve"> that both (a) has a defined dose or a set of defined doses of a pharmaceutical product designed to ascertain efficacy and safety of such product, in a manner that is generally consistent with 21 C.F.R. § 312.21(c), as amended (or its successor regulation) and/or any analogous applicable law outside of the United States, as applicable, and (b) is necessary to enable Marketing Approval in the United States or any Major European Country.”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494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309" w:name="page310"/>
    <w:bookmarkEnd w:id="309"/>
    <w:p>
      <w:pPr>
        <w:ind w:firstLine="440"/>
        <w:spacing w:after="0" w:line="245" w:lineRule="auto"/>
        <w:tabs>
          <w:tab w:leader="none" w:pos="1242"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Section 1.36 (previously Section 1.35) of the License Agreement is hereby amended and restated as follows (with new text marked in </w:t>
      </w:r>
      <w:r>
        <w:rPr>
          <w:rFonts w:ascii="Times New Roman" w:cs="Times New Roman" w:eastAsia="Times New Roman" w:hAnsi="Times New Roman"/>
          <w:sz w:val="20"/>
          <w:szCs w:val="20"/>
          <w:b w:val="1"/>
          <w:bCs w:val="1"/>
          <w:u w:val="single" w:color="auto"/>
          <w:color w:val="auto"/>
        </w:rPr>
        <w:t>bold underline</w:t>
      </w:r>
      <w:r>
        <w:rPr>
          <w:rFonts w:ascii="Times New Roman" w:cs="Times New Roman" w:eastAsia="Times New Roman" w:hAnsi="Times New Roman"/>
          <w:sz w:val="20"/>
          <w:szCs w:val="20"/>
          <w:color w:val="auto"/>
        </w:rPr>
        <w:t xml:space="preserve">, and deleted text marked in </w:t>
      </w:r>
      <w:r>
        <w:rPr>
          <w:rFonts w:ascii="Times New Roman" w:cs="Times New Roman" w:eastAsia="Times New Roman" w:hAnsi="Times New Roman"/>
          <w:sz w:val="20"/>
          <w:szCs w:val="20"/>
          <w:color w:val="auto"/>
          <w:strike w:val="1"/>
        </w:rPr>
        <w:t>strikethrough</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440" w:right="440"/>
        <w:spacing w:after="0" w:line="273" w:lineRule="auto"/>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Sublicense Revenue</w:t>
      </w:r>
      <w:r>
        <w:rPr>
          <w:rFonts w:ascii="Times New Roman" w:cs="Times New Roman" w:eastAsia="Times New Roman" w:hAnsi="Times New Roman"/>
          <w:sz w:val="20"/>
          <w:szCs w:val="20"/>
          <w:color w:val="auto"/>
        </w:rPr>
        <w:t xml:space="preserve">’ means payments that Tarsus receives in consideration for a sublicense of rights under the Licensed IP </w:t>
      </w:r>
      <w:r>
        <w:rPr>
          <w:rFonts w:ascii="Times New Roman" w:cs="Times New Roman" w:eastAsia="Times New Roman" w:hAnsi="Times New Roman"/>
          <w:sz w:val="20"/>
          <w:szCs w:val="20"/>
          <w:b w:val="1"/>
          <w:bCs w:val="1"/>
          <w:u w:val="single" w:color="auto"/>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the Field</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firstLine="440"/>
        <w:spacing w:after="0" w:line="249" w:lineRule="auto"/>
        <w:tabs>
          <w:tab w:leader="none" w:pos="1242"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Section 2.2 of the License Agreement is hereby amended and restated as follows (with new text marked in </w:t>
      </w:r>
      <w:r>
        <w:rPr>
          <w:rFonts w:ascii="Times New Roman" w:cs="Times New Roman" w:eastAsia="Times New Roman" w:hAnsi="Times New Roman"/>
          <w:sz w:val="20"/>
          <w:szCs w:val="20"/>
          <w:b w:val="1"/>
          <w:bCs w:val="1"/>
          <w:u w:val="single" w:color="auto"/>
          <w:color w:val="auto"/>
        </w:rPr>
        <w:t>bold underline</w:t>
      </w:r>
      <w:r>
        <w:rPr>
          <w:rFonts w:ascii="Times New Roman" w:cs="Times New Roman" w:eastAsia="Times New Roman" w:hAnsi="Times New Roman"/>
          <w:sz w:val="20"/>
          <w:szCs w:val="20"/>
          <w:color w:val="auto"/>
        </w:rPr>
        <w:t xml:space="preserve">, and deleted text marked in </w:t>
      </w:r>
      <w:r>
        <w:rPr>
          <w:rFonts w:ascii="Times New Roman" w:cs="Times New Roman" w:eastAsia="Times New Roman" w:hAnsi="Times New Roman"/>
          <w:sz w:val="20"/>
          <w:szCs w:val="20"/>
          <w:color w:val="auto"/>
          <w:strike w:val="1"/>
        </w:rPr>
        <w:t>strikethrough</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440" w:right="4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Tarsus License</w:t>
      </w:r>
      <w:r>
        <w:rPr>
          <w:rFonts w:ascii="Times New Roman" w:cs="Times New Roman" w:eastAsia="Times New Roman" w:hAnsi="Times New Roman"/>
          <w:sz w:val="20"/>
          <w:szCs w:val="20"/>
          <w:color w:val="auto"/>
        </w:rPr>
        <w:t xml:space="preserve">. Tarsus hereby grants to Elanco a worldwide non-exclusive, perpetual, sublicensable (through multiple tiers), royalty-free license, under the Tarsus IP, to research, develop, make, use, sell, offer for sale, import and otherwise exploit Compounds and Licensed Products </w:t>
      </w:r>
      <w:r>
        <w:rPr>
          <w:rFonts w:ascii="Times New Roman" w:cs="Times New Roman" w:eastAsia="Times New Roman" w:hAnsi="Times New Roman"/>
          <w:sz w:val="20"/>
          <w:szCs w:val="20"/>
          <w:color w:val="auto"/>
          <w:strike w:val="1"/>
        </w:rPr>
        <w:t>outside the Field</w:t>
      </w:r>
      <w:r>
        <w:rPr>
          <w:rFonts w:ascii="Times New Roman" w:cs="Times New Roman" w:eastAsia="Times New Roman" w:hAnsi="Times New Roman"/>
          <w:sz w:val="20"/>
          <w:szCs w:val="20"/>
          <w:b w:val="1"/>
          <w:bCs w:val="1"/>
          <w:u w:val="single" w:color="auto"/>
          <w:color w:val="auto"/>
        </w:rPr>
        <w:t>in the Elanco Field</w:t>
      </w:r>
      <w:r>
        <w:rPr>
          <w:rFonts w:ascii="Times New Roman" w:cs="Times New Roman" w:eastAsia="Times New Roman" w:hAnsi="Times New Roman"/>
          <w:sz w:val="20"/>
          <w:szCs w:val="20"/>
          <w:color w:val="auto"/>
        </w:rPr>
        <w:t>. Tarsus may sublicense any or all rights and/or obligations under this Agreement.”</w:t>
      </w:r>
    </w:p>
    <w:p>
      <w:pPr>
        <w:spacing w:after="0" w:line="189" w:lineRule="exact"/>
        <w:rPr>
          <w:sz w:val="20"/>
          <w:szCs w:val="20"/>
          <w:color w:val="auto"/>
        </w:rPr>
      </w:pPr>
    </w:p>
    <w:p>
      <w:pPr>
        <w:ind w:firstLine="440"/>
        <w:spacing w:after="0" w:line="249" w:lineRule="auto"/>
        <w:tabs>
          <w:tab w:leader="none" w:pos="135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Section 3.1 of the License Agreement is hereby amended and restated as follows (with new text marked in </w:t>
      </w:r>
      <w:r>
        <w:rPr>
          <w:rFonts w:ascii="Times New Roman" w:cs="Times New Roman" w:eastAsia="Times New Roman" w:hAnsi="Times New Roman"/>
          <w:sz w:val="20"/>
          <w:szCs w:val="20"/>
          <w:b w:val="1"/>
          <w:bCs w:val="1"/>
          <w:u w:val="single" w:color="auto"/>
          <w:color w:val="auto"/>
        </w:rPr>
        <w:t>bold underline</w:t>
      </w:r>
      <w:r>
        <w:rPr>
          <w:rFonts w:ascii="Times New Roman" w:cs="Times New Roman" w:eastAsia="Times New Roman" w:hAnsi="Times New Roman"/>
          <w:sz w:val="20"/>
          <w:szCs w:val="20"/>
          <w:color w:val="auto"/>
        </w:rPr>
        <w:t xml:space="preserve">, and deleted text marked in </w:t>
      </w:r>
      <w:r>
        <w:rPr>
          <w:rFonts w:ascii="Times New Roman" w:cs="Times New Roman" w:eastAsia="Times New Roman" w:hAnsi="Times New Roman"/>
          <w:sz w:val="20"/>
          <w:szCs w:val="20"/>
          <w:color w:val="auto"/>
          <w:strike w:val="1"/>
        </w:rPr>
        <w:t>strikethrough</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440" w:right="440"/>
        <w:spacing w:after="0" w:line="243" w:lineRule="auto"/>
        <w:rPr>
          <w:sz w:val="20"/>
          <w:szCs w:val="20"/>
          <w:color w:val="auto"/>
        </w:rPr>
      </w:pPr>
      <w:r>
        <w:rPr>
          <w:rFonts w:ascii="Times New Roman" w:cs="Times New Roman" w:eastAsia="Times New Roman" w:hAnsi="Times New Roman"/>
          <w:sz w:val="20"/>
          <w:szCs w:val="20"/>
          <w:color w:val="auto"/>
        </w:rPr>
        <w:t>“Within [***] days following the date Tarsus pays Elanco the Upfront Payment, Elanco shall provide all information regarding the Licensed Know-How that is Controlled by Elanco as of the Effective Date and is reasonably necessary to research, develop, make, use, or otherwise exploit Licensed Products in the Field in the Territory. Additionally, if Tarsus engages a third party other than Siegfried to manufacture the Licensed Product and such manufacture requires material manufacturing Know-How not previously provided to Tarsus then Elanco shall provide (or cause Siegfried to provide) such Know-How and</w:t>
      </w:r>
      <w:r>
        <w:rPr>
          <w:rFonts w:ascii="Times New Roman" w:cs="Times New Roman" w:eastAsia="Times New Roman" w:hAnsi="Times New Roman"/>
          <w:sz w:val="20"/>
          <w:szCs w:val="20"/>
          <w:b w:val="1"/>
          <w:bCs w:val="1"/>
          <w:u w:val="single" w:color="auto"/>
          <w:color w:val="auto"/>
        </w:rPr>
        <w:t>, unless such third party is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Existing Manufacturer,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Tarsus shall pay Elanco $[***] within thirty (30) days after its receipt of all of such Know-How. Provided in any case that Elanco shall only be obliged to provide information to a third party that has been selected in compliance with Section 8.4.”</w:t>
      </w:r>
    </w:p>
    <w:p>
      <w:pPr>
        <w:spacing w:after="0" w:line="199" w:lineRule="exact"/>
        <w:rPr>
          <w:sz w:val="20"/>
          <w:szCs w:val="20"/>
          <w:color w:val="auto"/>
        </w:rPr>
      </w:pPr>
    </w:p>
    <w:p>
      <w:pPr>
        <w:ind w:firstLine="440"/>
        <w:spacing w:after="0" w:line="249" w:lineRule="auto"/>
        <w:tabs>
          <w:tab w:leader="none" w:pos="1342"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Section 7.3 of the License Agreement is hereby amended and restated as follows (with new text marked in </w:t>
      </w:r>
      <w:r>
        <w:rPr>
          <w:rFonts w:ascii="Times New Roman" w:cs="Times New Roman" w:eastAsia="Times New Roman" w:hAnsi="Times New Roman"/>
          <w:sz w:val="20"/>
          <w:szCs w:val="20"/>
          <w:b w:val="1"/>
          <w:bCs w:val="1"/>
          <w:u w:val="single" w:color="auto"/>
          <w:color w:val="auto"/>
        </w:rPr>
        <w:t>bold underline</w:t>
      </w:r>
      <w:r>
        <w:rPr>
          <w:rFonts w:ascii="Times New Roman" w:cs="Times New Roman" w:eastAsia="Times New Roman" w:hAnsi="Times New Roman"/>
          <w:sz w:val="20"/>
          <w:szCs w:val="20"/>
          <w:color w:val="auto"/>
        </w:rPr>
        <w:t xml:space="preserve">, and deleted text marked in </w:t>
      </w:r>
      <w:r>
        <w:rPr>
          <w:rFonts w:ascii="Times New Roman" w:cs="Times New Roman" w:eastAsia="Times New Roman" w:hAnsi="Times New Roman"/>
          <w:sz w:val="20"/>
          <w:szCs w:val="20"/>
          <w:color w:val="auto"/>
          <w:strike w:val="1"/>
        </w:rPr>
        <w:t>strikethrough</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440" w:right="4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Improvements.</w:t>
      </w:r>
      <w:r>
        <w:rPr>
          <w:rFonts w:ascii="Times New Roman" w:cs="Times New Roman" w:eastAsia="Times New Roman" w:hAnsi="Times New Roman"/>
          <w:sz w:val="19"/>
          <w:szCs w:val="19"/>
          <w:color w:val="auto"/>
        </w:rPr>
        <w:t xml:space="preserve"> Elanco shall own any invention conceived by or for Elanco from the use of the Compound or otherwise derived by or for Elanco from the Compound (“</w:t>
      </w:r>
      <w:r>
        <w:rPr>
          <w:rFonts w:ascii="Times New Roman" w:cs="Times New Roman" w:eastAsia="Times New Roman" w:hAnsi="Times New Roman"/>
          <w:sz w:val="19"/>
          <w:szCs w:val="19"/>
          <w:b w:val="1"/>
          <w:bCs w:val="1"/>
          <w:i w:val="1"/>
          <w:iCs w:val="1"/>
          <w:color w:val="auto"/>
        </w:rPr>
        <w:t>Elanco Improvements</w:t>
      </w:r>
      <w:r>
        <w:rPr>
          <w:rFonts w:ascii="Times New Roman" w:cs="Times New Roman" w:eastAsia="Times New Roman" w:hAnsi="Times New Roman"/>
          <w:sz w:val="19"/>
          <w:szCs w:val="19"/>
          <w:color w:val="auto"/>
        </w:rPr>
        <w:t>”). Tarsus shall own any invention conceived by or for Tarsus from the use of the Compound or otherwise derived by or for Tarsus from the Compound (“</w:t>
      </w:r>
      <w:r>
        <w:rPr>
          <w:rFonts w:ascii="Times New Roman" w:cs="Times New Roman" w:eastAsia="Times New Roman" w:hAnsi="Times New Roman"/>
          <w:sz w:val="19"/>
          <w:szCs w:val="19"/>
          <w:b w:val="1"/>
          <w:bCs w:val="1"/>
          <w:i w:val="1"/>
          <w:iCs w:val="1"/>
          <w:color w:val="auto"/>
        </w:rPr>
        <w:t>Tarsus Improvements</w:t>
      </w:r>
      <w:r>
        <w:rPr>
          <w:rFonts w:ascii="Times New Roman" w:cs="Times New Roman" w:eastAsia="Times New Roman" w:hAnsi="Times New Roman"/>
          <w:sz w:val="19"/>
          <w:szCs w:val="19"/>
          <w:color w:val="auto"/>
        </w:rPr>
        <w:t>”). To the extent any Research Invention (as such term is defined in the MTA) exists, Elanco hereby assigns such Research Invention to Tarsus. Tarsus hereby grants Elanco a</w:t>
      </w:r>
      <w:r>
        <w:rPr>
          <w:rFonts w:ascii="Times New Roman" w:cs="Times New Roman" w:eastAsia="Times New Roman" w:hAnsi="Times New Roman"/>
          <w:sz w:val="19"/>
          <w:szCs w:val="19"/>
          <w:b w:val="1"/>
          <w:bCs w:val="1"/>
          <w:u w:val="single" w:color="auto"/>
          <w:color w:val="auto"/>
        </w:rPr>
        <w:t>n exclusive</w:t>
      </w:r>
      <w:r>
        <w:rPr>
          <w:rFonts w:ascii="Times New Roman" w:cs="Times New Roman" w:eastAsia="Times New Roman" w:hAnsi="Times New Roman"/>
          <w:sz w:val="19"/>
          <w:szCs w:val="19"/>
          <w:color w:val="auto"/>
        </w:rPr>
        <w:t xml:space="preserve"> royalty-free, perpetual license to the Research Inventions and Tarsus Improvements for applications </w:t>
      </w:r>
      <w:r>
        <w:rPr>
          <w:rFonts w:ascii="Times New Roman" w:cs="Times New Roman" w:eastAsia="Times New Roman" w:hAnsi="Times New Roman"/>
          <w:sz w:val="19"/>
          <w:szCs w:val="19"/>
          <w:color w:val="auto"/>
          <w:strike w:val="1"/>
        </w:rPr>
        <w:t>outside the</w:t>
      </w:r>
      <w:r>
        <w:rPr>
          <w:rFonts w:ascii="Times New Roman" w:cs="Times New Roman" w:eastAsia="Times New Roman" w:hAnsi="Times New Roman"/>
          <w:sz w:val="19"/>
          <w:szCs w:val="19"/>
          <w:b w:val="1"/>
          <w:bCs w:val="1"/>
          <w:u w:val="single" w:color="auto"/>
          <w:color w:val="auto"/>
        </w:rPr>
        <w:t>in the Elanco</w:t>
      </w:r>
      <w:r>
        <w:rPr>
          <w:rFonts w:ascii="Times New Roman" w:cs="Times New Roman" w:eastAsia="Times New Roman" w:hAnsi="Times New Roman"/>
          <w:sz w:val="19"/>
          <w:szCs w:val="19"/>
          <w:color w:val="auto"/>
        </w:rPr>
        <w:t xml:space="preserve"> Field</w:t>
      </w:r>
      <w:r>
        <w:rPr>
          <w:rFonts w:ascii="Times New Roman" w:cs="Times New Roman" w:eastAsia="Times New Roman" w:hAnsi="Times New Roman"/>
          <w:sz w:val="19"/>
          <w:szCs w:val="19"/>
          <w:color w:val="auto"/>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strike w:val="1"/>
        </w:rPr>
        <w:t>Such license shall be exclusive in animal health (which, for the avoidance of doubt,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strike w:val="1"/>
        </w:rPr>
        <w:t>excludes any applications in humans) and non-exclusive in all other applications outside the Field.</w:t>
      </w:r>
      <w:r>
        <w:rPr>
          <w:rFonts w:ascii="Times New Roman" w:cs="Times New Roman" w:eastAsia="Times New Roman" w:hAnsi="Times New Roman"/>
          <w:sz w:val="19"/>
          <w:szCs w:val="19"/>
          <w:color w:val="auto"/>
        </w:rPr>
        <w:t xml:space="preserve"> This Section 7.3 amends and supersedes Section 7 of the MTA entirely, such that Section 7 of the MTA shall have no further force or effect.”</w:t>
      </w:r>
    </w:p>
    <w:p>
      <w:pPr>
        <w:spacing w:after="0" w:line="189" w:lineRule="exact"/>
        <w:rPr>
          <w:sz w:val="20"/>
          <w:szCs w:val="20"/>
          <w:color w:val="auto"/>
        </w:rPr>
      </w:pPr>
    </w:p>
    <w:p>
      <w:pPr>
        <w:ind w:left="1360" w:hanging="920"/>
        <w:spacing w:after="0"/>
        <w:tabs>
          <w:tab w:leader="none" w:pos="136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as otherwise modified by this Amendment, the License Agreement shall remain in full force and effect consistent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its terms.</w:t>
      </w:r>
    </w:p>
    <w:p>
      <w:pPr>
        <w:spacing w:after="0" w:line="207" w:lineRule="exact"/>
        <w:rPr>
          <w:rFonts w:ascii="Times New Roman" w:cs="Times New Roman" w:eastAsia="Times New Roman" w:hAnsi="Times New Roman"/>
          <w:sz w:val="22"/>
          <w:szCs w:val="22"/>
          <w:color w:val="auto"/>
        </w:rPr>
      </w:pPr>
    </w:p>
    <w:p>
      <w:pPr>
        <w:jc w:val="both"/>
        <w:ind w:firstLine="440"/>
        <w:spacing w:after="0" w:line="242" w:lineRule="auto"/>
        <w:tabs>
          <w:tab w:leader="none" w:pos="135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This Amendment may be executed in any number of counterparts, each of which shall be deemed an original and all of which together shall constitute one and the same agreement. Copies (whether photostatic, facsimile or otherwise) of this Amendment may be made and relied upon to the same extent as an original.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0" w:name="page311"/>
    <w:bookmarkEnd w:id="310"/>
    <w:p>
      <w:pPr>
        <w:ind w:left="880"/>
        <w:spacing w:after="0"/>
        <w:rPr>
          <w:sz w:val="20"/>
          <w:szCs w:val="20"/>
          <w:color w:val="auto"/>
        </w:rPr>
      </w:pPr>
      <w:r>
        <w:rPr>
          <w:rFonts w:ascii="Times New Roman" w:cs="Times New Roman" w:eastAsia="Times New Roman" w:hAnsi="Times New Roman"/>
          <w:sz w:val="19"/>
          <w:szCs w:val="19"/>
          <w:color w:val="auto"/>
        </w:rPr>
        <w:t>IN WITNESS WHEREOF, the parties have executed this Amendment to the License Agreement as of the date first above written.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Elanco Tiergesundheit AG</w:t>
            </w:r>
          </w:p>
        </w:tc>
        <w:tc>
          <w:tcPr>
            <w:tcW w:w="5860" w:type="dxa"/>
            <w:vAlign w:val="bottom"/>
            <w:gridSpan w:val="2"/>
          </w:tcPr>
          <w:p>
            <w:pPr>
              <w:ind w:left="1060"/>
              <w:spacing w:after="0"/>
              <w:rPr>
                <w:sz w:val="20"/>
                <w:szCs w:val="20"/>
                <w:color w:val="auto"/>
              </w:rPr>
            </w:pPr>
            <w:r>
              <w:rPr>
                <w:rFonts w:ascii="Times New Roman" w:cs="Times New Roman" w:eastAsia="Times New Roman" w:hAnsi="Times New Roman"/>
                <w:sz w:val="20"/>
                <w:szCs w:val="20"/>
                <w:b w:val="1"/>
                <w:bCs w:val="1"/>
                <w:color w:val="auto"/>
              </w:rPr>
              <w:t>Tarsus Pharmaceuticals, Inc.</w:t>
            </w: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Aaron L. Schacht</w:t>
            </w:r>
          </w:p>
        </w:tc>
        <w:tc>
          <w:tcPr>
            <w:tcW w:w="210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Bobak Azamian</w:t>
            </w: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Aaron L. Schacht</w:t>
            </w:r>
          </w:p>
        </w:tc>
        <w:tc>
          <w:tcPr>
            <w:tcW w:w="210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Name:</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Bobak Azamian</w:t>
            </w:r>
          </w:p>
        </w:tc>
      </w:tr>
      <w:tr>
        <w:trPr>
          <w:trHeight w:val="430"/>
        </w:trPr>
        <w:tc>
          <w:tcPr>
            <w:tcW w:w="10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EVP-   Innovation,   Regulatory   &amp;</w:t>
            </w:r>
          </w:p>
        </w:tc>
        <w:tc>
          <w:tcPr>
            <w:tcW w:w="210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52"/>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Business Development</w:t>
            </w:r>
          </w:p>
        </w:tc>
        <w:tc>
          <w:tcPr>
            <w:tcW w:w="210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Title:</w:t>
            </w:r>
          </w:p>
        </w:tc>
        <w:tc>
          <w:tcPr>
            <w:tcW w:w="3760" w:type="dxa"/>
            <w:vAlign w:val="bottom"/>
            <w:tcBorders>
              <w:bottom w:val="single" w:sz="8" w:color="auto"/>
            </w:tcBorders>
          </w:tcPr>
          <w:p>
            <w:pPr>
              <w:spacing w:after="0"/>
              <w:rPr>
                <w:sz w:val="21"/>
                <w:szCs w:val="21"/>
                <w:color w:val="auto"/>
              </w:rPr>
            </w:pPr>
          </w:p>
        </w:tc>
      </w:tr>
    </w:tbl>
    <w:p>
      <w:pPr>
        <w:sectPr>
          <w:pgSz w:w="11900" w:h="16838" w:orient="portrait"/>
          <w:cols w:equalWidth="0" w:num="1">
            <w:col w:w="11160"/>
          </w:cols>
          <w:pgMar w:left="320" w:top="118" w:right="419" w:bottom="1440" w:gutter="0" w:footer="0" w:header="0"/>
        </w:sectPr>
      </w:pPr>
    </w:p>
    <w:bookmarkStart w:id="311" w:name="page312"/>
    <w:bookmarkEnd w:id="311"/>
    <w:p>
      <w:pPr>
        <w:jc w:val="center"/>
        <w:spacing w:after="0" w:line="283"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ERTAIN IDENTIFIED INFORMATION HAS BEEN OMITTED FROM THIS DOCUMENT BECAUSE IT IS BOTH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3"/>
          <w:szCs w:val="13"/>
          <w:b w:val="1"/>
          <w:bCs w:val="1"/>
          <w:color w:val="auto"/>
        </w:rPr>
        <w:t>MATERIAL AND WOULD LIKELY CAUSE COMPETITIVE HARM TO THE REGISTRANT IF PUBLICLY DISCLOSED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3"/>
          <w:szCs w:val="13"/>
          <w:b w:val="1"/>
          <w:bCs w:val="1"/>
          <w:color w:val="auto"/>
        </w:rPr>
        <w:t xml:space="preserve"> AND HAS BEEN MARKED WITH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3"/>
          <w:szCs w:val="13"/>
          <w:b w:val="1"/>
          <w:bCs w:val="1"/>
          <w:color w:val="auto"/>
        </w:rPr>
        <w:t>TO INDICATE WHERE OMISSIONS HAVE BEEN MADE</w:t>
      </w:r>
      <w:r>
        <w:rPr>
          <w:rFonts w:ascii="Times New Roman" w:cs="Times New Roman" w:eastAsia="Times New Roman" w:hAnsi="Times New Roman"/>
          <w:sz w:val="17"/>
          <w:szCs w:val="17"/>
          <w:b w:val="1"/>
          <w:bCs w:val="1"/>
          <w:color w:val="auto"/>
        </w:rPr>
        <w:t>.</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LICENSE AGREEMENT</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LICENSE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September 3, 2020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is made and entered into by and between Elanco Tiergesundheit AG, a Swiss corporation having place of business at Mattenstrasse 24A, 4058 Basel, Switzerland (“</w:t>
      </w:r>
      <w:r>
        <w:rPr>
          <w:rFonts w:ascii="Times New Roman" w:cs="Times New Roman" w:eastAsia="Times New Roman" w:hAnsi="Times New Roman"/>
          <w:sz w:val="20"/>
          <w:szCs w:val="20"/>
          <w:b w:val="1"/>
          <w:bCs w:val="1"/>
          <w:i w:val="1"/>
          <w:iCs w:val="1"/>
          <w:color w:val="auto"/>
        </w:rPr>
        <w:t>Elanco</w:t>
      </w:r>
      <w:r>
        <w:rPr>
          <w:rFonts w:ascii="Times New Roman" w:cs="Times New Roman" w:eastAsia="Times New Roman" w:hAnsi="Times New Roman"/>
          <w:sz w:val="20"/>
          <w:szCs w:val="20"/>
          <w:color w:val="auto"/>
        </w:rPr>
        <w:t>”) and Tarsus Pharmaceuticals, Inc., a Delaware corporation having its principal offices at 4590 MacArthur Blvd. Suite 500, Newport Beach, CA 92660 (“</w:t>
      </w:r>
      <w:r>
        <w:rPr>
          <w:rFonts w:ascii="Times New Roman" w:cs="Times New Roman" w:eastAsia="Times New Roman" w:hAnsi="Times New Roman"/>
          <w:sz w:val="20"/>
          <w:szCs w:val="20"/>
          <w:b w:val="1"/>
          <w:bCs w:val="1"/>
          <w:i w:val="1"/>
          <w:iCs w:val="1"/>
          <w:color w:val="auto"/>
        </w:rPr>
        <w:t>Tarsus</w:t>
      </w:r>
      <w:r>
        <w:rPr>
          <w:rFonts w:ascii="Times New Roman" w:cs="Times New Roman" w:eastAsia="Times New Roman" w:hAnsi="Times New Roman"/>
          <w:sz w:val="20"/>
          <w:szCs w:val="20"/>
          <w:color w:val="auto"/>
        </w:rPr>
        <w:t>”). Each of Elanco and Tarsus may be referred to herein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BACKGROUND</w:t>
      </w:r>
    </w:p>
    <w:p>
      <w:pPr>
        <w:spacing w:after="0" w:line="233" w:lineRule="exact"/>
        <w:rPr>
          <w:sz w:val="20"/>
          <w:szCs w:val="20"/>
          <w:color w:val="auto"/>
        </w:rPr>
      </w:pPr>
    </w:p>
    <w:p>
      <w:pPr>
        <w:ind w:firstLine="8"/>
        <w:spacing w:after="0" w:line="269" w:lineRule="auto"/>
        <w:tabs>
          <w:tab w:leader="none" w:pos="840"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Elanco is the owner, and has the right to license the Licensed IP (as defined below) on and subject to the terms and conditions set forth in this Agreement.</w:t>
      </w:r>
    </w:p>
    <w:p>
      <w:pPr>
        <w:spacing w:after="0" w:line="172" w:lineRule="exact"/>
        <w:rPr>
          <w:rFonts w:ascii="Times New Roman" w:cs="Times New Roman" w:eastAsia="Times New Roman" w:hAnsi="Times New Roman"/>
          <w:sz w:val="20"/>
          <w:szCs w:val="20"/>
          <w:color w:val="auto"/>
        </w:rPr>
      </w:pPr>
    </w:p>
    <w:p>
      <w:pPr>
        <w:ind w:firstLine="8"/>
        <w:spacing w:after="0" w:line="269" w:lineRule="auto"/>
        <w:tabs>
          <w:tab w:leader="none" w:pos="829"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Tarsus wishes to license the Licensed IP, and Elanco is willing to grant to Tarsus a license under the Licensed IP, on and subject to the terms and conditions set forth in this Agreement.</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the mutual covenants and agreements of the Parties contained in this Agreement, the Parties, intending to be legally bound, hereby agree as follows:</w:t>
      </w:r>
    </w:p>
    <w:p>
      <w:pPr>
        <w:spacing w:after="0" w:line="169" w:lineRule="exact"/>
        <w:rPr>
          <w:sz w:val="20"/>
          <w:szCs w:val="20"/>
          <w:color w:val="auto"/>
        </w:rPr>
      </w:pPr>
    </w:p>
    <w:p>
      <w:pPr>
        <w:ind w:firstLine="8"/>
        <w:spacing w:after="0" w:line="273" w:lineRule="auto"/>
        <w:tabs>
          <w:tab w:leader="none" w:pos="796" w:val="left"/>
        </w:tabs>
        <w:numPr>
          <w:ilvl w:val="0"/>
          <w:numId w:val="3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ERTAIN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color w:val="auto"/>
        </w:rPr>
        <w:t>. In addition to any terms defined elsewhere in this Agreement, the following terms, when used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have the meanings set forth in this Section 1.</w:t>
      </w:r>
    </w:p>
    <w:p>
      <w:pPr>
        <w:spacing w:after="0" w:line="165"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an entity, any other entity which controls, is controlled by, or is under common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such first entity (but only so long as such control exists), whether as of the Effective Date or any time after the Effective Date. The term “</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in relation to an entity, means the ownership or control, directly or indirectly, of fifty percent (50%) or more of the shares (or other securities or rights) entitled to vote for the election of directors or other governing authority of such entity.</w:t>
      </w:r>
    </w:p>
    <w:p>
      <w:pPr>
        <w:spacing w:after="0" w:line="189"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with respect to any Person or matter, any and all laws, ordinances, constitutions,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statutes, treaties, rules, codes, licenses, requirements and injunctions adopted, enacted, implemented, promulgated, issued, entered by or under the authority of any governmental body having jurisdiction over such Person or matter or any Person’s properties or assets.</w:t>
      </w:r>
    </w:p>
    <w:p>
      <w:pPr>
        <w:spacing w:after="0" w:line="182"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shall mean any transaction defined as a “Liquidation Event” in the Restated Certificate.</w:t>
      </w:r>
    </w:p>
    <w:p>
      <w:pPr>
        <w:spacing w:after="0" w:line="229" w:lineRule="exact"/>
        <w:rPr>
          <w:sz w:val="20"/>
          <w:szCs w:val="20"/>
          <w:color w:val="auto"/>
        </w:rPr>
      </w:pPr>
    </w:p>
    <w:p>
      <w:pPr>
        <w:jc w:val="both"/>
        <w:ind w:firstLine="448"/>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Commercially Reasonable Efforts</w:t>
      </w:r>
      <w:r>
        <w:rPr>
          <w:rFonts w:ascii="Times New Roman" w:cs="Times New Roman" w:eastAsia="Times New Roman" w:hAnsi="Times New Roman"/>
          <w:sz w:val="19"/>
          <w:szCs w:val="19"/>
          <w:color w:val="auto"/>
        </w:rPr>
        <w:t>” of a Party means, with respect to an objective, the reasonable, diligent, good faith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efforts of a Party, (which it may effect through the efforts of its Affiliates, and sublicensees) of the type to accomplish such objective as a similarly situated (with respect to size, stage of development, and assets) pharmaceutical company, as the case may be, would normally use to accomplish a similar objective under similar circumstances, it being understood and agreed that, with respect to efforts to be expended in relation to a product (including implementation of development and commercialization strategies), such efforts shall be substantially equivalent to those efforts and resources that a similarly situated pharmaceutical company, as the case may be, would typically devote to its own internally discovered compound or product, which compound or product is at a similar stage in its development or product life and is of similar market and economic potential as products expected to result from the Compounds at a similar stage in their development or product life, taking into account the risks of development, the commercial potential for the Product, its proprietary position and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2" w:name="page313"/>
    <w:bookmarkEnd w:id="312"/>
    <w:p>
      <w:pPr>
        <w:jc w:val="both"/>
        <w:ind w:right="20"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Compound</w:t>
      </w:r>
      <w:r>
        <w:rPr>
          <w:rFonts w:ascii="Times New Roman" w:cs="Times New Roman" w:eastAsia="Times New Roman" w:hAnsi="Times New Roman"/>
          <w:sz w:val="20"/>
          <w:szCs w:val="20"/>
          <w:color w:val="auto"/>
        </w:rPr>
        <w:t>” means Lotilaner and any salts, stereo isomers, prodrug, ester, metabolite, solvate, or polymorph thereof,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derivative of the foregoing containing one or more atoms substituted with a radioisotope (including a derivative containing deuterium).</w:t>
      </w:r>
    </w:p>
    <w:p>
      <w:pPr>
        <w:spacing w:after="0" w:line="165" w:lineRule="exact"/>
        <w:rPr>
          <w:sz w:val="20"/>
          <w:szCs w:val="20"/>
          <w:color w:val="auto"/>
        </w:rPr>
      </w:pPr>
    </w:p>
    <w:p>
      <w:pPr>
        <w:jc w:val="both"/>
        <w:ind w:firstLine="4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means information that is disclosed by one Party (the “</w:t>
      </w:r>
      <w:r>
        <w:rPr>
          <w:rFonts w:ascii="Times New Roman" w:cs="Times New Roman" w:eastAsia="Times New Roman" w:hAnsi="Times New Roman"/>
          <w:sz w:val="20"/>
          <w:szCs w:val="20"/>
          <w:b w:val="1"/>
          <w:bCs w:val="1"/>
          <w:i w:val="1"/>
          <w:iCs w:val="1"/>
          <w:color w:val="auto"/>
        </w:rPr>
        <w:t>Disclosing Party</w:t>
      </w:r>
      <w:r>
        <w:rPr>
          <w:rFonts w:ascii="Times New Roman" w:cs="Times New Roman" w:eastAsia="Times New Roman" w:hAnsi="Times New Roman"/>
          <w:sz w:val="20"/>
          <w:szCs w:val="20"/>
          <w:color w:val="auto"/>
        </w:rPr>
        <w:t>”) to the other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Receiving Party</w:t>
      </w:r>
      <w:r>
        <w:rPr>
          <w:rFonts w:ascii="Times New Roman" w:cs="Times New Roman" w:eastAsia="Times New Roman" w:hAnsi="Times New Roman"/>
          <w:sz w:val="20"/>
          <w:szCs w:val="20"/>
          <w:color w:val="auto"/>
        </w:rPr>
        <w:t>”) in connection with this Agreement (which may include, without limitation, trade secrets, technology, information pertaining to business operations and strategies, and information pertaining to customers, pricing and marketing information) or considered confidential under the Eye Care and Dermatology License Agreement as well as all information provided in the data room by Elanco as of the Effective Date. Confidential Information does not include information that: (a) was already known to the Receiving Party prior to disclosure by the Disclosing Party; (b) is independently developed by the Receiving Party; (c) was or becomes generally known by the public other than as a result of a breach of this Agreement or the Eye Care and Dermatology License Agreement by the Receiving Party; or (d) was received by the Receiving Party from a Third Party who was not, at the time of disclosure, under any obligation to the Disclosing Party or any of its Affiliates to maintain the confidentiality of such information.</w:t>
      </w:r>
    </w:p>
    <w:p>
      <w:pPr>
        <w:spacing w:after="0" w:line="199" w:lineRule="exact"/>
        <w:rPr>
          <w:sz w:val="20"/>
          <w:szCs w:val="20"/>
          <w:color w:val="auto"/>
        </w:rPr>
      </w:pPr>
    </w:p>
    <w:p>
      <w:pPr>
        <w:jc w:val="both"/>
        <w:ind w:right="20"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Controls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Controlled by</w:t>
      </w:r>
      <w:r>
        <w:rPr>
          <w:rFonts w:ascii="Times New Roman" w:cs="Times New Roman" w:eastAsia="Times New Roman" w:hAnsi="Times New Roman"/>
          <w:sz w:val="20"/>
          <w:szCs w:val="20"/>
          <w:color w:val="auto"/>
        </w:rPr>
        <w:t>” means, with respect to any item of or right under any intellectual property,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context requires, the possession (whether by ownership or license, other than pursuant to this Agreement) or ability of a Party to grant access to, or a license or sublicense of, such items or rights.</w:t>
      </w:r>
    </w:p>
    <w:p>
      <w:pPr>
        <w:spacing w:after="0" w:line="182" w:lineRule="exact"/>
        <w:rPr>
          <w:sz w:val="20"/>
          <w:szCs w:val="20"/>
          <w:color w:val="auto"/>
        </w:rPr>
      </w:pPr>
    </w:p>
    <w:p>
      <w:pPr>
        <w:jc w:val="both"/>
        <w:ind w:right="20"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w:t>
      </w:r>
      <w:r>
        <w:rPr>
          <w:rFonts w:ascii="Times New Roman" w:cs="Times New Roman" w:eastAsia="Times New Roman" w:hAnsi="Times New Roman"/>
          <w:sz w:val="20"/>
          <w:szCs w:val="20"/>
          <w:color w:val="auto"/>
        </w:rPr>
        <w:t>” with respect to any subject matter (e.g. a Licensed Product), means that absent a license, the making, having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using, importing, offering to sell or selling such subject matter would infringe a Valid Claim.</w:t>
      </w:r>
    </w:p>
    <w:p>
      <w:pPr>
        <w:spacing w:after="0" w:line="16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Cut-off Date</w:t>
      </w:r>
      <w:r>
        <w:rPr>
          <w:rFonts w:ascii="Times New Roman" w:cs="Times New Roman" w:eastAsia="Times New Roman" w:hAnsi="Times New Roman"/>
          <w:sz w:val="19"/>
          <w:szCs w:val="19"/>
          <w:color w:val="auto"/>
        </w:rPr>
        <w:t>” means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9"/>
          <w:szCs w:val="19"/>
          <w:color w:val="auto"/>
        </w:rPr>
        <w:t>) anniversary of the Effective Date.</w:t>
      </w:r>
    </w:p>
    <w:p>
      <w:pPr>
        <w:spacing w:after="0" w:line="229" w:lineRule="exact"/>
        <w:rPr>
          <w:sz w:val="20"/>
          <w:szCs w:val="20"/>
          <w:color w:val="auto"/>
        </w:rPr>
      </w:pPr>
    </w:p>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Developed World</w:t>
      </w:r>
      <w:r>
        <w:rPr>
          <w:rFonts w:ascii="Times New Roman" w:cs="Times New Roman" w:eastAsia="Times New Roman" w:hAnsi="Times New Roman"/>
          <w:sz w:val="20"/>
          <w:szCs w:val="20"/>
          <w:color w:val="auto"/>
        </w:rPr>
        <w:t>” means the United States of America, Canada, the countries of the European Economic Area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clarity, shall be deemed to include the United Kingdom), Australia, New Zealand and Japan.</w:t>
      </w:r>
    </w:p>
    <w:p>
      <w:pPr>
        <w:spacing w:after="0" w:line="165" w:lineRule="exact"/>
        <w:rPr>
          <w:sz w:val="20"/>
          <w:szCs w:val="20"/>
          <w:color w:val="auto"/>
        </w:rPr>
      </w:pPr>
    </w:p>
    <w:p>
      <w:pPr>
        <w:ind w:left="460"/>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Developing World</w:t>
      </w:r>
      <w:r>
        <w:rPr>
          <w:rFonts w:ascii="Times New Roman" w:cs="Times New Roman" w:eastAsia="Times New Roman" w:hAnsi="Times New Roman"/>
          <w:sz w:val="19"/>
          <w:szCs w:val="19"/>
          <w:color w:val="auto"/>
        </w:rPr>
        <w:t>” means all countries that are not countries within the Developed World.</w:t>
      </w:r>
    </w:p>
    <w:p>
      <w:pPr>
        <w:spacing w:after="0" w:line="229"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1.12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Elanco Field</w:t>
      </w:r>
      <w:r>
        <w:rPr>
          <w:rFonts w:ascii="Times New Roman" w:cs="Times New Roman" w:eastAsia="Times New Roman" w:hAnsi="Times New Roman"/>
          <w:sz w:val="20"/>
          <w:szCs w:val="20"/>
          <w:color w:val="auto"/>
        </w:rPr>
        <w:t>” means all applications for non-human animals, agricultural applications, seed treatment applications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urban pest applications related to structural, turf, lawns and gardens, including treatment of premises and ornamental pest markets but excluding, for clarity, any mosquito vector control for human disease or any human therapeutics.</w:t>
      </w:r>
    </w:p>
    <w:p>
      <w:pPr>
        <w:spacing w:after="0" w:line="182"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Enroll</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Enrollment</w:t>
      </w:r>
      <w:r>
        <w:rPr>
          <w:rFonts w:ascii="Times New Roman" w:cs="Times New Roman" w:eastAsia="Times New Roman" w:hAnsi="Times New Roman"/>
          <w:sz w:val="19"/>
          <w:szCs w:val="19"/>
          <w:color w:val="auto"/>
        </w:rPr>
        <w:t>” with respect to a clinical trial means a patient is dosed with the applicable investigatory drug.</w:t>
      </w:r>
    </w:p>
    <w:p>
      <w:pPr>
        <w:spacing w:after="0" w:line="229" w:lineRule="exact"/>
        <w:rPr>
          <w:sz w:val="20"/>
          <w:szCs w:val="20"/>
          <w:color w:val="auto"/>
        </w:rPr>
      </w:pPr>
    </w:p>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Manufacturer</w:t>
      </w:r>
      <w:r>
        <w:rPr>
          <w:rFonts w:ascii="Times New Roman" w:cs="Times New Roman" w:eastAsia="Times New Roman" w:hAnsi="Times New Roman"/>
          <w:sz w:val="20"/>
          <w:szCs w:val="20"/>
          <w:color w:val="auto"/>
        </w:rPr>
        <w:t>” means a third party that manufactures for which Tarsus pays (or has paid) Elanco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Section 3.1 of the Eye Care and Dermatology License Agreement.</w:t>
      </w:r>
    </w:p>
    <w:p>
      <w:pPr>
        <w:spacing w:after="0" w:line="165" w:lineRule="exact"/>
        <w:rPr>
          <w:sz w:val="20"/>
          <w:szCs w:val="20"/>
          <w:color w:val="auto"/>
        </w:rPr>
      </w:pPr>
    </w:p>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Eye Care and Dermatology License Agreement</w:t>
      </w:r>
      <w:r>
        <w:rPr>
          <w:rFonts w:ascii="Times New Roman" w:cs="Times New Roman" w:eastAsia="Times New Roman" w:hAnsi="Times New Roman"/>
          <w:sz w:val="20"/>
          <w:szCs w:val="20"/>
          <w:color w:val="auto"/>
        </w:rPr>
        <w:t>” means that certain License Agreement entered into by and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Elanco and Tarsus on January 31, 2019.</w:t>
      </w:r>
    </w:p>
    <w:p>
      <w:pPr>
        <w:spacing w:after="0" w:line="165"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FDA</w:t>
      </w:r>
      <w:r>
        <w:rPr>
          <w:rFonts w:ascii="Times New Roman" w:cs="Times New Roman" w:eastAsia="Times New Roman" w:hAnsi="Times New Roman"/>
          <w:sz w:val="19"/>
          <w:szCs w:val="19"/>
          <w:color w:val="auto"/>
        </w:rPr>
        <w:t>” means the U.S. Food and Drug Administration and any successor agency thereto.</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13" w:name="page314"/>
    <w:bookmarkEnd w:id="313"/>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Field</w:t>
      </w:r>
      <w:r>
        <w:rPr>
          <w:rFonts w:ascii="Times New Roman" w:cs="Times New Roman" w:eastAsia="Times New Roman" w:hAnsi="Times New Roman"/>
          <w:sz w:val="20"/>
          <w:szCs w:val="20"/>
          <w:color w:val="auto"/>
        </w:rPr>
        <w:t>” means all applications for humans other than the treatment, palliation, prevention, or cure of any disease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 in eye care or dermatology in humans.</w:t>
      </w:r>
    </w:p>
    <w:p>
      <w:pPr>
        <w:spacing w:after="0" w:line="165"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1.18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Commercial Sale</w:t>
      </w:r>
      <w:r>
        <w:rPr>
          <w:rFonts w:ascii="Times New Roman" w:cs="Times New Roman" w:eastAsia="Times New Roman" w:hAnsi="Times New Roman"/>
          <w:sz w:val="20"/>
          <w:szCs w:val="20"/>
          <w:color w:val="auto"/>
        </w:rPr>
        <w:t>” for a country means the first commercial sale of a Licensed Product to a Third Party by Tarsus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 its Affiliates or sublicensees of such Licensed Product after final approval by the applicable government authority to market such product for human use in in the Field in such country (e.g. NDA approval). “First Commercial Sale” excludes the sale of a Licensed Product for use in a clinical trial or for expanded access (or similar term) and any sale of any Licensed Product by Tarsus or any of its Affiliates or sublicensees to or among themselves.</w:t>
      </w:r>
    </w:p>
    <w:p>
      <w:pPr>
        <w:spacing w:after="0" w:line="194"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1.19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INAD</w:t>
      </w:r>
      <w:r>
        <w:rPr>
          <w:rFonts w:ascii="Times New Roman" w:cs="Times New Roman" w:eastAsia="Times New Roman" w:hAnsi="Times New Roman"/>
          <w:sz w:val="20"/>
          <w:szCs w:val="20"/>
          <w:color w:val="auto"/>
        </w:rPr>
        <w:t>” means an Investigational New Animal Drug filed with the FDA or the equivalent application or filing filed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equivalent agency or government authority outside of the United States (including any supra-national agency such as in the European Union) necessary to commence animal clinical trials in such jurisdiction, and including all regulations at 21 CFR § 511.1, and equivalent foreign regulations.</w:t>
      </w:r>
    </w:p>
    <w:p>
      <w:pPr>
        <w:spacing w:after="0" w:line="189"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w:t>
      </w:r>
      <w:r>
        <w:rPr>
          <w:rFonts w:ascii="Times New Roman" w:cs="Times New Roman" w:eastAsia="Times New Roman" w:hAnsi="Times New Roman"/>
          <w:sz w:val="20"/>
          <w:szCs w:val="20"/>
          <w:color w:val="auto"/>
        </w:rPr>
        <w:t>” means an Investigational New Drug Application filed with the FDA or the equivalent application or filing filed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equivalent agency or government authority outside of the United States (including any supra-national agency such as in the European Union) necessary to commence human clinical trials in such jurisdiction, and including all regulations at 21 CFR § 312 et. esq., and equivalent foreign regulations.</w:t>
      </w:r>
    </w:p>
    <w:p>
      <w:pPr>
        <w:spacing w:after="0" w:line="189" w:lineRule="exact"/>
        <w:rPr>
          <w:sz w:val="20"/>
          <w:szCs w:val="20"/>
          <w:color w:val="auto"/>
        </w:rPr>
      </w:pPr>
    </w:p>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Initial Public Offering</w:t>
      </w:r>
      <w:r>
        <w:rPr>
          <w:rFonts w:ascii="Times New Roman" w:cs="Times New Roman" w:eastAsia="Times New Roman" w:hAnsi="Times New Roman"/>
          <w:sz w:val="20"/>
          <w:szCs w:val="20"/>
          <w:color w:val="auto"/>
        </w:rPr>
        <w:t>” shall mean the closing of the issuance and sale of shares of Tarsus’ capital stock in a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offering pursuant to an effective registration statement under the Securities Act.</w:t>
      </w:r>
    </w:p>
    <w:p>
      <w:pPr>
        <w:spacing w:after="0" w:line="165"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1.22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Know-How</w:t>
      </w:r>
      <w:r>
        <w:rPr>
          <w:rFonts w:ascii="Times New Roman" w:cs="Times New Roman" w:eastAsia="Times New Roman" w:hAnsi="Times New Roman"/>
          <w:sz w:val="20"/>
          <w:szCs w:val="20"/>
          <w:color w:val="auto"/>
        </w:rPr>
        <w:t>” means all know-how relating to the Compound or any Licensed Product, including, without limitation,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inventions (whether patentable or not), technology, discoveries, methods, techniques, and scientific information, medical information, all manufacturing, preclinical, and clinical data, materials, samples, protocols, specifications, processes, structures, trade secrets, analytical and quality control information and procedures, pharmacological, toxicological, and clinical test data and results, stability data, and studies and procedures.</w:t>
      </w:r>
    </w:p>
    <w:p>
      <w:pPr>
        <w:spacing w:after="0" w:line="194"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Licensed Know-How</w:t>
      </w:r>
      <w:r>
        <w:rPr>
          <w:rFonts w:ascii="Times New Roman" w:cs="Times New Roman" w:eastAsia="Times New Roman" w:hAnsi="Times New Roman"/>
          <w:sz w:val="19"/>
          <w:szCs w:val="19"/>
          <w:color w:val="auto"/>
        </w:rPr>
        <w:t>” means all Know-How Controlled by Elanco as of the Effective Date.</w:t>
      </w:r>
    </w:p>
    <w:p>
      <w:pPr>
        <w:spacing w:after="0" w:line="229"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Licensed IP</w:t>
      </w:r>
      <w:r>
        <w:rPr>
          <w:rFonts w:ascii="Times New Roman" w:cs="Times New Roman" w:eastAsia="Times New Roman" w:hAnsi="Times New Roman"/>
          <w:sz w:val="19"/>
          <w:szCs w:val="19"/>
          <w:color w:val="auto"/>
        </w:rPr>
        <w:t>” means the Licensed Patents and the Licensed Know-How.</w:t>
      </w:r>
    </w:p>
    <w:p>
      <w:pPr>
        <w:spacing w:after="0" w:line="229" w:lineRule="exact"/>
        <w:rPr>
          <w:sz w:val="20"/>
          <w:szCs w:val="20"/>
          <w:color w:val="auto"/>
        </w:rPr>
      </w:pPr>
    </w:p>
    <w:p>
      <w:pPr>
        <w:jc w:val="both"/>
        <w:ind w:firstLine="44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1.25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Licensed Patents</w:t>
      </w:r>
      <w:r>
        <w:rPr>
          <w:rFonts w:ascii="Times New Roman" w:cs="Times New Roman" w:eastAsia="Times New Roman" w:hAnsi="Times New Roman"/>
          <w:sz w:val="20"/>
          <w:szCs w:val="20"/>
          <w:color w:val="auto"/>
        </w:rPr>
        <w:t>” means (a) the patents and patent applications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or otherwise Controlled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Elanco or any of its Affiliates as of the Effective Date and Covering any product that contains a Compound as an active pharmaceutical ingredient (alone or with other active ingredients) in any forms, presentations, formulations or dosage strengths, or any manufacture or use of the foregoing, (b) any patent or patent application Covering any product that contains a Compound as an active pharmaceutical ingredient (alone or with other active ingredients) in any forms, presentations, formulations or dosage strengths, or any manufacture or use of the foregoing where the patent or patent application Covers Know-How Controlled by Elanco or any of its Affiliates and arises after the Effective Date and prior to the Cut-off Date; (c) any patent application filed after the Effective Date on any of the Licensed Know-How; (d) any patent applications claiming priority to any of the foregoing, including continuations, divisionals, continuation-in-part and foreign patent applications, (e) all patents issuing from any of the foregoing patent applications described in (a) through (d); and (f) all reissues, reexaminations, renewals, re-validations, re-registrations, patents of addition, supplementary patent certificates and extensions of any of the foregoing. Notwithstanding the foregoing, the Licensed Patents do not include the Tarsus Patents.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14" w:name="page315"/>
    <w:bookmarkEnd w:id="314"/>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1.26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Licensed Product</w:t>
      </w:r>
      <w:r>
        <w:rPr>
          <w:rFonts w:ascii="Times New Roman" w:cs="Times New Roman" w:eastAsia="Times New Roman" w:hAnsi="Times New Roman"/>
          <w:sz w:val="20"/>
          <w:szCs w:val="20"/>
          <w:color w:val="auto"/>
        </w:rPr>
        <w:t>” means any product that: (a) contains a Compound as an active pharmaceutical ingredient (alone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other active ingredients) in any forms, presentations, formulations or dosage strengths; or (b) the manufacture, sale, use or importation of which, absent the license granted to Tarsus from Elanco under this Agreement, would infringe a Valid Claim of a Licensed Patent.</w:t>
      </w:r>
    </w:p>
    <w:p>
      <w:pPr>
        <w:spacing w:after="0" w:line="182"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Major European Country</w:t>
      </w:r>
      <w:r>
        <w:rPr>
          <w:rFonts w:ascii="Times New Roman" w:cs="Times New Roman" w:eastAsia="Times New Roman" w:hAnsi="Times New Roman"/>
          <w:sz w:val="19"/>
          <w:szCs w:val="19"/>
          <w:color w:val="auto"/>
        </w:rPr>
        <w:t>” means any of Germany, France, Spain, Italy, and the United Kingdom.</w:t>
      </w:r>
    </w:p>
    <w:p>
      <w:pPr>
        <w:spacing w:after="0" w:line="229" w:lineRule="exact"/>
        <w:rPr>
          <w:sz w:val="20"/>
          <w:szCs w:val="20"/>
          <w:color w:val="auto"/>
        </w:rPr>
      </w:pPr>
    </w:p>
    <w:p>
      <w:pPr>
        <w:jc w:val="both"/>
        <w:ind w:right="20"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NADA</w:t>
      </w:r>
      <w:r>
        <w:rPr>
          <w:rFonts w:ascii="Times New Roman" w:cs="Times New Roman" w:eastAsia="Times New Roman" w:hAnsi="Times New Roman"/>
          <w:sz w:val="20"/>
          <w:szCs w:val="20"/>
          <w:color w:val="auto"/>
        </w:rPr>
        <w:t>” means a New Animal Drug Application, or any successor applications or procedures, filed with the FDA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approval to market and sell a product in the United States.</w:t>
      </w:r>
    </w:p>
    <w:p>
      <w:pPr>
        <w:spacing w:after="0" w:line="165" w:lineRule="exact"/>
        <w:rPr>
          <w:sz w:val="20"/>
          <w:szCs w:val="20"/>
          <w:color w:val="auto"/>
        </w:rPr>
      </w:pPr>
    </w:p>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NDA</w:t>
      </w:r>
      <w:r>
        <w:rPr>
          <w:rFonts w:ascii="Times New Roman" w:cs="Times New Roman" w:eastAsia="Times New Roman" w:hAnsi="Times New Roman"/>
          <w:sz w:val="20"/>
          <w:szCs w:val="20"/>
          <w:color w:val="auto"/>
        </w:rPr>
        <w:t>” means a New Drug Application, or any successor applications or procedures, filed with the FDA for approval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 and sell a product in the United States.</w:t>
      </w:r>
    </w:p>
    <w:p>
      <w:pPr>
        <w:spacing w:after="0" w:line="165" w:lineRule="exact"/>
        <w:rPr>
          <w:sz w:val="20"/>
          <w:szCs w:val="20"/>
          <w:color w:val="auto"/>
        </w:rPr>
      </w:pPr>
    </w:p>
    <w:p>
      <w:pPr>
        <w:jc w:val="both"/>
        <w:ind w:firstLine="4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1.30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Net Sales</w:t>
      </w:r>
      <w:r>
        <w:rPr>
          <w:rFonts w:ascii="Times New Roman" w:cs="Times New Roman" w:eastAsia="Times New Roman" w:hAnsi="Times New Roman"/>
          <w:sz w:val="20"/>
          <w:szCs w:val="20"/>
          <w:color w:val="auto"/>
        </w:rPr>
        <w:t>” means, with respect to a Licensed Product, the gross amount invoiced by Tarsus (including a Tarsus Affiliate)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any sublicensee thereof to unrelated Third Parties, excluding any sublicensee, for such Licensed Product in the Field in the Territory during the Royalty Term in the country of sale,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following items applied consistent with U.S. Generally Accepted Accounting Principles:</w:t>
      </w:r>
    </w:p>
    <w:p>
      <w:pPr>
        <w:spacing w:after="0" w:line="200" w:lineRule="exact"/>
        <w:rPr>
          <w:sz w:val="20"/>
          <w:szCs w:val="20"/>
          <w:color w:val="auto"/>
        </w:rPr>
      </w:pPr>
    </w:p>
    <w:p>
      <w:pPr>
        <w:spacing w:after="0" w:line="227" w:lineRule="exact"/>
        <w:rPr>
          <w:sz w:val="20"/>
          <w:szCs w:val="20"/>
          <w:color w:val="auto"/>
        </w:rPr>
      </w:pPr>
    </w:p>
    <w:p>
      <w:pPr>
        <w:ind w:left="1780" w:hanging="876"/>
        <w:spacing w:after="0"/>
        <w:tabs>
          <w:tab w:leader="none" w:pos="178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quantity and cash discounts allowed;</w:t>
      </w:r>
    </w:p>
    <w:p>
      <w:pPr>
        <w:spacing w:after="0" w:line="229" w:lineRule="exact"/>
        <w:rPr>
          <w:rFonts w:ascii="Times New Roman" w:cs="Times New Roman" w:eastAsia="Times New Roman" w:hAnsi="Times New Roman"/>
          <w:sz w:val="20"/>
          <w:szCs w:val="20"/>
          <w:color w:val="auto"/>
        </w:rPr>
      </w:pPr>
    </w:p>
    <w:p>
      <w:pPr>
        <w:ind w:left="900" w:right="320" w:firstLine="4"/>
        <w:spacing w:after="0" w:line="269" w:lineRule="auto"/>
        <w:tabs>
          <w:tab w:leader="none" w:pos="1779"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refunds, rebates, chargebacks, retroactive price adjustments, and any other allowances which effectively reduce the net selling price;</w:t>
      </w:r>
    </w:p>
    <w:p>
      <w:pPr>
        <w:spacing w:after="0" w:line="172" w:lineRule="exact"/>
        <w:rPr>
          <w:rFonts w:ascii="Times New Roman" w:cs="Times New Roman" w:eastAsia="Times New Roman" w:hAnsi="Times New Roman"/>
          <w:sz w:val="20"/>
          <w:szCs w:val="20"/>
          <w:color w:val="auto"/>
        </w:rPr>
      </w:pPr>
    </w:p>
    <w:p>
      <w:pPr>
        <w:ind w:left="1780" w:hanging="876"/>
        <w:spacing w:after="0"/>
        <w:tabs>
          <w:tab w:leader="none" w:pos="178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Licensed Product returns and allowances;</w:t>
      </w:r>
    </w:p>
    <w:p>
      <w:pPr>
        <w:spacing w:after="0" w:line="229" w:lineRule="exact"/>
        <w:rPr>
          <w:rFonts w:ascii="Times New Roman" w:cs="Times New Roman" w:eastAsia="Times New Roman" w:hAnsi="Times New Roman"/>
          <w:sz w:val="20"/>
          <w:szCs w:val="20"/>
          <w:color w:val="auto"/>
        </w:rPr>
      </w:pPr>
    </w:p>
    <w:p>
      <w:pPr>
        <w:ind w:left="1780" w:hanging="876"/>
        <w:spacing w:after="0"/>
        <w:tabs>
          <w:tab w:leader="none" w:pos="178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portion of the sales value associated with drug delivery systems, where applicable;</w:t>
      </w:r>
    </w:p>
    <w:p>
      <w:pPr>
        <w:spacing w:after="0" w:line="229" w:lineRule="exact"/>
        <w:rPr>
          <w:rFonts w:ascii="Times New Roman" w:cs="Times New Roman" w:eastAsia="Times New Roman" w:hAnsi="Times New Roman"/>
          <w:sz w:val="20"/>
          <w:szCs w:val="20"/>
          <w:color w:val="auto"/>
        </w:rPr>
      </w:pPr>
    </w:p>
    <w:p>
      <w:pPr>
        <w:ind w:left="900" w:right="160" w:firstLine="4"/>
        <w:spacing w:after="0" w:line="269" w:lineRule="auto"/>
        <w:tabs>
          <w:tab w:leader="none" w:pos="1768"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imposed on the production, sale, delivery or use of the Licensed Product, including, without limitation, sales, use, excise or value added taxes;</w:t>
      </w:r>
    </w:p>
    <w:p>
      <w:pPr>
        <w:spacing w:after="0" w:line="172" w:lineRule="exact"/>
        <w:rPr>
          <w:rFonts w:ascii="Times New Roman" w:cs="Times New Roman" w:eastAsia="Times New Roman" w:hAnsi="Times New Roman"/>
          <w:sz w:val="20"/>
          <w:szCs w:val="20"/>
          <w:color w:val="auto"/>
        </w:rPr>
      </w:pPr>
    </w:p>
    <w:p>
      <w:pPr>
        <w:ind w:left="1760" w:hanging="856"/>
        <w:spacing w:after="0"/>
        <w:tabs>
          <w:tab w:leader="none" w:pos="176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Wholesaler inventory management fees;</w:t>
      </w:r>
    </w:p>
    <w:p>
      <w:pPr>
        <w:spacing w:after="0" w:line="229" w:lineRule="exact"/>
        <w:rPr>
          <w:rFonts w:ascii="Times New Roman" w:cs="Times New Roman" w:eastAsia="Times New Roman" w:hAnsi="Times New Roman"/>
          <w:sz w:val="20"/>
          <w:szCs w:val="20"/>
          <w:color w:val="auto"/>
        </w:rPr>
      </w:pPr>
    </w:p>
    <w:p>
      <w:pPr>
        <w:ind w:left="1780" w:hanging="876"/>
        <w:spacing w:after="0"/>
        <w:tabs>
          <w:tab w:leader="none" w:pos="178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Allowance for distribution expenses; and</w:t>
      </w:r>
    </w:p>
    <w:p>
      <w:pPr>
        <w:spacing w:after="0" w:line="229" w:lineRule="exact"/>
        <w:rPr>
          <w:rFonts w:ascii="Times New Roman" w:cs="Times New Roman" w:eastAsia="Times New Roman" w:hAnsi="Times New Roman"/>
          <w:sz w:val="20"/>
          <w:szCs w:val="20"/>
          <w:color w:val="auto"/>
        </w:rPr>
      </w:pPr>
    </w:p>
    <w:p>
      <w:pPr>
        <w:ind w:left="1780" w:hanging="876"/>
        <w:spacing w:after="0"/>
        <w:tabs>
          <w:tab w:leader="none" w:pos="178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similar and customary deductions which are in accordance with GAAP.</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Such amounts shall be determined from the books and records of Tarsus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Affiliates of Tarsus or any sublicensee maintained in accordance with U. S. Generally Accepted Accounting Principles consistently applied. Tarsus further agrees in determining such amounts, it will use Tarsus’s then current standard procedures and methodology, including Tarsus's then current standard exchange rate methodology, utilizing a reputable source such as the </w:t>
      </w:r>
      <w:r>
        <w:rPr>
          <w:rFonts w:ascii="Times New Roman" w:cs="Times New Roman" w:eastAsia="Times New Roman" w:hAnsi="Times New Roman"/>
          <w:sz w:val="20"/>
          <w:szCs w:val="20"/>
          <w:i w:val="1"/>
          <w:iCs w:val="1"/>
          <w:color w:val="auto"/>
        </w:rPr>
        <w:t>Wall Street Journal</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Reuters</w:t>
      </w:r>
      <w:r>
        <w:rPr>
          <w:rFonts w:ascii="Times New Roman" w:cs="Times New Roman" w:eastAsia="Times New Roman" w:hAnsi="Times New Roman"/>
          <w:sz w:val="20"/>
          <w:szCs w:val="20"/>
          <w:color w:val="auto"/>
        </w:rPr>
        <w:t>, for the translation of foreign currency sales into U.S. Dollars. For purposes of determining Net Sales, (i) sales of a Licensed Product shall not include transfers, uses or dispositions for charitable, promotional, pre-clinical, clinical, regulatory or governmental purposes, and (ii) sales between or among Tarsus, its Affiliates and sublicensees for re-sale shall be excluded from the computation of Net Sales, but subsequent sales by Tarsus or its Affiliates to third parties shall be included in the computation of Net Sales.</w:t>
      </w:r>
    </w:p>
    <w:p>
      <w:pPr>
        <w:spacing w:after="0" w:line="195" w:lineRule="exact"/>
        <w:rPr>
          <w:sz w:val="20"/>
          <w:szCs w:val="20"/>
          <w:color w:val="auto"/>
        </w:rPr>
      </w:pPr>
    </w:p>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1.31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individual, corporation, partnership, joint venture, limited liability company, governmental authority,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unincorporated organization, trust, association or other entity.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15" w:name="page316"/>
    <w:bookmarkEnd w:id="315"/>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1.32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Phase 1 Clinical Trial</w:t>
      </w:r>
      <w:r>
        <w:rPr>
          <w:rFonts w:ascii="Times New Roman" w:cs="Times New Roman" w:eastAsia="Times New Roman" w:hAnsi="Times New Roman"/>
          <w:sz w:val="20"/>
          <w:szCs w:val="20"/>
          <w:color w:val="auto"/>
        </w:rPr>
        <w:t>” means a clinical trial, the principal purpose of which is preliminary determination of safety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Product in healthy individuals or patients and that otherwise satisfies the description in 21 C.F.R. §312.21(a) in the United States or, if applicable, its foreign equivalent.</w:t>
      </w:r>
    </w:p>
    <w:p>
      <w:pPr>
        <w:spacing w:after="0" w:line="182"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1.33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Phase 2 Clinical Trial</w:t>
      </w:r>
      <w:r>
        <w:rPr>
          <w:rFonts w:ascii="Times New Roman" w:cs="Times New Roman" w:eastAsia="Times New Roman" w:hAnsi="Times New Roman"/>
          <w:sz w:val="20"/>
          <w:szCs w:val="20"/>
          <w:color w:val="auto"/>
        </w:rPr>
        <w:t>” means a clinical trial phase 2a, 2b or adaptive design for an indication in the Field that (a) occurs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a separate Phase 1 Clinical Trial for such indication, (b) is predominantly designed to evaluate clinical efficacy for a pharmaceutical product (and is not a clinical trial that is predominantly a safety study (e.g., a phase 1b/2a clinical trial)), in a manner that is generally consistent with 21 C.F.R. § 312.21(b), as amended (or its successor regulation) and/or any analogous applicable law outside of the United States, as applicable, and (c) is necessary to enable Regulatory Approval in the United States or any Major European Country.</w:t>
      </w:r>
    </w:p>
    <w:p>
      <w:pPr>
        <w:spacing w:after="0" w:line="194"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1.34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Phase 3 Clinical Trial</w:t>
      </w:r>
      <w:r>
        <w:rPr>
          <w:rFonts w:ascii="Times New Roman" w:cs="Times New Roman" w:eastAsia="Times New Roman" w:hAnsi="Times New Roman"/>
          <w:sz w:val="20"/>
          <w:szCs w:val="20"/>
          <w:color w:val="auto"/>
        </w:rPr>
        <w:t>” means a pivotal clinical trial for an indication in the Field that (a) occurs after a separate Phase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 Trial for such indication, (b) has a defined dose or a set of defined doses of a pharmaceutical product designed to ascertain efficacy and safety of such product, in a manner that is generally consistent with 21 C.F.R. § 312.21(c), as amended (or its successor regulation) and/or any analogous applicable law outside of the United States, as applicable, and (c) is necessary to enable Regulatory Approval in the United States or any Major European Country.</w:t>
      </w:r>
    </w:p>
    <w:p>
      <w:pPr>
        <w:spacing w:after="0" w:line="194" w:lineRule="exact"/>
        <w:rPr>
          <w:sz w:val="20"/>
          <w:szCs w:val="20"/>
          <w:color w:val="auto"/>
        </w:rPr>
      </w:pPr>
    </w:p>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1.35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Prescription Product</w:t>
      </w:r>
      <w:r>
        <w:rPr>
          <w:rFonts w:ascii="Times New Roman" w:cs="Times New Roman" w:eastAsia="Times New Roman" w:hAnsi="Times New Roman"/>
          <w:sz w:val="20"/>
          <w:szCs w:val="20"/>
          <w:color w:val="auto"/>
        </w:rPr>
        <w:t>” for a Licensed Product in a country means such product cannot be sold to a consumer without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prescription from a licensed healthcare practitioner in such country.</w:t>
      </w:r>
    </w:p>
    <w:p>
      <w:pPr>
        <w:spacing w:after="0" w:line="165"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1.36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Regulatory Approval</w:t>
      </w:r>
      <w:r>
        <w:rPr>
          <w:rFonts w:ascii="Times New Roman" w:cs="Times New Roman" w:eastAsia="Times New Roman" w:hAnsi="Times New Roman"/>
          <w:sz w:val="20"/>
          <w:szCs w:val="20"/>
          <w:color w:val="auto"/>
        </w:rPr>
        <w:t>” in a particular country means all approvals (including any applicable governmental price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reimbursement approvals), licenses, registrations, and authorizations of any federal, national, multinational, state, provincial or local Regulatory Authority, department, bureau and other governmental entity that are necessary for the marketing and sale of a Licensed Product in a country.</w:t>
      </w:r>
    </w:p>
    <w:p>
      <w:pPr>
        <w:spacing w:after="0" w:line="189"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1.37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Regulatory Authority</w:t>
      </w:r>
      <w:r>
        <w:rPr>
          <w:rFonts w:ascii="Times New Roman" w:cs="Times New Roman" w:eastAsia="Times New Roman" w:hAnsi="Times New Roman"/>
          <w:sz w:val="20"/>
          <w:szCs w:val="20"/>
          <w:color w:val="auto"/>
        </w:rPr>
        <w:t>” means any applicable governmental authority responsible for granting Regulatory Approvals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pricing approvals for Licensed Products, including the FDA, the European Medicines Agency and any corresponding national or regional regulatory authorities.</w:t>
      </w:r>
    </w:p>
    <w:p>
      <w:pPr>
        <w:spacing w:after="0" w:line="182"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1.38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Regulatory Materials</w:t>
      </w:r>
      <w:r>
        <w:rPr>
          <w:rFonts w:ascii="Times New Roman" w:cs="Times New Roman" w:eastAsia="Times New Roman" w:hAnsi="Times New Roman"/>
          <w:sz w:val="20"/>
          <w:szCs w:val="20"/>
          <w:color w:val="auto"/>
        </w:rPr>
        <w:t>” means any regulatory application, submission, notification, communication, correspondence,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registrations, approvals and other filings made to or received from a Regulatory Authority relating to any Licensed Product, including, without limitation, INADs, INDs clinical trial applications, NADAs, NDAs and any other marketing authorizations.</w:t>
      </w:r>
    </w:p>
    <w:p>
      <w:pPr>
        <w:spacing w:after="0" w:line="182"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1.39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Regulatory Materials Receipt</w:t>
      </w:r>
      <w:r>
        <w:rPr>
          <w:rFonts w:ascii="Times New Roman" w:cs="Times New Roman" w:eastAsia="Times New Roman" w:hAnsi="Times New Roman"/>
          <w:sz w:val="20"/>
          <w:szCs w:val="20"/>
          <w:color w:val="auto"/>
        </w:rPr>
        <w:t>” means the date on which Elanco provides Tarsus with the Regulatory Materials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existence as of the Effective Date that are reasonably necessary to research, develop, make, use or otherwise exploit Licensed Products in the Field in the Territory. Such materials include, without limitation, [***], FDA approval letter, and FDA correspondence related to 21Sep18 Safety Communication.</w:t>
      </w:r>
    </w:p>
    <w:p>
      <w:pPr>
        <w:spacing w:after="0" w:line="189" w:lineRule="exact"/>
        <w:rPr>
          <w:sz w:val="20"/>
          <w:szCs w:val="20"/>
          <w:color w:val="auto"/>
        </w:rPr>
      </w:pPr>
    </w:p>
    <w:p>
      <w:pPr>
        <w:jc w:val="both"/>
        <w:ind w:right="20"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1.40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Restated Certificate</w:t>
      </w:r>
      <w:r>
        <w:rPr>
          <w:rFonts w:ascii="Times New Roman" w:cs="Times New Roman" w:eastAsia="Times New Roman" w:hAnsi="Times New Roman"/>
          <w:sz w:val="20"/>
          <w:szCs w:val="20"/>
          <w:color w:val="auto"/>
        </w:rPr>
        <w:t>” means Tarsus’ Amended and Restated Certificate of Incorporation on file with the Secretary of 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State of Delaware.</w:t>
      </w:r>
    </w:p>
    <w:p>
      <w:pPr>
        <w:spacing w:after="0" w:line="165"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1.41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Royalty Term</w:t>
      </w:r>
      <w:r>
        <w:rPr>
          <w:rFonts w:ascii="Times New Roman" w:cs="Times New Roman" w:eastAsia="Times New Roman" w:hAnsi="Times New Roman"/>
          <w:sz w:val="20"/>
          <w:szCs w:val="20"/>
          <w:color w:val="auto"/>
        </w:rPr>
        <w:t>” means, with respect to any Licensed Product in a given country, the period of time commencing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the First Commercial Sale of such Licensed Product in such country and ending on the latest of: (a) expiry of the last-to-expire of the Licensed Patents which has at least one (1) Valid Claim Covering such Licensed Product in such country; (b) the expiration of regulatory exclusivity for such Licensed Product in such country; and (c) ten (10) years after first commercial sale of such Licensed Product in such country.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62"/>
        </w:trPr>
        <w:tc>
          <w:tcPr>
            <w:tcW w:w="13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1.42</w:t>
            </w:r>
          </w:p>
        </w:tc>
        <w:tc>
          <w:tcPr>
            <w:tcW w:w="9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tc>
      </w:tr>
      <w:tr>
        <w:trPr>
          <w:trHeight w:val="459"/>
        </w:trPr>
        <w:tc>
          <w:tcPr>
            <w:tcW w:w="13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1.43</w:t>
            </w:r>
          </w:p>
        </w:tc>
        <w:tc>
          <w:tcPr>
            <w:tcW w:w="9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United States Securities Act of 1933, as amended.</w:t>
            </w:r>
          </w:p>
        </w:tc>
      </w:tr>
      <w:tr>
        <w:trPr>
          <w:trHeight w:val="430"/>
        </w:trPr>
        <w:tc>
          <w:tcPr>
            <w:tcW w:w="13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1.44</w:t>
            </w:r>
          </w:p>
        </w:tc>
        <w:tc>
          <w:tcPr>
            <w:tcW w:w="990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i w:val="1"/>
                <w:iCs w:val="1"/>
                <w:color w:val="auto"/>
                <w:w w:val="98"/>
              </w:rPr>
              <w:t>Sensitive Transfer</w:t>
            </w:r>
            <w:r>
              <w:rPr>
                <w:rFonts w:ascii="Times New Roman" w:cs="Times New Roman" w:eastAsia="Times New Roman" w:hAnsi="Times New Roman"/>
                <w:sz w:val="20"/>
                <w:szCs w:val="20"/>
                <w:color w:val="auto"/>
                <w:w w:val="98"/>
              </w:rPr>
              <w:t>” means a transfer to a new supplier requiring either a technology transfer, a method transfer or another</w:t>
            </w:r>
          </w:p>
        </w:tc>
      </w:tr>
      <w:tr>
        <w:trPr>
          <w:trHeight w:val="258"/>
        </w:trPr>
        <w:tc>
          <w:tcPr>
            <w:tcW w:w="1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transfer of Licensed Know-How.</w:t>
            </w:r>
          </w:p>
        </w:tc>
      </w:tr>
      <w:tr>
        <w:trPr>
          <w:trHeight w:val="430"/>
        </w:trPr>
        <w:tc>
          <w:tcPr>
            <w:tcW w:w="13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1.45</w:t>
            </w:r>
          </w:p>
        </w:tc>
        <w:tc>
          <w:tcPr>
            <w:tcW w:w="990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Sublicense Revenue</w:t>
            </w:r>
            <w:r>
              <w:rPr>
                <w:rFonts w:ascii="Times New Roman" w:cs="Times New Roman" w:eastAsia="Times New Roman" w:hAnsi="Times New Roman"/>
                <w:sz w:val="20"/>
                <w:szCs w:val="20"/>
                <w:color w:val="auto"/>
                <w:w w:val="99"/>
              </w:rPr>
              <w:t>” means payments that Tarsus receives in consideration for a sublicense of rights under the Licensed</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IP in the Field.</w:t>
            </w:r>
          </w:p>
        </w:tc>
        <w:tc>
          <w:tcPr>
            <w:tcW w:w="9900" w:type="dxa"/>
            <w:vAlign w:val="bottom"/>
          </w:tcPr>
          <w:p>
            <w:pPr>
              <w:spacing w:after="0"/>
              <w:rPr>
                <w:sz w:val="22"/>
                <w:szCs w:val="22"/>
                <w:color w:val="auto"/>
              </w:rPr>
            </w:pPr>
          </w:p>
        </w:tc>
      </w:tr>
    </w:tbl>
    <w:p>
      <w:pPr>
        <w:spacing w:after="0" w:line="197"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Tarsus IP</w:t>
      </w:r>
      <w:r>
        <w:rPr>
          <w:rFonts w:ascii="Times New Roman" w:cs="Times New Roman" w:eastAsia="Times New Roman" w:hAnsi="Times New Roman"/>
          <w:sz w:val="19"/>
          <w:szCs w:val="19"/>
          <w:color w:val="auto"/>
        </w:rPr>
        <w:t>” means the Tarsus Patents and the Tarsus Know-How. Tarsus IP does not include the Licensed IP.</w:t>
      </w:r>
    </w:p>
    <w:p>
      <w:pPr>
        <w:spacing w:after="0" w:line="229"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1.47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Tarsus Know-How</w:t>
      </w:r>
      <w:r>
        <w:rPr>
          <w:rFonts w:ascii="Times New Roman" w:cs="Times New Roman" w:eastAsia="Times New Roman" w:hAnsi="Times New Roman"/>
          <w:sz w:val="19"/>
          <w:szCs w:val="19"/>
          <w:color w:val="auto"/>
        </w:rPr>
        <w:t>” means Know-How Controlled by Tarsus as of the Effective Date, excluding Licensed Know-How.</w:t>
      </w:r>
    </w:p>
    <w:p>
      <w:pPr>
        <w:spacing w:after="0" w:line="229"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1.48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Tarsus Patents</w:t>
      </w:r>
      <w:r>
        <w:rPr>
          <w:rFonts w:ascii="Times New Roman" w:cs="Times New Roman" w:eastAsia="Times New Roman" w:hAnsi="Times New Roman"/>
          <w:sz w:val="20"/>
          <w:szCs w:val="20"/>
          <w:color w:val="auto"/>
        </w:rPr>
        <w:t>” means (a) patents and patent applications Controlled by Tarsus as of the Effective Date and related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Compound and Licensed Product; (b) any patent applications claiming priority to any of the foregoing, including continuations, divisionals, continuation-in-part (to the extent the claims thereof are entitled to such priority) and foreign patent applications, and (c) all patents issuing from any of the foregoing patent applications described in (a) through (b), including all reissues, reexaminations and extensions thereof. Notwithstanding the foregoing, the Tarsus Patents do not include the Licensed Patents.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62"/>
        </w:trPr>
        <w:tc>
          <w:tcPr>
            <w:tcW w:w="6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1"/>
              </w:rPr>
              <w:t>1.49</w:t>
            </w:r>
          </w:p>
        </w:tc>
        <w:tc>
          <w:tcPr>
            <w:tcW w:w="64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Territory</w:t>
            </w:r>
            <w:r>
              <w:rPr>
                <w:rFonts w:ascii="Times New Roman" w:cs="Times New Roman" w:eastAsia="Times New Roman" w:hAnsi="Times New Roman"/>
                <w:sz w:val="20"/>
                <w:szCs w:val="20"/>
                <w:color w:val="auto"/>
              </w:rPr>
              <w:t>” means the entire world.</w:t>
            </w:r>
          </w:p>
        </w:tc>
      </w:tr>
      <w:tr>
        <w:trPr>
          <w:trHeight w:val="459"/>
        </w:trPr>
        <w:tc>
          <w:tcPr>
            <w:tcW w:w="6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1"/>
              </w:rPr>
              <w:t>1.50</w:t>
            </w:r>
          </w:p>
        </w:tc>
        <w:tc>
          <w:tcPr>
            <w:tcW w:w="640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i w:val="1"/>
                <w:iCs w:val="1"/>
                <w:color w:val="auto"/>
                <w:w w:val="98"/>
              </w:rPr>
              <w:t>Third Party</w:t>
            </w:r>
            <w:r>
              <w:rPr>
                <w:rFonts w:ascii="Times New Roman" w:cs="Times New Roman" w:eastAsia="Times New Roman" w:hAnsi="Times New Roman"/>
                <w:sz w:val="20"/>
                <w:szCs w:val="20"/>
                <w:color w:val="auto"/>
                <w:w w:val="98"/>
              </w:rPr>
              <w:t>” means any Person other than a Party or an Affiliate of a Party.</w:t>
            </w:r>
          </w:p>
        </w:tc>
      </w:tr>
    </w:tbl>
    <w:p>
      <w:pPr>
        <w:spacing w:after="0" w:line="197"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1.51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Valid Claim</w:t>
      </w:r>
      <w:r>
        <w:rPr>
          <w:rFonts w:ascii="Times New Roman" w:cs="Times New Roman" w:eastAsia="Times New Roman" w:hAnsi="Times New Roman"/>
          <w:sz w:val="20"/>
          <w:szCs w:val="20"/>
          <w:color w:val="auto"/>
        </w:rPr>
        <w:t>” means any claim of any issued and unexpired Licensed Patent that has not been disclaimed, abandoned,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revoked or held unpatentable, invalid or unenforceable by final decision of a court or other governmental body of competent jurisdiction, which decision is unappealable or unappealed within the time allowed for appeal. “Valid Claim” shall include any pending claim of any Licensed Patent that has been pending for less than [***] years but shall exclude pending claims that have been pending, without approval, for [***] years or more.</w:t>
      </w:r>
    </w:p>
    <w:p>
      <w:pPr>
        <w:spacing w:after="0" w:line="194" w:lineRule="exact"/>
        <w:rPr>
          <w:sz w:val="20"/>
          <w:szCs w:val="20"/>
          <w:color w:val="auto"/>
        </w:rPr>
      </w:pPr>
    </w:p>
    <w:p>
      <w:pPr>
        <w:ind w:left="800" w:hanging="792"/>
        <w:spacing w:after="0"/>
        <w:tabs>
          <w:tab w:leader="none" w:pos="800"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3"/>
          <w:szCs w:val="13"/>
          <w:b w:val="1"/>
          <w:bCs w:val="1"/>
          <w:color w:val="auto"/>
        </w:rPr>
        <w:t>ICENSE</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U</w:t>
      </w:r>
      <w:r>
        <w:rPr>
          <w:rFonts w:ascii="Times New Roman" w:cs="Times New Roman" w:eastAsia="Times New Roman" w:hAnsi="Times New Roman"/>
          <w:sz w:val="13"/>
          <w:szCs w:val="13"/>
          <w:b w:val="1"/>
          <w:bCs w:val="1"/>
          <w:color w:val="auto"/>
        </w:rPr>
        <w:t>PSTREAM</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448"/>
        <w:spacing w:after="0" w:line="246" w:lineRule="auto"/>
        <w:rPr>
          <w:sz w:val="20"/>
          <w:szCs w:val="20"/>
          <w:color w:val="auto"/>
        </w:rPr>
      </w:pPr>
      <w:r>
        <w:rPr>
          <w:rFonts w:ascii="Times New Roman" w:cs="Times New Roman" w:eastAsia="Times New Roman" w:hAnsi="Times New Roman"/>
          <w:sz w:val="20"/>
          <w:szCs w:val="20"/>
          <w:b w:val="1"/>
          <w:bCs w:val="1"/>
          <w:color w:val="auto"/>
        </w:rPr>
        <w:t>2.1 Elanco License</w:t>
      </w:r>
      <w:r>
        <w:rPr>
          <w:rFonts w:ascii="Times New Roman" w:cs="Times New Roman" w:eastAsia="Times New Roman" w:hAnsi="Times New Roman"/>
          <w:sz w:val="20"/>
          <w:szCs w:val="20"/>
          <w:color w:val="auto"/>
        </w:rPr>
        <w:t>. Elanco hereby grants to Tarsus and its Affiliates an exclusive (even as to Elanco), perpetual, sublicensable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multiple tiers), royalty-bearing license, under the Licensed IP, to research, develop, make, use, sell, offer for sale, import and otherwise exploit Licensed Products in the Field in the Territory. Each sublicensee shall agree to comply with the following terms and conditions of this Agreement: Section 2.3, allowing an audit pursuant to Section 6.6, Section 9.2(b) (with respect to the activities of sublicensee and its Affiliates), and Section 10 (with respect to the Confidential Information of Elanco). Tarsus remains fully responsible and liable under this Agreement irrespective of any sublicense.</w:t>
      </w:r>
    </w:p>
    <w:p>
      <w:pPr>
        <w:spacing w:after="0" w:line="192"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2.2 Tarsus License</w:t>
      </w:r>
      <w:r>
        <w:rPr>
          <w:rFonts w:ascii="Times New Roman" w:cs="Times New Roman" w:eastAsia="Times New Roman" w:hAnsi="Times New Roman"/>
          <w:sz w:val="20"/>
          <w:szCs w:val="20"/>
          <w:color w:val="auto"/>
        </w:rPr>
        <w:t>. Tarsus hereby grants to Elanco a worldwide non-exclusive, perpetual, sublicensable (through multiple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tiers), royalty-free license, under the Tarsus IP, to research, develop, make, use, sell, offer for sale, import and otherwise exploit Compounds and Licensed Products in the Elanco Field. Tarsus may sublicense any or all rights and/or obligations under this Agreement.</w:t>
      </w:r>
    </w:p>
    <w:p>
      <w:pPr>
        <w:spacing w:after="0" w:line="182" w:lineRule="exact"/>
        <w:rPr>
          <w:sz w:val="20"/>
          <w:szCs w:val="20"/>
          <w:color w:val="auto"/>
        </w:rPr>
      </w:pPr>
    </w:p>
    <w:p>
      <w:pPr>
        <w:jc w:val="both"/>
        <w:ind w:firstLine="448"/>
        <w:spacing w:after="0" w:line="252" w:lineRule="auto"/>
        <w:rPr>
          <w:sz w:val="20"/>
          <w:szCs w:val="20"/>
          <w:color w:val="auto"/>
        </w:rPr>
      </w:pPr>
      <w:r>
        <w:rPr>
          <w:rFonts w:ascii="Times New Roman" w:cs="Times New Roman" w:eastAsia="Times New Roman" w:hAnsi="Times New Roman"/>
          <w:sz w:val="20"/>
          <w:szCs w:val="20"/>
          <w:b w:val="1"/>
          <w:bCs w:val="1"/>
          <w:color w:val="auto"/>
        </w:rPr>
        <w:t>2.3 Right of Reference; Samples</w:t>
      </w:r>
      <w:r>
        <w:rPr>
          <w:rFonts w:ascii="Times New Roman" w:cs="Times New Roman" w:eastAsia="Times New Roman" w:hAnsi="Times New Roman"/>
          <w:sz w:val="20"/>
          <w:szCs w:val="20"/>
          <w:color w:val="auto"/>
        </w:rPr>
        <w:t>. Each Party has right to reference and receive access to all Regulatory Materials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Compound (and any chemical alteration or improvement of the Compound (e.g. pursuant to Section 8.3)) that are Controlled by the other Party, its Affiliates, or its sublicensees, whether existing as of the Effective Date, generated from any activities of the Parties in connection with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17" w:name="page318"/>
    <w:bookmarkEnd w:id="317"/>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this Agreement, solely for the purposes set forth in this Agreement, or otherwise existing after the Effective Date. Elanco will provide Tarsus with reasonable samples of (a) Elanco’s chemical alterations or improvements of the Compound, (b) the Compound’s related substances, and/or (c) reference standards for the Compound, in each case, after Tarsus’s request(s) from time to time. Tarsus shall pay Elanco for such samples at an amount equal to [***] paid by Elanco for such samples plus [***]% thereof.</w:t>
      </w:r>
    </w:p>
    <w:p>
      <w:pPr>
        <w:spacing w:after="0" w:line="189" w:lineRule="exact"/>
        <w:rPr>
          <w:sz w:val="20"/>
          <w:szCs w:val="20"/>
          <w:color w:val="auto"/>
        </w:rPr>
      </w:pPr>
    </w:p>
    <w:p>
      <w:pPr>
        <w:ind w:left="800" w:hanging="792"/>
        <w:spacing w:after="0"/>
        <w:tabs>
          <w:tab w:leader="none" w:pos="800" w:val="left"/>
        </w:tabs>
        <w:numPr>
          <w:ilvl w:val="0"/>
          <w:numId w:val="3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EGULATORY</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RANSFER</w:t>
      </w:r>
      <w:r>
        <w:rPr>
          <w:rFonts w:ascii="Times New Roman" w:cs="Times New Roman" w:eastAsia="Times New Roman" w:hAnsi="Times New Roman"/>
          <w:sz w:val="20"/>
          <w:szCs w:val="20"/>
          <w:b w:val="1"/>
          <w:bCs w:val="1"/>
          <w:color w:val="auto"/>
        </w:rPr>
        <w:t>; K</w:t>
      </w:r>
      <w:r>
        <w:rPr>
          <w:rFonts w:ascii="Times New Roman" w:cs="Times New Roman" w:eastAsia="Times New Roman" w:hAnsi="Times New Roman"/>
          <w:sz w:val="13"/>
          <w:szCs w:val="13"/>
          <w:b w:val="1"/>
          <w:bCs w:val="1"/>
          <w:color w:val="auto"/>
        </w:rPr>
        <w:t>NOW</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OW</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RANSFER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4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color w:val="auto"/>
        </w:rPr>
        <w:t>Within [***] days following the date Tarsus provided Elanco the Initial Equity Grant, Elanco shall provide all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the Licensed Know-How that is Controlled by Elanco as of the Effective Date and is reasonably necessary to research, develop, make, use, or otherwise exploit Licensed Products in the Field in the Territory. Additionally, if Tarsus engages a third party other than Siegfried to manufacture the Licensed Product and such manufacture requires material manufacturing Know-How not previously provided to Tarsus then Elanco shall provide (or cause Siegfried to provide) such Know-How and, unless such third party is an Existing Manufacturer, Tarsus shall pay Elanco $[***] within thirty (30) days after its receipt of all of such Know-How. Provided in any case that Elanco shall only be obliged to provide information to a third party that has been selected in compliance with Section 8.4.</w:t>
      </w:r>
    </w:p>
    <w:p>
      <w:pPr>
        <w:spacing w:after="0" w:line="206"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color w:val="auto"/>
        </w:rPr>
        <w:t>Promptly after the Effective Date, Elanco shall provide Tarsus with all Regulatory Materials that are reasonably necessary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research, develop, make, use or otherwise exploit Licensed Products in the Field in the Territory, but, in any case, Elanco shall not be required to provide any particular Regulatory Material to Tarsus more than once. Elanco shall continually provide Tarsus with any relevant updates to the Regulatory Materials promptly after their creation or receipt (as the case may be).</w:t>
      </w:r>
    </w:p>
    <w:p>
      <w:pPr>
        <w:spacing w:after="0" w:line="189" w:lineRule="exact"/>
        <w:rPr>
          <w:sz w:val="20"/>
          <w:szCs w:val="20"/>
          <w:color w:val="auto"/>
        </w:rPr>
      </w:pPr>
    </w:p>
    <w:p>
      <w:pPr>
        <w:ind w:left="800" w:hanging="792"/>
        <w:spacing w:after="0"/>
        <w:tabs>
          <w:tab w:leader="none" w:pos="800" w:val="left"/>
        </w:tabs>
        <w:numPr>
          <w:ilvl w:val="0"/>
          <w:numId w:val="3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EVELOPMENT AND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OMMERCIALIZATION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448"/>
        <w:spacing w:after="0" w:line="246" w:lineRule="auto"/>
        <w:rPr>
          <w:sz w:val="20"/>
          <w:szCs w:val="20"/>
          <w:color w:val="auto"/>
        </w:rPr>
      </w:pPr>
      <w:r>
        <w:rPr>
          <w:rFonts w:ascii="Times New Roman" w:cs="Times New Roman" w:eastAsia="Times New Roman" w:hAnsi="Times New Roman"/>
          <w:sz w:val="20"/>
          <w:szCs w:val="20"/>
          <w:b w:val="1"/>
          <w:bCs w:val="1"/>
          <w:color w:val="auto"/>
        </w:rPr>
        <w:t>4.1 General; Diligence</w:t>
      </w:r>
      <w:r>
        <w:rPr>
          <w:rFonts w:ascii="Times New Roman" w:cs="Times New Roman" w:eastAsia="Times New Roman" w:hAnsi="Times New Roman"/>
          <w:sz w:val="20"/>
          <w:szCs w:val="20"/>
          <w:color w:val="auto"/>
        </w:rPr>
        <w:t>. Following the Effective Date, as between the Parties, Tarsus, at its expense, shall be responsible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conducting (or causing its Affiliates or sublicensees to conduct) the development and commercialization of the Licensed Products in the Field in the Territory. Tarsus shall use Commercially Reasonable Efforts to develop the Licensed Products and seek and obtain Regulatory Approval for Licensed Products in the Field in the Territory. A summary of the currently intended development activities is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Elanco’s sole and exclusive remedy for Tarsus’s breach of the foregoing sentence is termination of this Agreement pursuant Section 11.2.</w:t>
      </w:r>
    </w:p>
    <w:p>
      <w:pPr>
        <w:spacing w:after="0" w:line="192" w:lineRule="exact"/>
        <w:rPr>
          <w:sz w:val="20"/>
          <w:szCs w:val="20"/>
          <w:color w:val="auto"/>
        </w:rPr>
      </w:pPr>
    </w:p>
    <w:p>
      <w:pPr>
        <w:jc w:val="both"/>
        <w:ind w:firstLine="448"/>
        <w:spacing w:after="0" w:line="245" w:lineRule="auto"/>
        <w:rPr>
          <w:sz w:val="20"/>
          <w:szCs w:val="20"/>
          <w:color w:val="auto"/>
        </w:rPr>
      </w:pPr>
      <w:r>
        <w:rPr>
          <w:rFonts w:ascii="Times New Roman" w:cs="Times New Roman" w:eastAsia="Times New Roman" w:hAnsi="Times New Roman"/>
          <w:sz w:val="20"/>
          <w:szCs w:val="20"/>
          <w:b w:val="1"/>
          <w:bCs w:val="1"/>
          <w:color w:val="auto"/>
        </w:rPr>
        <w:t>4.2 Regulatory</w:t>
      </w:r>
      <w:r>
        <w:rPr>
          <w:rFonts w:ascii="Times New Roman" w:cs="Times New Roman" w:eastAsia="Times New Roman" w:hAnsi="Times New Roman"/>
          <w:sz w:val="20"/>
          <w:szCs w:val="20"/>
          <w:color w:val="auto"/>
        </w:rPr>
        <w:t>. As between the Parties, Tarsus (or its Affiliates or sublicensees) shall be solely responsible, for all regulatory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matters relating to the development and commercialization of the Licensed Products in the Field in the Territory and shall coordinate and control the related regulatory strategy and interactions with Regulatory Authorities for the Licensed Products at its own cost. Each Party shall keep the other Party informed about the regulatory process and status for Licensed Products and shall immediately or no later than five (5) business days inform the other Party of any human exposure serious adverse event (as defined in 21 CFR 312.32 and CFR 514.3) or such other matters agreed to in any pharmacovigilance or that would otherwise reasonably be expected to materially adversely affect the other Party’s regulatory process for the Licensed Products.</w:t>
      </w:r>
    </w:p>
    <w:p>
      <w:pPr>
        <w:spacing w:after="0" w:line="193"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4.3 Progress Reports</w:t>
      </w:r>
      <w:r>
        <w:rPr>
          <w:rFonts w:ascii="Times New Roman" w:cs="Times New Roman" w:eastAsia="Times New Roman" w:hAnsi="Times New Roman"/>
          <w:sz w:val="20"/>
          <w:szCs w:val="20"/>
          <w:color w:val="auto"/>
        </w:rPr>
        <w:t>. Within [***] days after January 1 of each year prior to First Commercial Sale, Tarsus shall submit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Elanco a progress report covering in reasonable detail the activities of Tarsus including a listing of serious adverse events, its Affiliates and sublicensees, as applicable, related to the development, regulatory status and commercialization of the Licensed Products in the Territory. All reports provided by Tarsus to Elanco under this Section 4.3 shall be considered Tarsus’s Confidential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8" w:name="page319"/>
    <w:bookmarkEnd w:id="318"/>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4.4</w:t>
      </w:r>
      <w:r>
        <w:rPr>
          <w:sz w:val="20"/>
          <w:szCs w:val="20"/>
          <w:color w:val="auto"/>
        </w:rPr>
        <w:tab/>
      </w:r>
      <w:r>
        <w:rPr>
          <w:rFonts w:ascii="Times New Roman" w:cs="Times New Roman" w:eastAsia="Times New Roman" w:hAnsi="Times New Roman"/>
          <w:sz w:val="19"/>
          <w:szCs w:val="19"/>
          <w:b w:val="1"/>
          <w:bCs w:val="1"/>
          <w:color w:val="auto"/>
        </w:rPr>
        <w:t>Reversion of Rights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904"/>
        <w:spacing w:after="0" w:line="249" w:lineRule="auto"/>
        <w:tabs>
          <w:tab w:leader="none" w:pos="1775" w:val="left"/>
        </w:tabs>
        <w:numPr>
          <w:ilvl w:val="0"/>
          <w:numId w:val="3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If neither Tarsus nor any of its Affiliates or sublicensees achieve any of the milestones set forth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i w:val="1"/>
          <w:iCs w:val="1"/>
          <w:color w:val="auto"/>
        </w:rPr>
        <w:t>Diligence Milestone</w:t>
      </w:r>
      <w:r>
        <w:rPr>
          <w:rFonts w:ascii="Times New Roman" w:cs="Times New Roman" w:eastAsia="Times New Roman" w:hAnsi="Times New Roman"/>
          <w:sz w:val="20"/>
          <w:szCs w:val="20"/>
          <w:color w:val="auto"/>
        </w:rPr>
        <w:t xml:space="preserve">”) by the corresponding achievement deadline date set forth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except for reasons outside of Tarsus’ reasonable control, Elanco shall (as its sole and exclusive remedy for such failure) have the right to terminate the Agreement if such Diligence Milestone remains unmet one hundred twenty (120) days after Elanco provides Tarsus notice of such failure.</w:t>
      </w:r>
    </w:p>
    <w:p>
      <w:pPr>
        <w:spacing w:after="0" w:line="193" w:lineRule="exact"/>
        <w:rPr>
          <w:rFonts w:ascii="Times New Roman" w:cs="Times New Roman" w:eastAsia="Times New Roman" w:hAnsi="Times New Roman"/>
          <w:sz w:val="20"/>
          <w:szCs w:val="20"/>
          <w:b w:val="1"/>
          <w:bCs w:val="1"/>
          <w:color w:val="auto"/>
        </w:rPr>
      </w:pPr>
    </w:p>
    <w:p>
      <w:pPr>
        <w:ind w:firstLine="904"/>
        <w:spacing w:after="0" w:line="269" w:lineRule="auto"/>
        <w:tabs>
          <w:tab w:leader="none" w:pos="1786" w:val="left"/>
        </w:tabs>
        <w:numPr>
          <w:ilvl w:val="0"/>
          <w:numId w:val="3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Tarsus may, at its option, increase all of the milestone dates set forth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one time by [***] months by making a one-time payment of $[***].</w:t>
      </w:r>
    </w:p>
    <w:p>
      <w:pPr>
        <w:spacing w:after="0" w:line="172" w:lineRule="exact"/>
        <w:rPr>
          <w:rFonts w:ascii="Times New Roman" w:cs="Times New Roman" w:eastAsia="Times New Roman" w:hAnsi="Times New Roman"/>
          <w:sz w:val="20"/>
          <w:szCs w:val="20"/>
          <w:b w:val="1"/>
          <w:bCs w:val="1"/>
          <w:color w:val="auto"/>
        </w:rPr>
      </w:pPr>
    </w:p>
    <w:p>
      <w:pPr>
        <w:jc w:val="both"/>
        <w:ind w:firstLine="904"/>
        <w:spacing w:after="0" w:line="249" w:lineRule="auto"/>
        <w:tabs>
          <w:tab w:leader="none" w:pos="1764" w:val="left"/>
        </w:tabs>
        <w:numPr>
          <w:ilvl w:val="0"/>
          <w:numId w:val="3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case of termination pursuant to Section 4.4(a), Elanco shall be granted nonexclusive, sublicensable rights to the Tarsus Know-How and Tarsus Licensed Patents to develop, manufacture, and commercialize the Compound and Licensed Products in the Field and be provided with Tarsus Know-How (including such regulatory documentation corresponding to the Licensed Product) but not any other assets of Tarsus. Such rights shall be fully paid and royalty free.</w:t>
      </w:r>
    </w:p>
    <w:p>
      <w:pPr>
        <w:spacing w:after="0" w:line="176" w:lineRule="exact"/>
        <w:rPr>
          <w:sz w:val="20"/>
          <w:szCs w:val="20"/>
          <w:color w:val="auto"/>
        </w:rPr>
      </w:pPr>
    </w:p>
    <w:p>
      <w:pPr>
        <w:jc w:val="both"/>
        <w:ind w:firstLine="896"/>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4.5 </w:t>
      </w:r>
      <w:r>
        <w:rPr>
          <w:rFonts w:ascii="Times New Roman" w:cs="Times New Roman" w:eastAsia="Times New Roman" w:hAnsi="Times New Roman"/>
          <w:sz w:val="20"/>
          <w:szCs w:val="20"/>
          <w:color w:val="auto"/>
        </w:rPr>
        <w:t>Development Cooperation. The Parties acknowledge and agree that, in order to develop Licensed Products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Field, Tarsus will need to conduct non-human animal studies. Tarsus agrees to coordinate and cooperate with Elanco, via the JSC (as defined in Section 5 below), to develop and perform such studies in a manner that minimizes the commercial risk to Elanco’s commercial products for the Elanco Field that include the Compound. Tarsus should explore all possible alternatives to performing non-human animal studies in dogs, for example by choosing another animal species. In the event that dog studies are absolutely needed, Tarsus will inform and consult with Elanco, before conducting the studies and regularly provide an overview of all current and future clinical studies relating to the Compound to the Joint Steering Committee.</w:t>
      </w:r>
    </w:p>
    <w:p>
      <w:pPr>
        <w:spacing w:after="0" w:line="193" w:lineRule="exact"/>
        <w:rPr>
          <w:sz w:val="20"/>
          <w:szCs w:val="20"/>
          <w:color w:val="auto"/>
        </w:rPr>
      </w:pPr>
    </w:p>
    <w:p>
      <w:pPr>
        <w:ind w:left="800" w:hanging="792"/>
        <w:spacing w:after="0"/>
        <w:tabs>
          <w:tab w:leader="none" w:pos="800" w:val="left"/>
        </w:tabs>
        <w:numPr>
          <w:ilvl w:val="0"/>
          <w:numId w:val="3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J</w:t>
      </w:r>
      <w:r>
        <w:rPr>
          <w:rFonts w:ascii="Times New Roman" w:cs="Times New Roman" w:eastAsia="Times New Roman" w:hAnsi="Times New Roman"/>
          <w:sz w:val="13"/>
          <w:szCs w:val="13"/>
          <w:b w:val="1"/>
          <w:bCs w:val="1"/>
          <w:color w:val="auto"/>
        </w:rPr>
        <w:t>OINT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TEERING</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OMMITTEE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color w:val="auto"/>
        </w:rPr>
      </w:pPr>
    </w:p>
    <w:p>
      <w:pPr>
        <w:jc w:val="both"/>
        <w:ind w:firstLine="904"/>
        <w:spacing w:after="0" w:line="245" w:lineRule="auto"/>
        <w:tabs>
          <w:tab w:leader="none" w:pos="1775" w:val="left"/>
        </w:tabs>
        <w:numPr>
          <w:ilvl w:val="1"/>
          <w:numId w:val="3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parties shall establish a joint steering committee (the “</w:t>
      </w:r>
      <w:r>
        <w:rPr>
          <w:rFonts w:ascii="Times New Roman" w:cs="Times New Roman" w:eastAsia="Times New Roman" w:hAnsi="Times New Roman"/>
          <w:sz w:val="20"/>
          <w:szCs w:val="20"/>
          <w:b w:val="1"/>
          <w:bCs w:val="1"/>
          <w:i w:val="1"/>
          <w:iCs w:val="1"/>
          <w:color w:val="auto"/>
        </w:rPr>
        <w:t>Joint Steering Committee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JSC</w:t>
      </w:r>
      <w:r>
        <w:rPr>
          <w:rFonts w:ascii="Times New Roman" w:cs="Times New Roman" w:eastAsia="Times New Roman" w:hAnsi="Times New Roman"/>
          <w:sz w:val="20"/>
          <w:szCs w:val="20"/>
          <w:color w:val="auto"/>
        </w:rPr>
        <w:t>”) consisting of two (2) representatives from each party, which shall serve as a way for Tarsus to inform (and seek advice from) Elanco in the development and Regulatory Approval efforts for the Licensed Product in the Territory and other efforts under this License Agreement. Each party will provide the other Party Notice with the name, title, email address, telephone number of their respective Joint Steering Committee Members. The JSC shall meet as needed but not less than on a quarterly basis (or such other frequency as determined by the JSC). The JSC shall be of advisory nature only and shall ensure that Elanco is being kept informed on Tarsus development progress. Tarsus is responsible for and takes final decisions on development and commercialization.</w:t>
      </w:r>
    </w:p>
    <w:p>
      <w:pPr>
        <w:spacing w:after="0" w:line="196" w:lineRule="exact"/>
        <w:rPr>
          <w:rFonts w:ascii="Times New Roman" w:cs="Times New Roman" w:eastAsia="Times New Roman" w:hAnsi="Times New Roman"/>
          <w:sz w:val="20"/>
          <w:szCs w:val="20"/>
          <w:b w:val="1"/>
          <w:bCs w:val="1"/>
          <w:color w:val="auto"/>
        </w:rPr>
      </w:pPr>
    </w:p>
    <w:p>
      <w:pPr>
        <w:ind w:firstLine="904"/>
        <w:spacing w:after="0" w:line="269" w:lineRule="auto"/>
        <w:tabs>
          <w:tab w:leader="none" w:pos="1786" w:val="left"/>
        </w:tabs>
        <w:numPr>
          <w:ilvl w:val="1"/>
          <w:numId w:val="3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Joint Steering Committee meetings will be at times agreed by the Parties and will be in such form (e.g. in person, telephone, or video conference) as the members of the Joint Steering Committee agree.</w:t>
      </w:r>
    </w:p>
    <w:p>
      <w:pPr>
        <w:spacing w:after="0" w:line="172" w:lineRule="exact"/>
        <w:rPr>
          <w:rFonts w:ascii="Times New Roman" w:cs="Times New Roman" w:eastAsia="Times New Roman" w:hAnsi="Times New Roman"/>
          <w:sz w:val="20"/>
          <w:szCs w:val="20"/>
          <w:b w:val="1"/>
          <w:bCs w:val="1"/>
          <w:color w:val="auto"/>
        </w:rPr>
      </w:pPr>
    </w:p>
    <w:p>
      <w:pPr>
        <w:jc w:val="both"/>
        <w:ind w:firstLine="904"/>
        <w:spacing w:after="0" w:line="266" w:lineRule="auto"/>
        <w:tabs>
          <w:tab w:leader="none" w:pos="1764" w:val="left"/>
        </w:tabs>
        <w:numPr>
          <w:ilvl w:val="1"/>
          <w:numId w:val="3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 party may change one or more of its representatives to the Steering Committee at any time. Members of the Joint Steering committee may be represented at any meeting by another member of the Steering committee or by a proxy. Either Party may permit additional employees and consultants to attend and participate in the Joint Steering Committee, subject to the confidentiality provisions of the agreement. Each Party is responsible for travel costs for their representatives associated with attending in person JSC meetings.</w:t>
      </w:r>
    </w:p>
    <w:p>
      <w:pPr>
        <w:spacing w:after="0" w:line="178" w:lineRule="exact"/>
        <w:rPr>
          <w:rFonts w:ascii="Times New Roman" w:cs="Times New Roman" w:eastAsia="Times New Roman" w:hAnsi="Times New Roman"/>
          <w:sz w:val="19"/>
          <w:szCs w:val="19"/>
          <w:b w:val="1"/>
          <w:bCs w:val="1"/>
          <w:color w:val="auto"/>
        </w:rPr>
      </w:pPr>
    </w:p>
    <w:p>
      <w:pPr>
        <w:jc w:val="both"/>
        <w:ind w:firstLine="904"/>
        <w:spacing w:after="0" w:line="249" w:lineRule="auto"/>
        <w:tabs>
          <w:tab w:leader="none" w:pos="1786" w:val="left"/>
        </w:tabs>
        <w:numPr>
          <w:ilvl w:val="1"/>
          <w:numId w:val="3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Joint Steering Committee will be responsible for keeping accurate minutes of its deliberations that record decisions and all actions recommended or taken. Within thirty (15) business days of each JSC meeting, the Parties will be provided with draft minutes of such meeting. Minutes will be deemed approved unless a Joint Steering Committee representative of either Party objects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19" w:name="page320"/>
    <w:bookmarkEnd w:id="319"/>
    <w:p>
      <w:pPr>
        <w:jc w:val="both"/>
        <w:spacing w:after="0" w:line="254" w:lineRule="auto"/>
        <w:rPr>
          <w:sz w:val="20"/>
          <w:szCs w:val="20"/>
          <w:color w:val="auto"/>
        </w:rPr>
      </w:pPr>
      <w:r>
        <w:rPr>
          <w:rFonts w:ascii="Times New Roman" w:cs="Times New Roman" w:eastAsia="Times New Roman" w:hAnsi="Times New Roman"/>
          <w:sz w:val="20"/>
          <w:szCs w:val="20"/>
          <w:color w:val="auto"/>
        </w:rPr>
        <w:t>accuracy of such minutes. In the event that any such objection is not resolved by the Joint Steering Committee such minutes will be amended to reflect the unresolved objection. All records of the Joint Steering Committee will be considered confidential information and available to both Parties.</w:t>
      </w:r>
    </w:p>
    <w:p>
      <w:pPr>
        <w:spacing w:after="0" w:line="184" w:lineRule="exact"/>
        <w:rPr>
          <w:sz w:val="20"/>
          <w:szCs w:val="20"/>
          <w:color w:val="auto"/>
        </w:rPr>
      </w:pPr>
    </w:p>
    <w:p>
      <w:pPr>
        <w:ind w:left="800" w:hanging="792"/>
        <w:spacing w:after="0"/>
        <w:tabs>
          <w:tab w:leader="none" w:pos="800" w:val="left"/>
        </w:tabs>
        <w:numPr>
          <w:ilvl w:val="0"/>
          <w:numId w:val="3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AYMENTS TO</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LANCO</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Equity Grants.</w:t>
      </w:r>
    </w:p>
    <w:p>
      <w:pPr>
        <w:spacing w:after="0" w:line="216" w:lineRule="exact"/>
        <w:rPr>
          <w:sz w:val="20"/>
          <w:szCs w:val="20"/>
          <w:color w:val="auto"/>
        </w:rPr>
      </w:pPr>
    </w:p>
    <w:p>
      <w:pPr>
        <w:ind w:firstLine="904"/>
        <w:spacing w:after="0" w:line="273" w:lineRule="auto"/>
        <w:tabs>
          <w:tab w:leader="none" w:pos="1775" w:val="left"/>
        </w:tabs>
        <w:numPr>
          <w:ilvl w:val="0"/>
          <w:numId w:val="3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Initial Equity Grant</w:t>
      </w:r>
      <w:r>
        <w:rPr>
          <w:rFonts w:ascii="Times New Roman" w:cs="Times New Roman" w:eastAsia="Times New Roman" w:hAnsi="Times New Roman"/>
          <w:sz w:val="20"/>
          <w:szCs w:val="20"/>
          <w:color w:val="auto"/>
        </w:rPr>
        <w:t>. Tarsus will grant to Elanco 1,652,346 shares of Tarsus’ Common Stock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within thirty (30) days of the Effective Date (the “</w:t>
      </w:r>
      <w:r>
        <w:rPr>
          <w:rFonts w:ascii="Times New Roman" w:cs="Times New Roman" w:eastAsia="Times New Roman" w:hAnsi="Times New Roman"/>
          <w:sz w:val="20"/>
          <w:szCs w:val="20"/>
          <w:b w:val="1"/>
          <w:bCs w:val="1"/>
          <w:i w:val="1"/>
          <w:iCs w:val="1"/>
          <w:color w:val="auto"/>
        </w:rPr>
        <w:t>Initial Equity Grant</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b w:val="1"/>
          <w:bCs w:val="1"/>
          <w:color w:val="auto"/>
        </w:rPr>
      </w:pPr>
    </w:p>
    <w:p>
      <w:pPr>
        <w:jc w:val="both"/>
        <w:ind w:firstLine="904"/>
        <w:spacing w:after="0" w:line="241" w:lineRule="auto"/>
        <w:tabs>
          <w:tab w:leader="none" w:pos="1786" w:val="left"/>
        </w:tabs>
        <w:numPr>
          <w:ilvl w:val="0"/>
          <w:numId w:val="3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Tarsus Representations and Warranties</w:t>
      </w:r>
      <w:r>
        <w:rPr>
          <w:rFonts w:ascii="Times New Roman" w:cs="Times New Roman" w:eastAsia="Times New Roman" w:hAnsi="Times New Roman"/>
          <w:sz w:val="20"/>
          <w:szCs w:val="20"/>
          <w:color w:val="auto"/>
        </w:rPr>
        <w:t>. In connection with the Initial Equity Grant, Tarsus hereby represents and warrants to Elanco that as of the date hereof, pursuant to the terms of the Restated Certificate, (i) all outstanding shares of the Tarsus’ Series A Preferred Stock (the “</w:t>
      </w:r>
      <w:r>
        <w:rPr>
          <w:rFonts w:ascii="Times New Roman" w:cs="Times New Roman" w:eastAsia="Times New Roman" w:hAnsi="Times New Roman"/>
          <w:sz w:val="20"/>
          <w:szCs w:val="20"/>
          <w:b w:val="1"/>
          <w:bCs w:val="1"/>
          <w:i w:val="1"/>
          <w:iCs w:val="1"/>
          <w:color w:val="auto"/>
        </w:rPr>
        <w:t>Series A Preferred Stock</w:t>
      </w:r>
      <w:r>
        <w:rPr>
          <w:rFonts w:ascii="Times New Roman" w:cs="Times New Roman" w:eastAsia="Times New Roman" w:hAnsi="Times New Roman"/>
          <w:sz w:val="20"/>
          <w:szCs w:val="20"/>
          <w:color w:val="auto"/>
        </w:rPr>
        <w:t>”) and Series B Preferred Stock (the “</w:t>
      </w:r>
      <w:r>
        <w:rPr>
          <w:rFonts w:ascii="Times New Roman" w:cs="Times New Roman" w:eastAsia="Times New Roman" w:hAnsi="Times New Roman"/>
          <w:sz w:val="20"/>
          <w:szCs w:val="20"/>
          <w:b w:val="1"/>
          <w:bCs w:val="1"/>
          <w:i w:val="1"/>
          <w:iCs w:val="1"/>
          <w:color w:val="auto"/>
        </w:rPr>
        <w:t>Series B Preferred Stock</w:t>
      </w:r>
      <w:r>
        <w:rPr>
          <w:rFonts w:ascii="Times New Roman" w:cs="Times New Roman" w:eastAsia="Times New Roman" w:hAnsi="Times New Roman"/>
          <w:sz w:val="20"/>
          <w:szCs w:val="20"/>
          <w:color w:val="auto"/>
        </w:rPr>
        <w:t>” and collectively with the Series A Preferred Stock the “</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currently are convertible into one (1) share of Common Stock, (ii) all shares of Common Stock and Preferred Stock currently have one (1) vote for all matters presented to the stockholders for approval, (iii) the issuance, sale and delivery of the Initial Equity Grant and the Subsequent Equity Grant have been duly authorized by all requisite action of Tarsus, and, when issued, sold and delivered in accordance with this Agreement, the Common Stock will be validly issued and outstanding, fully paid and nonassessable, (iv) no authorization, consent, approval or other order of, or declaration to or filing with, any governmental agency or body (other than filings required to be made under applicable federal and state securities laws) or any other person, entity or association is required for the valid authorization, execution, delivery and performance by Tarsus of this Agreement and the valid authorization, issuance, sale and delivery of the Common Stock and (v) subject in part to the truth and accuracy of Elanco’s representations set forth in Section 6.1(c) below, the offer, sale and issuance of the Common Stock as contemplated by this Agreement are exempt from the registration requirements of any applicable state and federal securities laws.</w:t>
      </w:r>
    </w:p>
    <w:p>
      <w:pPr>
        <w:spacing w:after="0" w:line="210" w:lineRule="exact"/>
        <w:rPr>
          <w:rFonts w:ascii="Times New Roman" w:cs="Times New Roman" w:eastAsia="Times New Roman" w:hAnsi="Times New Roman"/>
          <w:sz w:val="20"/>
          <w:szCs w:val="20"/>
          <w:b w:val="1"/>
          <w:bCs w:val="1"/>
          <w:color w:val="auto"/>
        </w:rPr>
      </w:pPr>
    </w:p>
    <w:p>
      <w:pPr>
        <w:jc w:val="both"/>
        <w:ind w:firstLine="904"/>
        <w:spacing w:after="0" w:line="254" w:lineRule="auto"/>
        <w:tabs>
          <w:tab w:leader="none" w:pos="1764" w:val="left"/>
        </w:tabs>
        <w:numPr>
          <w:ilvl w:val="0"/>
          <w:numId w:val="3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Elanco Representations and Warranties</w:t>
      </w:r>
      <w:r>
        <w:rPr>
          <w:rFonts w:ascii="Times New Roman" w:cs="Times New Roman" w:eastAsia="Times New Roman" w:hAnsi="Times New Roman"/>
          <w:sz w:val="20"/>
          <w:szCs w:val="20"/>
          <w:color w:val="auto"/>
        </w:rPr>
        <w:t>. In connection with the Initial Equity Grant Elanco hereby represents and warrants to Tarsus that, as of the date hereof, Elanco is an “accredited investor” within the meaning of SEC Rule 501 of Regulation D of the Securities Act, as presently in effect.</w:t>
      </w:r>
    </w:p>
    <w:p>
      <w:pPr>
        <w:spacing w:after="0" w:line="183" w:lineRule="exact"/>
        <w:rPr>
          <w:rFonts w:ascii="Times New Roman" w:cs="Times New Roman" w:eastAsia="Times New Roman" w:hAnsi="Times New Roman"/>
          <w:sz w:val="20"/>
          <w:szCs w:val="20"/>
          <w:b w:val="1"/>
          <w:bCs w:val="1"/>
          <w:color w:val="auto"/>
        </w:rPr>
      </w:pPr>
    </w:p>
    <w:p>
      <w:pPr>
        <w:jc w:val="both"/>
        <w:ind w:firstLine="904"/>
        <w:spacing w:after="0" w:line="241" w:lineRule="auto"/>
        <w:tabs>
          <w:tab w:leader="none" w:pos="1786" w:val="left"/>
        </w:tabs>
        <w:numPr>
          <w:ilvl w:val="0"/>
          <w:numId w:val="3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Subsequent Equity Grant</w:t>
      </w:r>
      <w:r>
        <w:rPr>
          <w:rFonts w:ascii="Times New Roman" w:cs="Times New Roman" w:eastAsia="Times New Roman" w:hAnsi="Times New Roman"/>
          <w:sz w:val="20"/>
          <w:szCs w:val="20"/>
          <w:color w:val="auto"/>
        </w:rPr>
        <w:t>. Upon the eighteen (18) month anniversary of the Effective Date (the “</w:t>
      </w:r>
      <w:r>
        <w:rPr>
          <w:rFonts w:ascii="Times New Roman" w:cs="Times New Roman" w:eastAsia="Times New Roman" w:hAnsi="Times New Roman"/>
          <w:sz w:val="20"/>
          <w:szCs w:val="20"/>
          <w:b w:val="1"/>
          <w:bCs w:val="1"/>
          <w:i w:val="1"/>
          <w:iCs w:val="1"/>
          <w:color w:val="auto"/>
        </w:rPr>
        <w:t>Subsequent 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if this Agreement has not been terminated prior to such date and Tarsus has not provided notice of termination pursuant to Section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11.2(e), then Tarsus will grant to Elanco, (i) in the event that Tarsus has not yet completed an Initial Public Offering, a number of shares of Tarsus’ Common Stock equal to $3,000,000 divided by the price per share of Tarsus’ Preferred Stock purchased for cash in its most recent bona fide equity financing prior to the Subsequent Grant Date or (ii) in the event that Tarsus has completed an Initial Public Offering, a number of shares of Tarsus’ Common Stock equal to $3,000,000 divided by the price of one (1) share of Tarsus’ Common Stock sold in such Initial Public Offering (the “</w:t>
      </w:r>
      <w:r>
        <w:rPr>
          <w:rFonts w:ascii="Times New Roman" w:cs="Times New Roman" w:eastAsia="Times New Roman" w:hAnsi="Times New Roman"/>
          <w:sz w:val="20"/>
          <w:szCs w:val="20"/>
          <w:b w:val="1"/>
          <w:bCs w:val="1"/>
          <w:i w:val="1"/>
          <w:iCs w:val="1"/>
          <w:color w:val="auto"/>
        </w:rPr>
        <w:t>Subsequent Equity Grant</w:t>
      </w:r>
      <w:r>
        <w:rPr>
          <w:rFonts w:ascii="Times New Roman" w:cs="Times New Roman" w:eastAsia="Times New Roman" w:hAnsi="Times New Roman"/>
          <w:sz w:val="20"/>
          <w:szCs w:val="20"/>
          <w:color w:val="auto"/>
        </w:rPr>
        <w:t>” and, collectively with the Initial Equity Grant, the “</w:t>
      </w:r>
      <w:r>
        <w:rPr>
          <w:rFonts w:ascii="Times New Roman" w:cs="Times New Roman" w:eastAsia="Times New Roman" w:hAnsi="Times New Roman"/>
          <w:sz w:val="20"/>
          <w:szCs w:val="20"/>
          <w:b w:val="1"/>
          <w:bCs w:val="1"/>
          <w:i w:val="1"/>
          <w:iCs w:val="1"/>
          <w:color w:val="auto"/>
        </w:rPr>
        <w:t>Equity Grants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Tarsus is acquired in a Change of Control following such Initial Public Offering but before the Subsequent Grant Date,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Tarsus has not provided notice of termination pursuant to Section 11.2(e), then immediately prior to such Change of Control Elanco shall receive a number of shares of Tarsus’ Common Stock equal to $3,000,000 divided by the price of one (1) share of Tarsus’ Common Stock sold in such Initial Public Offering;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Tarsus is acquired in a Change of Control prior to the Subsequent Grant Date and Tarsus has neither completed an Initial Public Offering nor provided notice of termination pursuant to Section 11.2(e) then immediately prior to such Change of Control Elanco shall receive a number of shares of Tarsus’ Common Stock equal to $3,000,000 divided by the price per share of Tarsus’ Preferred Stock purchased for cash in its most recent bona fide equity financing prior to such Change of Control. Termination of this Agreement pursuant to Section 11.2(a) shall be Elanco’s sole and exclusive remedy and Tarsus’s sole and exclusive liability for a breach of this Section 6.1(d).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0" w:name="page321"/>
    <w:bookmarkEnd w:id="320"/>
    <w:p>
      <w:pPr>
        <w:jc w:val="both"/>
        <w:ind w:firstLine="904"/>
        <w:spacing w:after="0" w:line="231" w:lineRule="exact"/>
        <w:tabs>
          <w:tab w:leader="none" w:pos="1764" w:val="left"/>
        </w:tabs>
        <w:numPr>
          <w:ilvl w:val="0"/>
          <w:numId w:val="3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“Market Stand-Off” Agreement</w:t>
      </w:r>
      <w:r>
        <w:rPr>
          <w:rFonts w:ascii="Times New Roman" w:cs="Times New Roman" w:eastAsia="Times New Roman" w:hAnsi="Times New Roman"/>
          <w:sz w:val="20"/>
          <w:szCs w:val="20"/>
          <w:color w:val="auto"/>
        </w:rPr>
        <w:t>. Elanco hereby agrees that it will not, without the prior written consent of the managing underwriter, during the period commencing on the date of the public filing of the registration statement relating to the Initial Public Offering (the “</w:t>
      </w:r>
      <w:r>
        <w:rPr>
          <w:rFonts w:ascii="Times New Roman" w:cs="Times New Roman" w:eastAsia="Times New Roman" w:hAnsi="Times New Roman"/>
          <w:sz w:val="20"/>
          <w:szCs w:val="20"/>
          <w:b w:val="1"/>
          <w:bCs w:val="1"/>
          <w:i w:val="1"/>
          <w:iCs w:val="1"/>
          <w:color w:val="auto"/>
        </w:rPr>
        <w:t>Stand-Off Effective Date</w:t>
      </w:r>
      <w:r>
        <w:rPr>
          <w:rFonts w:ascii="Times New Roman" w:cs="Times New Roman" w:eastAsia="Times New Roman" w:hAnsi="Times New Roman"/>
          <w:sz w:val="20"/>
          <w:szCs w:val="20"/>
          <w:color w:val="auto"/>
        </w:rPr>
        <w:t>”) and ending on the date specified by Tarsus and the managing underwriter (such period not to exceed [***] days from the date that such registration statement is declared effective by the SEC) (i) lend, offer, pledge, sell, contract to sell, sell any option or contract to purchase, purchase any option or contract to sell, grant any option, right or warrant to purchase, or otherwise transfer or dispose of, directly or indirectly, any shares of Tarsus’ capital stock or any securities convertible into or exercisable or exchangeable for Tarsus’ capital stock (“</w:t>
      </w:r>
      <w:r>
        <w:rPr>
          <w:rFonts w:ascii="Times New Roman" w:cs="Times New Roman" w:eastAsia="Times New Roman" w:hAnsi="Times New Roman"/>
          <w:sz w:val="20"/>
          <w:szCs w:val="20"/>
          <w:b w:val="1"/>
          <w:bCs w:val="1"/>
          <w:i w:val="1"/>
          <w:iCs w:val="1"/>
          <w:color w:val="auto"/>
        </w:rPr>
        <w:t>Registrable Securities</w:t>
      </w:r>
      <w:r>
        <w:rPr>
          <w:rFonts w:ascii="Times New Roman" w:cs="Times New Roman" w:eastAsia="Times New Roman" w:hAnsi="Times New Roman"/>
          <w:sz w:val="20"/>
          <w:szCs w:val="20"/>
          <w:color w:val="auto"/>
        </w:rPr>
        <w:t xml:space="preserve">”) held immediately prior to the Stand-Off Effective Date, or (ii) enter into any swap or other arrangement that transfers to another, in whole or in part, any of the economic consequences of ownership of Tarsus’ capital stock, whether any such transaction described in clause (i) or (ii) above is to be settled by delivery of securities, in cash or otherwise. The underwriters in connection with Tarsus’ Initial Public Offering are intended third party beneficiaries of this Section 6.1(e) and shall have the right, power and authority to enforce the provisions hereof as though they were a party hereto. Elanco further agrees to execute such agreements as may be reasonably requested by the underwriters in the Initial Public Offering that are consistent with this Section 6.1(e) or that are necessary to give further effect thereto, including, without limitation, the lock-up agreement in the form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Lock-up Agreement</w:t>
      </w:r>
      <w:r>
        <w:rPr>
          <w:rFonts w:ascii="Times New Roman" w:cs="Times New Roman" w:eastAsia="Times New Roman" w:hAnsi="Times New Roman"/>
          <w:sz w:val="20"/>
          <w:szCs w:val="20"/>
          <w:color w:val="auto"/>
        </w:rPr>
        <w:t>”). In order to enforce the foregoing covenant, Tarsus may impose stop</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transfer instructions with respect to the Registrable Securities of Elanco (and the shares or securities of every other person subject to the foregoing restriction) until the end of such period. Elanco further agrees that a legend reading substantially as follows shall be placed on all certificates representing all shares of Tarsus’ capital stock (whether issued pursuant to the Equity Grants or otherwise) held by Elanco (and the shares or securities of every other person subject to the restriction contained in this Section 6.1(e)):</w:t>
      </w:r>
    </w:p>
    <w:p>
      <w:pPr>
        <w:spacing w:after="0" w:line="231" w:lineRule="exact"/>
        <w:rPr>
          <w:sz w:val="20"/>
          <w:szCs w:val="20"/>
          <w:color w:val="auto"/>
        </w:rPr>
      </w:pPr>
    </w:p>
    <w:p>
      <w:pPr>
        <w:jc w:val="both"/>
        <w:ind w:left="900" w:right="900"/>
        <w:spacing w:after="0" w:line="246" w:lineRule="auto"/>
        <w:rPr>
          <w:sz w:val="20"/>
          <w:szCs w:val="20"/>
          <w:color w:val="auto"/>
        </w:rPr>
      </w:pPr>
      <w:r>
        <w:rPr>
          <w:rFonts w:ascii="Times New Roman" w:cs="Times New Roman" w:eastAsia="Times New Roman" w:hAnsi="Times New Roman"/>
          <w:sz w:val="20"/>
          <w:szCs w:val="20"/>
          <w:color w:val="auto"/>
        </w:rPr>
        <w:t>THE SECURITIES REPRESENTED BY THIS CERTIFICATE ARE SUBJECT TO A LOCK-UP PERIOD AFTER THE EFFECTIVE DATE OF THE ISSUER’S REGISTRATION STATEMENT FILED UNDER THE ACT, AS AMENDED, AS SET FORTH IN AN AGREEMENT BETWEEN TARSUS AND THE ORIGINAL HOLDER OF THESE SECURITIES, A COPY OF WHICH MAY BE OBTAINED AT THE ISSUER’S PRINCIPAL OFFICE. SUCH LOCK-UP PERIOD IS BINDING ON TRANSFEREES OF THESE SHARES.</w:t>
      </w:r>
    </w:p>
    <w:p>
      <w:pPr>
        <w:spacing w:after="0" w:line="194"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19"/>
          <w:szCs w:val="19"/>
          <w:b w:val="1"/>
          <w:bCs w:val="1"/>
          <w:color w:val="auto"/>
        </w:rPr>
        <w:t>Milestones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904"/>
        <w:spacing w:after="0" w:line="254" w:lineRule="auto"/>
        <w:tabs>
          <w:tab w:leader="none" w:pos="1775" w:val="left"/>
        </w:tabs>
        <w:numPr>
          <w:ilvl w:val="0"/>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First Indication Development Milestones</w:t>
      </w:r>
      <w:r>
        <w:rPr>
          <w:rFonts w:ascii="Times New Roman" w:cs="Times New Roman" w:eastAsia="Times New Roman" w:hAnsi="Times New Roman"/>
          <w:sz w:val="20"/>
          <w:szCs w:val="20"/>
          <w:color w:val="auto"/>
        </w:rPr>
        <w:t>. Tarsus shall pay to Elanco the following one-time milestone payments upon the first achievement of the applicable milestone event set forth below by Tarsus or any of its Affiliates or sublicensees after the Effective Date:</w:t>
      </w:r>
    </w:p>
    <w:p>
      <w:pPr>
        <w:spacing w:after="0" w:line="187" w:lineRule="exact"/>
        <w:rPr>
          <w:rFonts w:ascii="Times New Roman" w:cs="Times New Roman" w:eastAsia="Times New Roman" w:hAnsi="Times New Roman"/>
          <w:sz w:val="20"/>
          <w:szCs w:val="20"/>
          <w:b w:val="1"/>
          <w:bCs w:val="1"/>
          <w:color w:val="auto"/>
        </w:rPr>
      </w:pPr>
    </w:p>
    <w:p>
      <w:pPr>
        <w:ind w:left="2640" w:hanging="841"/>
        <w:spacing w:after="0"/>
        <w:tabs>
          <w:tab w:leader="none" w:pos="2640" w:val="left"/>
        </w:tabs>
        <w:numPr>
          <w:ilvl w:val="1"/>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 ;</w:t>
      </w:r>
    </w:p>
    <w:p>
      <w:pPr>
        <w:spacing w:after="0" w:line="229" w:lineRule="exact"/>
        <w:rPr>
          <w:rFonts w:ascii="Times New Roman" w:cs="Times New Roman" w:eastAsia="Times New Roman" w:hAnsi="Times New Roman"/>
          <w:sz w:val="20"/>
          <w:szCs w:val="20"/>
          <w:b w:val="1"/>
          <w:bCs w:val="1"/>
          <w:color w:val="auto"/>
        </w:rPr>
      </w:pPr>
    </w:p>
    <w:p>
      <w:pPr>
        <w:ind w:left="2680" w:hanging="881"/>
        <w:spacing w:after="0"/>
        <w:tabs>
          <w:tab w:leader="none" w:pos="2680" w:val="left"/>
        </w:tabs>
        <w:numPr>
          <w:ilvl w:val="1"/>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w:t>
      </w:r>
    </w:p>
    <w:p>
      <w:pPr>
        <w:spacing w:after="0" w:line="229" w:lineRule="exact"/>
        <w:rPr>
          <w:rFonts w:ascii="Times New Roman" w:cs="Times New Roman" w:eastAsia="Times New Roman" w:hAnsi="Times New Roman"/>
          <w:sz w:val="20"/>
          <w:szCs w:val="20"/>
          <w:b w:val="1"/>
          <w:bCs w:val="1"/>
          <w:color w:val="auto"/>
        </w:rPr>
      </w:pPr>
    </w:p>
    <w:p>
      <w:pPr>
        <w:ind w:left="2740" w:hanging="941"/>
        <w:spacing w:after="0"/>
        <w:tabs>
          <w:tab w:leader="none" w:pos="2740" w:val="left"/>
        </w:tabs>
        <w:numPr>
          <w:ilvl w:val="1"/>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w:t>
      </w:r>
    </w:p>
    <w:p>
      <w:pPr>
        <w:spacing w:after="0" w:line="229" w:lineRule="exact"/>
        <w:rPr>
          <w:rFonts w:ascii="Times New Roman" w:cs="Times New Roman" w:eastAsia="Times New Roman" w:hAnsi="Times New Roman"/>
          <w:sz w:val="20"/>
          <w:szCs w:val="20"/>
          <w:b w:val="1"/>
          <w:bCs w:val="1"/>
          <w:color w:val="auto"/>
        </w:rPr>
      </w:pPr>
    </w:p>
    <w:p>
      <w:pPr>
        <w:ind w:left="2740" w:hanging="941"/>
        <w:spacing w:after="0"/>
        <w:tabs>
          <w:tab w:leader="none" w:pos="2740" w:val="left"/>
        </w:tabs>
        <w:numPr>
          <w:ilvl w:val="1"/>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w:t>
      </w:r>
    </w:p>
    <w:p>
      <w:pPr>
        <w:spacing w:after="0" w:line="229" w:lineRule="exact"/>
        <w:rPr>
          <w:rFonts w:ascii="Times New Roman" w:cs="Times New Roman" w:eastAsia="Times New Roman" w:hAnsi="Times New Roman"/>
          <w:sz w:val="20"/>
          <w:szCs w:val="20"/>
          <w:b w:val="1"/>
          <w:bCs w:val="1"/>
          <w:color w:val="auto"/>
        </w:rPr>
      </w:pPr>
    </w:p>
    <w:p>
      <w:pPr>
        <w:ind w:left="2680" w:hanging="881"/>
        <w:spacing w:after="0"/>
        <w:tabs>
          <w:tab w:leader="none" w:pos="2680" w:val="left"/>
        </w:tabs>
        <w:numPr>
          <w:ilvl w:val="1"/>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 and</w:t>
      </w:r>
    </w:p>
    <w:p>
      <w:pPr>
        <w:spacing w:after="0" w:line="229" w:lineRule="exact"/>
        <w:rPr>
          <w:rFonts w:ascii="Times New Roman" w:cs="Times New Roman" w:eastAsia="Times New Roman" w:hAnsi="Times New Roman"/>
          <w:sz w:val="20"/>
          <w:szCs w:val="20"/>
          <w:b w:val="1"/>
          <w:bCs w:val="1"/>
          <w:color w:val="auto"/>
        </w:rPr>
      </w:pPr>
    </w:p>
    <w:p>
      <w:pPr>
        <w:ind w:left="2740" w:hanging="941"/>
        <w:spacing w:after="0"/>
        <w:tabs>
          <w:tab w:leader="none" w:pos="2740" w:val="left"/>
        </w:tabs>
        <w:numPr>
          <w:ilvl w:val="1"/>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Each of the foregoing milestone payments set forth in this Section 6.2(a) shall be paid no more than once, irrespective of how many Licensed Products achieve each milestone or how many times a Licensed Product achieves such milestone. Accordingly, in no event shall Tarsus pay Elanco more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21" w:name="page322"/>
    <w:bookmarkEnd w:id="321"/>
    <w:p>
      <w:pPr>
        <w:spacing w:after="0" w:line="269" w:lineRule="auto"/>
        <w:rPr>
          <w:sz w:val="20"/>
          <w:szCs w:val="20"/>
          <w:color w:val="auto"/>
        </w:rPr>
      </w:pPr>
      <w:r>
        <w:rPr>
          <w:rFonts w:ascii="Times New Roman" w:cs="Times New Roman" w:eastAsia="Times New Roman" w:hAnsi="Times New Roman"/>
          <w:sz w:val="20"/>
          <w:szCs w:val="20"/>
          <w:color w:val="auto"/>
        </w:rPr>
        <w:t>than ten million dollars ($10,000,000) in the aggregate pursuant to this Section 6.2(a). Each milestone payment due pursuant to this Section 6.2(a) shall be paid within [***] days after the achievement of the applicable milestone.</w:t>
      </w:r>
    </w:p>
    <w:p>
      <w:pPr>
        <w:spacing w:after="0" w:line="173" w:lineRule="exact"/>
        <w:rPr>
          <w:sz w:val="20"/>
          <w:szCs w:val="20"/>
          <w:color w:val="auto"/>
        </w:rPr>
      </w:pPr>
    </w:p>
    <w:p>
      <w:pPr>
        <w:jc w:val="both"/>
        <w:ind w:firstLine="904"/>
        <w:spacing w:after="0" w:line="254" w:lineRule="auto"/>
        <w:tabs>
          <w:tab w:leader="none" w:pos="1786" w:val="left"/>
        </w:tabs>
        <w:numPr>
          <w:ilvl w:val="0"/>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Development Milestones for Other Indications</w:t>
      </w:r>
      <w:r>
        <w:rPr>
          <w:rFonts w:ascii="Times New Roman" w:cs="Times New Roman" w:eastAsia="Times New Roman" w:hAnsi="Times New Roman"/>
          <w:sz w:val="20"/>
          <w:szCs w:val="20"/>
          <w:color w:val="auto"/>
        </w:rPr>
        <w:t>. Tarsus shall pay to Elanco the following one-time milestone payments upon the first achievement of the applicable milestone event set forth below by Tarsus or any of its Affiliates or sublicensees after the Effective Date:</w:t>
      </w:r>
    </w:p>
    <w:p>
      <w:pPr>
        <w:spacing w:after="0" w:line="187" w:lineRule="exact"/>
        <w:rPr>
          <w:rFonts w:ascii="Times New Roman" w:cs="Times New Roman" w:eastAsia="Times New Roman" w:hAnsi="Times New Roman"/>
          <w:sz w:val="20"/>
          <w:szCs w:val="20"/>
          <w:b w:val="1"/>
          <w:bCs w:val="1"/>
          <w:color w:val="auto"/>
        </w:rPr>
      </w:pPr>
    </w:p>
    <w:p>
      <w:pPr>
        <w:ind w:left="2640" w:hanging="841"/>
        <w:spacing w:after="0"/>
        <w:tabs>
          <w:tab w:leader="none" w:pos="2640" w:val="left"/>
        </w:tabs>
        <w:numPr>
          <w:ilvl w:val="1"/>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w:t>
      </w:r>
    </w:p>
    <w:p>
      <w:pPr>
        <w:spacing w:after="0" w:line="229" w:lineRule="exact"/>
        <w:rPr>
          <w:rFonts w:ascii="Times New Roman" w:cs="Times New Roman" w:eastAsia="Times New Roman" w:hAnsi="Times New Roman"/>
          <w:sz w:val="20"/>
          <w:szCs w:val="20"/>
          <w:b w:val="1"/>
          <w:bCs w:val="1"/>
          <w:color w:val="auto"/>
        </w:rPr>
      </w:pPr>
    </w:p>
    <w:p>
      <w:pPr>
        <w:ind w:left="2680" w:hanging="881"/>
        <w:spacing w:after="0"/>
        <w:tabs>
          <w:tab w:leader="none" w:pos="2680" w:val="left"/>
        </w:tabs>
        <w:numPr>
          <w:ilvl w:val="1"/>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w:t>
      </w:r>
    </w:p>
    <w:p>
      <w:pPr>
        <w:spacing w:after="0" w:line="229" w:lineRule="exact"/>
        <w:rPr>
          <w:rFonts w:ascii="Times New Roman" w:cs="Times New Roman" w:eastAsia="Times New Roman" w:hAnsi="Times New Roman"/>
          <w:sz w:val="20"/>
          <w:szCs w:val="20"/>
          <w:b w:val="1"/>
          <w:bCs w:val="1"/>
          <w:color w:val="auto"/>
        </w:rPr>
      </w:pPr>
    </w:p>
    <w:p>
      <w:pPr>
        <w:ind w:left="2740" w:hanging="941"/>
        <w:spacing w:after="0"/>
        <w:tabs>
          <w:tab w:leader="none" w:pos="2740" w:val="left"/>
        </w:tabs>
        <w:numPr>
          <w:ilvl w:val="1"/>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w:t>
      </w:r>
    </w:p>
    <w:p>
      <w:pPr>
        <w:spacing w:after="0" w:line="229" w:lineRule="exact"/>
        <w:rPr>
          <w:rFonts w:ascii="Times New Roman" w:cs="Times New Roman" w:eastAsia="Times New Roman" w:hAnsi="Times New Roman"/>
          <w:sz w:val="20"/>
          <w:szCs w:val="20"/>
          <w:b w:val="1"/>
          <w:bCs w:val="1"/>
          <w:color w:val="auto"/>
        </w:rPr>
      </w:pPr>
    </w:p>
    <w:p>
      <w:pPr>
        <w:ind w:left="2740" w:hanging="941"/>
        <w:spacing w:after="0"/>
        <w:tabs>
          <w:tab w:leader="none" w:pos="2740" w:val="left"/>
        </w:tabs>
        <w:numPr>
          <w:ilvl w:val="1"/>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w:t>
      </w:r>
    </w:p>
    <w:p>
      <w:pPr>
        <w:spacing w:after="0" w:line="229" w:lineRule="exact"/>
        <w:rPr>
          <w:rFonts w:ascii="Times New Roman" w:cs="Times New Roman" w:eastAsia="Times New Roman" w:hAnsi="Times New Roman"/>
          <w:sz w:val="20"/>
          <w:szCs w:val="20"/>
          <w:b w:val="1"/>
          <w:bCs w:val="1"/>
          <w:color w:val="auto"/>
        </w:rPr>
      </w:pPr>
    </w:p>
    <w:p>
      <w:pPr>
        <w:ind w:left="2680" w:hanging="881"/>
        <w:spacing w:after="0"/>
        <w:tabs>
          <w:tab w:leader="none" w:pos="2680" w:val="left"/>
        </w:tabs>
        <w:numPr>
          <w:ilvl w:val="1"/>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 and</w:t>
      </w:r>
    </w:p>
    <w:p>
      <w:pPr>
        <w:spacing w:after="0" w:line="229" w:lineRule="exact"/>
        <w:rPr>
          <w:rFonts w:ascii="Times New Roman" w:cs="Times New Roman" w:eastAsia="Times New Roman" w:hAnsi="Times New Roman"/>
          <w:sz w:val="20"/>
          <w:szCs w:val="20"/>
          <w:b w:val="1"/>
          <w:bCs w:val="1"/>
          <w:color w:val="auto"/>
        </w:rPr>
      </w:pPr>
    </w:p>
    <w:p>
      <w:pPr>
        <w:ind w:left="2740" w:hanging="941"/>
        <w:spacing w:after="0"/>
        <w:tabs>
          <w:tab w:leader="none" w:pos="2740" w:val="left"/>
        </w:tabs>
        <w:numPr>
          <w:ilvl w:val="1"/>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upon the [***] of [***].</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of the foregoing milestone payments set forth in this Section 6.2(b) shall be paid no more than once, irrespective of how many Licensed Products achieve each milestone or how many times a Licensed Product achieves such milestone. Accordingly, in no event shall Tarsus pay Elanco more than six million five hundred thousand dollars ($6,500,000) in the aggregate pursuant to this Section 6.2(b). Each milestone payment due pursuant to this Section 6.2(b) shall be paid within [***] days after the achievement of the applicable milestone.</w:t>
      </w:r>
    </w:p>
    <w:p>
      <w:pPr>
        <w:spacing w:after="0" w:line="193" w:lineRule="exact"/>
        <w:rPr>
          <w:sz w:val="20"/>
          <w:szCs w:val="20"/>
          <w:color w:val="auto"/>
        </w:rPr>
      </w:pPr>
    </w:p>
    <w:p>
      <w:pPr>
        <w:ind w:firstLine="904"/>
        <w:spacing w:after="0" w:line="269" w:lineRule="auto"/>
        <w:tabs>
          <w:tab w:leader="none" w:pos="1840" w:val="left"/>
        </w:tabs>
        <w:numPr>
          <w:ilvl w:val="1"/>
          <w:numId w:val="3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Sales Milestones for Sales in the Developed World</w:t>
      </w:r>
      <w:r>
        <w:rPr>
          <w:rFonts w:ascii="Times New Roman" w:cs="Times New Roman" w:eastAsia="Times New Roman" w:hAnsi="Times New Roman"/>
          <w:sz w:val="20"/>
          <w:szCs w:val="20"/>
          <w:color w:val="auto"/>
        </w:rPr>
        <w:t>. Tarsus shall pay to Elanco the following one-time milestone payments upon the first achievement of the applicable milestone event set forth below:</w:t>
      </w:r>
    </w:p>
    <w:p>
      <w:pPr>
        <w:spacing w:after="0" w:line="172" w:lineRule="exact"/>
        <w:rPr>
          <w:rFonts w:ascii="Times New Roman" w:cs="Times New Roman" w:eastAsia="Times New Roman" w:hAnsi="Times New Roman"/>
          <w:sz w:val="20"/>
          <w:szCs w:val="20"/>
          <w:b w:val="1"/>
          <w:bCs w:val="1"/>
          <w:color w:val="auto"/>
        </w:rPr>
      </w:pPr>
    </w:p>
    <w:p>
      <w:pPr>
        <w:ind w:left="2640" w:hanging="841"/>
        <w:spacing w:after="0"/>
        <w:tabs>
          <w:tab w:leader="none" w:pos="2640" w:val="left"/>
        </w:tabs>
        <w:numPr>
          <w:ilvl w:val="2"/>
          <w:numId w:val="3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after the first calendar year in which Net Sales [***] for such calendar year exceed</w:t>
      </w:r>
    </w:p>
    <w:p>
      <w:pPr>
        <w:spacing w:after="0" w:line="21" w:lineRule="exact"/>
        <w:rPr>
          <w:rFonts w:ascii="Times New Roman" w:cs="Times New Roman" w:eastAsia="Times New Roman" w:hAnsi="Times New Roman"/>
          <w:sz w:val="20"/>
          <w:szCs w:val="20"/>
          <w:b w:val="1"/>
          <w:bCs w:val="1"/>
          <w:color w:val="auto"/>
        </w:rPr>
      </w:pPr>
    </w:p>
    <w:p>
      <w:pPr>
        <w:ind w:left="540" w:hanging="532"/>
        <w:spacing w:after="0"/>
        <w:tabs>
          <w:tab w:leader="none" w:pos="54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w:t>
      </w:r>
    </w:p>
    <w:p>
      <w:pPr>
        <w:spacing w:after="0" w:line="207" w:lineRule="exact"/>
        <w:rPr>
          <w:rFonts w:ascii="Times New Roman" w:cs="Times New Roman" w:eastAsia="Times New Roman" w:hAnsi="Times New Roman"/>
          <w:sz w:val="20"/>
          <w:szCs w:val="20"/>
          <w:color w:val="auto"/>
        </w:rPr>
      </w:pPr>
    </w:p>
    <w:p>
      <w:pPr>
        <w:ind w:left="2680" w:hanging="881"/>
        <w:spacing w:after="0"/>
        <w:tabs>
          <w:tab w:leader="none" w:pos="2680" w:val="left"/>
        </w:tabs>
        <w:numPr>
          <w:ilvl w:val="2"/>
          <w:numId w:val="3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 after the first calendar year in which Net Sales [***] for such calendar year exceed</w:t>
      </w:r>
    </w:p>
    <w:p>
      <w:pPr>
        <w:spacing w:after="0" w:line="21"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 ; and</w:t>
      </w:r>
    </w:p>
    <w:p>
      <w:pPr>
        <w:spacing w:after="0" w:line="207" w:lineRule="exact"/>
        <w:rPr>
          <w:rFonts w:ascii="Times New Roman" w:cs="Times New Roman" w:eastAsia="Times New Roman" w:hAnsi="Times New Roman"/>
          <w:sz w:val="20"/>
          <w:szCs w:val="20"/>
          <w:color w:val="auto"/>
        </w:rPr>
      </w:pPr>
    </w:p>
    <w:p>
      <w:pPr>
        <w:ind w:left="2740" w:hanging="941"/>
        <w:spacing w:after="0"/>
        <w:tabs>
          <w:tab w:leader="none" w:pos="2740" w:val="left"/>
        </w:tabs>
        <w:numPr>
          <w:ilvl w:val="2"/>
          <w:numId w:val="3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dollars [***] after the first calendar year in which Net Sales [***] for such calendar year exceed</w:t>
      </w:r>
    </w:p>
    <w:p>
      <w:pPr>
        <w:spacing w:after="0" w:line="21"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w:t>
      </w:r>
    </w:p>
    <w:p>
      <w:pPr>
        <w:spacing w:after="0" w:line="207" w:lineRule="exact"/>
        <w:rPr>
          <w:sz w:val="20"/>
          <w:szCs w:val="20"/>
          <w:color w:val="auto"/>
        </w:rPr>
      </w:pPr>
    </w:p>
    <w:p>
      <w:pPr>
        <w:jc w:val="both"/>
        <w:ind w:firstLine="1120"/>
        <w:spacing w:after="0" w:line="249" w:lineRule="auto"/>
        <w:rPr>
          <w:sz w:val="20"/>
          <w:szCs w:val="20"/>
          <w:color w:val="auto"/>
        </w:rPr>
      </w:pPr>
      <w:r>
        <w:rPr>
          <w:rFonts w:ascii="Times New Roman" w:cs="Times New Roman" w:eastAsia="Times New Roman" w:hAnsi="Times New Roman"/>
          <w:sz w:val="20"/>
          <w:szCs w:val="20"/>
          <w:color w:val="auto"/>
        </w:rPr>
        <w:t>Each of the foregoing milestone payments set forth in this Section 6.2(c) shall be paid no more than once, irrespective of how many times each milestone is achieved. Accordingly, in no event shall Tarsus pay Elanco more than sixty five million dollars ($65,000,000) in the aggregate pursuant to this Section 6.2(c). Each milestone payments due pursuant to this Section 6.2(c) shall be paid within [***] days after the close of the calendar quarter in which such milestone is achieved.</w:t>
      </w:r>
    </w:p>
    <w:p>
      <w:pPr>
        <w:spacing w:after="0" w:line="193" w:lineRule="exact"/>
        <w:rPr>
          <w:sz w:val="20"/>
          <w:szCs w:val="20"/>
          <w:color w:val="auto"/>
        </w:rPr>
      </w:pPr>
    </w:p>
    <w:p>
      <w:pPr>
        <w:jc w:val="both"/>
        <w:ind w:firstLine="1128"/>
        <w:spacing w:after="0" w:line="249" w:lineRule="auto"/>
        <w:tabs>
          <w:tab w:leader="none" w:pos="2009" w:val="left"/>
        </w:tabs>
        <w:numPr>
          <w:ilvl w:val="0"/>
          <w:numId w:val="3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Tarsus’s First Commercial Sale of a Licensed Product in the Developing World, Elanco and Tarsus shall negotiate reasonably and in good faith to determine sales milestones for sales of the Licensed Product in the Developing World. In any event, such milestones payments shall not exceed (individually or in the aggregate) the milestone payments under Section 6.2(c) and the Net Sales thresholds for each milestone payment shall not be less than the Net Sales Thresholds under 6.2(c).</w:t>
      </w:r>
    </w:p>
    <w:p>
      <w:pPr>
        <w:spacing w:after="0" w:line="189" w:lineRule="exact"/>
        <w:rPr>
          <w:sz w:val="20"/>
          <w:szCs w:val="20"/>
          <w:color w:val="auto"/>
        </w:rPr>
      </w:pPr>
    </w:p>
    <w:p>
      <w:pPr>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6.3 Sublicense Income</w:t>
      </w:r>
      <w:r>
        <w:rPr>
          <w:rFonts w:ascii="Times New Roman" w:cs="Times New Roman" w:eastAsia="Times New Roman" w:hAnsi="Times New Roman"/>
          <w:sz w:val="20"/>
          <w:szCs w:val="20"/>
          <w:color w:val="auto"/>
        </w:rPr>
        <w:t>. Tarsus shall pay Elanco a percentage of all Sublicense Revenue. The percentage of such Sublicense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Revenue that shall be paid to Elanco shall be as follows: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2" w:name="page323"/>
    <w:bookmarkEnd w:id="322"/>
    <w:p>
      <w:pPr>
        <w:ind w:left="1780" w:hanging="876"/>
        <w:spacing w:after="0"/>
        <w:tabs>
          <w:tab w:leader="none" w:pos="1780" w:val="left"/>
        </w:tabs>
        <w:numPr>
          <w:ilvl w:val="0"/>
          <w:numId w:val="3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Until first dosing of a Licensed Product in a [***]: [***]%;</w:t>
      </w:r>
    </w:p>
    <w:p>
      <w:pPr>
        <w:spacing w:after="0" w:line="229" w:lineRule="exact"/>
        <w:rPr>
          <w:rFonts w:ascii="Times New Roman" w:cs="Times New Roman" w:eastAsia="Times New Roman" w:hAnsi="Times New Roman"/>
          <w:sz w:val="20"/>
          <w:szCs w:val="20"/>
          <w:b w:val="1"/>
          <w:bCs w:val="1"/>
          <w:color w:val="auto"/>
        </w:rPr>
      </w:pPr>
    </w:p>
    <w:p>
      <w:pPr>
        <w:ind w:left="1800" w:hanging="896"/>
        <w:spacing w:after="0"/>
        <w:tabs>
          <w:tab w:leader="none" w:pos="1800" w:val="left"/>
        </w:tabs>
        <w:numPr>
          <w:ilvl w:val="0"/>
          <w:numId w:val="3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After first dosing of a Licensed Product in a [***] until first dosing of a [***]: [***]%;</w:t>
      </w:r>
    </w:p>
    <w:p>
      <w:pPr>
        <w:spacing w:after="0" w:line="229" w:lineRule="exact"/>
        <w:rPr>
          <w:rFonts w:ascii="Times New Roman" w:cs="Times New Roman" w:eastAsia="Times New Roman" w:hAnsi="Times New Roman"/>
          <w:sz w:val="20"/>
          <w:szCs w:val="20"/>
          <w:b w:val="1"/>
          <w:bCs w:val="1"/>
          <w:color w:val="auto"/>
        </w:rPr>
      </w:pPr>
    </w:p>
    <w:p>
      <w:pPr>
        <w:ind w:left="1780" w:hanging="876"/>
        <w:spacing w:after="0"/>
        <w:tabs>
          <w:tab w:leader="none" w:pos="1780" w:val="left"/>
        </w:tabs>
        <w:numPr>
          <w:ilvl w:val="0"/>
          <w:numId w:val="3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After first dosing of a Licensed Product in a [***] until first [***] of a Licensed Product: [***]%; or</w:t>
      </w:r>
    </w:p>
    <w:p>
      <w:pPr>
        <w:spacing w:after="0" w:line="229" w:lineRule="exact"/>
        <w:rPr>
          <w:rFonts w:ascii="Times New Roman" w:cs="Times New Roman" w:eastAsia="Times New Roman" w:hAnsi="Times New Roman"/>
          <w:sz w:val="20"/>
          <w:szCs w:val="20"/>
          <w:b w:val="1"/>
          <w:bCs w:val="1"/>
          <w:color w:val="auto"/>
        </w:rPr>
      </w:pPr>
    </w:p>
    <w:p>
      <w:pPr>
        <w:ind w:left="1800" w:hanging="896"/>
        <w:spacing w:after="0"/>
        <w:tabs>
          <w:tab w:leader="none" w:pos="1800" w:val="left"/>
        </w:tabs>
        <w:numPr>
          <w:ilvl w:val="0"/>
          <w:numId w:val="3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After first [***] of a Licensed Product and thereafter: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clarity, and without limitation, none of the following shall be deemed Sublicense Revenue: [***]</w:t>
      </w:r>
    </w:p>
    <w:p>
      <w:pPr>
        <w:spacing w:after="0" w:line="22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19"/>
          <w:szCs w:val="19"/>
          <w:b w:val="1"/>
          <w:bCs w:val="1"/>
          <w:color w:val="auto"/>
        </w:rPr>
        <w:t>Royalties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780" w:hanging="876"/>
        <w:spacing w:after="0"/>
        <w:tabs>
          <w:tab w:leader="none" w:pos="1780" w:val="left"/>
        </w:tabs>
        <w:numPr>
          <w:ilvl w:val="1"/>
          <w:numId w:val="3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Royalty Rate</w:t>
      </w:r>
      <w:r>
        <w:rPr>
          <w:rFonts w:ascii="Times New Roman" w:cs="Times New Roman" w:eastAsia="Times New Roman" w:hAnsi="Times New Roman"/>
          <w:sz w:val="20"/>
          <w:szCs w:val="20"/>
          <w:color w:val="auto"/>
        </w:rPr>
        <w:t>.Subject to the other terms of this Section 6.4, for each calendar year during the Royalty Term</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Tarsus shall pay:</w:t>
      </w:r>
    </w:p>
    <w:p>
      <w:pPr>
        <w:spacing w:after="0" w:line="207" w:lineRule="exact"/>
        <w:rPr>
          <w:rFonts w:ascii="Times New Roman" w:cs="Times New Roman" w:eastAsia="Times New Roman" w:hAnsi="Times New Roman"/>
          <w:sz w:val="20"/>
          <w:szCs w:val="20"/>
          <w:b w:val="1"/>
          <w:bCs w:val="1"/>
          <w:color w:val="auto"/>
        </w:rPr>
      </w:pPr>
    </w:p>
    <w:p>
      <w:pPr>
        <w:ind w:left="2640" w:hanging="841"/>
        <w:spacing w:after="0"/>
        <w:tabs>
          <w:tab w:leader="none" w:pos="2640" w:val="left"/>
        </w:tabs>
        <w:numPr>
          <w:ilvl w:val="2"/>
          <w:numId w:val="3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 [***] percent royalty on the first [***] dollars of Net Sales of a Licensed Product in [***] in such calendar</w:t>
      </w:r>
    </w:p>
    <w:p>
      <w:pPr>
        <w:spacing w:after="0" w:line="33"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year;</w:t>
      </w:r>
    </w:p>
    <w:p>
      <w:pPr>
        <w:spacing w:after="0" w:line="207" w:lineRule="exact"/>
        <w:rPr>
          <w:rFonts w:ascii="Times New Roman" w:cs="Times New Roman" w:eastAsia="Times New Roman" w:hAnsi="Times New Roman"/>
          <w:sz w:val="19"/>
          <w:szCs w:val="19"/>
          <w:b w:val="1"/>
          <w:bCs w:val="1"/>
          <w:color w:val="auto"/>
        </w:rPr>
      </w:pPr>
    </w:p>
    <w:p>
      <w:pPr>
        <w:ind w:firstLine="1799"/>
        <w:spacing w:after="0" w:line="269" w:lineRule="auto"/>
        <w:tabs>
          <w:tab w:leader="none" w:pos="2681" w:val="left"/>
        </w:tabs>
        <w:numPr>
          <w:ilvl w:val="2"/>
          <w:numId w:val="3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 percent royalty on the next [***] dollars [***] of Net Sales of a Licensed Product [***] such calendar year (i.e. the portion of such Net Sales between US$[***] and $[***] in such calendar year);</w:t>
      </w:r>
    </w:p>
    <w:p>
      <w:pPr>
        <w:spacing w:after="0" w:line="172" w:lineRule="exact"/>
        <w:rPr>
          <w:rFonts w:ascii="Times New Roman" w:cs="Times New Roman" w:eastAsia="Times New Roman" w:hAnsi="Times New Roman"/>
          <w:sz w:val="20"/>
          <w:szCs w:val="20"/>
          <w:b w:val="1"/>
          <w:bCs w:val="1"/>
          <w:color w:val="auto"/>
        </w:rPr>
      </w:pPr>
    </w:p>
    <w:p>
      <w:pPr>
        <w:ind w:firstLine="1799"/>
        <w:spacing w:after="0" w:line="269" w:lineRule="auto"/>
        <w:tabs>
          <w:tab w:leader="none" w:pos="2736" w:val="left"/>
        </w:tabs>
        <w:numPr>
          <w:ilvl w:val="2"/>
          <w:numId w:val="3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 percent royalty on the next [***] dollars of Net Sales of a Licensed Product [***] in such calendar year (i.e. the portion of such Net Sales between US$[***] and $[***] in such calendar year); and</w:t>
      </w:r>
    </w:p>
    <w:p>
      <w:pPr>
        <w:spacing w:after="0" w:line="172" w:lineRule="exact"/>
        <w:rPr>
          <w:rFonts w:ascii="Times New Roman" w:cs="Times New Roman" w:eastAsia="Times New Roman" w:hAnsi="Times New Roman"/>
          <w:sz w:val="20"/>
          <w:szCs w:val="20"/>
          <w:b w:val="1"/>
          <w:bCs w:val="1"/>
          <w:color w:val="auto"/>
        </w:rPr>
      </w:pPr>
    </w:p>
    <w:p>
      <w:pPr>
        <w:ind w:left="2740" w:hanging="941"/>
        <w:spacing w:after="0"/>
        <w:tabs>
          <w:tab w:leader="none" w:pos="2740" w:val="left"/>
        </w:tabs>
        <w:numPr>
          <w:ilvl w:val="2"/>
          <w:numId w:val="3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 percent royalty on all Net Sales of a Licensed Product [***] in such calendar year in excess of</w:t>
      </w:r>
    </w:p>
    <w:p>
      <w:pPr>
        <w:spacing w:after="0" w:line="21"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 (i.e. the portion of such Net Sales over $[***] in such calendar year).</w:t>
      </w:r>
    </w:p>
    <w:p>
      <w:pPr>
        <w:spacing w:after="0" w:line="207" w:lineRule="exact"/>
        <w:rPr>
          <w:rFonts w:ascii="Times New Roman" w:cs="Times New Roman" w:eastAsia="Times New Roman" w:hAnsi="Times New Roman"/>
          <w:sz w:val="20"/>
          <w:szCs w:val="20"/>
          <w:color w:val="auto"/>
        </w:rPr>
      </w:pPr>
    </w:p>
    <w:p>
      <w:pPr>
        <w:jc w:val="both"/>
        <w:ind w:firstLine="904"/>
        <w:spacing w:after="0" w:line="249" w:lineRule="auto"/>
        <w:tabs>
          <w:tab w:leader="none" w:pos="1786" w:val="left"/>
        </w:tabs>
        <w:numPr>
          <w:ilvl w:val="1"/>
          <w:numId w:val="3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Tarsus’s First Commercial Sale of a Licensed Product in the Developing World, Elanco and Tarsus shall negotiate reasonably and in good faith to determine royalty rates for Net Sales of the Licensed Product in the Developing World. In any event, such royalty rates shall not exceed the royalty rates under Section 6.4(a) and the Net Sales thresholds for each royalty rate shall not be less than the Net Sales Thresholds under 6.4(a).</w:t>
      </w:r>
    </w:p>
    <w:p>
      <w:pPr>
        <w:spacing w:after="0" w:line="193" w:lineRule="exact"/>
        <w:rPr>
          <w:rFonts w:ascii="Times New Roman" w:cs="Times New Roman" w:eastAsia="Times New Roman" w:hAnsi="Times New Roman"/>
          <w:sz w:val="20"/>
          <w:szCs w:val="20"/>
          <w:b w:val="1"/>
          <w:bCs w:val="1"/>
          <w:color w:val="auto"/>
        </w:rPr>
      </w:pPr>
    </w:p>
    <w:p>
      <w:pPr>
        <w:ind w:right="20" w:firstLine="904"/>
        <w:spacing w:after="0" w:line="269" w:lineRule="auto"/>
        <w:tabs>
          <w:tab w:leader="none" w:pos="1764" w:val="left"/>
        </w:tabs>
        <w:numPr>
          <w:ilvl w:val="1"/>
          <w:numId w:val="3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No Multiple Royalties</w:t>
      </w:r>
      <w:r>
        <w:rPr>
          <w:rFonts w:ascii="Times New Roman" w:cs="Times New Roman" w:eastAsia="Times New Roman" w:hAnsi="Times New Roman"/>
          <w:sz w:val="20"/>
          <w:szCs w:val="20"/>
          <w:color w:val="auto"/>
        </w:rPr>
        <w:t>. No multiple royalties shall be payable hereunder because the use, manufacture or sale of any Licensed Product is Covered by more than one Valid Claim.</w:t>
      </w:r>
    </w:p>
    <w:p>
      <w:pPr>
        <w:spacing w:after="0" w:line="172" w:lineRule="exact"/>
        <w:rPr>
          <w:rFonts w:ascii="Times New Roman" w:cs="Times New Roman" w:eastAsia="Times New Roman" w:hAnsi="Times New Roman"/>
          <w:sz w:val="20"/>
          <w:szCs w:val="20"/>
          <w:b w:val="1"/>
          <w:bCs w:val="1"/>
          <w:color w:val="auto"/>
        </w:rPr>
      </w:pPr>
    </w:p>
    <w:p>
      <w:pPr>
        <w:jc w:val="both"/>
        <w:ind w:firstLine="904"/>
        <w:spacing w:after="0" w:line="244" w:lineRule="auto"/>
        <w:tabs>
          <w:tab w:leader="none" w:pos="1786" w:val="left"/>
        </w:tabs>
        <w:numPr>
          <w:ilvl w:val="1"/>
          <w:numId w:val="3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Timing of Payments; Reports</w:t>
      </w:r>
      <w:r>
        <w:rPr>
          <w:rFonts w:ascii="Times New Roman" w:cs="Times New Roman" w:eastAsia="Times New Roman" w:hAnsi="Times New Roman"/>
          <w:sz w:val="20"/>
          <w:szCs w:val="20"/>
          <w:color w:val="auto"/>
        </w:rPr>
        <w:t>. Commencing with the calendar quarter during which the First Commercial Sale of the first Licensed Product is made anywhere in the Territory, and for each calendar quarter thereafter during the Royalty Term during which royalties are due hereunder, Tarsus shall provide Elanco with a report that contains the following information for the applicable calendar quarter, on a Licensed Product-by-Licensed Product and country-by-country basis: (i) the amount of gross sales of the Licensed Products, (ii) an itemized calculation of Net Sales showing deductions provided for in the definition of “Net Sales”, (iii) a calculation of the royalty payment due on such sales, and (iv) the exchange rate for such country. Tarsus shall provide such report and make corresponding payment to Elanco within forty five (45) days after the end of each calendar quarter.</w:t>
      </w:r>
    </w:p>
    <w:p>
      <w:pPr>
        <w:spacing w:after="0" w:line="199" w:lineRule="exact"/>
        <w:rPr>
          <w:rFonts w:ascii="Times New Roman" w:cs="Times New Roman" w:eastAsia="Times New Roman" w:hAnsi="Times New Roman"/>
          <w:sz w:val="20"/>
          <w:szCs w:val="20"/>
          <w:b w:val="1"/>
          <w:bCs w:val="1"/>
          <w:color w:val="auto"/>
        </w:rPr>
      </w:pPr>
    </w:p>
    <w:p>
      <w:pPr>
        <w:jc w:val="both"/>
        <w:ind w:firstLine="904"/>
        <w:spacing w:after="0" w:line="254" w:lineRule="auto"/>
        <w:tabs>
          <w:tab w:leader="none" w:pos="1764" w:val="left"/>
        </w:tabs>
        <w:numPr>
          <w:ilvl w:val="1"/>
          <w:numId w:val="3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When conversion of payments from any foreign currency is required, such conversion shall be calculated using an exchange rate equal to the rate of exchange published in the Wall Street Journal on the last business day of the applicable calendar quarter for which payment is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3" w:name="page324"/>
    <w:bookmarkEnd w:id="323"/>
    <w:p>
      <w:pPr>
        <w:jc w:val="both"/>
        <w:ind w:firstLine="904"/>
        <w:spacing w:after="0" w:line="254" w:lineRule="auto"/>
        <w:tabs>
          <w:tab w:leader="none" w:pos="1742" w:val="left"/>
        </w:tabs>
        <w:numPr>
          <w:ilvl w:val="0"/>
          <w:numId w:val="3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No deductions for third party licenses</w:t>
      </w:r>
      <w:r>
        <w:rPr>
          <w:rFonts w:ascii="Times New Roman" w:cs="Times New Roman" w:eastAsia="Times New Roman" w:hAnsi="Times New Roman"/>
          <w:sz w:val="20"/>
          <w:szCs w:val="20"/>
          <w:color w:val="auto"/>
        </w:rPr>
        <w:t>. No deductions from any payments under this agreement shall be made because Tarsus is required to make payments, royalty payments or otherwise, to third parties to obtain rights or licenses to intellectual property rights in respect of a Licensed Product.</w:t>
      </w:r>
    </w:p>
    <w:p>
      <w:pPr>
        <w:spacing w:after="0" w:line="187" w:lineRule="exact"/>
        <w:rPr>
          <w:rFonts w:ascii="Times New Roman" w:cs="Times New Roman" w:eastAsia="Times New Roman" w:hAnsi="Times New Roman"/>
          <w:sz w:val="20"/>
          <w:szCs w:val="20"/>
          <w:b w:val="1"/>
          <w:bCs w:val="1"/>
          <w:color w:val="auto"/>
        </w:rPr>
      </w:pPr>
    </w:p>
    <w:p>
      <w:pPr>
        <w:jc w:val="both"/>
        <w:ind w:firstLine="904"/>
        <w:spacing w:after="0" w:line="249" w:lineRule="auto"/>
        <w:tabs>
          <w:tab w:leader="none" w:pos="1775" w:val="left"/>
        </w:tabs>
        <w:numPr>
          <w:ilvl w:val="0"/>
          <w:numId w:val="3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Royalty Reduction</w:t>
      </w:r>
      <w:r>
        <w:rPr>
          <w:rFonts w:ascii="Times New Roman" w:cs="Times New Roman" w:eastAsia="Times New Roman" w:hAnsi="Times New Roman"/>
          <w:sz w:val="20"/>
          <w:szCs w:val="20"/>
          <w:color w:val="auto"/>
        </w:rPr>
        <w:t>. If at any time during the Royalty Term for a given Licensed Product in a given country, there is no Valid Claim Covering such Licensed Product in such country, then the royalty rate payable by Tarsus pursuant to Section 6.4(a) (or established pursuant to Section 6.4(b)) shall be reduced to [***] percent of the rates set forth in Section 6.4(a) (or Section 6.4(b), as the case may be).</w:t>
      </w:r>
    </w:p>
    <w:p>
      <w:pPr>
        <w:spacing w:after="0" w:line="189"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6.5 Mode of Payment</w:t>
      </w:r>
      <w:r>
        <w:rPr>
          <w:rFonts w:ascii="Times New Roman" w:cs="Times New Roman" w:eastAsia="Times New Roman" w:hAnsi="Times New Roman"/>
          <w:sz w:val="20"/>
          <w:szCs w:val="20"/>
          <w:color w:val="auto"/>
        </w:rPr>
        <w:t>. Tarsus shall pay all payments to Elanco under this Agreement by wire transfer of immediately available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funds to a USD functional bank account designated in writing by Elanco, in U.S. Dollars or such other currency as the Parties may mutually agree in writing.</w:t>
      </w:r>
    </w:p>
    <w:p>
      <w:pPr>
        <w:spacing w:after="0" w:line="182"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6.6</w:t>
      </w:r>
      <w:r>
        <w:rPr>
          <w:sz w:val="20"/>
          <w:szCs w:val="20"/>
          <w:color w:val="auto"/>
        </w:rPr>
        <w:tab/>
      </w:r>
      <w:r>
        <w:rPr>
          <w:rFonts w:ascii="Times New Roman" w:cs="Times New Roman" w:eastAsia="Times New Roman" w:hAnsi="Times New Roman"/>
          <w:sz w:val="19"/>
          <w:szCs w:val="19"/>
          <w:b w:val="1"/>
          <w:bCs w:val="1"/>
          <w:color w:val="auto"/>
        </w:rPr>
        <w:t>Quarterly information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904"/>
        <w:spacing w:after="0" w:line="244" w:lineRule="auto"/>
        <w:tabs>
          <w:tab w:leader="none" w:pos="1775" w:val="left"/>
        </w:tabs>
        <w:numPr>
          <w:ilvl w:val="0"/>
          <w:numId w:val="3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Tarsus Common Stock activity</w:t>
      </w:r>
      <w:r>
        <w:rPr>
          <w:rFonts w:ascii="Times New Roman" w:cs="Times New Roman" w:eastAsia="Times New Roman" w:hAnsi="Times New Roman"/>
          <w:sz w:val="20"/>
          <w:szCs w:val="20"/>
          <w:color w:val="auto"/>
        </w:rPr>
        <w:t>. Until the completion of the Tarsus Initial Public Offering, for each of the three-month periods ending March 31, June 30, September 30, and December 31, Tarsus shall provide to Elanco (i) the capitalization table as of period-end, no later than fifteen (15) days following period-end. At a minimum, the capitalization table shall include all equity types (e.g., Common Stock, Preferred Stock, etc.). In addition, Tarsus shall provide to Elanco (i) Tarsus’ most recently available 409A valuation, and (ii) information about all sales and purchases of Tarsus’ Preferred Stock and Common Stock during the respective three-month period. Such information shall be sufficient for Elanco to calculate its ownership percentage and shall be provided by Tarsus electronically no later than forty-five (45) days following period-end.</w:t>
      </w:r>
    </w:p>
    <w:p>
      <w:pPr>
        <w:spacing w:after="0" w:line="185" w:lineRule="exact"/>
        <w:rPr>
          <w:rFonts w:ascii="Times New Roman" w:cs="Times New Roman" w:eastAsia="Times New Roman" w:hAnsi="Times New Roman"/>
          <w:sz w:val="20"/>
          <w:szCs w:val="20"/>
          <w:b w:val="1"/>
          <w:bCs w:val="1"/>
          <w:color w:val="auto"/>
        </w:rPr>
      </w:pPr>
    </w:p>
    <w:p>
      <w:pPr>
        <w:jc w:val="both"/>
        <w:ind w:firstLine="904"/>
        <w:spacing w:after="0" w:line="246" w:lineRule="auto"/>
        <w:tabs>
          <w:tab w:leader="none" w:pos="1786" w:val="left"/>
        </w:tabs>
        <w:numPr>
          <w:ilvl w:val="0"/>
          <w:numId w:val="3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Unaudited financial statements</w:t>
      </w:r>
      <w:r>
        <w:rPr>
          <w:rFonts w:ascii="Times New Roman" w:cs="Times New Roman" w:eastAsia="Times New Roman" w:hAnsi="Times New Roman"/>
          <w:sz w:val="20"/>
          <w:szCs w:val="20"/>
          <w:color w:val="auto"/>
        </w:rPr>
        <w:t>. Until the completion of the Tarsus Initial Public Offering, for each of the three-month periods ending March 31, June 30, and September 30, Tarsus shall provide to Elanco unaudited financial statements as of and for the three-month period then ended. The unaudited financial statements shall be provided by Tarsus electronically no later than forty-five (45) days following period-end. At a minimum, the unaudited financial statements shall include a balance sheet, income statement, and statement of cash flows.</w:t>
      </w:r>
    </w:p>
    <w:p>
      <w:pPr>
        <w:spacing w:after="0" w:line="194"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6.7 Annual financial statements</w:t>
      </w:r>
      <w:r>
        <w:rPr>
          <w:rFonts w:ascii="Times New Roman" w:cs="Times New Roman" w:eastAsia="Times New Roman" w:hAnsi="Times New Roman"/>
          <w:sz w:val="20"/>
          <w:szCs w:val="20"/>
          <w:color w:val="auto"/>
        </w:rPr>
        <w:t>. Until the completion of the Tarsus Initial Public Offering, on an annual basis, Tarsus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to Elanco audited financial statements as of and for the year then ended. The audited financial statements shall be provided by Tarsus electronically no later than forty-five (45) business days following period-end. At a minimum, the audited financial statements shall include a balance sheet, income statement, and statement of cash flows.</w:t>
      </w:r>
    </w:p>
    <w:p>
      <w:pPr>
        <w:spacing w:after="0" w:line="189" w:lineRule="exact"/>
        <w:rPr>
          <w:sz w:val="20"/>
          <w:szCs w:val="20"/>
          <w:color w:val="auto"/>
        </w:rPr>
      </w:pPr>
    </w:p>
    <w:p>
      <w:pPr>
        <w:jc w:val="both"/>
        <w:ind w:firstLine="448"/>
        <w:spacing w:after="0" w:line="244" w:lineRule="auto"/>
        <w:rPr>
          <w:sz w:val="20"/>
          <w:szCs w:val="20"/>
          <w:color w:val="auto"/>
        </w:rPr>
      </w:pPr>
      <w:r>
        <w:rPr>
          <w:rFonts w:ascii="Times New Roman" w:cs="Times New Roman" w:eastAsia="Times New Roman" w:hAnsi="Times New Roman"/>
          <w:sz w:val="20"/>
          <w:szCs w:val="20"/>
          <w:b w:val="1"/>
          <w:bCs w:val="1"/>
          <w:color w:val="auto"/>
        </w:rPr>
        <w:t>6.8 Audit</w:t>
      </w:r>
      <w:r>
        <w:rPr>
          <w:rFonts w:ascii="Times New Roman" w:cs="Times New Roman" w:eastAsia="Times New Roman" w:hAnsi="Times New Roman"/>
          <w:sz w:val="20"/>
          <w:szCs w:val="20"/>
          <w:color w:val="auto"/>
        </w:rPr>
        <w:t>. Tarsus shall keep or cause to be kept books of account containing all information that may be necessary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 of calculating amounts payable by Tarsus in connection with this Agreement for a period of three (3) calendar years following the end of the calendar year during which such amounts were payable. Elanco may appoint an independent public accountant (on a non-contingency basis and reasonably acceptable to Tarsus; any “Big 4” accountant shall be deemed acceptable to Tarsus), at Elanco’s expense and subject to such accountant entering into a confidentiality agreement with Tarsus, to inspect such books of account in order to verify the calculation of any amounts payable to Elanco hereunder. Such inspections shall be performed not more frequently than once in any twelve</w:t>
      </w:r>
    </w:p>
    <w:p>
      <w:pPr>
        <w:jc w:val="both"/>
        <w:ind w:firstLine="8"/>
        <w:spacing w:after="0"/>
        <w:tabs>
          <w:tab w:leader="none" w:pos="384"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 period and upon reasonable prior written notice, and shall be conducted during regular business hours in such a manner as to not unreasonably interfere with Tarsus’s normal business activities. Elanco’s accountant may only share with Elanco the report containing the summary results of its inspection, but not the books of account reviewed by the accountant during the audit, and such report shall constitute Tarsus’s Confidential Information. If any such inspection reveals that any payment which should have been paid by Tarsus is greater than those which were actually paid by it and such underpayment is not disputed by Tarsus, then Tarsus shall promptly pay the underpaid amount to Elanco. If the undisputed payments which should have been paid by Tarsus are at least [***] percent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4" w:name="page325"/>
    <w:bookmarkEnd w:id="324"/>
    <w:p>
      <w:pPr>
        <w:jc w:val="both"/>
        <w:spacing w:after="0" w:line="269" w:lineRule="auto"/>
        <w:rPr>
          <w:sz w:val="20"/>
          <w:szCs w:val="20"/>
          <w:color w:val="auto"/>
        </w:rPr>
      </w:pPr>
      <w:r>
        <w:rPr>
          <w:rFonts w:ascii="Times New Roman" w:cs="Times New Roman" w:eastAsia="Times New Roman" w:hAnsi="Times New Roman"/>
          <w:sz w:val="20"/>
          <w:szCs w:val="20"/>
          <w:color w:val="auto"/>
        </w:rPr>
        <w:t>greater than those which were actually paid by Tarsus, then Tarsus shall also reimburse Elanco for the reasonable out-of-pocket costs of such inspection.</w:t>
      </w:r>
    </w:p>
    <w:p>
      <w:pPr>
        <w:spacing w:after="0" w:line="169" w:lineRule="exact"/>
        <w:rPr>
          <w:sz w:val="20"/>
          <w:szCs w:val="20"/>
          <w:color w:val="auto"/>
        </w:rPr>
      </w:pPr>
    </w:p>
    <w:p>
      <w:pPr>
        <w:jc w:val="both"/>
        <w:ind w:firstLine="448"/>
        <w:spacing w:after="0" w:line="246" w:lineRule="auto"/>
        <w:rPr>
          <w:sz w:val="20"/>
          <w:szCs w:val="20"/>
          <w:color w:val="auto"/>
        </w:rPr>
      </w:pPr>
      <w:r>
        <w:rPr>
          <w:rFonts w:ascii="Times New Roman" w:cs="Times New Roman" w:eastAsia="Times New Roman" w:hAnsi="Times New Roman"/>
          <w:sz w:val="20"/>
          <w:szCs w:val="20"/>
          <w:b w:val="1"/>
          <w:bCs w:val="1"/>
          <w:color w:val="auto"/>
        </w:rPr>
        <w:t>6.9 Taxes</w:t>
      </w:r>
      <w:r>
        <w:rPr>
          <w:rFonts w:ascii="Times New Roman" w:cs="Times New Roman" w:eastAsia="Times New Roman" w:hAnsi="Times New Roman"/>
          <w:sz w:val="20"/>
          <w:szCs w:val="20"/>
          <w:color w:val="auto"/>
        </w:rPr>
        <w:t>. Each Party shall be solely responsible for the payment of all taxes imposed on its share of income arising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from its activities or receipt of payments under this Agreement. To the extent Tarsus is required to deduct and withhold taxes on any payment to Elanco hereunder, it shall deduct such amounts from payments to Elanco and pay the amounts of such taxes to the proper governmental authority in a timely manner and promptly transmit to Elanco an official tax certificate or other evidence of such withholding sufficient to enable Elanco to claim such payment of taxes. Elanco shall provide Tarsus any tax forms that may be reasonably necessary in order for Tarsus not to withhold tax or to withhold tax at a reduced rate under an Applicable Law or bilateral income tax treaty.</w:t>
      </w:r>
    </w:p>
    <w:p>
      <w:pPr>
        <w:spacing w:after="0" w:line="192"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6.10 Sales Forecast</w:t>
      </w:r>
      <w:r>
        <w:rPr>
          <w:rFonts w:ascii="Times New Roman" w:cs="Times New Roman" w:eastAsia="Times New Roman" w:hAnsi="Times New Roman"/>
          <w:sz w:val="20"/>
          <w:szCs w:val="20"/>
          <w:color w:val="auto"/>
        </w:rPr>
        <w:t>. Within [***] days after January 1 of each calendar year, Tarsus shall provide Elanco with Tarsus’s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projected Net Sales over the next [***] calendar years. For clarity, such projections would be for informational purposes only and the foregoing is not binding on Tarsus in any way.</w:t>
      </w:r>
    </w:p>
    <w:p>
      <w:pPr>
        <w:spacing w:after="0" w:line="182" w:lineRule="exact"/>
        <w:rPr>
          <w:sz w:val="20"/>
          <w:szCs w:val="20"/>
          <w:color w:val="auto"/>
        </w:rPr>
      </w:pPr>
    </w:p>
    <w:p>
      <w:pPr>
        <w:ind w:left="800" w:hanging="792"/>
        <w:spacing w:after="0"/>
        <w:tabs>
          <w:tab w:leader="none" w:pos="800" w:val="left"/>
        </w:tabs>
        <w:numPr>
          <w:ilvl w:val="0"/>
          <w:numId w:val="3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NTELLECTUAL</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ROPERTY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Prosecution and Maintenance of Licensed Patents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904"/>
        <w:spacing w:after="0" w:line="249" w:lineRule="auto"/>
        <w:tabs>
          <w:tab w:leader="none" w:pos="1775" w:val="left"/>
        </w:tabs>
        <w:numPr>
          <w:ilvl w:val="0"/>
          <w:numId w:val="3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Elanco shall be solely responsible for prosecution and maintenance of the Licensed Patents including, but not limited to, the filing of patent applications included therein. Elanco shall keep Tarsus reasonably informed with respect to the status and progress of any such applications, prosecutions and maintenance activities. Elanco shall consider in good faith the comments of Tarsus with respect to any such applications and prosecutions and maintenance activities.</w:t>
      </w:r>
    </w:p>
    <w:p>
      <w:pPr>
        <w:spacing w:after="0" w:line="193" w:lineRule="exact"/>
        <w:rPr>
          <w:rFonts w:ascii="Times New Roman" w:cs="Times New Roman" w:eastAsia="Times New Roman" w:hAnsi="Times New Roman"/>
          <w:sz w:val="20"/>
          <w:szCs w:val="20"/>
          <w:b w:val="1"/>
          <w:bCs w:val="1"/>
          <w:color w:val="auto"/>
        </w:rPr>
      </w:pPr>
    </w:p>
    <w:p>
      <w:pPr>
        <w:jc w:val="both"/>
        <w:ind w:firstLine="904"/>
        <w:spacing w:after="0" w:line="244" w:lineRule="auto"/>
        <w:tabs>
          <w:tab w:leader="none" w:pos="1786" w:val="left"/>
        </w:tabs>
        <w:numPr>
          <w:ilvl w:val="0"/>
          <w:numId w:val="3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Elanco may, in its sole discretion, elect to abandon any issued patent or pending patent application included in the Licensed Patents, or not file any patent application with respect thereto in any country. Prior to any such abandonment or decision not to file in any country, Elanco shall give Tarsus at least [***] days’ notice and a reasonable opportunity to take over such maintenance, prosecution or filing. In such event, Tarsus shall have the right, but not the obligation, to commence or continue such maintenance, prosecution or filing under its own control and at its sole expense. Tarsus shall have no further payment obligations (including with respect to royalties and milestone payments) or other obligations to Elanco with respect to any such patents or patent applications or patents issuing from such applications.</w:t>
      </w:r>
    </w:p>
    <w:p>
      <w:pPr>
        <w:spacing w:after="0" w:line="19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Enforcement of Licensed IP</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904"/>
        <w:spacing w:after="0" w:line="255" w:lineRule="auto"/>
        <w:tabs>
          <w:tab w:leader="none" w:pos="1775" w:val="left"/>
        </w:tabs>
        <w:numPr>
          <w:ilvl w:val="1"/>
          <w:numId w:val="3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During the Royalty Term, each Party shall promptly provide written notice to the other Party of any actual or alleged infringement or misappropriation in the Field by any Third Party of any intellectual property rights included in the Licensed IP of which it becomes aware. Elanco shall have the first right, but not the obligation, to enforce the Licensed IP against any such infringement or misappropriation claim in the Field at its own expense and utilizing counsel of its choice. Elanco shall neither settle nor voluntarily dispose of any action to enforce the Licensed IP in the Field without Tarsus’s written consent. If Elanco desires to voluntarily dispose of any action to enforce the Licensed IP in the Field then Elanco shall notify Tarsus and offer Tarsus the opportunity to assume control of such enforcement action (“</w:t>
      </w:r>
      <w:r>
        <w:rPr>
          <w:rFonts w:ascii="Times New Roman" w:cs="Times New Roman" w:eastAsia="Times New Roman" w:hAnsi="Times New Roman"/>
          <w:sz w:val="19"/>
          <w:szCs w:val="19"/>
          <w:b w:val="1"/>
          <w:bCs w:val="1"/>
          <w:i w:val="1"/>
          <w:iCs w:val="1"/>
          <w:color w:val="auto"/>
        </w:rPr>
        <w:t>Voluntary Disposal Notice</w:t>
      </w:r>
      <w:r>
        <w:rPr>
          <w:rFonts w:ascii="Times New Roman" w:cs="Times New Roman" w:eastAsia="Times New Roman" w:hAnsi="Times New Roman"/>
          <w:sz w:val="19"/>
          <w:szCs w:val="19"/>
          <w:color w:val="auto"/>
        </w:rPr>
        <w:t>”). If Tarsus notifies Elanco of its election to assume control of such enforcement action then Elanco shall take all reasonable actions necessary to allow Tarsus to properly do so. Elanco may voluntarily dispose of such enforcement action if:</w:t>
      </w:r>
    </w:p>
    <w:p>
      <w:pPr>
        <w:ind w:firstLine="8"/>
        <w:spacing w:after="0" w:line="246" w:lineRule="auto"/>
        <w:tabs>
          <w:tab w:leader="none" w:pos="25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Tarsus notifies Elanco that it does not desire to assume control of such enforcement action; or (ii) Tarsus does not notify Elanco of any election within [***] days after Elanco provides Voluntary Disposal Notice.</w:t>
      </w:r>
    </w:p>
    <w:p>
      <w:pPr>
        <w:spacing w:after="0" w:line="195" w:lineRule="exact"/>
        <w:rPr>
          <w:rFonts w:ascii="Times New Roman" w:cs="Times New Roman" w:eastAsia="Times New Roman" w:hAnsi="Times New Roman"/>
          <w:sz w:val="20"/>
          <w:szCs w:val="20"/>
          <w:color w:val="auto"/>
        </w:rPr>
      </w:pPr>
    </w:p>
    <w:p>
      <w:pPr>
        <w:ind w:right="20" w:firstLine="904"/>
        <w:spacing w:after="0" w:line="269" w:lineRule="auto"/>
        <w:tabs>
          <w:tab w:leader="none" w:pos="1786" w:val="left"/>
        </w:tabs>
        <w:numPr>
          <w:ilvl w:val="1"/>
          <w:numId w:val="3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respect to any potential enforcement under subsection (a) above, if Elanco does not notify Tarsus of its intention to enforce against such alleged infringement or misappropriation within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5" w:name="page326"/>
    <w:bookmarkEnd w:id="325"/>
    <w:p>
      <w:pPr>
        <w:jc w:val="both"/>
        <w:ind w:firstLine="8"/>
        <w:spacing w:after="0" w:line="254" w:lineRule="auto"/>
        <w:tabs>
          <w:tab w:leader="none" w:pos="478"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date Elanco becomes aware of such alleged infringement or misappropriation, or does not commence prosecution of such claim within [***] days after the date Elanco becomes aware of such alleged infringement or misappropriation, then, Tarsus shall have the right, but not the obligation, to prosecute such claim at its own expense and utilizing counsel of its choice.</w:t>
      </w:r>
    </w:p>
    <w:p>
      <w:pPr>
        <w:spacing w:after="0" w:line="187" w:lineRule="exact"/>
        <w:rPr>
          <w:rFonts w:ascii="Times New Roman" w:cs="Times New Roman" w:eastAsia="Times New Roman" w:hAnsi="Times New Roman"/>
          <w:sz w:val="20"/>
          <w:szCs w:val="20"/>
          <w:color w:val="auto"/>
        </w:rPr>
      </w:pPr>
    </w:p>
    <w:p>
      <w:pPr>
        <w:jc w:val="both"/>
        <w:ind w:firstLine="904"/>
        <w:spacing w:after="0" w:line="245" w:lineRule="auto"/>
        <w:tabs>
          <w:tab w:leader="none" w:pos="1764" w:val="left"/>
        </w:tabs>
        <w:numPr>
          <w:ilvl w:val="1"/>
          <w:numId w:val="3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enforcing Party shall regularly update the other Party in writing with respect to the status of any such enforcement actions. Any recovery of damages by shall be applied (i) first, in satisfaction of any unreimbursed expenses and legal fees of the enforcing Party, (ii) second, in satisfaction of any unreimbursed expenses and legal fees of the other Party, and (iii) third, if additional recoveries remain after all of the unreimbursed expenses and legal fees are fully paid as set forth in (i) and (ii), the balance remaining with respect to any such recovery shall be retained by (or paid by Elanco to, as the case may be) Tarsus and such amount shall be treated as Net Sales and subject to the payment of royalties pursuant to Section 6.3.</w:t>
      </w:r>
    </w:p>
    <w:p>
      <w:pPr>
        <w:spacing w:after="0" w:line="197" w:lineRule="exact"/>
        <w:rPr>
          <w:rFonts w:ascii="Times New Roman" w:cs="Times New Roman" w:eastAsia="Times New Roman" w:hAnsi="Times New Roman"/>
          <w:sz w:val="20"/>
          <w:szCs w:val="20"/>
          <w:b w:val="1"/>
          <w:bCs w:val="1"/>
          <w:color w:val="auto"/>
        </w:rPr>
      </w:pPr>
    </w:p>
    <w:p>
      <w:pPr>
        <w:jc w:val="both"/>
        <w:ind w:firstLine="904"/>
        <w:spacing w:after="0" w:line="254" w:lineRule="auto"/>
        <w:tabs>
          <w:tab w:leader="none" w:pos="1786" w:val="left"/>
        </w:tabs>
        <w:numPr>
          <w:ilvl w:val="1"/>
          <w:numId w:val="3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 the request of the Party bringing the action, the other Party shall provide reasonable assistance in connection therewith, including by executing reasonably appropriate documents, cooperating in discovery and joining as a party plaintiff to the action if required to obtain necessary standing.</w:t>
      </w:r>
    </w:p>
    <w:p>
      <w:pPr>
        <w:spacing w:after="0" w:line="184"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7.3 Improvements. </w:t>
      </w:r>
      <w:r>
        <w:rPr>
          <w:rFonts w:ascii="Times New Roman" w:cs="Times New Roman" w:eastAsia="Times New Roman" w:hAnsi="Times New Roman"/>
          <w:sz w:val="20"/>
          <w:szCs w:val="20"/>
          <w:color w:val="auto"/>
        </w:rPr>
        <w:t>Elanco shall own any invention conceived by or for Elanco from the use of the Compound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derived by or for Elanco from the Compound (“</w:t>
      </w:r>
      <w:r>
        <w:rPr>
          <w:rFonts w:ascii="Times New Roman" w:cs="Times New Roman" w:eastAsia="Times New Roman" w:hAnsi="Times New Roman"/>
          <w:sz w:val="20"/>
          <w:szCs w:val="20"/>
          <w:b w:val="1"/>
          <w:bCs w:val="1"/>
          <w:i w:val="1"/>
          <w:iCs w:val="1"/>
          <w:color w:val="auto"/>
        </w:rPr>
        <w:t>Elanco Improvements</w:t>
      </w:r>
      <w:r>
        <w:rPr>
          <w:rFonts w:ascii="Times New Roman" w:cs="Times New Roman" w:eastAsia="Times New Roman" w:hAnsi="Times New Roman"/>
          <w:sz w:val="20"/>
          <w:szCs w:val="20"/>
          <w:color w:val="auto"/>
        </w:rPr>
        <w:t>”). Tarsus shall own any invention conceived by or for Tarsus from the use of the Compound or otherwise derived by or for Tarsus from the Compound (“</w:t>
      </w:r>
      <w:r>
        <w:rPr>
          <w:rFonts w:ascii="Times New Roman" w:cs="Times New Roman" w:eastAsia="Times New Roman" w:hAnsi="Times New Roman"/>
          <w:sz w:val="20"/>
          <w:szCs w:val="20"/>
          <w:b w:val="1"/>
          <w:bCs w:val="1"/>
          <w:i w:val="1"/>
          <w:iCs w:val="1"/>
          <w:color w:val="auto"/>
        </w:rPr>
        <w:t>Tarsus Improvements</w:t>
      </w:r>
      <w:r>
        <w:rPr>
          <w:rFonts w:ascii="Times New Roman" w:cs="Times New Roman" w:eastAsia="Times New Roman" w:hAnsi="Times New Roman"/>
          <w:sz w:val="20"/>
          <w:szCs w:val="20"/>
          <w:color w:val="auto"/>
        </w:rPr>
        <w:t>”). Tarsus hereby grants Elanco an exclusive royalty-free, perpetual license to the Research Inventions and Tarsus Improvements for applications in the Elanco Field.</w:t>
      </w:r>
    </w:p>
    <w:p>
      <w:pPr>
        <w:spacing w:after="0" w:line="189" w:lineRule="exact"/>
        <w:rPr>
          <w:sz w:val="20"/>
          <w:szCs w:val="20"/>
          <w:color w:val="auto"/>
        </w:rPr>
      </w:pPr>
    </w:p>
    <w:p>
      <w:pPr>
        <w:ind w:left="800" w:hanging="792"/>
        <w:spacing w:after="0"/>
        <w:tabs>
          <w:tab w:leader="none" w:pos="800" w:val="left"/>
        </w:tabs>
        <w:numPr>
          <w:ilvl w:val="0"/>
          <w:numId w:val="3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ANUFACTURE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UPPLY</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8.1 Initial Supply Terms</w:t>
      </w:r>
      <w:r>
        <w:rPr>
          <w:rFonts w:ascii="Times New Roman" w:cs="Times New Roman" w:eastAsia="Times New Roman" w:hAnsi="Times New Roman"/>
          <w:sz w:val="20"/>
          <w:szCs w:val="20"/>
          <w:color w:val="auto"/>
        </w:rPr>
        <w:t>. Each calendar quarter, Tarsus shall supply Elanco with a written, non-binding forecast showing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faith estimations of its (and its Affiliates’ and sublicensees’) quarterly requirements for the Compound for the following four (4) calendar quarters (the “</w:t>
      </w:r>
      <w:r>
        <w:rPr>
          <w:rFonts w:ascii="Times New Roman" w:cs="Times New Roman" w:eastAsia="Times New Roman" w:hAnsi="Times New Roman"/>
          <w:sz w:val="20"/>
          <w:szCs w:val="20"/>
          <w:b w:val="1"/>
          <w:bCs w:val="1"/>
          <w:i w:val="1"/>
          <w:iCs w:val="1"/>
          <w:color w:val="auto"/>
        </w:rPr>
        <w:t>Forecast</w:t>
      </w:r>
      <w:r>
        <w:rPr>
          <w:rFonts w:ascii="Times New Roman" w:cs="Times New Roman" w:eastAsia="Times New Roman" w:hAnsi="Times New Roman"/>
          <w:sz w:val="20"/>
          <w:szCs w:val="20"/>
          <w:color w:val="auto"/>
        </w:rPr>
        <w:t>”). Elanco shall manufacture (or have manufactured) and supply to Tarsus quantities of the Compound as and when reasonably requested by Tarsus to the extent within the Forecast. Tarsus’s price for all Compounds purchased pursuant to this Section 8.1 shall be the price at which Elanco purchases such Compound plus [***] percent thereof.</w:t>
      </w:r>
    </w:p>
    <w:p>
      <w:pPr>
        <w:spacing w:after="0" w:line="194"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8.2 Manufacturing and Supply Agreement</w:t>
      </w:r>
      <w:r>
        <w:rPr>
          <w:rFonts w:ascii="Times New Roman" w:cs="Times New Roman" w:eastAsia="Times New Roman" w:hAnsi="Times New Roman"/>
          <w:sz w:val="20"/>
          <w:szCs w:val="20"/>
          <w:color w:val="auto"/>
        </w:rPr>
        <w:t>. The Parties agree to enter into a good-faith more detailed manufacturing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supply agreement within a reasonable timeframe. The supply agreement should provide for a stated supply price (which price shall represent a small markup over Elanco’s costs).</w:t>
      </w:r>
    </w:p>
    <w:p>
      <w:pPr>
        <w:spacing w:after="0" w:line="182"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19"/>
          <w:szCs w:val="19"/>
          <w:b w:val="1"/>
          <w:bCs w:val="1"/>
          <w:color w:val="auto"/>
        </w:rPr>
        <w:t>Change of chemistry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904"/>
        <w:spacing w:after="0" w:line="269" w:lineRule="auto"/>
        <w:tabs>
          <w:tab w:leader="none" w:pos="1775" w:val="left"/>
        </w:tabs>
        <w:numPr>
          <w:ilvl w:val="0"/>
          <w:numId w:val="3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Tarsus acknowledges and agrees that Elanco shall be free to use alternate chemistry and improve the Compound in its sole discretion without Tarsus consent.</w:t>
      </w:r>
    </w:p>
    <w:p>
      <w:pPr>
        <w:spacing w:after="0" w:line="168" w:lineRule="exact"/>
        <w:rPr>
          <w:rFonts w:ascii="Times New Roman" w:cs="Times New Roman" w:eastAsia="Times New Roman" w:hAnsi="Times New Roman"/>
          <w:sz w:val="20"/>
          <w:szCs w:val="20"/>
          <w:b w:val="1"/>
          <w:bCs w:val="1"/>
          <w:color w:val="auto"/>
        </w:rPr>
      </w:pPr>
    </w:p>
    <w:p>
      <w:pPr>
        <w:jc w:val="both"/>
        <w:ind w:firstLine="904"/>
        <w:spacing w:after="0" w:line="245" w:lineRule="auto"/>
        <w:tabs>
          <w:tab w:leader="none" w:pos="1786" w:val="left"/>
        </w:tabs>
        <w:numPr>
          <w:ilvl w:val="0"/>
          <w:numId w:val="3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Elanco shall provide Tarsus with [***] prior notice (the “</w:t>
      </w:r>
      <w:r>
        <w:rPr>
          <w:rFonts w:ascii="Times New Roman" w:cs="Times New Roman" w:eastAsia="Times New Roman" w:hAnsi="Times New Roman"/>
          <w:sz w:val="20"/>
          <w:szCs w:val="20"/>
          <w:b w:val="1"/>
          <w:bCs w:val="1"/>
          <w:i w:val="1"/>
          <w:iCs w:val="1"/>
          <w:color w:val="auto"/>
        </w:rPr>
        <w:t>Compound Change Period</w:t>
      </w:r>
      <w:r>
        <w:rPr>
          <w:rFonts w:ascii="Times New Roman" w:cs="Times New Roman" w:eastAsia="Times New Roman" w:hAnsi="Times New Roman"/>
          <w:sz w:val="20"/>
          <w:szCs w:val="20"/>
          <w:color w:val="auto"/>
        </w:rPr>
        <w:t>”) if Elanco will cease to provide any Compound previously provided to Tarsus pursuant to a chemical change and will supply Tarsus with any quantities of such Compound requested by Tarsus during the Compound Change Period (even if such quantities exceed the amount projected in the Forecast). Elanco shall notify the JSC as soon as it contemplates possibly ceasing to provide a Compound as previously provided to Tarsus because of use of alternative chemistry or other changes to the Compound. The JSC shall discuss such contemplated changes if Tarsus informs Elanco that it reasonably believes such change could have a regulatory impact; provided, however, that Elanco shall have the right to make the final decision regarding such change after discussion by the JSC.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6" w:name="page327"/>
    <w:bookmarkEnd w:id="326"/>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8.4 Have Made Rights</w:t>
      </w:r>
      <w:r>
        <w:rPr>
          <w:rFonts w:ascii="Times New Roman" w:cs="Times New Roman" w:eastAsia="Times New Roman" w:hAnsi="Times New Roman"/>
          <w:sz w:val="20"/>
          <w:szCs w:val="20"/>
          <w:color w:val="auto"/>
        </w:rPr>
        <w:t>. For clarity, Section 2.1 grants Tarsus the right to have a third party make the Compound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Tarsus. Elanco must approve such third party supplier unless: (a) the transfer to the supplier does not qualify as a Sensitive Transfer; or (b) such supplier is credible and reputable. Such approval shall not be unreasonably withheld, conditioned, or delayed. For all purposes of the foregoing, the following entities and their Affiliates shall be deemed credible and reputable (and shall not require Elanco consent): [***] (or any Affiliate of the foregoing), [***].</w:t>
      </w:r>
    </w:p>
    <w:p>
      <w:pPr>
        <w:spacing w:after="0" w:line="194" w:lineRule="exact"/>
        <w:rPr>
          <w:sz w:val="20"/>
          <w:szCs w:val="20"/>
          <w:color w:val="auto"/>
        </w:rPr>
      </w:pPr>
    </w:p>
    <w:p>
      <w:pPr>
        <w:ind w:left="800" w:hanging="792"/>
        <w:spacing w:after="0"/>
        <w:tabs>
          <w:tab w:leader="none" w:pos="800" w:val="left"/>
        </w:tabs>
        <w:numPr>
          <w:ilvl w:val="0"/>
          <w:numId w:val="3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NDEMNIFICATION</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NSURANCE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448"/>
        <w:spacing w:after="0" w:line="244" w:lineRule="auto"/>
        <w:rPr>
          <w:sz w:val="20"/>
          <w:szCs w:val="20"/>
          <w:color w:val="auto"/>
        </w:rPr>
      </w:pPr>
      <w:r>
        <w:rPr>
          <w:rFonts w:ascii="Times New Roman" w:cs="Times New Roman" w:eastAsia="Times New Roman" w:hAnsi="Times New Roman"/>
          <w:sz w:val="20"/>
          <w:szCs w:val="20"/>
          <w:b w:val="1"/>
          <w:bCs w:val="1"/>
          <w:color w:val="auto"/>
        </w:rPr>
        <w:t>9.1 Indemnification by Elanco</w:t>
      </w:r>
      <w:r>
        <w:rPr>
          <w:rFonts w:ascii="Times New Roman" w:cs="Times New Roman" w:eastAsia="Times New Roman" w:hAnsi="Times New Roman"/>
          <w:sz w:val="20"/>
          <w:szCs w:val="20"/>
          <w:color w:val="auto"/>
        </w:rPr>
        <w:t>. Elanco shall indemnify, defend and hold harmless Tarsus, its Affiliates, and its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officers, directors, employees, agents, successors and assigns against all third party losses, damages, liabilities, deficiencies, claims, actions, judgments, settlements, interest, awards, penalties, fines, costs or expenses (collectively, “</w:t>
      </w:r>
      <w:r>
        <w:rPr>
          <w:rFonts w:ascii="Times New Roman" w:cs="Times New Roman" w:eastAsia="Times New Roman" w:hAnsi="Times New Roman"/>
          <w:sz w:val="20"/>
          <w:szCs w:val="20"/>
          <w:b w:val="1"/>
          <w:bCs w:val="1"/>
          <w:i w:val="1"/>
          <w:iCs w:val="1"/>
          <w:color w:val="auto"/>
        </w:rPr>
        <w:t>Losses</w:t>
      </w:r>
      <w:r>
        <w:rPr>
          <w:rFonts w:ascii="Times New Roman" w:cs="Times New Roman" w:eastAsia="Times New Roman" w:hAnsi="Times New Roman"/>
          <w:sz w:val="20"/>
          <w:szCs w:val="20"/>
          <w:color w:val="auto"/>
        </w:rPr>
        <w:t>”), resulting from (a) any action instituted against any of them by any Third Party arising out of from Elanco’s breach of any representation, warranty or obligations pursuant to this Agreement, or (b) the gross negligence or willful misconduct of Elanco, except, in each case, to the extent such Losses are Losses for which Tarsus is obligated to indemnify Elanco pursuant to Section 9.2 or to the extent such Losses arise from the breach by Tarsus or its Affiliates of its representations, warranties or obligations under this Agreement or from the failure of any sublicensees to comply with any obligations required of sublicensees under this Agreement.</w:t>
      </w:r>
    </w:p>
    <w:p>
      <w:pPr>
        <w:spacing w:after="0" w:line="195" w:lineRule="exact"/>
        <w:rPr>
          <w:sz w:val="20"/>
          <w:szCs w:val="20"/>
          <w:color w:val="auto"/>
        </w:rPr>
      </w:pPr>
    </w:p>
    <w:p>
      <w:pPr>
        <w:jc w:val="both"/>
        <w:ind w:firstLine="448"/>
        <w:spacing w:after="0" w:line="245" w:lineRule="auto"/>
        <w:rPr>
          <w:sz w:val="20"/>
          <w:szCs w:val="20"/>
          <w:color w:val="auto"/>
        </w:rPr>
      </w:pPr>
      <w:r>
        <w:rPr>
          <w:rFonts w:ascii="Times New Roman" w:cs="Times New Roman" w:eastAsia="Times New Roman" w:hAnsi="Times New Roman"/>
          <w:sz w:val="20"/>
          <w:szCs w:val="20"/>
          <w:b w:val="1"/>
          <w:bCs w:val="1"/>
          <w:color w:val="auto"/>
        </w:rPr>
        <w:t>9.2 Indemnification by Tarsus</w:t>
      </w:r>
      <w:r>
        <w:rPr>
          <w:rFonts w:ascii="Times New Roman" w:cs="Times New Roman" w:eastAsia="Times New Roman" w:hAnsi="Times New Roman"/>
          <w:sz w:val="20"/>
          <w:szCs w:val="20"/>
          <w:color w:val="auto"/>
        </w:rPr>
        <w:t>. Tarsus shall indemnify, defend and hold harmless Elanco, its Affiliates, and its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officers, directors, employees, agents, successors and assigns against all Losses resulting from (a) Tarsus’s breach of any representation, warranty or obligations pursuant to this Agreement, ,(b) the gross negligence or willful misconduct of Tarsus; or (c) the development, making, having made, using, having used, leasing, importing, offering to sell, selling and/or having sold, any Compound or Licensed Product by Tarsus, its Affiliates and sublicensees or the failure of any of them to comply with Applicable Law in connection with any such activities, except, in each case, to the extent Elanco is required to indemnify Tarsus under Section 9.1 for such Losses or to the extent such Losses arise from the breach by Elanco or its Affiliates of its representations, warranties or obligations under this Agreement.</w:t>
      </w:r>
    </w:p>
    <w:p>
      <w:pPr>
        <w:spacing w:after="0" w:line="193" w:lineRule="exact"/>
        <w:rPr>
          <w:sz w:val="20"/>
          <w:szCs w:val="20"/>
          <w:color w:val="auto"/>
        </w:rPr>
      </w:pPr>
    </w:p>
    <w:p>
      <w:pPr>
        <w:jc w:val="both"/>
        <w:ind w:firstLine="448"/>
        <w:spacing w:after="0" w:line="242" w:lineRule="auto"/>
        <w:rPr>
          <w:sz w:val="20"/>
          <w:szCs w:val="20"/>
          <w:color w:val="auto"/>
        </w:rPr>
      </w:pPr>
      <w:r>
        <w:rPr>
          <w:rFonts w:ascii="Times New Roman" w:cs="Times New Roman" w:eastAsia="Times New Roman" w:hAnsi="Times New Roman"/>
          <w:sz w:val="20"/>
          <w:szCs w:val="20"/>
          <w:b w:val="1"/>
          <w:bCs w:val="1"/>
          <w:color w:val="auto"/>
        </w:rPr>
        <w:t>9.3 Indemnification Procedure</w:t>
      </w:r>
      <w:r>
        <w:rPr>
          <w:rFonts w:ascii="Times New Roman" w:cs="Times New Roman" w:eastAsia="Times New Roman" w:hAnsi="Times New Roman"/>
          <w:sz w:val="20"/>
          <w:szCs w:val="20"/>
          <w:color w:val="auto"/>
        </w:rPr>
        <w:t>. The indemnified party shall promptly notify the indemnifying party in writing of any 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which it intends to seek indemnification hereunder and cooperate reasonably with the indemnifying party at the indemnifying party’s sole cost and expense. The indemnifying party shall have the right, within thirty (20) days after being so notified, to assume the defense of any action with counsel of its choice that is reasonably satisfactory to the indemnified party. The indemnifying party shall not settle any action in a manner that adversely affects the rights of any indemnified party without the indemnified party’s prior written consent, which consent shall not be unreasonably withheld or delayed. The indemnified party’s failure to provide prompt notice to the indemnifying party of any action shall not relieve the indemnifying party of its obligations under this Section 9.3 except to the extent that the indemnifying party can demonstrate that it has been materially prejudiced as a result of the failure. Subject to the indemnifying party’s right to control the defense and settlement thereof, the indemnified party may participate in and observe the proceedings at its own cost and expense with counsel of its own choosing. A Party shall not be responsible for the indemnification or defense of the other Party to the extent arising from any negligent or intentional acts by such Party, or the breach by such Party of any representations, obligations or warranty under this Agreement, or any claims compromised or settled without prior written consent.</w:t>
      </w:r>
    </w:p>
    <w:p>
      <w:pPr>
        <w:spacing w:after="0" w:line="201"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9.4 Limitation of Liability. </w:t>
      </w:r>
      <w:r>
        <w:rPr>
          <w:rFonts w:ascii="Times New Roman" w:cs="Times New Roman" w:eastAsia="Times New Roman" w:hAnsi="Times New Roman"/>
          <w:sz w:val="20"/>
          <w:szCs w:val="20"/>
          <w:color w:val="auto"/>
        </w:rPr>
        <w:t>Except with respect to a breach of Section 10, or a Party’s liability pursuant to Section 9 or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7.2, neither Party shall be liable for special, incidental, consequential, exemplary, punitive, or other indirect or remote damages, or loss of profits, loss of data or loss of use damages arising in any way out of this Agreement or the exercise of its rights hereunder, whether based upon warranty, contract, tort, strict liability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27" w:name="page328"/>
    <w:bookmarkEnd w:id="327"/>
    <w:p>
      <w:pPr>
        <w:ind w:left="900" w:hanging="892"/>
        <w:spacing w:after="0"/>
        <w:tabs>
          <w:tab w:leader="none" w:pos="900" w:val="left"/>
        </w:tabs>
        <w:numPr>
          <w:ilvl w:val="0"/>
          <w:numId w:val="3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ONFIDENTIALITY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color w:val="auto"/>
        </w:rPr>
        <w:t>Non-Disclosure and Non-Use</w:t>
      </w:r>
      <w:r>
        <w:rPr>
          <w:rFonts w:ascii="Times New Roman" w:cs="Times New Roman" w:eastAsia="Times New Roman" w:hAnsi="Times New Roman"/>
          <w:sz w:val="19"/>
          <w:szCs w:val="19"/>
          <w:color w:val="auto"/>
        </w:rPr>
        <w:t>. Each Receiving Party shall:</w:t>
      </w:r>
    </w:p>
    <w:p>
      <w:pPr>
        <w:spacing w:after="0" w:line="233" w:lineRule="exact"/>
        <w:rPr>
          <w:sz w:val="20"/>
          <w:szCs w:val="20"/>
          <w:color w:val="auto"/>
        </w:rPr>
      </w:pPr>
    </w:p>
    <w:p>
      <w:pPr>
        <w:jc w:val="both"/>
        <w:ind w:firstLine="904"/>
        <w:spacing w:after="0" w:line="246" w:lineRule="auto"/>
        <w:tabs>
          <w:tab w:leader="none" w:pos="1775" w:val="left"/>
        </w:tabs>
        <w:numPr>
          <w:ilvl w:val="0"/>
          <w:numId w:val="3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disclose any Confidential Information of the Disclosing Party to any Person other than (i) Persons who have a “need to know” such information for purposes of the Receiving Party’s performance or exercise of rights under this Agreement, and (ii) any Affiliates or sublicensees (or potential sublicensees) of the Receiving Party or other Persons working on the Receiving Party’s behalf (including without limitation consultants, contract manufacturers, and independent contractors), provided that any such Person agrees to be bound by terms and conditions no less stringent than those set forth in this Section 10; and</w:t>
      </w:r>
    </w:p>
    <w:p>
      <w:pPr>
        <w:spacing w:after="0" w:line="198" w:lineRule="exact"/>
        <w:rPr>
          <w:rFonts w:ascii="Times New Roman" w:cs="Times New Roman" w:eastAsia="Times New Roman" w:hAnsi="Times New Roman"/>
          <w:sz w:val="20"/>
          <w:szCs w:val="20"/>
          <w:b w:val="1"/>
          <w:bCs w:val="1"/>
          <w:color w:val="auto"/>
        </w:rPr>
      </w:pPr>
    </w:p>
    <w:p>
      <w:pPr>
        <w:ind w:firstLine="904"/>
        <w:spacing w:after="0" w:line="269" w:lineRule="auto"/>
        <w:tabs>
          <w:tab w:leader="none" w:pos="1786" w:val="left"/>
        </w:tabs>
        <w:numPr>
          <w:ilvl w:val="0"/>
          <w:numId w:val="3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use any Confidential Information of the Disclosing Party for any purpose other than in connection with performing its obligations or exercising its rights under this Agreement.</w:t>
      </w:r>
    </w:p>
    <w:p>
      <w:pPr>
        <w:spacing w:after="0" w:line="169"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10.2 Disclosure Required by Applicable Law</w:t>
      </w:r>
      <w:r>
        <w:rPr>
          <w:rFonts w:ascii="Times New Roman" w:cs="Times New Roman" w:eastAsia="Times New Roman" w:hAnsi="Times New Roman"/>
          <w:sz w:val="20"/>
          <w:szCs w:val="20"/>
          <w:color w:val="auto"/>
        </w:rPr>
        <w:t>. Section 10.1 shall not apply to Confidential Information which the Receiving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is required by Applicable Law (including, without limitation, any reporting requirements arising under the federal securities laws or the regulations promulgated by any national securities exchange on which securities of the Receiving Party are traded), court order, or similar requirements to disclose, provided that the Receiving Party:</w:t>
      </w:r>
    </w:p>
    <w:p>
      <w:pPr>
        <w:spacing w:after="0" w:line="193" w:lineRule="exact"/>
        <w:rPr>
          <w:sz w:val="20"/>
          <w:szCs w:val="20"/>
          <w:color w:val="auto"/>
        </w:rPr>
      </w:pPr>
    </w:p>
    <w:p>
      <w:pPr>
        <w:jc w:val="both"/>
        <w:ind w:firstLine="904"/>
        <w:spacing w:after="0" w:line="249" w:lineRule="auto"/>
        <w:tabs>
          <w:tab w:leader="none" w:pos="1775" w:val="left"/>
        </w:tabs>
        <w:numPr>
          <w:ilvl w:val="0"/>
          <w:numId w:val="3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provides the Disclosing Party with prompt written notice thereof such that the Disclosing Party may seek a protective order or other appropriate remedy with respect to such Confidential Information, including, without limitation, confidential treatment to the extent available under any Applicable Law, and the Receiving Party shall provide the Disclosing Party with reasonable cooperation in order to obtain such a protective order or other remedy, including confidential treatment, and</w:t>
      </w:r>
    </w:p>
    <w:p>
      <w:pPr>
        <w:spacing w:after="0" w:line="193" w:lineRule="exact"/>
        <w:rPr>
          <w:rFonts w:ascii="Times New Roman" w:cs="Times New Roman" w:eastAsia="Times New Roman" w:hAnsi="Times New Roman"/>
          <w:sz w:val="20"/>
          <w:szCs w:val="20"/>
          <w:b w:val="1"/>
          <w:bCs w:val="1"/>
          <w:color w:val="auto"/>
        </w:rPr>
      </w:pPr>
    </w:p>
    <w:p>
      <w:pPr>
        <w:ind w:left="1800" w:hanging="896"/>
        <w:spacing w:after="0"/>
        <w:tabs>
          <w:tab w:leader="none" w:pos="1800" w:val="left"/>
        </w:tabs>
        <w:numPr>
          <w:ilvl w:val="0"/>
          <w:numId w:val="3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discloses only that portion of the Confidential Information that is legally compelled to disclose.</w:t>
      </w:r>
    </w:p>
    <w:p>
      <w:pPr>
        <w:spacing w:after="0" w:line="225" w:lineRule="exact"/>
        <w:rPr>
          <w:sz w:val="20"/>
          <w:szCs w:val="20"/>
          <w:color w:val="auto"/>
        </w:rPr>
      </w:pPr>
    </w:p>
    <w:p>
      <w:pPr>
        <w:jc w:val="both"/>
        <w:ind w:firstLine="448"/>
        <w:spacing w:after="0" w:line="245" w:lineRule="auto"/>
        <w:rPr>
          <w:sz w:val="20"/>
          <w:szCs w:val="20"/>
          <w:color w:val="auto"/>
        </w:rPr>
      </w:pPr>
      <w:r>
        <w:rPr>
          <w:rFonts w:ascii="Times New Roman" w:cs="Times New Roman" w:eastAsia="Times New Roman" w:hAnsi="Times New Roman"/>
          <w:sz w:val="20"/>
          <w:szCs w:val="20"/>
          <w:b w:val="1"/>
          <w:bCs w:val="1"/>
          <w:color w:val="auto"/>
        </w:rPr>
        <w:t>10.3 Permitted Disclosures</w:t>
      </w:r>
      <w:r>
        <w:rPr>
          <w:rFonts w:ascii="Times New Roman" w:cs="Times New Roman" w:eastAsia="Times New Roman" w:hAnsi="Times New Roman"/>
          <w:sz w:val="20"/>
          <w:szCs w:val="20"/>
          <w:color w:val="auto"/>
        </w:rPr>
        <w:t>. Section 10.1 shall not prevent either Party from (a) preparing, filing, prosecuting, defending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maintaining Licensed Patents, (b) disclosing Confidential Information to Regulatory Authorities to the extent the Receiving Party reasonably believes it is required or desirable in connection with clinical testing of any Licensed Product or to secure Regulatory Approval for the development or marketing of any Licensed Product, (c) disclosing Confidential Information to the extent required by the Securities and Exchange Commission or applicable tax authorities, (d) disclosure to a Third Party in connection with due diligence by such Third Party, and disclosure to potential Third Party investors in confidential financing documents, provided that any such Third Party agrees to be bound by reasonable obligations of confidentiality and non-use, to the extent possible.</w:t>
      </w:r>
    </w:p>
    <w:p>
      <w:pPr>
        <w:spacing w:after="0" w:line="193" w:lineRule="exact"/>
        <w:rPr>
          <w:sz w:val="20"/>
          <w:szCs w:val="20"/>
          <w:color w:val="auto"/>
        </w:rPr>
      </w:pPr>
    </w:p>
    <w:p>
      <w:pPr>
        <w:ind w:left="900" w:hanging="892"/>
        <w:spacing w:after="0"/>
        <w:tabs>
          <w:tab w:leader="none" w:pos="900"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11.1 Term; Expiration</w:t>
      </w:r>
      <w:r>
        <w:rPr>
          <w:rFonts w:ascii="Times New Roman" w:cs="Times New Roman" w:eastAsia="Times New Roman" w:hAnsi="Times New Roman"/>
          <w:sz w:val="20"/>
          <w:szCs w:val="20"/>
          <w:color w:val="auto"/>
        </w:rPr>
        <w:t>. This Agreement shall commence on the Effective Date and, unless sooner terminated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hereunder, shall expire on a Licensed Product-by-Licensed Product and country-by-country basis upon the expiration of the Royalty Term with respect to such Licensed Product in such country. Following such expiration of the Royalty Term, the license granted by Elanco to Tarsus in Section 2.1 with respect to such Licensed Product in such country shall become fully-paid, royalty-free, worldwide, exclusive, and perpetual.</w:t>
      </w:r>
    </w:p>
    <w:p>
      <w:pPr>
        <w:spacing w:after="0" w:line="194" w:lineRule="exact"/>
        <w:rPr>
          <w:sz w:val="20"/>
          <w:szCs w:val="20"/>
          <w:color w:val="auto"/>
        </w:rPr>
      </w:pPr>
    </w:p>
    <w:p>
      <w:pPr>
        <w:ind w:left="460"/>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19"/>
          <w:szCs w:val="19"/>
          <w:b w:val="1"/>
          <w:bCs w:val="1"/>
          <w:color w:val="auto"/>
        </w:rPr>
        <w:t>Termination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right="20" w:firstLine="904"/>
        <w:spacing w:after="0" w:line="269" w:lineRule="auto"/>
        <w:tabs>
          <w:tab w:leader="none" w:pos="1775" w:val="left"/>
        </w:tabs>
        <w:numPr>
          <w:ilvl w:val="0"/>
          <w:numId w:val="3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any material breach or default of this Agreement by a Party, the other Party shall have the right to terminate this Agreement upon giving sixty (60) days’ prior written notice thereof 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28" w:name="page329"/>
    <w:bookmarkEnd w:id="328"/>
    <w:p>
      <w:pPr>
        <w:jc w:val="both"/>
        <w:spacing w:after="0" w:line="245" w:lineRule="auto"/>
        <w:rPr>
          <w:sz w:val="20"/>
          <w:szCs w:val="20"/>
          <w:color w:val="auto"/>
        </w:rPr>
      </w:pPr>
      <w:r>
        <w:rPr>
          <w:rFonts w:ascii="Times New Roman" w:cs="Times New Roman" w:eastAsia="Times New Roman" w:hAnsi="Times New Roman"/>
          <w:sz w:val="20"/>
          <w:szCs w:val="20"/>
          <w:color w:val="auto"/>
        </w:rPr>
        <w:t>the breaching Party. Such termination shall become effective thirty (30) days after at the end of such sixty (60) day period unless the breaching Party shall have cured any such breach or default prior to the expiration of such sixty (60) day period; or if such breach cannot be reasonably cured within sixty (60) days, but the breaching Party has commenced reasonable actions to cure such breach, then such longer period as may be required to cure such breach provided that the breaching Party continues to diligently cure such breach. If the material breach or default by the breaching Party applies only to a given country, the other Party may only terminate this Agreement with respect to such country and thereafter the Territory shall no longer include the country in which such termination has occurred.</w:t>
      </w:r>
    </w:p>
    <w:p>
      <w:pPr>
        <w:spacing w:after="0" w:line="198" w:lineRule="exact"/>
        <w:rPr>
          <w:sz w:val="20"/>
          <w:szCs w:val="20"/>
          <w:color w:val="auto"/>
        </w:rPr>
      </w:pPr>
    </w:p>
    <w:p>
      <w:pPr>
        <w:jc w:val="both"/>
        <w:ind w:firstLine="904"/>
        <w:spacing w:after="0" w:line="243" w:lineRule="auto"/>
        <w:tabs>
          <w:tab w:leader="none" w:pos="1786" w:val="left"/>
        </w:tabs>
        <w:numPr>
          <w:ilvl w:val="0"/>
          <w:numId w:val="3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such termination by a Party pursuant to Section 11.2(a) shall be effective prior to the resolution of any dispute with respect to the occurrence of any material breach of or default under this Agreement as to which such Party seeks to exercise such right of termination. If as a result of such dispute resolution process it is determined that a Party’s notice of breach was proper, then such notice shall be deemed to have been effective if the breaching Party fails thereafter to cure such breach in accordance with the determination made in the resolution process within the applicable cure period following such determination. If as a result of such dispute resolution process it is determined that the notice of breach was improper, then no such notice shall be deemed to have been effective and this Agreement shall remain in effect. All of the terms and conditions of this Agreement shall remain in full force and effect during the pendency of such dispute resolution process.</w:t>
      </w:r>
    </w:p>
    <w:p>
      <w:pPr>
        <w:spacing w:after="0" w:line="202" w:lineRule="exact"/>
        <w:rPr>
          <w:rFonts w:ascii="Times New Roman" w:cs="Times New Roman" w:eastAsia="Times New Roman" w:hAnsi="Times New Roman"/>
          <w:sz w:val="20"/>
          <w:szCs w:val="20"/>
          <w:b w:val="1"/>
          <w:bCs w:val="1"/>
          <w:color w:val="auto"/>
        </w:rPr>
      </w:pPr>
    </w:p>
    <w:p>
      <w:pPr>
        <w:jc w:val="both"/>
        <w:ind w:firstLine="904"/>
        <w:spacing w:after="0" w:line="254" w:lineRule="auto"/>
        <w:tabs>
          <w:tab w:leader="none" w:pos="1764" w:val="left"/>
        </w:tabs>
        <w:numPr>
          <w:ilvl w:val="0"/>
          <w:numId w:val="3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Tarsus may terminate this Agreement immediately upon notice to Elanco within thirty (30) business days after the Effective Date if, in Tarsus’s reasonable discretion, the Regulatory Materials reveal any fact that would adversely affect the development and/or regulatory approval of a Licensed Product in any way.</w:t>
      </w:r>
    </w:p>
    <w:p>
      <w:pPr>
        <w:spacing w:after="0" w:line="187" w:lineRule="exact"/>
        <w:rPr>
          <w:rFonts w:ascii="Times New Roman" w:cs="Times New Roman" w:eastAsia="Times New Roman" w:hAnsi="Times New Roman"/>
          <w:sz w:val="20"/>
          <w:szCs w:val="20"/>
          <w:b w:val="1"/>
          <w:bCs w:val="1"/>
          <w:color w:val="auto"/>
        </w:rPr>
      </w:pPr>
    </w:p>
    <w:p>
      <w:pPr>
        <w:jc w:val="both"/>
        <w:ind w:firstLine="904"/>
        <w:spacing w:after="0" w:line="243" w:lineRule="auto"/>
        <w:tabs>
          <w:tab w:leader="none" w:pos="1786" w:val="left"/>
        </w:tabs>
        <w:numPr>
          <w:ilvl w:val="0"/>
          <w:numId w:val="3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Tarsus or any of its Affiliates or sublicensees, directly or indirectly, (i) initiates or requests an interference or opposition proceeding with respect to any Licensed Patents; (ii) makes, files or maintains any claim, demand, lawsuit, or cause of action to challenge the validity or enforceability of any Licensed Patents; or (iii) opposes any extension of, or the grant of a supplementary protection certificate with respect to, any Licensed Patents (any of (i) – (iii) a “Challenge”), Elanco shall have the right to terminate this Agreement upon thirty (30) days written notice to Tarsus. Any such termination shall only become effective if Tarsus or its Affiliate or sublicensee, as applicable, has not withdrawn such action before the end of the above notice period. Notwithstanding the foregoing, Elanco may not terminate this Agreement for a direct or indirect Challenge made by a sublicensee if Tarsus terminates the sublicense to such sublicensee within thirty (30) days after Elanco notifies Tarsus of such Challenge.</w:t>
      </w:r>
    </w:p>
    <w:p>
      <w:pPr>
        <w:spacing w:after="0" w:line="202" w:lineRule="exact"/>
        <w:rPr>
          <w:rFonts w:ascii="Times New Roman" w:cs="Times New Roman" w:eastAsia="Times New Roman" w:hAnsi="Times New Roman"/>
          <w:sz w:val="20"/>
          <w:szCs w:val="20"/>
          <w:b w:val="1"/>
          <w:bCs w:val="1"/>
          <w:color w:val="auto"/>
        </w:rPr>
      </w:pPr>
    </w:p>
    <w:p>
      <w:pPr>
        <w:ind w:left="1780" w:hanging="876"/>
        <w:spacing w:after="0"/>
        <w:tabs>
          <w:tab w:leader="none" w:pos="1780" w:val="left"/>
        </w:tabs>
        <w:numPr>
          <w:ilvl w:val="0"/>
          <w:numId w:val="3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Tarsus may terminate this Agreement for any or no reason upon thirty (30) days’ notice.</w:t>
      </w:r>
    </w:p>
    <w:p>
      <w:pPr>
        <w:spacing w:after="0" w:line="225" w:lineRule="exact"/>
        <w:rPr>
          <w:sz w:val="20"/>
          <w:szCs w:val="20"/>
          <w:color w:val="auto"/>
        </w:rPr>
      </w:pPr>
    </w:p>
    <w:p>
      <w:pPr>
        <w:ind w:left="460"/>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19"/>
          <w:szCs w:val="19"/>
          <w:b w:val="1"/>
          <w:bCs w:val="1"/>
          <w:color w:val="auto"/>
        </w:rPr>
        <w:t>Effect of Expiration or Termination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right="20" w:firstLine="904"/>
        <w:spacing w:after="0" w:line="269" w:lineRule="auto"/>
        <w:tabs>
          <w:tab w:leader="none" w:pos="1775"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termination of this Agreement for any reason, the license (and sublicense) granted to Tarsus under Section 2.1 shall terminate in full with respect to the country(ies) and Licensed Product(s) which are the subject of such termination.</w:t>
      </w:r>
    </w:p>
    <w:p>
      <w:pPr>
        <w:spacing w:after="0" w:line="172" w:lineRule="exact"/>
        <w:rPr>
          <w:rFonts w:ascii="Times New Roman" w:cs="Times New Roman" w:eastAsia="Times New Roman" w:hAnsi="Times New Roman"/>
          <w:sz w:val="20"/>
          <w:szCs w:val="20"/>
          <w:b w:val="1"/>
          <w:bCs w:val="1"/>
          <w:color w:val="auto"/>
        </w:rPr>
      </w:pPr>
    </w:p>
    <w:p>
      <w:pPr>
        <w:jc w:val="both"/>
        <w:ind w:firstLine="904"/>
        <w:spacing w:after="0" w:line="249" w:lineRule="auto"/>
        <w:tabs>
          <w:tab w:leader="none" w:pos="1786"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subsection (a) above, Tarsus, its Affiliates and/or any sublicensee thereof may elect to sell all finished Licensed Products and any Licensed Products in the process of manufacture at the time of such termination for a period not to exceed [***] months after such termination, provided that Tarsus shall pay or cause to be paid to Elanco all royalty payments in accordance with Section 6.3 with respect thereto.</w:t>
      </w:r>
    </w:p>
    <w:p>
      <w:pPr>
        <w:spacing w:after="0" w:line="193" w:lineRule="exact"/>
        <w:rPr>
          <w:rFonts w:ascii="Times New Roman" w:cs="Times New Roman" w:eastAsia="Times New Roman" w:hAnsi="Times New Roman"/>
          <w:sz w:val="20"/>
          <w:szCs w:val="20"/>
          <w:b w:val="1"/>
          <w:bCs w:val="1"/>
          <w:color w:val="auto"/>
        </w:rPr>
      </w:pPr>
    </w:p>
    <w:p>
      <w:pPr>
        <w:jc w:val="both"/>
        <w:ind w:firstLine="904"/>
        <w:spacing w:after="0" w:line="254" w:lineRule="auto"/>
        <w:tabs>
          <w:tab w:leader="none" w:pos="1764"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termination of this Agreement for any reason and following any request by the relevant sublicensee (provided that such sublicensee is then in compliance with the applicable terms of this Agreement in all material respects), any sublicense of the Licensed IP shall become a direct license between such sublicensee and Elanco (but shall not obligate Elanco beyond the terms of this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9" w:name="page330"/>
    <w:bookmarkEnd w:id="329"/>
    <w:p>
      <w:pPr>
        <w:spacing w:after="0" w:line="269" w:lineRule="auto"/>
        <w:rPr>
          <w:sz w:val="20"/>
          <w:szCs w:val="20"/>
          <w:color w:val="auto"/>
        </w:rPr>
      </w:pPr>
      <w:r>
        <w:rPr>
          <w:rFonts w:ascii="Times New Roman" w:cs="Times New Roman" w:eastAsia="Times New Roman" w:hAnsi="Times New Roman"/>
          <w:sz w:val="20"/>
          <w:szCs w:val="20"/>
          <w:color w:val="auto"/>
        </w:rPr>
        <w:t>Agreement) and such sublicensee shall assume all of Tarsus’s payment obligations to Elanco under this Agreement with respect to such sublicensee’s activities (and those of its Affiliates and sublicensees).</w:t>
      </w:r>
    </w:p>
    <w:p>
      <w:pPr>
        <w:spacing w:after="0" w:line="173" w:lineRule="exact"/>
        <w:rPr>
          <w:sz w:val="20"/>
          <w:szCs w:val="20"/>
          <w:color w:val="auto"/>
        </w:rPr>
      </w:pPr>
    </w:p>
    <w:p>
      <w:pPr>
        <w:jc w:val="both"/>
        <w:ind w:firstLine="904"/>
        <w:spacing w:after="0" w:line="244" w:lineRule="auto"/>
        <w:tabs>
          <w:tab w:leader="none" w:pos="1786" w:val="left"/>
        </w:tabs>
        <w:numPr>
          <w:ilvl w:val="1"/>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Termination or expiration of this Agreement for any reason shall be without prejudice to any rights that shall have accrued to the benefit of either Party prior to such termination or expiration. Additionally, the following terms shall survive termination or expiration of this Agreement: Sections 2.2 (unless terminated by Tarsus pursuant to Section 11.2(a)), 6.6, 6.7, 9, 10, 11, and 13. Termination or expiration of this Agreement shall not affect or prejudice any right of either Party to receive payments due hereunder or for which the event giving rise to such payment obligation has occurred prior the effectiveness of such termination or expiration or preclude or hinder the terminating Party from also bringing, amending or pursuing an action against the other Party for damages and all other available legal and equitable remedies.</w:t>
      </w:r>
    </w:p>
    <w:p>
      <w:pPr>
        <w:spacing w:after="0" w:line="199" w:lineRule="exact"/>
        <w:rPr>
          <w:rFonts w:ascii="Times New Roman" w:cs="Times New Roman" w:eastAsia="Times New Roman" w:hAnsi="Times New Roman"/>
          <w:sz w:val="20"/>
          <w:szCs w:val="20"/>
          <w:b w:val="1"/>
          <w:bCs w:val="1"/>
          <w:color w:val="auto"/>
        </w:rPr>
      </w:pPr>
    </w:p>
    <w:p>
      <w:pPr>
        <w:jc w:val="both"/>
        <w:ind w:firstLine="904"/>
        <w:spacing w:after="0" w:line="245" w:lineRule="auto"/>
        <w:tabs>
          <w:tab w:leader="none" w:pos="1764" w:val="left"/>
        </w:tabs>
        <w:numPr>
          <w:ilvl w:val="1"/>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termination of this Agreement by Elanco under Section 4.4 (a) or Section 11.2 (a) Tarsus shall as soon as reasonably practicable provide Elanco with copies of all documented technical and other information Controlled by Tarsus that is both: (i) specific to preclinical documentation and technical information with respect to a Licensed Product; and (ii) which are necessary for the development, manufacture and commercialization of the Licensed Product. Notwithstanding the foregoing, Tarsus shall have no obligation to provide any Regulatory Materials or clinical information or data and Elanco shall have no right to (and shall not) reference any Regulatory Materials of Tarsus after such termination.</w:t>
      </w:r>
    </w:p>
    <w:p>
      <w:pPr>
        <w:spacing w:after="0" w:line="197" w:lineRule="exact"/>
        <w:rPr>
          <w:rFonts w:ascii="Times New Roman" w:cs="Times New Roman" w:eastAsia="Times New Roman" w:hAnsi="Times New Roman"/>
          <w:sz w:val="20"/>
          <w:szCs w:val="20"/>
          <w:b w:val="1"/>
          <w:bCs w:val="1"/>
          <w:color w:val="auto"/>
        </w:rPr>
      </w:pPr>
    </w:p>
    <w:p>
      <w:pPr>
        <w:ind w:firstLine="904"/>
        <w:spacing w:after="0" w:line="269" w:lineRule="auto"/>
        <w:tabs>
          <w:tab w:leader="none" w:pos="1742" w:val="left"/>
        </w:tabs>
        <w:numPr>
          <w:ilvl w:val="1"/>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termination of this Agreement by Elanco under Section 4.4(a) or Section 11.2(a) or Section 11.2(d), Tarsus shall promptly return all Confidential Information of Elanco.</w:t>
      </w:r>
    </w:p>
    <w:p>
      <w:pPr>
        <w:spacing w:after="0" w:line="168" w:lineRule="exact"/>
        <w:rPr>
          <w:rFonts w:ascii="Times New Roman" w:cs="Times New Roman" w:eastAsia="Times New Roman" w:hAnsi="Times New Roman"/>
          <w:sz w:val="20"/>
          <w:szCs w:val="20"/>
          <w:b w:val="1"/>
          <w:bCs w:val="1"/>
          <w:color w:val="auto"/>
        </w:rPr>
      </w:pPr>
    </w:p>
    <w:p>
      <w:pPr>
        <w:ind w:left="900" w:hanging="892"/>
        <w:spacing w:after="0"/>
        <w:tabs>
          <w:tab w:leader="none" w:pos="900" w:val="left"/>
        </w:tabs>
        <w:numPr>
          <w:ilvl w:val="0"/>
          <w:numId w:val="3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EPRESENTATIONS AND</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ARRANTIES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12.1</w:t>
      </w:r>
      <w:r>
        <w:rPr>
          <w:sz w:val="20"/>
          <w:szCs w:val="20"/>
          <w:color w:val="auto"/>
        </w:rPr>
        <w:tab/>
      </w:r>
      <w:r>
        <w:rPr>
          <w:rFonts w:ascii="Times New Roman" w:cs="Times New Roman" w:eastAsia="Times New Roman" w:hAnsi="Times New Roman"/>
          <w:sz w:val="19"/>
          <w:szCs w:val="19"/>
          <w:b w:val="1"/>
          <w:bCs w:val="1"/>
          <w:color w:val="auto"/>
        </w:rPr>
        <w:t>Mutual Representations and Warranties</w:t>
      </w:r>
      <w:r>
        <w:rPr>
          <w:rFonts w:ascii="Times New Roman" w:cs="Times New Roman" w:eastAsia="Times New Roman" w:hAnsi="Times New Roman"/>
          <w:sz w:val="19"/>
          <w:szCs w:val="19"/>
          <w:color w:val="auto"/>
        </w:rPr>
        <w:t>. Each Party hereby represents and warrants to the other Party as follows:</w:t>
      </w:r>
    </w:p>
    <w:p>
      <w:pPr>
        <w:spacing w:after="0" w:line="233" w:lineRule="exact"/>
        <w:rPr>
          <w:sz w:val="20"/>
          <w:szCs w:val="20"/>
          <w:color w:val="auto"/>
        </w:rPr>
      </w:pPr>
    </w:p>
    <w:p>
      <w:pPr>
        <w:jc w:val="both"/>
        <w:ind w:firstLine="904"/>
        <w:spacing w:after="0" w:line="249" w:lineRule="auto"/>
        <w:tabs>
          <w:tab w:leader="none" w:pos="1775" w:val="left"/>
        </w:tabs>
        <w:numPr>
          <w:ilvl w:val="0"/>
          <w:numId w:val="3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Corporate Existence and Power</w:t>
      </w:r>
      <w:r>
        <w:rPr>
          <w:rFonts w:ascii="Times New Roman" w:cs="Times New Roman" w:eastAsia="Times New Roman" w:hAnsi="Times New Roman"/>
          <w:sz w:val="20"/>
          <w:szCs w:val="20"/>
          <w:color w:val="auto"/>
        </w:rPr>
        <w:t>. 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193" w:lineRule="exact"/>
        <w:rPr>
          <w:rFonts w:ascii="Times New Roman" w:cs="Times New Roman" w:eastAsia="Times New Roman" w:hAnsi="Times New Roman"/>
          <w:sz w:val="20"/>
          <w:szCs w:val="20"/>
          <w:b w:val="1"/>
          <w:bCs w:val="1"/>
          <w:color w:val="auto"/>
        </w:rPr>
      </w:pPr>
    </w:p>
    <w:p>
      <w:pPr>
        <w:jc w:val="both"/>
        <w:ind w:firstLine="904"/>
        <w:spacing w:after="0" w:line="246" w:lineRule="auto"/>
        <w:tabs>
          <w:tab w:leader="none" w:pos="1786" w:val="left"/>
        </w:tabs>
        <w:numPr>
          <w:ilvl w:val="0"/>
          <w:numId w:val="3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Authority and Binding Agreement</w:t>
      </w:r>
      <w:r>
        <w:rPr>
          <w:rFonts w:ascii="Times New Roman" w:cs="Times New Roman" w:eastAsia="Times New Roman" w:hAnsi="Times New Roman"/>
          <w:sz w:val="20"/>
          <w:szCs w:val="20"/>
          <w:color w:val="auto"/>
        </w:rPr>
        <w:t>. As of the Effective Date, (i) it has the corporate power and authority and the legal right to enter into this Agreement and perform its obligations hereunder; (ii) it has taken all necessary corporate action on its part required to authorize the execution and delivery of the Agreement and the performance of its obligations hereunder; and (iii) the Agreement has been duly executed and delivered on behalf of such Party, and constitutes a legal, valid, and binding obligation of such Party that is enforceable against it in accordance with its terms.</w:t>
      </w:r>
    </w:p>
    <w:p>
      <w:pPr>
        <w:spacing w:after="0" w:line="198" w:lineRule="exact"/>
        <w:rPr>
          <w:rFonts w:ascii="Times New Roman" w:cs="Times New Roman" w:eastAsia="Times New Roman" w:hAnsi="Times New Roman"/>
          <w:sz w:val="20"/>
          <w:szCs w:val="20"/>
          <w:b w:val="1"/>
          <w:bCs w:val="1"/>
          <w:color w:val="auto"/>
        </w:rPr>
      </w:pPr>
    </w:p>
    <w:p>
      <w:pPr>
        <w:ind w:firstLine="904"/>
        <w:spacing w:after="0" w:line="269" w:lineRule="auto"/>
        <w:tabs>
          <w:tab w:leader="none" w:pos="1764" w:val="left"/>
        </w:tabs>
        <w:numPr>
          <w:ilvl w:val="0"/>
          <w:numId w:val="3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 It is not a party to any agreement that would materially prevent it from granting the rights granted to the other Party under this Agreement or performing its obligations under the Agreement.</w:t>
      </w:r>
    </w:p>
    <w:p>
      <w:pPr>
        <w:spacing w:after="0" w:line="169" w:lineRule="exact"/>
        <w:rPr>
          <w:sz w:val="20"/>
          <w:szCs w:val="20"/>
          <w:color w:val="auto"/>
        </w:rPr>
      </w:pPr>
    </w:p>
    <w:p>
      <w:pPr>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12.2 Additional Representations and Warranties of Elanco</w:t>
      </w:r>
      <w:r>
        <w:rPr>
          <w:rFonts w:ascii="Times New Roman" w:cs="Times New Roman" w:eastAsia="Times New Roman" w:hAnsi="Times New Roman"/>
          <w:sz w:val="20"/>
          <w:szCs w:val="20"/>
          <w:color w:val="auto"/>
        </w:rPr>
        <w:t>. Elanco represents and warrants to Tarsus as of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that:</w:t>
      </w:r>
    </w:p>
    <w:p>
      <w:pPr>
        <w:spacing w:after="0" w:line="200" w:lineRule="exact"/>
        <w:rPr>
          <w:sz w:val="20"/>
          <w:szCs w:val="20"/>
          <w:color w:val="auto"/>
        </w:rPr>
      </w:pPr>
    </w:p>
    <w:p>
      <w:pPr>
        <w:spacing w:after="0" w:line="247" w:lineRule="exact"/>
        <w:rPr>
          <w:sz w:val="20"/>
          <w:szCs w:val="20"/>
          <w:color w:val="auto"/>
        </w:rPr>
      </w:pPr>
    </w:p>
    <w:p>
      <w:pPr>
        <w:ind w:right="20" w:firstLine="904"/>
        <w:spacing w:after="0" w:line="269" w:lineRule="auto"/>
        <w:tabs>
          <w:tab w:leader="none" w:pos="1775" w:val="left"/>
        </w:tabs>
        <w:numPr>
          <w:ilvl w:val="0"/>
          <w:numId w:val="3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has all rights under the Licensed IP to grant the licenses to Tarsus as purported to be granted pursuant to this Agreement (including, without limitation, without any payment to any Third Party);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0" w:name="page331"/>
    <w:bookmarkEnd w:id="330"/>
    <w:p>
      <w:pPr>
        <w:jc w:val="both"/>
        <w:ind w:firstLine="904"/>
        <w:spacing w:after="0" w:line="254" w:lineRule="auto"/>
        <w:tabs>
          <w:tab w:leader="none" w:pos="1786"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has not received any written notice from any Third Party asserting or alleging that any research or development of any Licensed Product by or on behalf of Elanco prior to the Effective Date infringed or misappropriated the intellectual property rights of such Third Party;</w:t>
      </w:r>
    </w:p>
    <w:p>
      <w:pPr>
        <w:spacing w:after="0" w:line="187" w:lineRule="exact"/>
        <w:rPr>
          <w:rFonts w:ascii="Times New Roman" w:cs="Times New Roman" w:eastAsia="Times New Roman" w:hAnsi="Times New Roman"/>
          <w:sz w:val="20"/>
          <w:szCs w:val="20"/>
          <w:b w:val="1"/>
          <w:bCs w:val="1"/>
          <w:color w:val="auto"/>
        </w:rPr>
      </w:pPr>
    </w:p>
    <w:p>
      <w:pPr>
        <w:jc w:val="both"/>
        <w:ind w:firstLine="904"/>
        <w:spacing w:after="0" w:line="254" w:lineRule="auto"/>
        <w:tabs>
          <w:tab w:leader="none" w:pos="1764"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are no actual, pending, alleged or, to Elanco’s knowledge, threatened adverse actions, suits, claims, interferences or formal governmental investigations involving the Licensed Products and/or the Licensed IP by or against Elanco in or before any court or governmental authority;</w:t>
      </w:r>
    </w:p>
    <w:p>
      <w:pPr>
        <w:spacing w:after="0" w:line="187" w:lineRule="exact"/>
        <w:rPr>
          <w:rFonts w:ascii="Times New Roman" w:cs="Times New Roman" w:eastAsia="Times New Roman" w:hAnsi="Times New Roman"/>
          <w:sz w:val="20"/>
          <w:szCs w:val="20"/>
          <w:b w:val="1"/>
          <w:bCs w:val="1"/>
          <w:color w:val="auto"/>
        </w:rPr>
      </w:pPr>
    </w:p>
    <w:p>
      <w:pPr>
        <w:jc w:val="both"/>
        <w:ind w:firstLine="904"/>
        <w:spacing w:after="0" w:line="254" w:lineRule="auto"/>
        <w:tabs>
          <w:tab w:leader="none" w:pos="1786"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are no patents or patent applications Controlled by Elanco or its Affiliates, other than the Licensed Patents, that would prevent Tarsus or its Affiliates or sublicensees from developing, manufacturing and/or commercializing Licensed Products as set forth herein or from exploiting the rights granted under Section 2.1; and</w:t>
      </w:r>
    </w:p>
    <w:p>
      <w:pPr>
        <w:spacing w:after="0" w:line="187" w:lineRule="exact"/>
        <w:rPr>
          <w:rFonts w:ascii="Times New Roman" w:cs="Times New Roman" w:eastAsia="Times New Roman" w:hAnsi="Times New Roman"/>
          <w:sz w:val="20"/>
          <w:szCs w:val="20"/>
          <w:b w:val="1"/>
          <w:bCs w:val="1"/>
          <w:color w:val="auto"/>
        </w:rPr>
      </w:pPr>
    </w:p>
    <w:p>
      <w:pPr>
        <w:ind w:left="1820" w:hanging="916"/>
        <w:spacing w:after="0"/>
        <w:tabs>
          <w:tab w:leader="none" w:pos="1820"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Licensed Patents cover the Compound.</w:t>
      </w:r>
    </w:p>
    <w:p>
      <w:pPr>
        <w:spacing w:after="0" w:line="212"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19"/>
          <w:szCs w:val="19"/>
          <w:u w:val="single" w:color="auto"/>
          <w:color w:val="auto"/>
        </w:rPr>
        <w:t>Additional Representations, Warranties and Covenants of Tarsus.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Tarsus represents, warrants and covenants that:</w:t>
      </w:r>
    </w:p>
    <w:p>
      <w:pPr>
        <w:spacing w:after="0" w:line="229" w:lineRule="exact"/>
        <w:rPr>
          <w:sz w:val="20"/>
          <w:szCs w:val="20"/>
          <w:color w:val="auto"/>
        </w:rPr>
      </w:pPr>
    </w:p>
    <w:p>
      <w:pPr>
        <w:jc w:val="both"/>
        <w:ind w:firstLine="904"/>
        <w:spacing w:after="0" w:line="249" w:lineRule="auto"/>
        <w:tabs>
          <w:tab w:leader="none" w:pos="1775"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its knowledge, no employee, consultant, contractor, agent, or other representative performing services under this Agreement or any agreement between Tarsus and any other Party contracted by Tarsus to perform work hereunder has been debarred or disqualified, or is under investigation for being debarred or disqualified by the FDA, EMEA, or other regulatory authority. Tarsus agrees to promptly notify Elanco if it learns of any such action; and</w:t>
      </w:r>
    </w:p>
    <w:p>
      <w:pPr>
        <w:spacing w:after="0" w:line="193" w:lineRule="exact"/>
        <w:rPr>
          <w:rFonts w:ascii="Times New Roman" w:cs="Times New Roman" w:eastAsia="Times New Roman" w:hAnsi="Times New Roman"/>
          <w:sz w:val="20"/>
          <w:szCs w:val="20"/>
          <w:b w:val="1"/>
          <w:bCs w:val="1"/>
          <w:color w:val="auto"/>
        </w:rPr>
      </w:pPr>
    </w:p>
    <w:p>
      <w:pPr>
        <w:jc w:val="both"/>
        <w:ind w:firstLine="904"/>
        <w:spacing w:after="0" w:line="254" w:lineRule="auto"/>
        <w:tabs>
          <w:tab w:leader="none" w:pos="1786"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of the Effective Date, it has (or reasonably believes it can obtain or contract third parties to provide) the capability, resources, and expertise to fulfill its obligations under this Agreement in compliance with Applicable Law to the extent such capability, resources, and expertise would reasonably be possessed by a company in a similar stage of financing and development as Tarsus.</w:t>
      </w:r>
    </w:p>
    <w:p>
      <w:pPr>
        <w:spacing w:after="0" w:line="184" w:lineRule="exact"/>
        <w:rPr>
          <w:sz w:val="20"/>
          <w:szCs w:val="20"/>
          <w:color w:val="auto"/>
        </w:rPr>
      </w:pPr>
    </w:p>
    <w:p>
      <w:pPr>
        <w:jc w:val="both"/>
        <w:ind w:firstLine="448"/>
        <w:spacing w:after="0" w:line="246" w:lineRule="auto"/>
        <w:rPr>
          <w:sz w:val="20"/>
          <w:szCs w:val="20"/>
          <w:color w:val="auto"/>
        </w:rPr>
      </w:pPr>
      <w:r>
        <w:rPr>
          <w:rFonts w:ascii="Times New Roman" w:cs="Times New Roman" w:eastAsia="Times New Roman" w:hAnsi="Times New Roman"/>
          <w:sz w:val="20"/>
          <w:szCs w:val="20"/>
          <w:b w:val="1"/>
          <w:bCs w:val="1"/>
          <w:color w:val="auto"/>
        </w:rPr>
        <w:t>12.4 No Other Representations or Warranties</w:t>
      </w:r>
      <w:r>
        <w:rPr>
          <w:rFonts w:ascii="Times New Roman" w:cs="Times New Roman" w:eastAsia="Times New Roman" w:hAnsi="Times New Roman"/>
          <w:sz w:val="20"/>
          <w:szCs w:val="20"/>
          <w:color w:val="auto"/>
        </w:rPr>
        <w:t>. EXCEPT AS EXPRESSLY STATED IN THIS ARTICLE 12,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OR WARRANTIES WHATSOEVER, WHETHER EXPRESS OR IMPLIED, INCLUDING, WITHOUT LIMITATION, WARRANTIES OF MERCHANTABILITY, FITNESS FOR A PARTICULAR PURPOSE, NON-INFRINGEMENT, OR NON-MISAPPROPRIATION OF THIRD PARTY INTELLECTUAL PROPERTY RIGHTS, IS MADE OR GIVEN BY OR ON BEHALF OF EITHER PARTY. ALL OTHER REPRESENTATIONS AND WARRANTIES, WHETHER ARISING BY OPERATION OF LAW OR OTHERWISE, ARE HEREBY EXPRESSLY EXCLUDED.</w:t>
      </w:r>
    </w:p>
    <w:p>
      <w:pPr>
        <w:spacing w:after="0" w:line="192" w:lineRule="exact"/>
        <w:rPr>
          <w:sz w:val="20"/>
          <w:szCs w:val="20"/>
          <w:color w:val="auto"/>
        </w:rPr>
      </w:pPr>
    </w:p>
    <w:p>
      <w:pPr>
        <w:ind w:left="900" w:hanging="892"/>
        <w:spacing w:after="0"/>
        <w:tabs>
          <w:tab w:leader="none" w:pos="900" w:val="left"/>
        </w:tabs>
        <w:numPr>
          <w:ilvl w:val="0"/>
          <w:numId w:val="3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448"/>
        <w:spacing w:after="0" w:line="245" w:lineRule="exact"/>
        <w:rPr>
          <w:sz w:val="20"/>
          <w:szCs w:val="20"/>
          <w:color w:val="auto"/>
        </w:rPr>
      </w:pPr>
      <w:r>
        <w:rPr>
          <w:rFonts w:ascii="Times New Roman" w:cs="Times New Roman" w:eastAsia="Times New Roman" w:hAnsi="Times New Roman"/>
          <w:sz w:val="20"/>
          <w:szCs w:val="20"/>
          <w:b w:val="1"/>
          <w:bCs w:val="1"/>
          <w:color w:val="auto"/>
        </w:rPr>
        <w:t>13.1 Relationship of Parties</w:t>
      </w:r>
      <w:r>
        <w:rPr>
          <w:rFonts w:ascii="Times New Roman" w:cs="Times New Roman" w:eastAsia="Times New Roman" w:hAnsi="Times New Roman"/>
          <w:sz w:val="20"/>
          <w:szCs w:val="20"/>
          <w:color w:val="auto"/>
        </w:rPr>
        <w:t>. Nothing in this Agreement is intended or shall be deemed to constitute a partnership, agency,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employee or joint venture relationship between the Parties. Each Party’s performance under this Agreement is that of a separate entity.</w:t>
      </w:r>
    </w:p>
    <w:p>
      <w:pPr>
        <w:spacing w:after="0" w:line="198"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13.2 Assignment</w:t>
      </w:r>
      <w:r>
        <w:rPr>
          <w:rFonts w:ascii="Times New Roman" w:cs="Times New Roman" w:eastAsia="Times New Roman" w:hAnsi="Times New Roman"/>
          <w:sz w:val="20"/>
          <w:szCs w:val="20"/>
          <w:color w:val="auto"/>
        </w:rPr>
        <w:t>. Elanco shall be entitled to freely assign this Agreement or any portion thereof. Tarsus shall not be entitled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 its rights hereunder without the express written consent of the other Party, except that Tarsus may assign this Agreement: (a) to any of the following entities or any of their Affiliates: [***]; or any entity listed on a publicly traded exchange and with a market capitalization in excess of US$[***] (each of the foregoing, a “</w:t>
      </w:r>
      <w:r>
        <w:rPr>
          <w:rFonts w:ascii="Times New Roman" w:cs="Times New Roman" w:eastAsia="Times New Roman" w:hAnsi="Times New Roman"/>
          <w:sz w:val="20"/>
          <w:szCs w:val="20"/>
          <w:b w:val="1"/>
          <w:bCs w:val="1"/>
          <w:i w:val="1"/>
          <w:iCs w:val="1"/>
          <w:color w:val="auto"/>
        </w:rPr>
        <w:t>Permitted Assignee</w:t>
      </w:r>
      <w:r>
        <w:rPr>
          <w:rFonts w:ascii="Times New Roman" w:cs="Times New Roman" w:eastAsia="Times New Roman" w:hAnsi="Times New Roman"/>
          <w:sz w:val="20"/>
          <w:szCs w:val="20"/>
          <w:color w:val="auto"/>
        </w:rPr>
        <w:t>”); or (b) to an Affiliate.</w:t>
      </w:r>
    </w:p>
    <w:p>
      <w:pPr>
        <w:spacing w:after="0" w:line="189"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13.3 Further Assurances</w:t>
      </w:r>
      <w:r>
        <w:rPr>
          <w:rFonts w:ascii="Times New Roman" w:cs="Times New Roman" w:eastAsia="Times New Roman" w:hAnsi="Times New Roman"/>
          <w:sz w:val="20"/>
          <w:szCs w:val="20"/>
          <w:color w:val="auto"/>
        </w:rPr>
        <w:t>. At any time or from time to time after the Effective Date, each Party, at the other Party’s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shall execute and deliver such other documents, agreements and instruments (including instruments of sale, transfer, conveyance, assignment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1" w:name="page332"/>
    <w:bookmarkEnd w:id="331"/>
    <w:p>
      <w:pPr>
        <w:jc w:val="both"/>
        <w:spacing w:after="0" w:line="269" w:lineRule="auto"/>
        <w:rPr>
          <w:sz w:val="20"/>
          <w:szCs w:val="20"/>
          <w:color w:val="auto"/>
        </w:rPr>
      </w:pPr>
      <w:r>
        <w:rPr>
          <w:rFonts w:ascii="Times New Roman" w:cs="Times New Roman" w:eastAsia="Times New Roman" w:hAnsi="Times New Roman"/>
          <w:sz w:val="20"/>
          <w:szCs w:val="20"/>
          <w:color w:val="auto"/>
        </w:rPr>
        <w:t>confirmation), provide such materials and information and take such other actions as the other Party may reasonably deem necessary or desirable in order more effectively effectuate the transactions contemplated by this Agreement.</w:t>
      </w:r>
    </w:p>
    <w:p>
      <w:pPr>
        <w:spacing w:after="0" w:line="169" w:lineRule="exact"/>
        <w:rPr>
          <w:sz w:val="20"/>
          <w:szCs w:val="20"/>
          <w:color w:val="auto"/>
        </w:rPr>
      </w:pPr>
    </w:p>
    <w:p>
      <w:pPr>
        <w:jc w:val="both"/>
        <w:ind w:firstLine="448"/>
        <w:spacing w:after="0" w:line="252" w:lineRule="auto"/>
        <w:rPr>
          <w:sz w:val="20"/>
          <w:szCs w:val="20"/>
          <w:color w:val="auto"/>
        </w:rPr>
      </w:pPr>
      <w:r>
        <w:rPr>
          <w:rFonts w:ascii="Times New Roman" w:cs="Times New Roman" w:eastAsia="Times New Roman" w:hAnsi="Times New Roman"/>
          <w:sz w:val="20"/>
          <w:szCs w:val="20"/>
          <w:b w:val="1"/>
          <w:bCs w:val="1"/>
          <w:color w:val="auto"/>
        </w:rPr>
        <w:t>13.4 Notice</w:t>
      </w:r>
      <w:r>
        <w:rPr>
          <w:rFonts w:ascii="Times New Roman" w:cs="Times New Roman" w:eastAsia="Times New Roman" w:hAnsi="Times New Roman"/>
          <w:sz w:val="20"/>
          <w:szCs w:val="20"/>
          <w:color w:val="auto"/>
        </w:rPr>
        <w:t>. Any notice or request required or permitted to be given under or in connection with this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been sufficiently given if in writing and personally delivered or sent by certified mail (return receipt requested), or overnight express courier service (signature required), prepaid, to the Party for which such notice is intended, at the address set forth for such Party below:</w:t>
      </w:r>
    </w:p>
    <w:p>
      <w:pPr>
        <w:spacing w:after="0" w:line="200" w:lineRule="exact"/>
        <w:rPr>
          <w:sz w:val="20"/>
          <w:szCs w:val="20"/>
          <w:color w:val="auto"/>
        </w:rPr>
      </w:pPr>
    </w:p>
    <w:p>
      <w:pPr>
        <w:spacing w:after="0" w:line="227" w:lineRule="exact"/>
        <w:rPr>
          <w:sz w:val="20"/>
          <w:szCs w:val="20"/>
          <w:color w:val="auto"/>
        </w:rPr>
      </w:pPr>
    </w:p>
    <w:p>
      <w:pPr>
        <w:ind w:left="1780" w:hanging="876"/>
        <w:spacing w:after="0"/>
        <w:tabs>
          <w:tab w:leader="none" w:pos="1780" w:val="left"/>
        </w:tabs>
        <w:numPr>
          <w:ilvl w:val="0"/>
          <w:numId w:val="3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case of Tarsus, to:</w:t>
      </w:r>
    </w:p>
    <w:p>
      <w:pPr>
        <w:spacing w:after="0" w:line="22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Attn:</w:t>
      </w:r>
    </w:p>
    <w:p>
      <w:pPr>
        <w:spacing w:after="0" w:line="2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Gunderson Dettmer Stough Villeneuve Franklin and Hachigian LLP</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3570 Carmel Mountain Rd</w:t>
      </w:r>
    </w:p>
    <w:p>
      <w:pPr>
        <w:ind w:left="2980"/>
        <w:spacing w:after="0"/>
        <w:rPr>
          <w:sz w:val="20"/>
          <w:szCs w:val="20"/>
          <w:color w:val="auto"/>
        </w:rPr>
      </w:pPr>
      <w:r>
        <w:rPr>
          <w:rFonts w:ascii="Times New Roman" w:cs="Times New Roman" w:eastAsia="Times New Roman" w:hAnsi="Times New Roman"/>
          <w:sz w:val="20"/>
          <w:szCs w:val="20"/>
          <w:color w:val="auto"/>
        </w:rPr>
        <w:t>San Diego, CA 92130</w:t>
      </w:r>
    </w:p>
    <w:p>
      <w:pPr>
        <w:ind w:left="2980"/>
        <w:spacing w:after="0"/>
        <w:rPr>
          <w:sz w:val="20"/>
          <w:szCs w:val="20"/>
          <w:color w:val="auto"/>
        </w:rPr>
      </w:pPr>
      <w:r>
        <w:rPr>
          <w:rFonts w:ascii="Times New Roman" w:cs="Times New Roman" w:eastAsia="Times New Roman" w:hAnsi="Times New Roman"/>
          <w:sz w:val="20"/>
          <w:szCs w:val="20"/>
          <w:color w:val="auto"/>
        </w:rPr>
        <w:t>Attn: Brendan C. McCarthy</w:t>
      </w:r>
    </w:p>
    <w:p>
      <w:pPr>
        <w:ind w:left="2980"/>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1800" w:hanging="896"/>
        <w:spacing w:after="0"/>
        <w:tabs>
          <w:tab w:leader="none" w:pos="1800" w:val="left"/>
        </w:tabs>
        <w:numPr>
          <w:ilvl w:val="0"/>
          <w:numId w:val="3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case of Elanco, to:</w:t>
      </w:r>
    </w:p>
    <w:p>
      <w:pPr>
        <w:spacing w:after="0" w:line="2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Elanco US Inc.</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2500 Innovation Way N</w:t>
      </w:r>
    </w:p>
    <w:p>
      <w:pPr>
        <w:ind w:left="2980"/>
        <w:spacing w:after="0"/>
        <w:rPr>
          <w:sz w:val="20"/>
          <w:szCs w:val="20"/>
          <w:color w:val="auto"/>
        </w:rPr>
      </w:pPr>
      <w:r>
        <w:rPr>
          <w:rFonts w:ascii="Times New Roman" w:cs="Times New Roman" w:eastAsia="Times New Roman" w:hAnsi="Times New Roman"/>
          <w:sz w:val="20"/>
          <w:szCs w:val="20"/>
          <w:color w:val="auto"/>
        </w:rPr>
        <w:t>Greenfield IN 46140</w:t>
      </w:r>
    </w:p>
    <w:p>
      <w:pPr>
        <w:ind w:left="2980"/>
        <w:spacing w:after="0"/>
        <w:rPr>
          <w:sz w:val="20"/>
          <w:szCs w:val="20"/>
          <w:color w:val="auto"/>
        </w:rPr>
      </w:pPr>
      <w:r>
        <w:rPr>
          <w:rFonts w:ascii="Times New Roman" w:cs="Times New Roman" w:eastAsia="Times New Roman" w:hAnsi="Times New Roman"/>
          <w:sz w:val="20"/>
          <w:szCs w:val="20"/>
          <w:color w:val="auto"/>
        </w:rPr>
        <w:t>Attn: Aaron Schacht</w:t>
      </w:r>
    </w:p>
    <w:p>
      <w:pPr>
        <w:ind w:left="2980"/>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Elanco US Inc.</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2500 Innovation Way N</w:t>
      </w:r>
    </w:p>
    <w:p>
      <w:pPr>
        <w:ind w:left="2980"/>
        <w:spacing w:after="0"/>
        <w:rPr>
          <w:sz w:val="20"/>
          <w:szCs w:val="20"/>
          <w:color w:val="auto"/>
        </w:rPr>
      </w:pPr>
      <w:r>
        <w:rPr>
          <w:rFonts w:ascii="Times New Roman" w:cs="Times New Roman" w:eastAsia="Times New Roman" w:hAnsi="Times New Roman"/>
          <w:sz w:val="20"/>
          <w:szCs w:val="20"/>
          <w:color w:val="auto"/>
        </w:rPr>
        <w:t>Greenfield IN 46140</w:t>
      </w:r>
    </w:p>
    <w:p>
      <w:pPr>
        <w:ind w:left="2980"/>
        <w:spacing w:after="0"/>
        <w:rPr>
          <w:sz w:val="20"/>
          <w:szCs w:val="20"/>
          <w:color w:val="auto"/>
        </w:rPr>
      </w:pPr>
      <w:r>
        <w:rPr>
          <w:rFonts w:ascii="Times New Roman" w:cs="Times New Roman" w:eastAsia="Times New Roman" w:hAnsi="Times New Roman"/>
          <w:sz w:val="20"/>
          <w:szCs w:val="20"/>
          <w:color w:val="auto"/>
        </w:rPr>
        <w:t>Attn: General Patent Counsel</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or to such other address for such Party as it shall have specified by like notice to the other Party. If delivered personally, the date of delivery shall be deemed to be the date on which such notice or request was given, unless otherwise set forth in this Agreement. If sent by overnight express courier service, the date of delivery shall be deemed to be the next business day after such notice or request was deposited with such service, unless otherwise set forth in this Agreement. If sent by certified mail, the date of delivery shall be deemed to be the third business day after such notice or request was deposited with the U.S. Postal Service, or the foreign equivalent thereto, unless otherwise set forth in this Agreement.</w:t>
      </w:r>
    </w:p>
    <w:p>
      <w:pPr>
        <w:spacing w:after="0" w:line="194" w:lineRule="exact"/>
        <w:rPr>
          <w:sz w:val="20"/>
          <w:szCs w:val="20"/>
          <w:color w:val="auto"/>
        </w:rPr>
      </w:pPr>
    </w:p>
    <w:p>
      <w:pPr>
        <w:jc w:val="both"/>
        <w:ind w:firstLine="448"/>
        <w:spacing w:after="0" w:line="264" w:lineRule="auto"/>
        <w:rPr>
          <w:sz w:val="20"/>
          <w:szCs w:val="20"/>
          <w:color w:val="auto"/>
        </w:rPr>
      </w:pPr>
      <w:r>
        <w:rPr>
          <w:rFonts w:ascii="Times New Roman" w:cs="Times New Roman" w:eastAsia="Times New Roman" w:hAnsi="Times New Roman"/>
          <w:sz w:val="19"/>
          <w:szCs w:val="19"/>
          <w:b w:val="1"/>
          <w:bCs w:val="1"/>
          <w:color w:val="auto"/>
        </w:rPr>
        <w:t>13.5 Public Announcements</w:t>
      </w:r>
      <w:r>
        <w:rPr>
          <w:rFonts w:ascii="Times New Roman" w:cs="Times New Roman" w:eastAsia="Times New Roman" w:hAnsi="Times New Roman"/>
          <w:sz w:val="19"/>
          <w:szCs w:val="19"/>
          <w:color w:val="auto"/>
        </w:rPr>
        <w:t>. Except as required by Applicable Law (including, without limitation, disclosure requirements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U.S. Securities and Exchange Commission, Nasdaq or any other stock exchange on which securities issued by Elanco are traded) and as permitted by Section 10.3, neither Party shall make any public announcement that the Parties have entered into this Agreement, without the prior written consent of the other Party (which shall not be unreasonably withheld). A Party shall be deemed to provide consent to any public announcement if it does not notify the other Party of its rejection within ten (10) days after receiving such proposed public announcement.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2" w:name="page333"/>
    <w:bookmarkEnd w:id="332"/>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13.6 Waiver; Remedies</w:t>
      </w:r>
      <w:r>
        <w:rPr>
          <w:rFonts w:ascii="Times New Roman" w:cs="Times New Roman" w:eastAsia="Times New Roman" w:hAnsi="Times New Roman"/>
          <w:sz w:val="20"/>
          <w:szCs w:val="20"/>
          <w:color w:val="auto"/>
        </w:rPr>
        <w:t>. A waiver by either Party of any of the terms and conditions of this Agreement in any instance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made expressly in writing and signed by an authorized representative of such Party. Any such waiver shall not be deemed or construed to be a waiver of such term or condition for the future, or of any subsequent breach hereof. All rights, remedies, undertakings, obligations and agreements contained in this Agreement shall be cumulative and none of them shall be in limitation of any other remedy, right, undertaking, obligation or agreement of either Party.</w:t>
      </w:r>
    </w:p>
    <w:p>
      <w:pPr>
        <w:spacing w:after="0" w:line="194"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13.7 Severability</w:t>
      </w:r>
      <w:r>
        <w:rPr>
          <w:rFonts w:ascii="Times New Roman" w:cs="Times New Roman" w:eastAsia="Times New Roman" w:hAnsi="Times New Roman"/>
          <w:sz w:val="20"/>
          <w:szCs w:val="20"/>
          <w:color w:val="auto"/>
        </w:rPr>
        <w:t>. Each provision of this Agreement will be interpreted in such manner as to be effective and valid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 but if any provision of this Agreement is held to be prohibited by or invalid under Applicable Law, such provision will be ineffective only to the extent of such prohibition or invalidity, without invalidating the remainder of this Agreement.</w:t>
      </w:r>
    </w:p>
    <w:p>
      <w:pPr>
        <w:spacing w:after="0" w:line="182" w:lineRule="exact"/>
        <w:rPr>
          <w:sz w:val="20"/>
          <w:szCs w:val="20"/>
          <w:color w:val="auto"/>
        </w:rPr>
      </w:pPr>
    </w:p>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13.8 Amendment</w:t>
      </w:r>
      <w:r>
        <w:rPr>
          <w:rFonts w:ascii="Times New Roman" w:cs="Times New Roman" w:eastAsia="Times New Roman" w:hAnsi="Times New Roman"/>
          <w:sz w:val="20"/>
          <w:szCs w:val="20"/>
          <w:color w:val="auto"/>
        </w:rPr>
        <w:t>. No amendment, modification or supplement of any provisions of this Agreement shall be valid or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made in writing and signed by a duly authorized officer of each Party.</w:t>
      </w:r>
    </w:p>
    <w:p>
      <w:pPr>
        <w:spacing w:after="0" w:line="165" w:lineRule="exact"/>
        <w:rPr>
          <w:sz w:val="20"/>
          <w:szCs w:val="20"/>
          <w:color w:val="auto"/>
        </w:rPr>
      </w:pPr>
    </w:p>
    <w:p>
      <w:pPr>
        <w:jc w:val="both"/>
        <w:ind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13.9 Governing Law</w:t>
      </w:r>
      <w:r>
        <w:rPr>
          <w:rFonts w:ascii="Times New Roman" w:cs="Times New Roman" w:eastAsia="Times New Roman" w:hAnsi="Times New Roman"/>
          <w:sz w:val="20"/>
          <w:szCs w:val="20"/>
          <w:color w:val="auto"/>
        </w:rPr>
        <w:t>. This Agreement shall be governed by and interpreted in accordance with the laws of the State of 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York without regard to its principles of conflicts of laws.</w:t>
      </w:r>
    </w:p>
    <w:p>
      <w:pPr>
        <w:spacing w:after="0" w:line="165"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20"/>
          <w:szCs w:val="20"/>
          <w:b w:val="1"/>
          <w:bCs w:val="1"/>
          <w:color w:val="auto"/>
        </w:rPr>
        <w:t>13.10 Entire Agreement</w:t>
      </w:r>
      <w:r>
        <w:rPr>
          <w:rFonts w:ascii="Times New Roman" w:cs="Times New Roman" w:eastAsia="Times New Roman" w:hAnsi="Times New Roman"/>
          <w:sz w:val="20"/>
          <w:szCs w:val="20"/>
          <w:color w:val="auto"/>
        </w:rPr>
        <w:t>. This Agreement, together with the Exhibits hereto, sets forth the entire agreement and understanding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Parties as to the subject matter hereof and merges all prior discussions, negotiations and agreements between them related to the subject matter hereof. For clarity, this Agreement does not supersede and replace the Eye Care and Dermatology License Agreement.</w:t>
      </w:r>
    </w:p>
    <w:p>
      <w:pPr>
        <w:spacing w:after="0" w:line="182" w:lineRule="exact"/>
        <w:rPr>
          <w:sz w:val="20"/>
          <w:szCs w:val="20"/>
          <w:color w:val="auto"/>
        </w:rPr>
      </w:pPr>
    </w:p>
    <w:p>
      <w:pPr>
        <w:jc w:val="both"/>
        <w:ind w:firstLine="448"/>
        <w:spacing w:after="0" w:line="250" w:lineRule="auto"/>
        <w:rPr>
          <w:sz w:val="20"/>
          <w:szCs w:val="20"/>
          <w:color w:val="auto"/>
        </w:rPr>
      </w:pPr>
      <w:r>
        <w:rPr>
          <w:rFonts w:ascii="Times New Roman" w:cs="Times New Roman" w:eastAsia="Times New Roman" w:hAnsi="Times New Roman"/>
          <w:sz w:val="20"/>
          <w:szCs w:val="20"/>
          <w:b w:val="1"/>
          <w:bCs w:val="1"/>
          <w:color w:val="auto"/>
        </w:rPr>
        <w:t>13.11 Parties in Interest</w:t>
      </w:r>
      <w:r>
        <w:rPr>
          <w:rFonts w:ascii="Times New Roman" w:cs="Times New Roman" w:eastAsia="Times New Roman" w:hAnsi="Times New Roman"/>
          <w:sz w:val="20"/>
          <w:szCs w:val="20"/>
          <w:color w:val="auto"/>
        </w:rPr>
        <w:t>. All the terms and provisions of this Agreement shall be binding upon, inure to the benefit of and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enforceable by the Parties hereto and their respective permitted successors and permitted assigns. Nothing in this Agreement, either express or implied, is intended to or shall confer upon any Third Party any legal or equitable right, benefit or remedy of any nature whatsoever under or by reason of this Agreement, which right, benefit or remedy such Third Party would not have independent of this Agreement.</w:t>
      </w:r>
    </w:p>
    <w:p>
      <w:pPr>
        <w:spacing w:after="0" w:line="189" w:lineRule="exact"/>
        <w:rPr>
          <w:sz w:val="20"/>
          <w:szCs w:val="20"/>
          <w:color w:val="auto"/>
        </w:rPr>
      </w:pPr>
    </w:p>
    <w:p>
      <w:pPr>
        <w:jc w:val="both"/>
        <w:ind w:right="20" w:firstLine="448"/>
        <w:spacing w:after="0" w:line="273" w:lineRule="auto"/>
        <w:rPr>
          <w:sz w:val="20"/>
          <w:szCs w:val="20"/>
          <w:color w:val="auto"/>
        </w:rPr>
      </w:pPr>
      <w:r>
        <w:rPr>
          <w:rFonts w:ascii="Times New Roman" w:cs="Times New Roman" w:eastAsia="Times New Roman" w:hAnsi="Times New Roman"/>
          <w:sz w:val="20"/>
          <w:szCs w:val="20"/>
          <w:b w:val="1"/>
          <w:bCs w:val="1"/>
          <w:color w:val="auto"/>
        </w:rPr>
        <w:t>13.12 Counterparts</w:t>
      </w:r>
      <w:r>
        <w:rPr>
          <w:rFonts w:ascii="Times New Roman" w:cs="Times New Roman" w:eastAsia="Times New Roman" w:hAnsi="Times New Roman"/>
          <w:sz w:val="20"/>
          <w:szCs w:val="20"/>
          <w:color w:val="auto"/>
        </w:rPr>
        <w:t>. This Agreement may be executed simultaneously in any number of counterparts, any one of which need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contain the signature of more than one Party but all such counterparts taken together shall constitute one and the same agreement.</w:t>
      </w:r>
    </w:p>
    <w:p>
      <w:pPr>
        <w:spacing w:after="0" w:line="165" w:lineRule="exact"/>
        <w:rPr>
          <w:sz w:val="20"/>
          <w:szCs w:val="20"/>
          <w:color w:val="auto"/>
        </w:rPr>
      </w:pPr>
    </w:p>
    <w:p>
      <w:pPr>
        <w:jc w:val="both"/>
        <w:ind w:firstLine="448"/>
        <w:spacing w:after="0" w:line="247" w:lineRule="auto"/>
        <w:rPr>
          <w:sz w:val="20"/>
          <w:szCs w:val="20"/>
          <w:color w:val="auto"/>
        </w:rPr>
      </w:pPr>
      <w:r>
        <w:rPr>
          <w:rFonts w:ascii="Times New Roman" w:cs="Times New Roman" w:eastAsia="Times New Roman" w:hAnsi="Times New Roman"/>
          <w:sz w:val="20"/>
          <w:szCs w:val="20"/>
          <w:b w:val="1"/>
          <w:bCs w:val="1"/>
          <w:color w:val="auto"/>
        </w:rPr>
        <w:t>13.13 Interpretations and Definitions</w:t>
      </w:r>
      <w:r>
        <w:rPr>
          <w:rFonts w:ascii="Times New Roman" w:cs="Times New Roman" w:eastAsia="Times New Roman" w:hAnsi="Times New Roman"/>
          <w:sz w:val="20"/>
          <w:szCs w:val="20"/>
          <w:color w:val="auto"/>
        </w:rPr>
        <w:t>. The descriptive headings of this Agreement are for convenience only, and shall be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force or effect in construing or interpreting any of the provisions of this Agreement. All words and defined terms used in this Agreement shall have the same meaning whether used in the singular or plural form. When used in this Agreement, (a) the term “day” or “days” shall mean calendar days, unless otherwise indicated herein, and (b) the term “including” means “including, without limitation.” This Agreement has been prepared jointly and shall not be strictly construed against either Party.</w:t>
      </w:r>
    </w:p>
    <w:p>
      <w:pPr>
        <w:spacing w:after="0" w:line="194" w:lineRule="exact"/>
        <w:rPr>
          <w:sz w:val="20"/>
          <w:szCs w:val="20"/>
          <w:color w:val="auto"/>
        </w:rPr>
      </w:pPr>
    </w:p>
    <w:p>
      <w:pPr>
        <w:jc w:val="both"/>
        <w:ind w:firstLine="448"/>
        <w:spacing w:after="0" w:line="246" w:lineRule="auto"/>
        <w:rPr>
          <w:sz w:val="20"/>
          <w:szCs w:val="20"/>
          <w:color w:val="auto"/>
        </w:rPr>
      </w:pPr>
      <w:r>
        <w:rPr>
          <w:rFonts w:ascii="Times New Roman" w:cs="Times New Roman" w:eastAsia="Times New Roman" w:hAnsi="Times New Roman"/>
          <w:sz w:val="20"/>
          <w:szCs w:val="20"/>
          <w:b w:val="1"/>
          <w:bCs w:val="1"/>
          <w:color w:val="auto"/>
        </w:rPr>
        <w:t>13.14 Eye Care and Dermatology License Agreement</w:t>
      </w:r>
      <w:r>
        <w:rPr>
          <w:rFonts w:ascii="Times New Roman" w:cs="Times New Roman" w:eastAsia="Times New Roman" w:hAnsi="Times New Roman"/>
          <w:sz w:val="20"/>
          <w:szCs w:val="20"/>
          <w:color w:val="auto"/>
        </w:rPr>
        <w:t>. For clarity, and notwithstanding anything in this Agreement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contrary, the Parties acknowledge that Tarsus’s activities under this Agreement are separate from its activities under the Eye Care and Dermatology License Agreement (and vice versa) and no Net Sales, sublicense or milestone with respect to a Licensed Product in the Field shall be deemed Net Sales, a sublicense or a milestone under the Eye Care and Dermatology License Agreement. Similarly, no Net Sales, sublicense or milestone in the Field (as such term is defined in the Eye Care and Dermatology License Agreement) shall be deemed Net Sales, a sublicense or a milestone under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EMAINDER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AGE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NTENTIONALLY</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LANK</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AGE</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OLLOWS</w:t>
      </w:r>
      <w:r>
        <w:rPr>
          <w:rFonts w:ascii="Times New Roman" w:cs="Times New Roman" w:eastAsia="Times New Roman" w:hAnsi="Times New Roman"/>
          <w:sz w:val="20"/>
          <w:szCs w:val="20"/>
          <w:b w:val="1"/>
          <w:bCs w:val="1"/>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33" w:name="page334"/>
    <w:bookmarkEnd w:id="333"/>
    <w:p>
      <w:pPr>
        <w:ind w:right="160"/>
        <w:spacing w:after="0" w:line="269" w:lineRule="auto"/>
        <w:rPr>
          <w:sz w:val="20"/>
          <w:szCs w:val="20"/>
          <w:color w:val="auto"/>
        </w:rPr>
      </w:pPr>
      <w:r>
        <w:rPr>
          <w:rFonts w:ascii="Times New Roman" w:cs="Times New Roman" w:eastAsia="Times New Roman" w:hAnsi="Times New Roman"/>
          <w:sz w:val="20"/>
          <w:szCs w:val="20"/>
          <w:color w:val="auto"/>
        </w:rPr>
        <w:t>IN WITNESS WHEREOF, each of the undersigned has caused this Agreement to be executed by its duly authorized representative as of the Effective Date.</w:t>
      </w:r>
    </w:p>
    <w:p>
      <w:pPr>
        <w:spacing w:after="0" w:line="1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HARMACEUTICALS</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9" w:lineRule="exact"/>
        <w:rPr>
          <w:sz w:val="20"/>
          <w:szCs w:val="20"/>
          <w:color w:val="auto"/>
        </w:rPr>
      </w:pPr>
    </w:p>
    <w:tbl>
      <w:tblPr>
        <w:tblLayout w:type="fixed"/>
        <w:tblInd w:w="5620" w:type="dxa"/>
        <w:tblCellMar>
          <w:top w:w="0" w:type="dxa"/>
          <w:left w:w="0" w:type="dxa"/>
          <w:bottom w:w="0" w:type="dxa"/>
          <w:right w:w="0" w:type="dxa"/>
        </w:tblCellMar>
      </w:tblP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Bobak Azamian</w:t>
            </w: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Bobak Azamian</w:t>
            </w: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ELANCO TIERGESUNDHEIT AG</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4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Aaron L. Schacht</w:t>
            </w:r>
          </w:p>
        </w:tc>
        <w:tc>
          <w:tcPr>
            <w:tcW w:w="20" w:type="dxa"/>
            <w:vAlign w:val="bottom"/>
          </w:tcPr>
          <w:p>
            <w:pPr>
              <w:spacing w:after="0"/>
              <w:rPr>
                <w:sz w:val="21"/>
                <w:szCs w:val="21"/>
                <w:color w:val="auto"/>
              </w:rPr>
            </w:pPr>
          </w:p>
        </w:tc>
      </w:tr>
      <w:tr>
        <w:trPr>
          <w:trHeight w:val="453"/>
        </w:trPr>
        <w:tc>
          <w:tcPr>
            <w:tcW w:w="654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Name:</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Aaron L. Schacht</w:t>
            </w:r>
          </w:p>
        </w:tc>
        <w:tc>
          <w:tcPr>
            <w:tcW w:w="20" w:type="dxa"/>
            <w:vAlign w:val="bottom"/>
          </w:tcPr>
          <w:p>
            <w:pPr>
              <w:spacing w:after="0"/>
              <w:rPr>
                <w:sz w:val="24"/>
                <w:szCs w:val="24"/>
                <w:color w:val="auto"/>
              </w:rPr>
            </w:pPr>
          </w:p>
        </w:tc>
      </w:tr>
      <w:tr>
        <w:trPr>
          <w:trHeight w:val="412"/>
        </w:trPr>
        <w:tc>
          <w:tcPr>
            <w:tcW w:w="654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Title:</w:t>
            </w: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EVP – Innovation, Regulatory &amp; Business Development</w:t>
            </w:r>
          </w:p>
        </w:tc>
        <w:tc>
          <w:tcPr>
            <w:tcW w:w="20" w:type="dxa"/>
            <w:vAlign w:val="bottom"/>
          </w:tcPr>
          <w:p>
            <w:pPr>
              <w:spacing w:after="0"/>
              <w:rPr>
                <w:sz w:val="24"/>
                <w:szCs w:val="24"/>
                <w:color w:val="auto"/>
              </w:rPr>
            </w:pPr>
          </w:p>
        </w:tc>
      </w:tr>
      <w:tr>
        <w:trPr>
          <w:trHeight w:val="1337"/>
        </w:trPr>
        <w:tc>
          <w:tcPr>
            <w:tcW w:w="6540" w:type="dxa"/>
            <w:vAlign w:val="bottom"/>
            <w:tcBorders>
              <w:bottom w:val="single" w:sz="8" w:color="9A9A9A"/>
            </w:tcBorders>
          </w:tcPr>
          <w:p>
            <w:pPr>
              <w:spacing w:after="0"/>
              <w:rPr>
                <w:sz w:val="24"/>
                <w:szCs w:val="24"/>
                <w:color w:val="auto"/>
              </w:rPr>
            </w:pPr>
          </w:p>
        </w:tc>
        <w:tc>
          <w:tcPr>
            <w:tcW w:w="448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334" w:name="page335"/>
    <w:bookmarkEnd w:id="33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Licensed Patents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845820</wp:posOffset>
            </wp:positionV>
            <wp:extent cx="714946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Summary of the intended development and commercialization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852805</wp:posOffset>
            </wp:positionV>
            <wp:extent cx="714946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336" w:name="page337"/>
    <w:bookmarkEnd w:id="336"/>
    <w:tbl>
      <w:tblPr>
        <w:tblLayout w:type="fixed"/>
        <w:tblInd w:w="10" w:type="dxa"/>
        <w:tblCellMar>
          <w:top w:w="0" w:type="dxa"/>
          <w:left w:w="0" w:type="dxa"/>
          <w:bottom w:w="0" w:type="dxa"/>
          <w:right w:w="0" w:type="dxa"/>
        </w:tblCellMar>
      </w:tblPr>
      <w:tr>
        <w:trPr>
          <w:trHeight w:val="262"/>
        </w:trPr>
        <w:tc>
          <w:tcPr>
            <w:tcW w:w="4200" w:type="dxa"/>
            <w:vAlign w:val="bottom"/>
          </w:tcPr>
          <w:p>
            <w:pPr>
              <w:spacing w:after="0"/>
              <w:rPr>
                <w:sz w:val="22"/>
                <w:szCs w:val="22"/>
                <w:color w:val="auto"/>
              </w:rPr>
            </w:pPr>
          </w:p>
        </w:tc>
        <w:tc>
          <w:tcPr>
            <w:tcW w:w="7040" w:type="dxa"/>
            <w:vAlign w:val="bottom"/>
            <w:gridSpan w:val="2"/>
          </w:tcPr>
          <w:p>
            <w:pPr>
              <w:jc w:val="center"/>
              <w:ind w:right="4081"/>
              <w:spacing w:after="0"/>
              <w:rPr>
                <w:sz w:val="20"/>
                <w:szCs w:val="20"/>
                <w:color w:val="auto"/>
              </w:rPr>
            </w:pPr>
            <w:r>
              <w:rPr>
                <w:rFonts w:ascii="Times New Roman" w:cs="Times New Roman" w:eastAsia="Times New Roman" w:hAnsi="Times New Roman"/>
                <w:sz w:val="20"/>
                <w:szCs w:val="20"/>
                <w:b w:val="1"/>
                <w:bCs w:val="1"/>
                <w:color w:val="auto"/>
                <w:w w:val="98"/>
              </w:rPr>
              <w:t>Exhibit C</w:t>
            </w:r>
          </w:p>
        </w:tc>
      </w:tr>
      <w:tr>
        <w:trPr>
          <w:trHeight w:val="459"/>
        </w:trPr>
        <w:tc>
          <w:tcPr>
            <w:tcW w:w="4200" w:type="dxa"/>
            <w:vAlign w:val="bottom"/>
          </w:tcPr>
          <w:p>
            <w:pPr>
              <w:spacing w:after="0"/>
              <w:rPr>
                <w:sz w:val="24"/>
                <w:szCs w:val="24"/>
                <w:color w:val="auto"/>
              </w:rPr>
            </w:pPr>
          </w:p>
        </w:tc>
        <w:tc>
          <w:tcPr>
            <w:tcW w:w="7040" w:type="dxa"/>
            <w:vAlign w:val="bottom"/>
            <w:gridSpan w:val="2"/>
          </w:tcPr>
          <w:p>
            <w:pPr>
              <w:jc w:val="center"/>
              <w:ind w:right="4101"/>
              <w:spacing w:after="0"/>
              <w:rPr>
                <w:sz w:val="20"/>
                <w:szCs w:val="20"/>
                <w:color w:val="auto"/>
              </w:rPr>
            </w:pPr>
            <w:r>
              <w:rPr>
                <w:rFonts w:ascii="Times New Roman" w:cs="Times New Roman" w:eastAsia="Times New Roman" w:hAnsi="Times New Roman"/>
                <w:sz w:val="20"/>
                <w:szCs w:val="20"/>
                <w:b w:val="1"/>
                <w:bCs w:val="1"/>
                <w:color w:val="auto"/>
                <w:w w:val="98"/>
              </w:rPr>
              <w:t>Diligence Milestones</w:t>
            </w:r>
          </w:p>
        </w:tc>
      </w:tr>
      <w:tr>
        <w:trPr>
          <w:trHeight w:val="223"/>
        </w:trPr>
        <w:tc>
          <w:tcPr>
            <w:tcW w:w="4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r>
      <w:tr>
        <w:trPr>
          <w:trHeight w:val="223"/>
        </w:trPr>
        <w:tc>
          <w:tcPr>
            <w:tcW w:w="4200" w:type="dxa"/>
            <w:vAlign w:val="bottom"/>
            <w:tcBorders>
              <w:left w:val="single" w:sz="8" w:color="auto"/>
              <w:bottom w:val="single" w:sz="8" w:color="auto"/>
            </w:tcBorders>
          </w:tcPr>
          <w:p>
            <w:pPr>
              <w:jc w:val="right"/>
              <w:ind w:right="461"/>
              <w:spacing w:after="0" w:line="223" w:lineRule="exact"/>
              <w:rPr>
                <w:sz w:val="20"/>
                <w:szCs w:val="20"/>
                <w:color w:val="auto"/>
              </w:rPr>
            </w:pPr>
            <w:r>
              <w:rPr>
                <w:rFonts w:ascii="Times New Roman" w:cs="Times New Roman" w:eastAsia="Times New Roman" w:hAnsi="Times New Roman"/>
                <w:sz w:val="20"/>
                <w:szCs w:val="20"/>
                <w:b w:val="1"/>
                <w:bCs w:val="1"/>
                <w:color w:val="auto"/>
              </w:rPr>
              <w:t>Diligence Milestone</w:t>
            </w:r>
          </w:p>
        </w:tc>
        <w:tc>
          <w:tcPr>
            <w:tcW w:w="142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Achievement Deadline</w:t>
            </w:r>
          </w:p>
        </w:tc>
      </w:tr>
      <w:tr>
        <w:trPr>
          <w:trHeight w:val="223"/>
        </w:trPr>
        <w:tc>
          <w:tcPr>
            <w:tcW w:w="4200" w:type="dxa"/>
            <w:vAlign w:val="bottom"/>
            <w:tcBorders>
              <w:left w:val="single" w:sz="8" w:color="auto"/>
              <w:bottom w:val="single" w:sz="8" w:color="auto"/>
            </w:tcBorders>
          </w:tcPr>
          <w:p>
            <w:pPr>
              <w:jc w:val="right"/>
              <w:ind w:right="36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b w:val="1"/>
                <w:bCs w:val="1"/>
                <w:color w:val="auto"/>
                <w:w w:val="99"/>
              </w:rPr>
              <w:t>months after the Effective Date</w:t>
            </w:r>
          </w:p>
        </w:tc>
      </w:tr>
      <w:tr>
        <w:trPr>
          <w:trHeight w:val="223"/>
        </w:trPr>
        <w:tc>
          <w:tcPr>
            <w:tcW w:w="4200" w:type="dxa"/>
            <w:vAlign w:val="bottom"/>
            <w:tcBorders>
              <w:left w:val="single" w:sz="8" w:color="auto"/>
              <w:bottom w:val="single" w:sz="8" w:color="auto"/>
            </w:tcBorders>
          </w:tcPr>
          <w:p>
            <w:pPr>
              <w:jc w:val="right"/>
              <w:ind w:right="36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b w:val="1"/>
                <w:bCs w:val="1"/>
                <w:color w:val="auto"/>
                <w:w w:val="99"/>
              </w:rPr>
              <w:t>months after the Effective Date</w:t>
            </w:r>
          </w:p>
        </w:tc>
      </w:tr>
      <w:tr>
        <w:trPr>
          <w:trHeight w:val="223"/>
        </w:trPr>
        <w:tc>
          <w:tcPr>
            <w:tcW w:w="4200" w:type="dxa"/>
            <w:vAlign w:val="bottom"/>
            <w:tcBorders>
              <w:left w:val="single" w:sz="8" w:color="auto"/>
              <w:bottom w:val="single" w:sz="8" w:color="auto"/>
            </w:tcBorders>
          </w:tcPr>
          <w:p>
            <w:pPr>
              <w:jc w:val="right"/>
              <w:ind w:right="36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b w:val="1"/>
                <w:bCs w:val="1"/>
                <w:color w:val="auto"/>
                <w:w w:val="98"/>
              </w:rPr>
              <w:t>years after the Effective Date</w:t>
            </w:r>
          </w:p>
        </w:tc>
      </w:tr>
      <w:tr>
        <w:trPr>
          <w:trHeight w:val="223"/>
        </w:trPr>
        <w:tc>
          <w:tcPr>
            <w:tcW w:w="4200" w:type="dxa"/>
            <w:vAlign w:val="bottom"/>
            <w:tcBorders>
              <w:left w:val="single" w:sz="8" w:color="auto"/>
              <w:bottom w:val="single" w:sz="8" w:color="auto"/>
            </w:tcBorders>
          </w:tcPr>
          <w:p>
            <w:pPr>
              <w:jc w:val="right"/>
              <w:ind w:right="36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b w:val="1"/>
                <w:bCs w:val="1"/>
                <w:color w:val="auto"/>
                <w:w w:val="98"/>
              </w:rPr>
              <w:t>years after the Effective Date</w:t>
            </w:r>
          </w:p>
        </w:tc>
      </w:tr>
    </w:tbl>
    <w:p>
      <w:pPr>
        <w:sectPr>
          <w:pgSz w:w="11900" w:h="16838" w:orient="portrait"/>
          <w:cols w:equalWidth="0" w:num="1">
            <w:col w:w="11240"/>
          </w:cols>
          <w:pgMar w:left="320" w:top="356" w:right="33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LEASE</w:t>
      </w:r>
    </w:p>
    <w:p>
      <w:pPr>
        <w:spacing w:after="0" w:line="200" w:lineRule="exact"/>
        <w:rPr>
          <w:sz w:val="20"/>
          <w:szCs w:val="20"/>
          <w:color w:val="auto"/>
        </w:rPr>
      </w:pPr>
    </w:p>
    <w:p>
      <w:pPr>
        <w:spacing w:after="0" w:line="3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200" w:lineRule="exact"/>
        <w:rPr>
          <w:sz w:val="20"/>
          <w:szCs w:val="20"/>
          <w:color w:val="auto"/>
        </w:rPr>
      </w:pPr>
    </w:p>
    <w:p>
      <w:pPr>
        <w:spacing w:after="0" w:line="34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DISCOVERY BUSINESS CENTER LLC</w:t>
      </w:r>
    </w:p>
    <w:p>
      <w:pPr>
        <w:spacing w:after="0" w:line="200" w:lineRule="exact"/>
        <w:rPr>
          <w:sz w:val="20"/>
          <w:szCs w:val="20"/>
          <w:color w:val="auto"/>
        </w:rPr>
      </w:pPr>
    </w:p>
    <w:p>
      <w:pPr>
        <w:spacing w:after="0" w:line="3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0" w:lineRule="exact"/>
        <w:rPr>
          <w:sz w:val="20"/>
          <w:szCs w:val="20"/>
          <w:color w:val="auto"/>
        </w:rPr>
      </w:pPr>
    </w:p>
    <w:p>
      <w:pPr>
        <w:spacing w:after="0" w:line="34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TARSUS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934085</wp:posOffset>
            </wp:positionV>
            <wp:extent cx="714946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20"/>
          <w:szCs w:val="20"/>
          <w:b w:val="1"/>
          <w:bCs w:val="1"/>
          <w:color w:val="auto"/>
        </w:rPr>
        <w:t>LEASE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(Short Form)</w:t>
      </w:r>
    </w:p>
    <w:p>
      <w:pPr>
        <w:spacing w:after="0" w:line="200" w:lineRule="exact"/>
        <w:rPr>
          <w:sz w:val="20"/>
          <w:szCs w:val="20"/>
          <w:color w:val="auto"/>
        </w:rPr>
      </w:pPr>
    </w:p>
    <w:p>
      <w:pPr>
        <w:spacing w:after="0" w:line="20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 xml:space="preserve">THIS LEASE is made as of May 28, 2020, by and between </w:t>
      </w:r>
      <w:r>
        <w:rPr>
          <w:rFonts w:ascii="Times New Roman" w:cs="Times New Roman" w:eastAsia="Times New Roman" w:hAnsi="Times New Roman"/>
          <w:sz w:val="20"/>
          <w:szCs w:val="20"/>
          <w:b w:val="1"/>
          <w:bCs w:val="1"/>
          <w:color w:val="auto"/>
        </w:rPr>
        <w:t>DISCOVERY BUSINESS CENTER LLC</w:t>
      </w:r>
      <w:r>
        <w:rPr>
          <w:rFonts w:ascii="Times New Roman" w:cs="Times New Roman" w:eastAsia="Times New Roman" w:hAnsi="Times New Roman"/>
          <w:sz w:val="20"/>
          <w:szCs w:val="20"/>
          <w:color w:val="auto"/>
        </w:rPr>
        <w:t>, a Delaware limited liability company, hereafter called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TARSUS PHARMACEUTICALS, INC.</w:t>
      </w:r>
      <w:r>
        <w:rPr>
          <w:rFonts w:ascii="Times New Roman" w:cs="Times New Roman" w:eastAsia="Times New Roman" w:hAnsi="Times New Roman"/>
          <w:sz w:val="20"/>
          <w:szCs w:val="20"/>
          <w:color w:val="auto"/>
        </w:rPr>
        <w:t>, a Delaware corporation, hereafter called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 BASIC LEASE PROVISIONS</w:t>
      </w:r>
    </w:p>
    <w:p>
      <w:pPr>
        <w:spacing w:after="0" w:line="21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Each reference in this Lease to the “</w:t>
      </w:r>
      <w:r>
        <w:rPr>
          <w:rFonts w:ascii="Times New Roman" w:cs="Times New Roman" w:eastAsia="Times New Roman" w:hAnsi="Times New Roman"/>
          <w:sz w:val="20"/>
          <w:szCs w:val="20"/>
          <w:b w:val="1"/>
          <w:bCs w:val="1"/>
          <w:color w:val="auto"/>
        </w:rPr>
        <w:t>Basic Lease Provisions</w:t>
      </w:r>
      <w:r>
        <w:rPr>
          <w:rFonts w:ascii="Times New Roman" w:cs="Times New Roman" w:eastAsia="Times New Roman" w:hAnsi="Times New Roman"/>
          <w:sz w:val="20"/>
          <w:szCs w:val="20"/>
          <w:color w:val="auto"/>
        </w:rPr>
        <w:t>” shall mean and refer to the following collective terms, the application of which shall be governed by the provisions in the remaining Articles of this Lease.</w:t>
      </w:r>
    </w:p>
    <w:p>
      <w:pPr>
        <w:spacing w:after="0" w:line="152" w:lineRule="exact"/>
        <w:rPr>
          <w:sz w:val="20"/>
          <w:szCs w:val="20"/>
          <w:color w:val="auto"/>
        </w:rPr>
      </w:pPr>
    </w:p>
    <w:p>
      <w:pPr>
        <w:ind w:left="860" w:hanging="852"/>
        <w:spacing w:after="0"/>
        <w:tabs>
          <w:tab w:leader="none" w:pos="860"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Tenant’s Trade Name</w:t>
      </w:r>
      <w:r>
        <w:rPr>
          <w:rFonts w:ascii="Times New Roman" w:cs="Times New Roman" w:eastAsia="Times New Roman" w:hAnsi="Times New Roman"/>
          <w:sz w:val="20"/>
          <w:szCs w:val="20"/>
          <w:color w:val="auto"/>
        </w:rPr>
        <w:t>: N/A</w:t>
      </w:r>
    </w:p>
    <w:p>
      <w:pPr>
        <w:spacing w:after="0" w:line="215"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Suite No.</w:t>
            </w:r>
            <w:r>
              <w:rPr>
                <w:rFonts w:ascii="Times New Roman" w:cs="Times New Roman" w:eastAsia="Times New Roman" w:hAnsi="Times New Roman"/>
                <w:sz w:val="20"/>
                <w:szCs w:val="20"/>
                <w:color w:val="auto"/>
              </w:rPr>
              <w:t>:</w:t>
            </w:r>
          </w:p>
        </w:tc>
        <w:tc>
          <w:tcPr>
            <w:tcW w:w="568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w w:val="98"/>
              </w:rPr>
              <w:t>160 (The Premises are more particularly described in Section 2.1.)</w:t>
            </w:r>
          </w:p>
        </w:tc>
      </w:t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Address of Building:</w:t>
            </w:r>
          </w:p>
        </w:tc>
        <w:tc>
          <w:tcPr>
            <w:tcW w:w="568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15440 Laguna Canyon Road, Irvine, CA 92618</w:t>
            </w:r>
          </w:p>
        </w:tc>
      </w:tr>
      <w:tr>
        <w:trPr>
          <w:trHeight w:val="216"/>
        </w:trPr>
        <w:tc>
          <w:tcPr>
            <w:tcW w:w="216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Project Description</w:t>
            </w:r>
            <w:r>
              <w:rPr>
                <w:rFonts w:ascii="Times New Roman" w:cs="Times New Roman" w:eastAsia="Times New Roman" w:hAnsi="Times New Roman"/>
                <w:sz w:val="20"/>
                <w:szCs w:val="20"/>
                <w:color w:val="auto"/>
              </w:rPr>
              <w:t>:</w:t>
            </w:r>
          </w:p>
        </w:tc>
        <w:tc>
          <w:tcPr>
            <w:tcW w:w="568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20"/>
                <w:szCs w:val="20"/>
                <w:color w:val="auto"/>
              </w:rPr>
              <w:t>Discovery Park (as shown on Exhibit Y to this Lease)</w:t>
            </w:r>
          </w:p>
        </w:tc>
      </w:tr>
      <w:tr>
        <w:trPr>
          <w:trHeight w:val="20"/>
        </w:trPr>
        <w:tc>
          <w:tcPr>
            <w:tcW w:w="2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16" w:lineRule="exact"/>
        <w:rPr>
          <w:sz w:val="20"/>
          <w:szCs w:val="20"/>
          <w:color w:val="auto"/>
        </w:rPr>
      </w:pPr>
    </w:p>
    <w:p>
      <w:pPr>
        <w:ind w:left="860" w:hanging="852"/>
        <w:spacing w:after="0"/>
        <w:tabs>
          <w:tab w:leader="none" w:pos="860"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Use of Premises</w:t>
      </w:r>
      <w:r>
        <w:rPr>
          <w:rFonts w:ascii="Times New Roman" w:cs="Times New Roman" w:eastAsia="Times New Roman" w:hAnsi="Times New Roman"/>
          <w:sz w:val="20"/>
          <w:szCs w:val="20"/>
          <w:color w:val="auto"/>
        </w:rPr>
        <w:t>: General office and laboratory and for no other use.</w:t>
      </w:r>
    </w:p>
    <w:p>
      <w:pPr>
        <w:spacing w:after="0" w:line="215"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Estimated Commencement Date</w:t>
      </w:r>
      <w:r>
        <w:rPr>
          <w:rFonts w:ascii="Times New Roman" w:cs="Times New Roman" w:eastAsia="Times New Roman" w:hAnsi="Times New Roman"/>
          <w:sz w:val="20"/>
          <w:szCs w:val="20"/>
          <w:color w:val="auto"/>
        </w:rPr>
        <w:t>: 8 weeks following the date of this Lease.</w:t>
      </w:r>
    </w:p>
    <w:p>
      <w:pPr>
        <w:spacing w:after="0" w:line="215"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Lease Term</w:t>
      </w:r>
      <w:r>
        <w:rPr>
          <w:rFonts w:ascii="Times New Roman" w:cs="Times New Roman" w:eastAsia="Times New Roman" w:hAnsi="Times New Roman"/>
          <w:sz w:val="20"/>
          <w:szCs w:val="20"/>
          <w:color w:val="auto"/>
        </w:rPr>
        <w:t>: The Term of this Lease shall expire on January 31, 2024.</w:t>
      </w:r>
    </w:p>
    <w:p>
      <w:pPr>
        <w:spacing w:after="0" w:line="219"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Rent:</w:t>
      </w:r>
    </w:p>
    <w:p>
      <w:pPr>
        <w:spacing w:after="0" w:line="252" w:lineRule="exact"/>
        <w:rPr>
          <w:sz w:val="20"/>
          <w:szCs w:val="20"/>
          <w:color w:val="auto"/>
        </w:rPr>
      </w:pPr>
    </w:p>
    <w:tbl>
      <w:tblPr>
        <w:tblLayout w:type="fixed"/>
        <w:tblInd w:w="760" w:type="dxa"/>
        <w:tblCellMar>
          <w:top w:w="0" w:type="dxa"/>
          <w:left w:w="0" w:type="dxa"/>
          <w:bottom w:w="0" w:type="dxa"/>
          <w:right w:w="0" w:type="dxa"/>
        </w:tblCellMar>
      </w:tblPr>
      <w:tr>
        <w:trPr>
          <w:trHeight w:val="262"/>
        </w:trPr>
        <w:tc>
          <w:tcPr>
            <w:tcW w:w="2680" w:type="dxa"/>
            <w:vAlign w:val="bottom"/>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8"/>
              </w:rPr>
              <w:t>Months of Term or Period</w:t>
            </w:r>
          </w:p>
        </w:tc>
        <w:tc>
          <w:tcPr>
            <w:tcW w:w="446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Monthly Rate Per Rentable Square Foot</w:t>
            </w:r>
          </w:p>
        </w:tc>
        <w:tc>
          <w:tcPr>
            <w:tcW w:w="230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9"/>
              </w:rPr>
              <w:t>Monthly Basic Rent</w:t>
            </w:r>
          </w:p>
        </w:tc>
      </w:tr>
      <w:tr>
        <w:trPr>
          <w:trHeight w:val="297"/>
        </w:trPr>
        <w:tc>
          <w:tcPr>
            <w:tcW w:w="268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w w:val="97"/>
              </w:rPr>
              <w:t>1 to 12</w:t>
            </w:r>
          </w:p>
        </w:tc>
        <w:tc>
          <w:tcPr>
            <w:tcW w:w="446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$2.38</w:t>
            </w:r>
          </w:p>
        </w:tc>
        <w:tc>
          <w:tcPr>
            <w:tcW w:w="230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$13,313.72</w:t>
            </w:r>
          </w:p>
        </w:tc>
      </w:tr>
      <w:tr>
        <w:trPr>
          <w:trHeight w:val="297"/>
        </w:trPr>
        <w:tc>
          <w:tcPr>
            <w:tcW w:w="268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rPr>
              <w:t>13 to 24</w:t>
            </w:r>
          </w:p>
        </w:tc>
        <w:tc>
          <w:tcPr>
            <w:tcW w:w="446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$2.48</w:t>
            </w:r>
          </w:p>
        </w:tc>
        <w:tc>
          <w:tcPr>
            <w:tcW w:w="230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$13,873.12</w:t>
            </w:r>
          </w:p>
        </w:tc>
      </w:tr>
      <w:tr>
        <w:trPr>
          <w:trHeight w:val="297"/>
        </w:trPr>
        <w:tc>
          <w:tcPr>
            <w:tcW w:w="268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rPr>
              <w:t>25 to 36</w:t>
            </w:r>
          </w:p>
        </w:tc>
        <w:tc>
          <w:tcPr>
            <w:tcW w:w="446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$2.58</w:t>
            </w:r>
          </w:p>
        </w:tc>
        <w:tc>
          <w:tcPr>
            <w:tcW w:w="230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$14,432.52</w:t>
            </w:r>
          </w:p>
        </w:tc>
      </w:tr>
      <w:tr>
        <w:trPr>
          <w:trHeight w:val="297"/>
        </w:trPr>
        <w:tc>
          <w:tcPr>
            <w:tcW w:w="268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w w:val="99"/>
              </w:rPr>
              <w:t>37 to 1/31/24</w:t>
            </w:r>
          </w:p>
        </w:tc>
        <w:tc>
          <w:tcPr>
            <w:tcW w:w="446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$2.68</w:t>
            </w:r>
          </w:p>
        </w:tc>
        <w:tc>
          <w:tcPr>
            <w:tcW w:w="230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$14,991.92</w:t>
            </w:r>
          </w:p>
        </w:tc>
      </w:tr>
    </w:tbl>
    <w:p>
      <w:pPr>
        <w:spacing w:after="0" w:line="214"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Notwithstanding the above schedule of Basic Rent to the contrary, as long as Tenant is not in Default (as defined in Section 14.1) under this Lease, Tenant shall be entitled to an abatement of 3 full calendar months of Basic Rent in the aggregate amount of $39,941.16 (i.e. $13,313.72 per month) (the “</w:t>
      </w:r>
      <w:r>
        <w:rPr>
          <w:rFonts w:ascii="Times New Roman" w:cs="Times New Roman" w:eastAsia="Times New Roman" w:hAnsi="Times New Roman"/>
          <w:sz w:val="20"/>
          <w:szCs w:val="20"/>
          <w:b w:val="1"/>
          <w:bCs w:val="1"/>
          <w:color w:val="auto"/>
        </w:rPr>
        <w:t>Abated Basic Rent</w:t>
      </w:r>
      <w:r>
        <w:rPr>
          <w:rFonts w:ascii="Times New Roman" w:cs="Times New Roman" w:eastAsia="Times New Roman" w:hAnsi="Times New Roman"/>
          <w:sz w:val="20"/>
          <w:szCs w:val="20"/>
          <w:color w:val="auto"/>
        </w:rPr>
        <w:t>”) for the first 2 full calendar months of the Term (the “</w:t>
      </w:r>
      <w:r>
        <w:rPr>
          <w:rFonts w:ascii="Times New Roman" w:cs="Times New Roman" w:eastAsia="Times New Roman" w:hAnsi="Times New Roman"/>
          <w:sz w:val="20"/>
          <w:szCs w:val="20"/>
          <w:b w:val="1"/>
          <w:bCs w:val="1"/>
          <w:color w:val="auto"/>
        </w:rPr>
        <w:t>Abatement Period</w:t>
      </w:r>
      <w:r>
        <w:rPr>
          <w:rFonts w:ascii="Times New Roman" w:cs="Times New Roman" w:eastAsia="Times New Roman" w:hAnsi="Times New Roman"/>
          <w:sz w:val="20"/>
          <w:szCs w:val="20"/>
          <w:color w:val="auto"/>
        </w:rPr>
        <w:t>”). In the event this Lease is terminated by Landlord as a result of an uncured Default by Tenant occurring at any time during the Term, the unamortized portion of the Abated Rent (based upon the full Abated Rent being amortized on a straight-line basis over the initial 43-month Term) shall be immediately due and payable to Landlord, but only to the extent Landlord is not otherwise “</w:t>
      </w:r>
      <w:r>
        <w:rPr>
          <w:rFonts w:ascii="Times New Roman" w:cs="Times New Roman" w:eastAsia="Times New Roman" w:hAnsi="Times New Roman"/>
          <w:sz w:val="20"/>
          <w:szCs w:val="20"/>
          <w:b w:val="1"/>
          <w:bCs w:val="1"/>
          <w:color w:val="auto"/>
        </w:rPr>
        <w:t>made whole</w:t>
      </w:r>
      <w:r>
        <w:rPr>
          <w:rFonts w:ascii="Times New Roman" w:cs="Times New Roman" w:eastAsia="Times New Roman" w:hAnsi="Times New Roman"/>
          <w:sz w:val="20"/>
          <w:szCs w:val="20"/>
          <w:color w:val="auto"/>
        </w:rPr>
        <w:t>” for such portion of the unamortized Abated Rent through its recovery of leasehold damages in general. The payment by Tenant of the Abated Basic Rent in the event of a Default shall not limit or affect any of Landlord’s other rights, pursuant to this Lease or at law or in equity. Only Basic Rent shall be abated during the Abatement Period and all other additional rent and other costs and charges specified in this Lease shall remain due and payable pursuant to the provisions of this Lease.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9" w:name="page340"/>
    <w:bookmarkEnd w:id="339"/>
    <w:p>
      <w:pPr>
        <w:ind w:left="860" w:hanging="852"/>
        <w:spacing w:after="0" w:line="273" w:lineRule="auto"/>
        <w:tabs>
          <w:tab w:leader="none" w:pos="86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Expense Recovery Period</w:t>
      </w:r>
      <w:r>
        <w:rPr>
          <w:rFonts w:ascii="Times New Roman" w:cs="Times New Roman" w:eastAsia="Times New Roman" w:hAnsi="Times New Roman"/>
          <w:sz w:val="20"/>
          <w:szCs w:val="20"/>
          <w:color w:val="auto"/>
        </w:rPr>
        <w:t>: Every twelve month period during the Term (or portion thereof during the first and last Lease years)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ending June 30.</w:t>
      </w:r>
    </w:p>
    <w:p>
      <w:pPr>
        <w:spacing w:after="0" w:line="151"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Floor Area of Premises</w:t>
      </w:r>
      <w:r>
        <w:rPr>
          <w:rFonts w:ascii="Times New Roman" w:cs="Times New Roman" w:eastAsia="Times New Roman" w:hAnsi="Times New Roman"/>
          <w:sz w:val="20"/>
          <w:szCs w:val="20"/>
          <w:color w:val="auto"/>
        </w:rPr>
        <w:t>: approximately 5,594 rentable square feet</w:t>
      </w:r>
    </w:p>
    <w:p>
      <w:pPr>
        <w:spacing w:after="0" w:line="215"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Floor Area of Building</w:t>
      </w:r>
      <w:r>
        <w:rPr>
          <w:rFonts w:ascii="Times New Roman" w:cs="Times New Roman" w:eastAsia="Times New Roman" w:hAnsi="Times New Roman"/>
          <w:sz w:val="20"/>
          <w:szCs w:val="20"/>
          <w:color w:val="auto"/>
        </w:rPr>
        <w:t>: approximately 62,814 rentable square feet</w:t>
      </w:r>
    </w:p>
    <w:p>
      <w:pPr>
        <w:spacing w:after="0" w:line="215"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$44,796.75</w:t>
      </w:r>
    </w:p>
    <w:p>
      <w:pPr>
        <w:spacing w:after="0" w:line="215" w:lineRule="exact"/>
        <w:rPr>
          <w:rFonts w:ascii="Times New Roman" w:cs="Times New Roman" w:eastAsia="Times New Roman" w:hAnsi="Times New Roman"/>
          <w:sz w:val="20"/>
          <w:szCs w:val="20"/>
          <w:color w:val="auto"/>
        </w:rPr>
      </w:pPr>
    </w:p>
    <w:p>
      <w:pPr>
        <w:ind w:left="860" w:right="20" w:hanging="852"/>
        <w:spacing w:after="0" w:line="273" w:lineRule="auto"/>
        <w:tabs>
          <w:tab w:leader="none" w:pos="86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Broker(s)</w:t>
      </w:r>
      <w:r>
        <w:rPr>
          <w:rFonts w:ascii="Times New Roman" w:cs="Times New Roman" w:eastAsia="Times New Roman" w:hAnsi="Times New Roman"/>
          <w:sz w:val="20"/>
          <w:szCs w:val="20"/>
          <w:color w:val="auto"/>
        </w:rPr>
        <w:t>: Irvine Management Company (“</w:t>
      </w:r>
      <w:r>
        <w:rPr>
          <w:rFonts w:ascii="Times New Roman" w:cs="Times New Roman" w:eastAsia="Times New Roman" w:hAnsi="Times New Roman"/>
          <w:sz w:val="20"/>
          <w:szCs w:val="20"/>
          <w:b w:val="1"/>
          <w:bCs w:val="1"/>
          <w:color w:val="auto"/>
        </w:rPr>
        <w:t>Landlord’s Broker</w:t>
      </w:r>
      <w:r>
        <w:rPr>
          <w:rFonts w:ascii="Times New Roman" w:cs="Times New Roman" w:eastAsia="Times New Roman" w:hAnsi="Times New Roman"/>
          <w:sz w:val="20"/>
          <w:szCs w:val="20"/>
          <w:color w:val="auto"/>
        </w:rPr>
        <w:t>”) is the agent of Landlord exclusively and CBRE (“</w:t>
      </w:r>
      <w:r>
        <w:rPr>
          <w:rFonts w:ascii="Times New Roman" w:cs="Times New Roman" w:eastAsia="Times New Roman" w:hAnsi="Times New Roman"/>
          <w:sz w:val="20"/>
          <w:szCs w:val="20"/>
          <w:b w:val="1"/>
          <w:bCs w:val="1"/>
          <w:color w:val="auto"/>
        </w:rPr>
        <w:t>Tenant’s Broker</w:t>
      </w:r>
      <w:r>
        <w:rPr>
          <w:rFonts w:ascii="Times New Roman" w:cs="Times New Roman" w:eastAsia="Times New Roman" w:hAnsi="Times New Roman"/>
          <w:sz w:val="20"/>
          <w:szCs w:val="20"/>
          <w:color w:val="auto"/>
        </w:rPr>
        <w:t>”) is the agent of Tenant exclusively.</w:t>
      </w:r>
    </w:p>
    <w:p>
      <w:pPr>
        <w:spacing w:after="0" w:line="151"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Parking</w:t>
      </w:r>
      <w:r>
        <w:rPr>
          <w:rFonts w:ascii="Times New Roman" w:cs="Times New Roman" w:eastAsia="Times New Roman" w:hAnsi="Times New Roman"/>
          <w:sz w:val="20"/>
          <w:szCs w:val="20"/>
          <w:color w:val="auto"/>
        </w:rPr>
        <w:t>: 22 parking spaces in accordance with the provisions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this Lease.</w:t>
      </w:r>
    </w:p>
    <w:p>
      <w:pPr>
        <w:spacing w:after="0" w:line="215"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Address for Payments and Notices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tabs>
          <w:tab w:leader="none" w:pos="6000" w:val="left"/>
        </w:tabs>
        <w:rPr>
          <w:sz w:val="20"/>
          <w:szCs w:val="20"/>
          <w:color w:val="auto"/>
        </w:rPr>
      </w:pPr>
      <w:r>
        <w:rPr>
          <w:rFonts w:ascii="Times New Roman" w:cs="Times New Roman" w:eastAsia="Times New Roman" w:hAnsi="Times New Roman"/>
          <w:sz w:val="20"/>
          <w:szCs w:val="20"/>
          <w:color w:val="auto"/>
        </w:rPr>
        <w:t>LANDLORD</w:t>
      </w:r>
      <w:r>
        <w:rPr>
          <w:sz w:val="20"/>
          <w:szCs w:val="20"/>
          <w:color w:val="auto"/>
        </w:rPr>
        <w:tab/>
      </w:r>
      <w:r>
        <w:rPr>
          <w:rFonts w:ascii="Times New Roman" w:cs="Times New Roman" w:eastAsia="Times New Roman" w:hAnsi="Times New Roman"/>
          <w:sz w:val="20"/>
          <w:szCs w:val="20"/>
          <w:color w:val="auto"/>
        </w:rPr>
        <w:t>TENANT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Registration 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tenantportal@irvinecompany.com to request an account for the  TARSUS PHARMACEUTICALS, INC.</w:t>
      </w:r>
    </w:p>
    <w:p>
      <w:pPr>
        <w:spacing w:after="0" w:line="22" w:lineRule="exact"/>
        <w:rPr>
          <w:sz w:val="20"/>
          <w:szCs w:val="20"/>
          <w:color w:val="auto"/>
        </w:rPr>
      </w:pPr>
    </w:p>
    <w:p>
      <w:pPr>
        <w:ind w:left="6020" w:right="2080" w:hanging="6020"/>
        <w:spacing w:after="0" w:line="246" w:lineRule="auto"/>
        <w:tabs>
          <w:tab w:leader="none" w:pos="6000" w:val="left"/>
        </w:tabs>
        <w:rPr>
          <w:sz w:val="20"/>
          <w:szCs w:val="20"/>
          <w:color w:val="auto"/>
        </w:rPr>
      </w:pPr>
      <w:r>
        <w:rPr>
          <w:rFonts w:ascii="Times New Roman" w:cs="Times New Roman" w:eastAsia="Times New Roman" w:hAnsi="Times New Roman"/>
          <w:sz w:val="20"/>
          <w:szCs w:val="20"/>
          <w:color w:val="auto"/>
        </w:rPr>
        <w:t>Tenant Payment Portal.</w:t>
      </w:r>
      <w:r>
        <w:rPr>
          <w:sz w:val="20"/>
          <w:szCs w:val="20"/>
          <w:color w:val="auto"/>
        </w:rPr>
        <w:tab/>
      </w:r>
      <w:r>
        <w:rPr>
          <w:rFonts w:ascii="Times New Roman" w:cs="Times New Roman" w:eastAsia="Times New Roman" w:hAnsi="Times New Roman"/>
          <w:sz w:val="20"/>
          <w:szCs w:val="20"/>
          <w:color w:val="auto"/>
        </w:rPr>
        <w:t>15440 Laguna Canyon Road, Suite 160 Irvine, CA 92618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 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IRVINE COMPANY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550 Newport Center Drive</w:t>
      </w:r>
    </w:p>
    <w:p>
      <w:pPr>
        <w:spacing w:after="0"/>
        <w:rPr>
          <w:sz w:val="20"/>
          <w:szCs w:val="20"/>
          <w:color w:val="auto"/>
        </w:rPr>
      </w:pPr>
      <w:r>
        <w:rPr>
          <w:rFonts w:ascii="Times New Roman" w:cs="Times New Roman" w:eastAsia="Times New Roman" w:hAnsi="Times New Roman"/>
          <w:sz w:val="20"/>
          <w:szCs w:val="20"/>
          <w:color w:val="auto"/>
        </w:rPr>
        <w:t>Newport Beach, CA 92660</w:t>
      </w:r>
    </w:p>
    <w:p>
      <w:pPr>
        <w:spacing w:after="0"/>
        <w:rPr>
          <w:sz w:val="20"/>
          <w:szCs w:val="20"/>
          <w:color w:val="auto"/>
        </w:rPr>
      </w:pPr>
      <w:r>
        <w:rPr>
          <w:rFonts w:ascii="Times New Roman" w:cs="Times New Roman" w:eastAsia="Times New Roman" w:hAnsi="Times New Roman"/>
          <w:sz w:val="20"/>
          <w:szCs w:val="20"/>
          <w:color w:val="auto"/>
        </w:rPr>
        <w:t>Attn: Senior Vice President, Operations Office Properties</w:t>
      </w:r>
    </w:p>
    <w:p>
      <w:pPr>
        <w:spacing w:after="0" w:line="217" w:lineRule="exact"/>
        <w:rPr>
          <w:sz w:val="20"/>
          <w:szCs w:val="20"/>
          <w:color w:val="auto"/>
        </w:rPr>
      </w:pPr>
    </w:p>
    <w:p>
      <w:pPr>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LIST OF LEASE EXHIBITS </w:t>
      </w:r>
      <w:r>
        <w:rPr>
          <w:rFonts w:ascii="Times New Roman" w:cs="Times New Roman" w:eastAsia="Times New Roman" w:hAnsi="Times New Roman"/>
          <w:sz w:val="20"/>
          <w:szCs w:val="20"/>
          <w:color w:val="auto"/>
        </w:rPr>
        <w:t>(All exhibits, riders and addenda attached to this Lease are hereby incorporated into and made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 of this Lease):</w:t>
      </w:r>
    </w:p>
    <w:p>
      <w:pPr>
        <w:sectPr>
          <w:pgSz w:w="11900" w:h="16838" w:orient="portrait"/>
          <w:cols w:equalWidth="0" w:num="1">
            <w:col w:w="11240"/>
          </w:cols>
          <w:pgMar w:left="320" w:top="329" w:right="339"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w:t>
      </w:r>
    </w:p>
    <w:p>
      <w:pPr>
        <w:spacing w:after="0"/>
        <w:rPr>
          <w:sz w:val="20"/>
          <w:szCs w:val="20"/>
          <w:color w:val="auto"/>
        </w:rPr>
      </w:pPr>
      <w:r>
        <w:rPr>
          <w:rFonts w:ascii="Times New Roman" w:cs="Times New Roman" w:eastAsia="Times New Roman" w:hAnsi="Times New Roman"/>
          <w:sz w:val="20"/>
          <w:szCs w:val="20"/>
          <w:color w:val="auto"/>
        </w:rPr>
        <w:t>Exhibit C</w:t>
      </w:r>
    </w:p>
    <w:p>
      <w:pPr>
        <w:spacing w:after="0"/>
        <w:rPr>
          <w:sz w:val="20"/>
          <w:szCs w:val="20"/>
          <w:color w:val="auto"/>
        </w:rPr>
      </w:pPr>
      <w:r>
        <w:rPr>
          <w:rFonts w:ascii="Times New Roman" w:cs="Times New Roman" w:eastAsia="Times New Roman" w:hAnsi="Times New Roman"/>
          <w:sz w:val="19"/>
          <w:szCs w:val="19"/>
          <w:color w:val="auto"/>
        </w:rPr>
        <w:t>Exhibit 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E</w:t>
      </w:r>
    </w:p>
    <w:p>
      <w:pPr>
        <w:spacing w:after="0"/>
        <w:rPr>
          <w:sz w:val="20"/>
          <w:szCs w:val="20"/>
          <w:color w:val="auto"/>
        </w:rPr>
      </w:pPr>
      <w:r>
        <w:rPr>
          <w:rFonts w:ascii="Times New Roman" w:cs="Times New Roman" w:eastAsia="Times New Roman" w:hAnsi="Times New Roman"/>
          <w:sz w:val="20"/>
          <w:szCs w:val="20"/>
          <w:color w:val="auto"/>
        </w:rPr>
        <w:t>Exhibit F</w:t>
      </w:r>
    </w:p>
    <w:p>
      <w:pPr>
        <w:spacing w:after="0"/>
        <w:rPr>
          <w:sz w:val="20"/>
          <w:szCs w:val="20"/>
          <w:color w:val="auto"/>
        </w:rPr>
      </w:pPr>
      <w:r>
        <w:rPr>
          <w:rFonts w:ascii="Times New Roman" w:cs="Times New Roman" w:eastAsia="Times New Roman" w:hAnsi="Times New Roman"/>
          <w:sz w:val="19"/>
          <w:szCs w:val="19"/>
          <w:color w:val="auto"/>
        </w:rPr>
        <w:t>Exhibit 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J</w:t>
      </w:r>
    </w:p>
    <w:p>
      <w:pPr>
        <w:spacing w:after="0"/>
        <w:rPr>
          <w:sz w:val="20"/>
          <w:szCs w:val="20"/>
          <w:color w:val="auto"/>
        </w:rPr>
      </w:pPr>
      <w:r>
        <w:rPr>
          <w:rFonts w:ascii="Times New Roman" w:cs="Times New Roman" w:eastAsia="Times New Roman" w:hAnsi="Times New Roman"/>
          <w:sz w:val="19"/>
          <w:szCs w:val="19"/>
          <w:color w:val="auto"/>
        </w:rPr>
        <w:t>Exhibit X</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Description of Premises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Expenses</w:t>
      </w:r>
    </w:p>
    <w:p>
      <w:pPr>
        <w:spacing w:after="0"/>
        <w:rPr>
          <w:sz w:val="20"/>
          <w:szCs w:val="20"/>
          <w:color w:val="auto"/>
        </w:rPr>
      </w:pPr>
      <w:r>
        <w:rPr>
          <w:rFonts w:ascii="Times New Roman" w:cs="Times New Roman" w:eastAsia="Times New Roman" w:hAnsi="Times New Roman"/>
          <w:sz w:val="20"/>
          <w:szCs w:val="20"/>
          <w:color w:val="auto"/>
        </w:rPr>
        <w:t>Utilities and Services</w:t>
      </w:r>
    </w:p>
    <w:p>
      <w:pPr>
        <w:spacing w:after="0"/>
        <w:rPr>
          <w:sz w:val="20"/>
          <w:szCs w:val="20"/>
          <w:color w:val="auto"/>
        </w:rPr>
      </w:pPr>
      <w:r>
        <w:rPr>
          <w:rFonts w:ascii="Times New Roman" w:cs="Times New Roman" w:eastAsia="Times New Roman" w:hAnsi="Times New Roman"/>
          <w:sz w:val="20"/>
          <w:szCs w:val="20"/>
          <w:color w:val="auto"/>
        </w:rPr>
        <w:t>Tenant’s Insurance</w:t>
      </w:r>
    </w:p>
    <w:p>
      <w:pPr>
        <w:spacing w:after="0"/>
        <w:rPr>
          <w:sz w:val="20"/>
          <w:szCs w:val="20"/>
          <w:color w:val="auto"/>
        </w:rPr>
      </w:pPr>
      <w:r>
        <w:rPr>
          <w:rFonts w:ascii="Times New Roman" w:cs="Times New Roman" w:eastAsia="Times New Roman" w:hAnsi="Times New Roman"/>
          <w:sz w:val="20"/>
          <w:szCs w:val="20"/>
          <w:color w:val="auto"/>
        </w:rPr>
        <w:t>Rules and Regulations</w:t>
      </w:r>
    </w:p>
    <w:p>
      <w:pPr>
        <w:spacing w:after="0"/>
        <w:rPr>
          <w:sz w:val="20"/>
          <w:szCs w:val="20"/>
          <w:color w:val="auto"/>
        </w:rPr>
      </w:pPr>
      <w:r>
        <w:rPr>
          <w:rFonts w:ascii="Times New Roman" w:cs="Times New Roman" w:eastAsia="Times New Roman" w:hAnsi="Times New Roman"/>
          <w:sz w:val="20"/>
          <w:szCs w:val="20"/>
          <w:color w:val="auto"/>
        </w:rPr>
        <w:t>Parking</w:t>
      </w:r>
    </w:p>
    <w:p>
      <w:pPr>
        <w:spacing w:after="0"/>
        <w:rPr>
          <w:sz w:val="20"/>
          <w:szCs w:val="20"/>
          <w:color w:val="auto"/>
        </w:rPr>
      </w:pPr>
      <w:r>
        <w:rPr>
          <w:rFonts w:ascii="Times New Roman" w:cs="Times New Roman" w:eastAsia="Times New Roman" w:hAnsi="Times New Roman"/>
          <w:sz w:val="20"/>
          <w:szCs w:val="20"/>
          <w:color w:val="auto"/>
        </w:rPr>
        <w:t>Additional Provisions</w:t>
      </w:r>
    </w:p>
    <w:p>
      <w:pPr>
        <w:spacing w:after="0"/>
        <w:rPr>
          <w:sz w:val="20"/>
          <w:szCs w:val="20"/>
          <w:color w:val="auto"/>
        </w:rPr>
      </w:pPr>
      <w:r>
        <w:rPr>
          <w:rFonts w:ascii="Times New Roman" w:cs="Times New Roman" w:eastAsia="Times New Roman" w:hAnsi="Times New Roman"/>
          <w:sz w:val="20"/>
          <w:szCs w:val="20"/>
          <w:color w:val="auto"/>
        </w:rPr>
        <w:t>Landlord’s Disclosures</w:t>
      </w:r>
    </w:p>
    <w:p>
      <w:pPr>
        <w:spacing w:after="0"/>
        <w:rPr>
          <w:sz w:val="20"/>
          <w:szCs w:val="20"/>
          <w:color w:val="auto"/>
        </w:rPr>
      </w:pPr>
      <w:r>
        <w:rPr>
          <w:rFonts w:ascii="Times New Roman" w:cs="Times New Roman" w:eastAsia="Times New Roman" w:hAnsi="Times New Roman"/>
          <w:sz w:val="20"/>
          <w:szCs w:val="20"/>
          <w:color w:val="auto"/>
        </w:rPr>
        <w:t>Survey Form</w:t>
      </w:r>
    </w:p>
    <w:p>
      <w:pPr>
        <w:spacing w:after="0"/>
        <w:rPr>
          <w:sz w:val="20"/>
          <w:szCs w:val="20"/>
          <w:color w:val="auto"/>
        </w:rPr>
      </w:pPr>
      <w:r>
        <w:rPr>
          <w:rFonts w:ascii="Times New Roman" w:cs="Times New Roman" w:eastAsia="Times New Roman" w:hAnsi="Times New Roman"/>
          <w:sz w:val="20"/>
          <w:szCs w:val="20"/>
          <w:color w:val="auto"/>
        </w:rPr>
        <w:t>Work Letter</w:t>
      </w:r>
    </w:p>
    <w:p>
      <w:pPr>
        <w:spacing w:after="0"/>
        <w:rPr>
          <w:sz w:val="20"/>
          <w:szCs w:val="20"/>
          <w:color w:val="auto"/>
        </w:rPr>
      </w:pPr>
      <w:r>
        <w:rPr>
          <w:rFonts w:ascii="Times New Roman" w:cs="Times New Roman" w:eastAsia="Times New Roman" w:hAnsi="Times New Roman"/>
          <w:sz w:val="20"/>
          <w:szCs w:val="20"/>
          <w:color w:val="auto"/>
        </w:rPr>
        <w:t>Project Description</w:t>
      </w:r>
    </w:p>
    <w:p>
      <w:pPr>
        <w:spacing w:after="0" w:line="200" w:lineRule="exact"/>
        <w:rPr>
          <w:sz w:val="20"/>
          <w:szCs w:val="20"/>
          <w:color w:val="auto"/>
        </w:rPr>
      </w:pPr>
    </w:p>
    <w:p>
      <w:pPr>
        <w:sectPr>
          <w:pgSz w:w="11900" w:h="16838" w:orient="portrait"/>
          <w:cols w:equalWidth="0" w:num="2">
            <w:col w:w="4920" w:space="720"/>
            <w:col w:w="5600"/>
          </w:cols>
          <w:pgMar w:left="320" w:top="329"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4946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340" w:name="page341"/>
    <w:bookmarkEnd w:id="340"/>
    <w:tbl>
      <w:tblPr>
        <w:tblLayout w:type="fixed"/>
        <w:tblInd w:w="880" w:type="dxa"/>
        <w:tblCellMar>
          <w:top w:w="0" w:type="dxa"/>
          <w:left w:w="0" w:type="dxa"/>
          <w:bottom w:w="0" w:type="dxa"/>
          <w:right w:w="0" w:type="dxa"/>
        </w:tblCellMar>
      </w:tblPr>
      <w:tr>
        <w:trPr>
          <w:trHeight w:val="262"/>
        </w:trPr>
        <w:tc>
          <w:tcPr>
            <w:tcW w:w="560" w:type="dxa"/>
            <w:vAlign w:val="bottom"/>
          </w:tcPr>
          <w:p>
            <w:pPr>
              <w:spacing w:after="0"/>
              <w:rPr>
                <w:sz w:val="22"/>
                <w:szCs w:val="22"/>
                <w:color w:val="auto"/>
              </w:rPr>
            </w:pPr>
          </w:p>
        </w:tc>
        <w:tc>
          <w:tcPr>
            <w:tcW w:w="9780" w:type="dxa"/>
            <w:vAlign w:val="bottom"/>
          </w:tcPr>
          <w:p>
            <w:pPr>
              <w:ind w:left="3040"/>
              <w:spacing w:after="0"/>
              <w:rPr>
                <w:sz w:val="20"/>
                <w:szCs w:val="20"/>
                <w:color w:val="auto"/>
              </w:rPr>
            </w:pPr>
            <w:r>
              <w:rPr>
                <w:rFonts w:ascii="Times New Roman" w:cs="Times New Roman" w:eastAsia="Times New Roman" w:hAnsi="Times New Roman"/>
                <w:sz w:val="20"/>
                <w:szCs w:val="20"/>
                <w:b w:val="1"/>
                <w:bCs w:val="1"/>
                <w:color w:val="auto"/>
              </w:rPr>
              <w:t>ARTICLE 2. . PREMISES</w:t>
            </w:r>
          </w:p>
        </w:tc>
      </w:tr>
      <w:tr>
        <w:trPr>
          <w:trHeight w:val="439"/>
        </w:trPr>
        <w:tc>
          <w:tcPr>
            <w:tcW w:w="5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87"/>
              </w:rPr>
              <w:t>2.1</w:t>
            </w:r>
          </w:p>
        </w:tc>
        <w:tc>
          <w:tcPr>
            <w:tcW w:w="97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LEASED PREMISES</w:t>
            </w:r>
            <w:r>
              <w:rPr>
                <w:rFonts w:ascii="Times New Roman" w:cs="Times New Roman" w:eastAsia="Times New Roman" w:hAnsi="Times New Roman"/>
                <w:sz w:val="20"/>
                <w:szCs w:val="20"/>
                <w:color w:val="auto"/>
              </w:rPr>
              <w:t>. Landlord leases to Tenant and Tenant leases from Landlord the Premises shown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p>
        </w:tc>
      </w:tr>
    </w:tbl>
    <w:p>
      <w:pPr>
        <w:jc w:val="both"/>
        <w:spacing w:after="0" w:line="241"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containing approximately the floor area set forth in Item 8 of the Basic Lease Provisions (the “</w:t>
      </w:r>
      <w:r>
        <w:rPr>
          <w:rFonts w:ascii="Times New Roman" w:cs="Times New Roman" w:eastAsia="Times New Roman" w:hAnsi="Times New Roman"/>
          <w:sz w:val="20"/>
          <w:szCs w:val="20"/>
          <w:b w:val="1"/>
          <w:bCs w:val="1"/>
          <w:color w:val="auto"/>
        </w:rPr>
        <w:t>Floor Area</w:t>
      </w:r>
      <w:r>
        <w:rPr>
          <w:rFonts w:ascii="Times New Roman" w:cs="Times New Roman" w:eastAsia="Times New Roman" w:hAnsi="Times New Roman"/>
          <w:sz w:val="20"/>
          <w:szCs w:val="20"/>
          <w:color w:val="auto"/>
        </w:rPr>
        <w:t>”). The Premises are located in the building identified in Item 2 of the Basic Lease Provisions (the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 which is a portion of the project described in Item 2 (the “</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 Landlord and Tenant stipulate and agree that the Floor Area of Premises set forth in Item 8 of the Basic Lease Provisions is correct.</w:t>
      </w:r>
    </w:p>
    <w:p>
      <w:pPr>
        <w:spacing w:after="0" w:line="184"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b w:val="1"/>
          <w:bCs w:val="1"/>
          <w:color w:val="auto"/>
        </w:rPr>
        <w:t>2.2 ACCEPTANCE OF PREMISES</w:t>
      </w:r>
      <w:r>
        <w:rPr>
          <w:rFonts w:ascii="Times New Roman" w:cs="Times New Roman" w:eastAsia="Times New Roman" w:hAnsi="Times New Roman"/>
          <w:sz w:val="20"/>
          <w:szCs w:val="20"/>
          <w:color w:val="auto"/>
        </w:rPr>
        <w:t>. Tenant acknowledges that neither Landlord nor any representative of Landlord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any representation or warranty with respect to the Premises, the Building or the Project or the suitability or fitness of either for any purpose, except as set forth in this Lease. Tenant acknowledges that the flooring materials which may be installed within portions of the Premises located on the ground floor of the Building may be limited by the moisture content of the Building slab and underlying soils. The taking of possession or use of the Premises by Tenant for any purpose other than construction shall conclusively establish that the Premises and the Building were in satisfactory condition and in conformity with the provisions of this Lease in all respects. Nothing contained in this Section 2.2 shall affect the commencement of the Term or the obligation of Tenant to pay rent.</w:t>
      </w:r>
    </w:p>
    <w:p>
      <w:pPr>
        <w:spacing w:after="0" w:line="17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b w:val="1"/>
          <w:bCs w:val="1"/>
          <w:color w:val="auto"/>
        </w:rPr>
        <w:t>2.3 GOOD WORKING ORDER WARRANTY</w:t>
      </w:r>
      <w:r>
        <w:rPr>
          <w:rFonts w:ascii="Times New Roman" w:cs="Times New Roman" w:eastAsia="Times New Roman" w:hAnsi="Times New Roman"/>
          <w:sz w:val="20"/>
          <w:szCs w:val="20"/>
          <w:color w:val="auto"/>
        </w:rPr>
        <w:t>. Landlord warrants to Tenant that the fire sprinkler system, lighting,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heating, ventilation and air conditioning systems and electrical systems serving the Premises shall be in good operating condition as of the day the Premises are delivered to Tenant. Provided that Tenant shall notify Landlord of a non- compliance with the foregoing warranty not later than 60 days following the day the Premises are delivered to Tenant, then Landlord shall, except as otherwise provided in this Lease, promptly after receipt of written notice from Tenant setting forth the nature and extent of such non-compliance, rectify same at Landlord’s sole cost and expense (and not as a Project Cost).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 TERM</w:t>
      </w:r>
    </w:p>
    <w:p>
      <w:pPr>
        <w:spacing w:after="0" w:line="216"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b w:val="1"/>
          <w:bCs w:val="1"/>
          <w:color w:val="auto"/>
        </w:rPr>
        <w:t>3.1 GENERAL</w:t>
      </w:r>
      <w:r>
        <w:rPr>
          <w:rFonts w:ascii="Times New Roman" w:cs="Times New Roman" w:eastAsia="Times New Roman" w:hAnsi="Times New Roman"/>
          <w:sz w:val="20"/>
          <w:szCs w:val="20"/>
          <w:color w:val="auto"/>
        </w:rPr>
        <w:t>. The term of this Lease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shall be for the period shown in Item 5 of the Basic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The Term shall commence (“</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 on the earlier of (a) the date the Premises are deemed “</w:t>
      </w:r>
      <w:r>
        <w:rPr>
          <w:rFonts w:ascii="Times New Roman" w:cs="Times New Roman" w:eastAsia="Times New Roman" w:hAnsi="Times New Roman"/>
          <w:sz w:val="20"/>
          <w:szCs w:val="20"/>
          <w:b w:val="1"/>
          <w:bCs w:val="1"/>
          <w:color w:val="auto"/>
        </w:rPr>
        <w:t>ready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occupancy</w:t>
      </w:r>
      <w:r>
        <w:rPr>
          <w:rFonts w:ascii="Times New Roman" w:cs="Times New Roman" w:eastAsia="Times New Roman" w:hAnsi="Times New Roman"/>
          <w:sz w:val="20"/>
          <w:szCs w:val="20"/>
          <w:color w:val="auto"/>
        </w:rPr>
        <w:t>” (as hereinafter defined) and possession thereof is delivered to Tenant, or (b) the date Tenant commences its regular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activities within the Premises. Promptly following request by Landlord, the parties shall memorialize on a form provided by Landlord (the “</w:t>
      </w:r>
      <w:r>
        <w:rPr>
          <w:rFonts w:ascii="Times New Roman" w:cs="Times New Roman" w:eastAsia="Times New Roman" w:hAnsi="Times New Roman"/>
          <w:sz w:val="20"/>
          <w:szCs w:val="20"/>
          <w:b w:val="1"/>
          <w:bCs w:val="1"/>
          <w:color w:val="auto"/>
        </w:rPr>
        <w:t>Commencement Memorandum</w:t>
      </w:r>
      <w:r>
        <w:rPr>
          <w:rFonts w:ascii="Times New Roman" w:cs="Times New Roman" w:eastAsia="Times New Roman" w:hAnsi="Times New Roman"/>
          <w:sz w:val="20"/>
          <w:szCs w:val="20"/>
          <w:color w:val="auto"/>
        </w:rPr>
        <w:t>”) the actual Commencement Date and the expiration date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of this Lease; should Tenant fail to execute and return the Commencement Memorandum to Landlord within 10 business days (or provide specific written objections thereto within that period), then Landlord’s determination of the Commencement and Expiration Dates as set forth in the Commencement Memorandum shall be conclusive. The Premises shall be deemed “</w:t>
      </w:r>
      <w:r>
        <w:rPr>
          <w:rFonts w:ascii="Times New Roman" w:cs="Times New Roman" w:eastAsia="Times New Roman" w:hAnsi="Times New Roman"/>
          <w:sz w:val="20"/>
          <w:szCs w:val="20"/>
          <w:b w:val="1"/>
          <w:bCs w:val="1"/>
          <w:color w:val="auto"/>
        </w:rPr>
        <w:t>ready for occupancy</w:t>
      </w:r>
      <w:r>
        <w:rPr>
          <w:rFonts w:ascii="Times New Roman" w:cs="Times New Roman" w:eastAsia="Times New Roman" w:hAnsi="Times New Roman"/>
          <w:sz w:val="20"/>
          <w:szCs w:val="20"/>
          <w:color w:val="auto"/>
        </w:rPr>
        <w:t>” when Landlord, to the extent applicable, (i) has substantially completed all the work required to be completed by Landlord pursuant to the Work Letter (if any) attached to this Lease but for minor punch list matters, and (ii) has obtained the requisite governmental approvals for Tenant’s occupancy in connection with such work.</w:t>
      </w:r>
    </w:p>
    <w:p>
      <w:pPr>
        <w:spacing w:after="0" w:line="19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3.2 DELAY IN POSSESSION</w:t>
      </w:r>
      <w:r>
        <w:rPr>
          <w:rFonts w:ascii="Times New Roman" w:cs="Times New Roman" w:eastAsia="Times New Roman" w:hAnsi="Times New Roman"/>
          <w:sz w:val="20"/>
          <w:szCs w:val="20"/>
          <w:color w:val="auto"/>
        </w:rPr>
        <w:t>. If Landlord, for any reason whatsoever, cannot deliver possession of the Premises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on or before the Estimated Commencement Date set forth in Item 4 of the Basic Lease Provisions, this Lease shall not be void or voidable nor shall Landlord be liable to Tenant for any resulting loss or damage. However, Tenant shall not be liable for any rent until the Commencement Date occurs as provided in Section 3.1 above, except that if Landlord’s failure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1" w:name="page342"/>
    <w:bookmarkEnd w:id="341"/>
    <w:p>
      <w:pPr>
        <w:jc w:val="both"/>
        <w:spacing w:after="0" w:line="243" w:lineRule="auto"/>
        <w:rPr>
          <w:sz w:val="20"/>
          <w:szCs w:val="20"/>
          <w:color w:val="auto"/>
        </w:rPr>
      </w:pPr>
      <w:r>
        <w:rPr>
          <w:rFonts w:ascii="Times New Roman" w:cs="Times New Roman" w:eastAsia="Times New Roman" w:hAnsi="Times New Roman"/>
          <w:sz w:val="20"/>
          <w:szCs w:val="20"/>
          <w:color w:val="auto"/>
        </w:rPr>
        <w:t>substantially complete all work required of Landlord pursuant to Section 3.1(i) above is attributable to any Tenant Delay described in the Work Letter attached to this Lease, then the Premises shall be deemed ready for occupancy, and Landlord shall be entitled to full performance by Tenant (including the payment of rent), as of the date Landlord would have been able to substantially complete such work and deliver the Premises to Tenant but for the Tenant Delay(s). Notwithstanding the foregoing, Landlord shall not tender possession of the Premises to Tenant during any period in which Tenant (i) is prevented from occupying the Premises by or in connection with any “</w:t>
      </w:r>
      <w:r>
        <w:rPr>
          <w:rFonts w:ascii="Times New Roman" w:cs="Times New Roman" w:eastAsia="Times New Roman" w:hAnsi="Times New Roman"/>
          <w:sz w:val="20"/>
          <w:szCs w:val="20"/>
          <w:b w:val="1"/>
          <w:bCs w:val="1"/>
          <w:color w:val="auto"/>
        </w:rPr>
        <w:t>shelter in place</w:t>
      </w:r>
      <w:r>
        <w:rPr>
          <w:rFonts w:ascii="Times New Roman" w:cs="Times New Roman" w:eastAsia="Times New Roman" w:hAnsi="Times New Roman"/>
          <w:sz w:val="20"/>
          <w:szCs w:val="20"/>
          <w:color w:val="auto"/>
        </w:rPr>
        <w:t>” or similar order issued by any federal, state, or local governmental agency in connection with the COVID-19 pandemic, or (ii) is advised by official recommendation issued by any public health agency in connection with the COVID-19 pandemic that it not occupy the Premises for its regular business activities.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 RENT AND OPERATING EXPENSES</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b w:val="1"/>
          <w:bCs w:val="1"/>
          <w:color w:val="auto"/>
        </w:rPr>
        <w:t>4.1 BASIC RENT</w:t>
      </w:r>
      <w:r>
        <w:rPr>
          <w:rFonts w:ascii="Times New Roman" w:cs="Times New Roman" w:eastAsia="Times New Roman" w:hAnsi="Times New Roman"/>
          <w:sz w:val="20"/>
          <w:szCs w:val="20"/>
          <w:color w:val="auto"/>
        </w:rPr>
        <w:t>. From and after the Commencement Date, Tenant shall pay to Landlord without deduction or offset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Basic Rent for the Premises in the total amount shown (including subsequent adjustments, if any) in Item 6 of the Basic Lease Provisions (the “</w:t>
      </w:r>
      <w:r>
        <w:rPr>
          <w:rFonts w:ascii="Times New Roman" w:cs="Times New Roman" w:eastAsia="Times New Roman" w:hAnsi="Times New Roman"/>
          <w:sz w:val="20"/>
          <w:szCs w:val="20"/>
          <w:b w:val="1"/>
          <w:bCs w:val="1"/>
          <w:color w:val="auto"/>
        </w:rPr>
        <w:t>Basic Rent</w:t>
      </w:r>
      <w:r>
        <w:rPr>
          <w:rFonts w:ascii="Times New Roman" w:cs="Times New Roman" w:eastAsia="Times New Roman" w:hAnsi="Times New Roman"/>
          <w:sz w:val="20"/>
          <w:szCs w:val="20"/>
          <w:color w:val="auto"/>
        </w:rPr>
        <w:t>”). If the Commencement Date is other than the first day of a calendar month, any rental adjustment shown in Item 6 shall be deemed to occur on the first day of the next calendar month following the specified monthly anniversary of the Commencement Date. The Basic Rent shall be due and payable in advance commencing on the Commencement Date and continuing thereafter on the first day of each successive calendar month of the Term, as prorated for any partial month. No demand, notice or invoice shall be required. An installment in the amount of 1 full month’s Basic Rent at the initial rate specified in Item 6 of the Basic Lease Provisions, and 1 month’s estimated Tenant’s Share of Operating Expenses shall be delivered to Landlord concurrently with Tenant’s execution of this Lease.</w:t>
      </w:r>
    </w:p>
    <w:p>
      <w:pPr>
        <w:spacing w:after="0" w:line="182"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20"/>
          <w:szCs w:val="20"/>
          <w:b w:val="1"/>
          <w:bCs w:val="1"/>
          <w:color w:val="auto"/>
        </w:rPr>
        <w:t>OPERATING EXPENSES</w:t>
      </w:r>
      <w:r>
        <w:rPr>
          <w:rFonts w:ascii="Times New Roman" w:cs="Times New Roman" w:eastAsia="Times New Roman" w:hAnsi="Times New Roman"/>
          <w:sz w:val="20"/>
          <w:szCs w:val="20"/>
          <w:color w:val="auto"/>
        </w:rPr>
        <w:t>. Tenant shall pay Tenant’s Share of Operating Expenses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Lease.</w:t>
      </w:r>
    </w:p>
    <w:p>
      <w:pPr>
        <w:spacing w:after="0" w:line="19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b w:val="1"/>
          <w:bCs w:val="1"/>
          <w:color w:val="auto"/>
        </w:rPr>
        <w:t>4.3 SECURITY DEPOSIT</w:t>
      </w:r>
      <w:r>
        <w:rPr>
          <w:rFonts w:ascii="Times New Roman" w:cs="Times New Roman" w:eastAsia="Times New Roman" w:hAnsi="Times New Roman"/>
          <w:sz w:val="20"/>
          <w:szCs w:val="20"/>
          <w:color w:val="auto"/>
        </w:rPr>
        <w:t>. Concurrently with Tenant’s delivery of this Lease, Tenant shall deposit with Landlord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sum, if any, stated in Item 9 of the Basic Lease Provisions (the “</w:t>
      </w: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to be held by Landlord as security for the full and faithful performance of Tenant’s obligations under this Lease, to pay any rental sums, including without limitation such additional rent as may be owing under any provision hereof, and to maintain the Premises as required by this Lease. Upon any Default by Tenant, Landlord may apply all or part of the Security Deposit as full or partial compensation. If any portion of the Security Deposit is so applied, Tenant shall within 5 days after written demand by Landlord deposit cash with Landlord in an amount sufficient to restore the Security Deposit to its original amount. Landlord shall not be required to keep the Security Deposit separate from its general funds, and Tenant shall not be entitled to interest on the Security Deposit. In no event may Tenant utilize all or any portion of the Security Deposit as a payment toward any rental sum due under this Lease. Any unapplied balance of the Security Deposit shall be returned to Tenant or, at Landlord’s option, to the last assignee of Tenant’s interest in this Lease within 30 days following the termination of this Lease and Tenant’s vacation of the Premises. Tenant hereby waives the provisions of Section 1950.7 of the California Civil Code, or any similar or successor laws now or hereafter in effect. Notwithstanding the foregoing, provided Tenant has not been in Default hereunder, Landlord shall reduce the Security Deposit, and credit such reduction against the Basic Rent due hereunder, in the amounts of $13,873.12 and $14,432.52 as of the first day of the 24th and 36th Lease months,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 USES</w:t>
      </w:r>
    </w:p>
    <w:p>
      <w:pPr>
        <w:spacing w:after="0" w:line="21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5.1 USE</w:t>
      </w:r>
      <w:r>
        <w:rPr>
          <w:rFonts w:ascii="Times New Roman" w:cs="Times New Roman" w:eastAsia="Times New Roman" w:hAnsi="Times New Roman"/>
          <w:sz w:val="20"/>
          <w:szCs w:val="20"/>
          <w:color w:val="auto"/>
        </w:rPr>
        <w:t>. Tenant shall use the Premises only for the purposes stated in Item 3 of the Basic Lease Provisions and for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use whatsoever. Tenant shall not do or permit anything to be done in 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2" w:name="page343"/>
    <w:bookmarkEnd w:id="342"/>
    <w:p>
      <w:pPr>
        <w:jc w:val="both"/>
        <w:spacing w:after="0" w:line="241" w:lineRule="auto"/>
        <w:rPr>
          <w:sz w:val="20"/>
          <w:szCs w:val="20"/>
          <w:color w:val="auto"/>
        </w:rPr>
      </w:pPr>
      <w:r>
        <w:rPr>
          <w:rFonts w:ascii="Times New Roman" w:cs="Times New Roman" w:eastAsia="Times New Roman" w:hAnsi="Times New Roman"/>
          <w:sz w:val="20"/>
          <w:szCs w:val="20"/>
          <w:color w:val="auto"/>
        </w:rPr>
        <w:t>about the Premises which will in any way interfere with the rights or quiet enjoyment of other occupants of the Building or the Project, or use or allow the Premises to be used for any unlawful purpose, nor shall Tenant permit any nuisance in the Premises or the Project. Tenant shall comply at its expense with all present and future laws, ordinances and requirements of all governmental authorities that pertain to Tenant or its use of the Premises, and with all reasonable energy usage reporting requirements of Landlord. Pursuant to California Civil Code § 1938, Landlord hereby states that the Premises have not undergone inspection by a Certified Access Specialist (CASp) (defined in California Civil Code § 55.52(a)(3)). Pursuant to Section 1938 of the California Civil Code, Landlord hereby provides the following notification to Tenant: “</w:t>
      </w:r>
      <w:r>
        <w:rPr>
          <w:rFonts w:ascii="Times New Roman" w:cs="Times New Roman" w:eastAsia="Times New Roman" w:hAnsi="Times New Roman"/>
          <w:sz w:val="20"/>
          <w:szCs w:val="20"/>
          <w:b w:val="1"/>
          <w:bCs w:val="1"/>
          <w:color w:val="auto"/>
        </w:rPr>
        <w:t>A Certified Access Specialist (CASp) can inspect the subject premises and determine whether the subject premises comply with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Landlord shall correct, repair and/or replace any non-compliance of the Building and/or the Common Areas with all building permits and codes in effect and applicable as of the Commencement Date, including without limitation, the provisions of Title III of the Americans With Disabilities Act (“</w:t>
      </w:r>
      <w:r>
        <w:rPr>
          <w:rFonts w:ascii="Times New Roman" w:cs="Times New Roman" w:eastAsia="Times New Roman" w:hAnsi="Times New Roman"/>
          <w:sz w:val="20"/>
          <w:szCs w:val="20"/>
          <w:b w:val="1"/>
          <w:bCs w:val="1"/>
          <w:color w:val="auto"/>
        </w:rPr>
        <w:t>ADA</w:t>
      </w:r>
      <w:r>
        <w:rPr>
          <w:rFonts w:ascii="Times New Roman" w:cs="Times New Roman" w:eastAsia="Times New Roman" w:hAnsi="Times New Roman"/>
          <w:sz w:val="20"/>
          <w:szCs w:val="20"/>
          <w:color w:val="auto"/>
        </w:rPr>
        <w:t>”). Said costs of compliance shall be Landlord’s sole cost and expense and shall not be part of Project Costs. Landlord shall correct, repair or replace any non-compliance of the Building and the Common Areas with any revisions or amendments to applicable building codes, including the ADA, becoming effective after the execution of this Lease, provided that the amortized cost of such repairs or replacements (amortized over the useful life thereof) shall be included as Project Costs payable by Tenant. All other ADA compliance issues which pertain to the Premises, including without limitation, in connection with Tenant’s construction of any Alterations or other improvements in the Premises (and any resulting ADA compliance requirements in the Common Areas if Landlord shall consent to same as more particularly provided in Section 7.3 of this Lease) and the operation of Tenant’s business and employment practices in the Premises, shall be the responsibility of Tenant at its sole cost and expense. The repairs, corrections or replacements required of Landlord or of Tenant under the foregoing provisions of this Section 5.1 shall be made promptly following notice of non-compliance from any applicable governmental agency.</w:t>
      </w:r>
    </w:p>
    <w:p>
      <w:pPr>
        <w:spacing w:after="0" w:line="183"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5.2 SIGNS</w:t>
      </w:r>
      <w:r>
        <w:rPr>
          <w:rFonts w:ascii="Times New Roman" w:cs="Times New Roman" w:eastAsia="Times New Roman" w:hAnsi="Times New Roman"/>
          <w:sz w:val="20"/>
          <w:szCs w:val="20"/>
          <w:color w:val="auto"/>
        </w:rPr>
        <w:t>. As soon as possible following the Commencement Date, but not later than December 31, 2020, Landlord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affix and maintain a sign (restricted solely to Tenant’s name/logo as set forth herein or such other name as Landlord may consent to in writing) adjacent to the entry door of the Premises, together with a listing for Tenant’s name as set forth herein in the lobby directory of the Building. Tenant shall not place or allow to be placed any other sign, decoration or advertising matter of any kind that is visible from the exterior of the Premises.</w:t>
      </w:r>
    </w:p>
    <w:p>
      <w:pPr>
        <w:spacing w:after="0" w:line="18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9"/>
          <w:szCs w:val="19"/>
          <w:b w:val="1"/>
          <w:bCs w:val="1"/>
          <w:color w:val="auto"/>
        </w:rPr>
        <w:t>HAZARDOUS MATERIALS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7" w:lineRule="auto"/>
        <w:tabs>
          <w:tab w:leader="none" w:pos="2595"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Lease, the term “</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(i) any “</w:t>
      </w:r>
      <w:r>
        <w:rPr>
          <w:rFonts w:ascii="Times New Roman" w:cs="Times New Roman" w:eastAsia="Times New Roman" w:hAnsi="Times New Roman"/>
          <w:sz w:val="20"/>
          <w:szCs w:val="20"/>
          <w:b w:val="1"/>
          <w:bCs w:val="1"/>
          <w:color w:val="auto"/>
        </w:rPr>
        <w:t>hazardous material</w:t>
      </w:r>
      <w:r>
        <w:rPr>
          <w:rFonts w:ascii="Times New Roman" w:cs="Times New Roman" w:eastAsia="Times New Roman" w:hAnsi="Times New Roman"/>
          <w:sz w:val="20"/>
          <w:szCs w:val="20"/>
          <w:color w:val="auto"/>
        </w:rPr>
        <w:t>” as defined in Section 25501(n) of the California Health and Safety Code, (ii) hydrocarbons, polychlorinated biphenyls or asbestos, (iii) any toxic or hazardous materials, substances, wastes or materials as defined pursuant to any other applicable state, federal or local law or regulation, and (iv) any other substance or matter which may result in liability to any person or entity as a result of such person’s possession, use, storage, release or distribution of such substance or matter under any statutory or common law theory.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3" w:name="page344"/>
    <w:bookmarkEnd w:id="343"/>
    <w:p>
      <w:pPr>
        <w:jc w:val="both"/>
        <w:ind w:firstLine="1735"/>
        <w:spacing w:after="0" w:line="241" w:lineRule="auto"/>
        <w:tabs>
          <w:tab w:leader="none" w:pos="2606"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cause or permit any Hazardous Materials to be brought upon, stored, used, generated, released or disposed of on, under, from or about the Premises (including without limitation the soil and groundwater thereunder) without the prior written consent of Landlord, which consent may be given or withheld in Landlord’s sole and absolute discretion. Notwithstanding the foregoing, Tenant shall have the right, without obtaining prior written consent of Landlord, to utilize within the Premises a reasonable quantity of standard office products that may contain Hazardous Materials (such as photocopy toner, “</w:t>
      </w:r>
      <w:r>
        <w:rPr>
          <w:rFonts w:ascii="Times New Roman" w:cs="Times New Roman" w:eastAsia="Times New Roman" w:hAnsi="Times New Roman"/>
          <w:sz w:val="20"/>
          <w:szCs w:val="20"/>
          <w:b w:val="1"/>
          <w:bCs w:val="1"/>
          <w:color w:val="auto"/>
        </w:rPr>
        <w:t>White Out</w:t>
      </w:r>
      <w:r>
        <w:rPr>
          <w:rFonts w:ascii="Times New Roman" w:cs="Times New Roman" w:eastAsia="Times New Roman" w:hAnsi="Times New Roman"/>
          <w:sz w:val="20"/>
          <w:szCs w:val="20"/>
          <w:color w:val="auto"/>
        </w:rPr>
        <w:t xml:space="preserve">”, and the like),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Tenant shall maintain such products in their original retail packaging, shall follow all instructions on such packaging with respect to the storage, use and disposal of such products, and shall otherwise comply with all applicable laws with respect to such products, and (ii) all of the other terms and provisions of this Section 5.3 shall apply with respect to Tenant’s storage, use and disposal of all such products; and to utilize within the Premises those Hazardous Materials in kind and content listed on the Survey Form delivered to Landlord prior to the execution of this 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Tenant shall comply with all applicable laws with respect to such Hazardous Materials and all of the other terms and provisions of this Section 5.3 shall apply with respect to Tenant’s storage, use and disposal of such Hazardous Materials. Landlord may, in its sole and absolute discretion, place such conditions as Landlord deems appropriate with respect to Tenant’s use, storage and/or disposal of any Hazardous Materials requiring Landlord’s consent. Tenant understands that Landlord may utilize an environmental consultant to assist in determining conditions of approval in connection with the storage, use, release, and/or disposal of Hazardous Materials by Tenant on or about the Premises, and/or to conduct periodic inspections of the storage, generation, use, release and/or disposal of such Hazardous Materials by Tenant on and from the Premises, and Tenant agrees that any costs incurred by Landlord in connection therewith shall be reimbursed by Tenant to Landlord as additional rent hereunder upon demand.</w:t>
      </w:r>
    </w:p>
    <w:p>
      <w:pPr>
        <w:spacing w:after="0" w:line="191" w:lineRule="exact"/>
        <w:rPr>
          <w:rFonts w:ascii="Times New Roman" w:cs="Times New Roman" w:eastAsia="Times New Roman" w:hAnsi="Times New Roman"/>
          <w:sz w:val="20"/>
          <w:szCs w:val="20"/>
          <w:color w:val="auto"/>
        </w:rPr>
      </w:pPr>
    </w:p>
    <w:p>
      <w:pPr>
        <w:jc w:val="both"/>
        <w:ind w:firstLine="1735"/>
        <w:spacing w:after="0" w:line="241" w:lineRule="auto"/>
        <w:tabs>
          <w:tab w:leader="none" w:pos="2595"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execution of this Lease, Tenant shall complete, execute and deliver to Landlord a Hazardous Material Survey Form (the “</w:t>
      </w:r>
      <w:r>
        <w:rPr>
          <w:rFonts w:ascii="Times New Roman" w:cs="Times New Roman" w:eastAsia="Times New Roman" w:hAnsi="Times New Roman"/>
          <w:sz w:val="20"/>
          <w:szCs w:val="20"/>
          <w:b w:val="1"/>
          <w:bCs w:val="1"/>
          <w:color w:val="auto"/>
        </w:rPr>
        <w:t>Survey Form</w:t>
      </w:r>
      <w:r>
        <w:rPr>
          <w:rFonts w:ascii="Times New Roman" w:cs="Times New Roman" w:eastAsia="Times New Roman" w:hAnsi="Times New Roman"/>
          <w:sz w:val="20"/>
          <w:szCs w:val="20"/>
          <w:color w:val="auto"/>
        </w:rPr>
        <w:t xml:space="preserve">”)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attached hereto. The completed Survey Form shall be deemed incorporated into this Lease for all purposes, and Landlord shall be entitled to rely fully on the information contained therein. On each anniversary of the Commencement Date until the expiration or sooner termination of this Lease, Tenant shall disclose to Landlord in writing the names and amounts of all Hazardous Materials which were stored, generated, used, released and/or disposed of on, under or about the Premises for the twelve-month period prior thereto, and which Tenant desires to store, generate, use, release and/or dispose of on, under or about the Premises for the succeeding twelve-month period. In addition, to the extent Tenant is permitted to utilize Hazardous Materials upon the Premises, Tenant shall promptly provide Landlord with complete and legible copies of all the following environmental documents relating thereto: reports filed pursuant to any self-reporting requirements; permit applications, permits, monitoring reports, emergency response or action plans, workplace exposure and community exposure warnings or notices and all other reports, disclosures, plans or documents (even those which may be characterized as confidential) relating to water discharges, air pollution, waste generation or disposal, and underground storage tanks for Hazardous Materials; orders, reports, notices, listings and correspondence (even those which may be considered confidential) of or concerning the release, investigation, compliance, cleanup, remedial and corrective actions, and abatement of Hazardous Materials; and all complaints, pleadings and other legal documents filed by or against Tenant related to Tenant’s storage, generation, use, release and/or disposal of Hazardous Materials.</w:t>
      </w:r>
    </w:p>
    <w:p>
      <w:pPr>
        <w:spacing w:after="0" w:line="194"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its agents shall have the right, but not the obligation, to inspect, sample and/or monitor the Premises and/or the soil or groundwater thereunder at any time to determine whether Tenant is complying with the terms of this Section 5.3, and in connection therewith Tenant shall provide Landlord with full access to all facilities, records and personnel related thereto. If Tenant is not in compliance with any of the provisions of this Section 5.3, or in the event of a release of any Hazardous Material on, under, from or about the Premises caused or permitted by Tenant, its agents, employees,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4" w:name="page345"/>
    <w:bookmarkEnd w:id="344"/>
    <w:p>
      <w:pPr>
        <w:jc w:val="both"/>
        <w:spacing w:after="0" w:line="243" w:lineRule="auto"/>
        <w:rPr>
          <w:sz w:val="20"/>
          <w:szCs w:val="20"/>
          <w:color w:val="auto"/>
        </w:rPr>
      </w:pPr>
      <w:r>
        <w:rPr>
          <w:rFonts w:ascii="Times New Roman" w:cs="Times New Roman" w:eastAsia="Times New Roman" w:hAnsi="Times New Roman"/>
          <w:sz w:val="20"/>
          <w:szCs w:val="20"/>
          <w:color w:val="auto"/>
        </w:rPr>
        <w:t>contractors, licensees, subtenants or invitees, Landlord and its agents shall have the right, but not the obligation, without limitation upon any of Landlord’s other rights and remedies under this Lease, to immediately enter upon the Premises without notice and to discharge Tenant’s obligations under this Section 5.3 at Tenant’s expense, including without limitation the taking of emergency or long-term remedial action. Landlord and its agents shall endeavor to minimize interference with Tenant’s business in connection therewith, but shall not be liable for any such interference. In addition, Landlord, at Tenant’s expense, shall have the right, but not the obligation, to join and participate in any legal proceedings or actions initiated in connection with any claims arising out of the storage, generation, use, release and/or disposal by Tenant or its agents, employees, contractors, licensees, subtenants or invitees of Hazardous Materials on, under, from or about the Premises.</w:t>
      </w:r>
    </w:p>
    <w:p>
      <w:pPr>
        <w:spacing w:after="0" w:line="200" w:lineRule="exact"/>
        <w:rPr>
          <w:sz w:val="20"/>
          <w:szCs w:val="20"/>
          <w:color w:val="auto"/>
        </w:rPr>
      </w:pPr>
    </w:p>
    <w:p>
      <w:pPr>
        <w:spacing w:after="0" w:line="222" w:lineRule="exact"/>
        <w:rPr>
          <w:sz w:val="20"/>
          <w:szCs w:val="20"/>
          <w:color w:val="auto"/>
        </w:rPr>
      </w:pPr>
    </w:p>
    <w:p>
      <w:pPr>
        <w:jc w:val="both"/>
        <w:ind w:firstLine="1735"/>
        <w:spacing w:after="0"/>
        <w:tabs>
          <w:tab w:leader="none" w:pos="2595"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presence of any Hazardous Materials on, under, from or about the Premises or the Project caused or permitted by Tenant or its agents, employees, contractors, licensees, subtenants or invitees results in (i) injury to any person, (ii) injury to or any contamination of the Premises or the Project, or (iii) injury to or contamination of any real or personal property wherever situated, Tenant, at its expense, shall promptly take all actions necessary to return the Premises and the Project and any other affected real or personal property owned by Landlord to the condition existing prior to the introduction of such Hazardous Materials and to remedy or repair any such injury or contamination, including without limitation, any cleanup, remediation, removal, disposal, neutralization or other treatment of any such Hazardous Materials. Notwithstanding the foregoing, Tenant shall not, without Landlord’s prior written consent, which consent may be given or withheld in Landlord’s sole and absolute discretion, take any remedial action in response to the presence of any Hazardous Materials on, under, from or about the Premises or the Project or any other affected real or personal property owned by Landlord or enter into any similar agreement, consent, decree or other compromise with any governmental agency with respect to any Hazardous Materials claims;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Landlord’s prior written consent shall not be necessary in the event that the presence of Hazardous Materials on, under, from or about the Premises or the Project or any other affected real or personal property owned by Landlord (i) imposes an immediate threat to the health, safety or welfare of any individual and (ii) is of such a nature that an immediate remedial response is necessary and it is not possible to obtain Landlord’s consent before taking such action. To the fullest extent permitted by law, Tenant shall indemnify, hold harmless, protect and defend (with attorneys acceptable to Landlord) Landlord and any successors to all or any portion of Landlord’s interest in the Premises and the Project and any other real or personal property owned by Landlord from and against any and all liabilities, losses, damages, diminution in value, judgments, fines, demands, claims, recoveries, deficiencies, costs and expenses (including without limitation attorneys’ fees, court costs and other professional expenses), whether foreseeable or unforeseeable, arising directly or indirectly out of the use, generation, storage, treatment, release, on- or off-site disposal or transportation of Hazardous Materials on, into, from, under or about the Premises, the Building or the Project and any other real or personal property owned by Landlord caused or permitted by Tenant, its agents, employees, contractors, licensees, subtenants or invitees. Such indemnity obligation shall specifically include, without limitation, the cost of any required or necessary repair, restoration, cleanup or detoxification of the Premises, the Building and the Project and any other real or personal property owned by Landlord, the preparation of any closure or other required plans, whether such action is required or necessary during the Term or after the expiration of this Lease and any loss of rental due to the inability to lease the Premises or any portion of the Building or Project as a result of such Hazardous Materials, the remediation thereof or any repair, restoration or cleanup related thereto. If it is at any time discovered that Tenant or its agents, employees, contractors, licensees, subtenants or invitees may have caused or permitted the release of any Hazardous Materials on, under, from or about the Premises, the Building or the Project or any other real or personal property owned by Landlord, Tenant shall, at Landlord’s request, immediately prepare and submit to Landlord a comprehensive plan, subject to Landlord’s approval, specifying the actions to be taken by Tenant to return the Premises, the Building or the Project or any other real or personal property owned by Landlord to the condition existing prior to the introduction of such</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5" w:name="page346"/>
    <w:bookmarkEnd w:id="345"/>
    <w:p>
      <w:pPr>
        <w:jc w:val="both"/>
        <w:spacing w:after="0" w:line="249" w:lineRule="auto"/>
        <w:rPr>
          <w:sz w:val="20"/>
          <w:szCs w:val="20"/>
          <w:color w:val="auto"/>
        </w:rPr>
      </w:pPr>
      <w:r>
        <w:rPr>
          <w:rFonts w:ascii="Times New Roman" w:cs="Times New Roman" w:eastAsia="Times New Roman" w:hAnsi="Times New Roman"/>
          <w:sz w:val="20"/>
          <w:szCs w:val="20"/>
          <w:color w:val="auto"/>
        </w:rPr>
        <w:t>Hazardous Materials. Upon Landlord’s approval of such plan, Tenant shall, at its expense, and without limitation of any rights and remedies of Landlord under this Lease or at law or in equity, immediately implement such plan and proceed to cleanup, remediate and/or remove all such Hazardous Materials in accordance with all applicable laws and as required by such plan and this Lease. The provisions of this Section 5.3(e) shall expressly survive the expiration or sooner termination of this Lease.</w:t>
      </w:r>
    </w:p>
    <w:p>
      <w:pPr>
        <w:spacing w:after="0" w:line="180" w:lineRule="exact"/>
        <w:rPr>
          <w:sz w:val="20"/>
          <w:szCs w:val="20"/>
          <w:color w:val="auto"/>
        </w:rPr>
      </w:pPr>
    </w:p>
    <w:p>
      <w:pPr>
        <w:jc w:val="both"/>
        <w:ind w:firstLine="1735"/>
        <w:spacing w:after="0" w:line="243" w:lineRule="auto"/>
        <w:tabs>
          <w:tab w:leader="none" w:pos="2573"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hereby discloses to Tenant, and Tenant hereby acknowledges, certain facts relating to Hazardous Materials at the Project known by Landlord to exist as of the date of this Lease, as more particularly described in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attached hereto. Tenant shall have no liability or responsibility with respect to the Hazardous Materials facts described in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nor with respect to any Hazardous Materials which Tenant proves were not caused or permitted by Tenant, its agents, employees, contractors, licensees, subtenants or invitees. Notwithstanding the preceding two sentences, Tenant agrees to notify its agents, employees, contractors, licensees, subtenants, and invitees of any exposure or potential exposure to Hazardous Materials at the Premises that Landlord brings to Tenant’s attention. Tenant hereby acknowledges that this disclosure satisfies any obligation of Landlord to Tenant pursuant to California Health &amp; Safety Code Section 25359.7, or any amendment or substitute thereto or any other disclosure obligations of Landlord.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 LANDLORD SERVICES</w:t>
      </w:r>
    </w:p>
    <w:p>
      <w:pPr>
        <w:spacing w:after="0" w:line="216"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b w:val="1"/>
          <w:bCs w:val="1"/>
          <w:color w:val="auto"/>
        </w:rPr>
        <w:t>6.1 UTILITIES AND SERVICES</w:t>
      </w:r>
      <w:r>
        <w:rPr>
          <w:rFonts w:ascii="Times New Roman" w:cs="Times New Roman" w:eastAsia="Times New Roman" w:hAnsi="Times New Roman"/>
          <w:sz w:val="20"/>
          <w:szCs w:val="20"/>
          <w:color w:val="auto"/>
        </w:rPr>
        <w:t>. Landlord and Tenant shall be responsible to furnish those utilities and services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Premises to the extent provided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subject to the conditions and payment obligations and standards set forth in this Lease. Landlord’s failure to furnish, or any interruption, diminishment or termination of, services due to the application of laws, the failure of any equipment, the performance of repairs, improvements or alterations, utility interruptions or the occurrence of an event of force majeure (defined in Section 20.7) shall not render Landlord liable to Tenant, constitute a constructive eviction of Tenant, give rise to an abatement of Rent, nor relieve Tenant from the obligation to fulfill any covenant or agreement, except that Landlord shall diligently attempt to restore the service or utility promptly. However, if the Premises, or a material portion of the Premises, are made untenantable for a period in excess of 3 consecutive business days as a result of a service interruption that is reasonably within the control of Landlord to correct and through no fault of Tenant and for reasons other than as contemplated in Article 11, then Tenant, as its sole remedy, shall be entitled to receive an abatement of Rent payable hereunder during the period beginning on the 4th consecutive business day of the service interruption and ending on the day the service has been restored.</w:t>
      </w:r>
    </w:p>
    <w:p>
      <w:pPr>
        <w:spacing w:after="0" w:line="190"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6.2 OPERATION AND MAINTENANCE OF COMMON AREAS</w:t>
      </w:r>
      <w:r>
        <w:rPr>
          <w:rFonts w:ascii="Times New Roman" w:cs="Times New Roman" w:eastAsia="Times New Roman" w:hAnsi="Times New Roman"/>
          <w:sz w:val="20"/>
          <w:szCs w:val="20"/>
          <w:color w:val="auto"/>
        </w:rPr>
        <w:t>. During the Term, Landlord shall operate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Areas within the Building and the Project. The term “</w:t>
      </w:r>
      <w:r>
        <w:rPr>
          <w:rFonts w:ascii="Times New Roman" w:cs="Times New Roman" w:eastAsia="Times New Roman" w:hAnsi="Times New Roman"/>
          <w:sz w:val="20"/>
          <w:szCs w:val="20"/>
          <w:b w:val="1"/>
          <w:bCs w:val="1"/>
          <w:color w:val="auto"/>
        </w:rPr>
        <w:t>Common Areas</w:t>
      </w:r>
      <w:r>
        <w:rPr>
          <w:rFonts w:ascii="Times New Roman" w:cs="Times New Roman" w:eastAsia="Times New Roman" w:hAnsi="Times New Roman"/>
          <w:sz w:val="20"/>
          <w:szCs w:val="20"/>
          <w:color w:val="auto"/>
        </w:rPr>
        <w:t>” shall mean all areas within the Building and other buildings in the Project which are not held for exclusive use by persons entitled to occupy space.</w:t>
      </w:r>
    </w:p>
    <w:p>
      <w:pPr>
        <w:spacing w:after="0" w:line="16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b w:val="1"/>
          <w:bCs w:val="1"/>
          <w:color w:val="auto"/>
        </w:rPr>
        <w:t>6.3 USE OF COMMON AREAS</w:t>
      </w:r>
      <w:r>
        <w:rPr>
          <w:rFonts w:ascii="Times New Roman" w:cs="Times New Roman" w:eastAsia="Times New Roman" w:hAnsi="Times New Roman"/>
          <w:sz w:val="20"/>
          <w:szCs w:val="20"/>
          <w:color w:val="auto"/>
        </w:rPr>
        <w:t>. The occupancy by Tenant of the Premises shall include the use of the Common Areas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common with Landlord and with all others for whose convenience and use the Common Areas may be provided by Landlord, subject, however, to compliance with Rules and Regulations described in Article 17 below. Landlord shall at all times during the Term have exclusive control of the Common Areas, and may restrain or permit any use or occupancy. Landlord may temporarily close any portion of the Common Areas for repairs, remodeling and/or alterations, to prevent a public dedication or the accrual of prescriptive rights, or for any other reasonable purpose.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20"/>
          <w:szCs w:val="20"/>
          <w:b w:val="1"/>
          <w:bCs w:val="1"/>
          <w:color w:val="auto"/>
        </w:rPr>
        <w:t>ARTICLE 7. REPAIRS AND MAINTENANCE</w:t>
      </w:r>
    </w:p>
    <w:p>
      <w:pPr>
        <w:spacing w:after="0" w:line="21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b w:val="1"/>
          <w:bCs w:val="1"/>
          <w:color w:val="auto"/>
        </w:rPr>
        <w:t>7.1 TENANT’S MAINTENANCE AND REPAIR</w:t>
      </w:r>
      <w:r>
        <w:rPr>
          <w:rFonts w:ascii="Times New Roman" w:cs="Times New Roman" w:eastAsia="Times New Roman" w:hAnsi="Times New Roman"/>
          <w:sz w:val="20"/>
          <w:szCs w:val="20"/>
          <w:color w:val="auto"/>
        </w:rPr>
        <w:t>. Subject to Articles 11 and 12, Tenant at its sole expense shall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repairs necessary to keep the Premises and all improvements and fixtures therein in good condition and repair. Tenant’s maintenance obligation shall include without limitation all appliances, interior glass, doors, door closures, hardware, fixtures, electrical, plumbing, fire extinguisher equipment and other equipment installed in the Premises, together with any supplemental HVAC equipment servicing only the Premises. Should Landlord or its management agent agree to make a repair on behalf of Tenant and at Tenant’s request, Tenant shall promptly reimburse Landlord as additional rent for all reasonable costs incurred (including the standard supervision fee) upon submission of an invoice.</w:t>
      </w:r>
    </w:p>
    <w:p>
      <w:pPr>
        <w:spacing w:after="0" w:line="17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9"/>
          <w:szCs w:val="19"/>
          <w:b w:val="1"/>
          <w:bCs w:val="1"/>
          <w:color w:val="auto"/>
        </w:rPr>
        <w:t>7.2 LANDLORD’S MAINTENANCE AND REPAIR</w:t>
      </w:r>
      <w:r>
        <w:rPr>
          <w:rFonts w:ascii="Times New Roman" w:cs="Times New Roman" w:eastAsia="Times New Roman" w:hAnsi="Times New Roman"/>
          <w:sz w:val="19"/>
          <w:szCs w:val="19"/>
          <w:color w:val="auto"/>
        </w:rPr>
        <w:t>. Subject to Articles 11 and 12, Landlord shall provide service,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maintenance and repair with respect to the heating, ventilating and air conditioning (“</w:t>
      </w:r>
      <w:r>
        <w:rPr>
          <w:rFonts w:ascii="Times New Roman" w:cs="Times New Roman" w:eastAsia="Times New Roman" w:hAnsi="Times New Roman"/>
          <w:sz w:val="19"/>
          <w:szCs w:val="19"/>
          <w:b w:val="1"/>
          <w:bCs w:val="1"/>
          <w:color w:val="auto"/>
        </w:rPr>
        <w:t>HVAC</w:t>
      </w:r>
      <w:r>
        <w:rPr>
          <w:rFonts w:ascii="Times New Roman" w:cs="Times New Roman" w:eastAsia="Times New Roman" w:hAnsi="Times New Roman"/>
          <w:sz w:val="19"/>
          <w:szCs w:val="19"/>
          <w:color w:val="auto"/>
        </w:rPr>
        <w:t>”) equipment of the Building (exclusive of any supplemental HVAC equipment servicing only the Premises) and shall maintain in good repair the Common Areas, roof and roof membrane, foundations, footings, the exterior surfaces of the exterior walls of the Building (including exterior glass), and the structural, electrical, mechanical and plumbing systems of the Building (including elevators, if any, serving the Building), except to the extent provided in Section 7.1 above. Notwithstanding any provision of the California Civil Code or any similar or successor laws to the contrary, Tenant understands that it shall not make repairs at Landlord’s expense or by rental offset. Except as provided in Section 11.1 and Article 12 below, there shall be no abatement of rent and no liability of Landlord by reason of any injury to or interference with Tenant’s business arising from the making of any repairs, alterations or improvements to any portion of the Building, including repairs to the Premises, nor shall any related activity by Landlord constitute an actual or constructive eviction. Tenant hereby waives any and all rights under and benefits of subsection 1 of Section 1932, and Sections 1941 and 1942 of the California Civil Code, or any similar or successor laws now or hereafter in effect.</w:t>
      </w:r>
    </w:p>
    <w:p>
      <w:pPr>
        <w:spacing w:after="0" w:line="177"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b w:val="1"/>
          <w:bCs w:val="1"/>
          <w:color w:val="auto"/>
        </w:rPr>
        <w:t>7.3 ALTERATIONS</w:t>
      </w:r>
      <w:r>
        <w:rPr>
          <w:rFonts w:ascii="Times New Roman" w:cs="Times New Roman" w:eastAsia="Times New Roman" w:hAnsi="Times New Roman"/>
          <w:sz w:val="20"/>
          <w:szCs w:val="20"/>
          <w:color w:val="auto"/>
        </w:rPr>
        <w:t>. Except for cosmetic alteration projects that do not exceed $20,000.00 during each calendar year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do not affect the structural, electrical or mechanical components or systems of the Building, are not visible from the exterior of the Premises, do not change the basic floor plan of the Premises, and utilize only Landlord’s building standard materials (which work shall require notice to Landlord but not Landlord’s consent), Tenant shall make no alterations, additions, decorations or improvements (collectively referred to as “</w:t>
      </w:r>
      <w:r>
        <w:rPr>
          <w:rFonts w:ascii="Times New Roman" w:cs="Times New Roman" w:eastAsia="Times New Roman" w:hAnsi="Times New Roman"/>
          <w:sz w:val="20"/>
          <w:szCs w:val="20"/>
          <w:b w:val="1"/>
          <w:bCs w:val="1"/>
          <w:color w:val="auto"/>
        </w:rPr>
        <w:t>Alterations</w:t>
      </w:r>
      <w:r>
        <w:rPr>
          <w:rFonts w:ascii="Times New Roman" w:cs="Times New Roman" w:eastAsia="Times New Roman" w:hAnsi="Times New Roman"/>
          <w:sz w:val="20"/>
          <w:szCs w:val="20"/>
          <w:color w:val="auto"/>
        </w:rPr>
        <w:t>”) to the Premises without the prior written consent of Landlord. Landlord may impose, as a condition to its consent, any requirements that Landlord in its discretion may deem reasonable. Tenant shall use Landlord’s designated mechanical and electrical contractors, obtain all required permits for the Alterations and shall perform the work in compliance with all applicable laws, regulations and ordinances with contractors reasonably acceptable to Landlord. Landlord shall be entitled to a supervision fee in the amount of 5% of the cost of the Alterations. Landlord may elect to cause its architect to review Tenant’s architectural plans, and the reasonable cost of that review shall be reimbursed by Tenant. Should the Alterations proposed by Tenant and consented to by Landlord change the floor plan of the Premises, then Tenant shall, at its expense, furnish Landlord with as-built drawings and CAD disks compatible with Landlord’s systems. Unless Landlord otherwise agrees in writing, all Alterations affixed to the Premises, including without limitation all Tenant Improvements constructed pursuant to the Work Letter (except as otherwise provided in the Work Letter), but excluding moveable trade fixtures and furniture, shall become the property of Landlord and shall be surrendered with the Premises at the end of the Term, except that Landlord may, by notice to Tenant given at the time of Landlord’s approval, require Tenant to remove by the Expiration Date or sooner termination date of this Lease, all or any Alterations (including without limitation any Tenant Improvements constructed pursuant to the Work Letter) installed either by Tenant or by Landlord at Tenant’s request (collectively, the “</w:t>
      </w:r>
      <w:r>
        <w:rPr>
          <w:rFonts w:ascii="Times New Roman" w:cs="Times New Roman" w:eastAsia="Times New Roman" w:hAnsi="Times New Roman"/>
          <w:sz w:val="20"/>
          <w:szCs w:val="20"/>
          <w:b w:val="1"/>
          <w:bCs w:val="1"/>
          <w:color w:val="auto"/>
        </w:rPr>
        <w:t>Required Removables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7" w:name="page348"/>
    <w:bookmarkEnd w:id="347"/>
    <w:p>
      <w:pPr>
        <w:jc w:val="both"/>
        <w:spacing w:after="0" w:line="254" w:lineRule="auto"/>
        <w:rPr>
          <w:sz w:val="20"/>
          <w:szCs w:val="20"/>
          <w:color w:val="auto"/>
        </w:rPr>
      </w:pPr>
      <w:r>
        <w:rPr>
          <w:rFonts w:ascii="Times New Roman" w:cs="Times New Roman" w:eastAsia="Times New Roman" w:hAnsi="Times New Roman"/>
          <w:sz w:val="20"/>
          <w:szCs w:val="20"/>
          <w:color w:val="auto"/>
        </w:rPr>
        <w:t>the foregoing, Landlord agrees that the Tenant Improvements as and to the extent set forth in the approved Plan and Cost Estimate shall not constitute Required Removables. In connection with its removal of Required Removables, Tenant shall repair any damage to the Premises arising from that removal and shall restore the affected area to its pre-existing condition, reasonable wear and tear excepted.</w:t>
      </w:r>
    </w:p>
    <w:p>
      <w:pPr>
        <w:spacing w:after="0" w:line="17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b w:val="1"/>
          <w:bCs w:val="1"/>
          <w:color w:val="auto"/>
        </w:rPr>
        <w:t>7.4 MECHANIC’S LIENS</w:t>
      </w:r>
      <w:r>
        <w:rPr>
          <w:rFonts w:ascii="Times New Roman" w:cs="Times New Roman" w:eastAsia="Times New Roman" w:hAnsi="Times New Roman"/>
          <w:sz w:val="20"/>
          <w:szCs w:val="20"/>
          <w:color w:val="auto"/>
        </w:rPr>
        <w:t>. Tenant shall keep the Premises free from any liens arising out of any work performed,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materials furnished, or obligations incurred by or for Tenant. In the event that Tenant shall not, within 15 days following the imposition of any lien, cause the lien to be released of record by payment or posting of a proper bond in accordance with California Civil Code Section 8424 or any successor statute, Landlord shall have, in addition to all other available remedies, the right to cause the lien to be released by any means it deems proper, including payment of or defense against the claim giving rise to the lien. All expenses so incurred by Landlord shall be reimbursed by Tenant promptly following Landlord’s demand. Tenant shall give Landlord no less than 20 days’ prior notice in writing before commencing construction of any kind on the Premises.</w:t>
      </w:r>
    </w:p>
    <w:p>
      <w:pPr>
        <w:spacing w:after="0" w:line="17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b w:val="1"/>
          <w:bCs w:val="1"/>
          <w:color w:val="auto"/>
        </w:rPr>
        <w:t>7.5 ENTRY AND INSPECTION</w:t>
      </w:r>
      <w:r>
        <w:rPr>
          <w:rFonts w:ascii="Times New Roman" w:cs="Times New Roman" w:eastAsia="Times New Roman" w:hAnsi="Times New Roman"/>
          <w:sz w:val="20"/>
          <w:szCs w:val="20"/>
          <w:color w:val="auto"/>
        </w:rPr>
        <w:t>. Landlord shall at all reasonable times and with reasonable prior verbal notice,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emergencies or to provide Building services, have the right to enter the Premises to inspect them, to supply services in accordance with this Lease, to make repairs and renovations as reasonably deemed necessary by Landlord, and to submit the Premises to prospective or actual purchasers or encumbrance holders (or, during the final twelve months of the Term or when an uncured Default exists, to prospective tenants), all without being deemed to have caused an eviction of Tenant and without abatement of rent except as provided elsewhere in this Lease.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 SPACE PLANNING AND SUBSTITUTION</w:t>
      </w:r>
    </w:p>
    <w:p>
      <w:pPr>
        <w:spacing w:after="0" w:line="22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Landlord shall have the right, upon providing not less than 60 days prior written notice, to move Tenant to other space of comparable size in the Building or in the Project or in other space owned by Landlord or its affiliate(s) within 3 miles of the Building. The new space shall be provided with improvements of comparable quality to those within the Premises and shall contain similar finishes as the Premises, approximately the same rentable square footage as the Premises and approximately the same number of work stations, offices, breakrooms and reception areas as are contained in the Premises as of the date Tenant receives Landlord’s notice of relocation. The total monthly Basic Rent for the new space shall in no event exceed the total monthly Basic Rent for the Premises prior to the relocation and Tenant’s Share for the new space shall in no event exceed Tenant’s Share for the Premises prior to the relocation. Landlord shall pay the reasonable out-of-pocket costs to relocate and reconnect Tenant’s personal property and equipment within the new space. Landlord shall also reimburse Tenant for such other reasonable out-of-pocket costs that Tenant may incur in connection with the relocation. Within 10 days following request by Landlord, Tenant shall execute an amendment to this Lease prepared by Landlord to memorialize the relocation. Notwithstanding the foregoing, Landlord hereby agrees that it shall not exercise its right to relocate Tenant hereunder during the initial 43-month Lease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 ASSIGNMENT AND SUBLETTING</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b w:val="1"/>
          <w:bCs w:val="1"/>
          <w:color w:val="auto"/>
        </w:rPr>
        <w:t>9.1 RIGHTS OF PARTIES</w:t>
      </w:r>
      <w:r>
        <w:rPr>
          <w:rFonts w:ascii="Times New Roman" w:cs="Times New Roman" w:eastAsia="Times New Roman" w:hAnsi="Times New Roman"/>
          <w:sz w:val="20"/>
          <w:szCs w:val="20"/>
          <w:color w:val="auto"/>
        </w:rPr>
        <w:t>. Tenant shall not, directly or indirectly, assign, sublease, transfer or encumber any interest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Lease or allow any third party to use any portion of the Premises (collectively or individually, a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without the prior written consent of Landlord, which consent shall not be unreasonably withheld if Landlord does not exercise its recapture rights. Tenant agrees that it is not unreasonable for Landlord to withhold consent to a Transfer to a proposed assignee or subtenant who is an existing tenant or occupant of the Building or Project or to a prospective tenant with whom Landlord or Landlord’s affiliate has been actively negotiating, except that Landlord will not enforce this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8" w:name="page349"/>
    <w:bookmarkEnd w:id="348"/>
    <w:p>
      <w:pPr>
        <w:jc w:val="both"/>
        <w:spacing w:after="0" w:line="241" w:lineRule="auto"/>
        <w:rPr>
          <w:sz w:val="20"/>
          <w:szCs w:val="20"/>
          <w:color w:val="auto"/>
        </w:rPr>
      </w:pPr>
      <w:r>
        <w:rPr>
          <w:rFonts w:ascii="Times New Roman" w:cs="Times New Roman" w:eastAsia="Times New Roman" w:hAnsi="Times New Roman"/>
          <w:sz w:val="20"/>
          <w:szCs w:val="20"/>
          <w:color w:val="auto"/>
        </w:rPr>
        <w:t>restriction if it does not have sufficient available space to accommodate the proposed transferee. Any attempted Transfer in violation of this Article shall be a Default by Tenant and shall, at Landlord’s option, be void. Within 30 days after receipt of executed copies of the transfer documentation and such other information as Landlord may request, Landlord shall either: (a) consent to the Transfer by execution of a consent agreement in a form reasonably designated by Landlord; (b) refuse to consent to the Transfer; or (c) recapture the portion of the Premises that Tenant is proposing to Transfer. Tenant hereby waives the provisions of Section 1995.310(b) of the California Civil Code, or any similar or successor Laws, now or hereinafter in effect, and all other remedies that grant any right at law or equity to terminate this Lease, on its own behalf and, to the extent permitted under all applicable laws, on behalf of the proposed transferee. In no event shall any Transfer release or relieve Tenant from any obligation under this Lease, as same may be amended. Tenant shall pay Landlord a review fee of $1,000.00 for Landlord’s review of any requested Transfer. Tenant shall pay Landlord, as additional Rent, 50% of all rent and other consideration which Tenant receives as a result of a Transfer that is in excess of the sum of (i) the scheduled Rent payable by Tenant hereunder (or, in the event of a subletting of only a portion of the Premises, the Rent allocable to such portion as reasonably determined by Landlord) and (ii) the direct out-of-pocket costs, as evidenced by third party invoices provided to Landlord, incurred by Tenant to effect the Transfer, which costs shall be amortized over the remaining Term of this Lease or, if shorter, over the term of the sublease. If Tenant is in Default, Landlord may require that all sublease payments be made directly to Landlord, in which case Tenant shall receive a credit against Rent in the amount of Tenant’s share of payments received by Landlord.</w:t>
      </w:r>
    </w:p>
    <w:p>
      <w:pPr>
        <w:spacing w:after="0" w:line="19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b w:val="1"/>
          <w:bCs w:val="1"/>
          <w:color w:val="auto"/>
        </w:rPr>
        <w:t>9.2 PERMITTED TRANSFER</w:t>
      </w:r>
      <w:r>
        <w:rPr>
          <w:rFonts w:ascii="Times New Roman" w:cs="Times New Roman" w:eastAsia="Times New Roman" w:hAnsi="Times New Roman"/>
          <w:sz w:val="20"/>
          <w:szCs w:val="20"/>
          <w:color w:val="auto"/>
        </w:rPr>
        <w:t>. Notwithstanding the foregoing, Tenant may assign this Lease to a successor to Tenant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merger, consolidation or the purchase of substantially all of Tenant’s assets or capital stock, or assign this Lease or sublet all or a portion of the Premises to an Affiliate (defined below), without the consent of Landlord and without the right of Landlord to recapture,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following conditions are satisfied (a “</w:t>
      </w:r>
      <w:r>
        <w:rPr>
          <w:rFonts w:ascii="Times New Roman" w:cs="Times New Roman" w:eastAsia="Times New Roman" w:hAnsi="Times New Roman"/>
          <w:sz w:val="20"/>
          <w:szCs w:val="20"/>
          <w:b w:val="1"/>
          <w:bCs w:val="1"/>
          <w:color w:val="auto"/>
        </w:rPr>
        <w:t>Permitted Transfer</w:t>
      </w:r>
      <w:r>
        <w:rPr>
          <w:rFonts w:ascii="Times New Roman" w:cs="Times New Roman" w:eastAsia="Times New Roman" w:hAnsi="Times New Roman"/>
          <w:sz w:val="20"/>
          <w:szCs w:val="20"/>
          <w:color w:val="auto"/>
        </w:rPr>
        <w:t>”): (i) Tenant is not then in Default hereunder; (ii) Tenant gives Landlord written notice prior to such Permitted Transfer; however, if prohibited by confidentiality, then Tenant shall give Landlord written notice within 10 days after the effective date of the transfer; and (iii) the successor entity (other than Tenant) resulting from any merger or consolidation of Tenant or the sale of all or substantially all of the assets of Tenant, has a net worth at the time of the Permitted Transfer that is at least equal to the net worth of Tenant immediately before the Permitted Transfer.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shall mean an entity controlled by, controlling or under common control with Tenant. Tenant shall not be obligated to pay Landlord a review fee or any Additional Rent or other consideration which Tenant receives as a result of a Permitted Transfer.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10. INSURANCE AND INDEMNITY</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10.1 TENANT’S INSURANCE</w:t>
      </w:r>
      <w:r>
        <w:rPr>
          <w:rFonts w:ascii="Times New Roman" w:cs="Times New Roman" w:eastAsia="Times New Roman" w:hAnsi="Times New Roman"/>
          <w:sz w:val="20"/>
          <w:szCs w:val="20"/>
          <w:color w:val="auto"/>
        </w:rPr>
        <w:t>. Tenant, at its sole cost and expense, shall provide and maintain in effect the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described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Evidence of that insurance must be delivered to Landlord prior to the Commencement Date.</w:t>
      </w:r>
    </w:p>
    <w:p>
      <w:pPr>
        <w:spacing w:after="0" w:line="152"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b w:val="1"/>
          <w:bCs w:val="1"/>
          <w:color w:val="auto"/>
        </w:rPr>
        <w:t>10.2 TENANT’S INDEMNITY</w:t>
      </w:r>
      <w:r>
        <w:rPr>
          <w:rFonts w:ascii="Times New Roman" w:cs="Times New Roman" w:eastAsia="Times New Roman" w:hAnsi="Times New Roman"/>
          <w:sz w:val="20"/>
          <w:szCs w:val="20"/>
          <w:color w:val="auto"/>
        </w:rPr>
        <w:t>. To the fullest extent permitted by law, but subject to Section 10.4 below, Tenant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defend, indemnify and hold harmless Landlord and Landlord’s agents, employees, lenders, and affiliates, from and against any and all negligence, claims, liabilities, damages, costs or expenses arising either before or after the Commencement Date which arise from or are caused by Tenant’s use or occupancy of the Premises, the Building or the Common Areas of the Project, or from the conduct of Tenant’s business, or from any activity, work, or thing done, permitted or suffered by Tenant or Tenant’s agents, employees, subtenants, vendors, contractors, invitees or licensees in or about the Premises, the Building or the Common Areas of the Project, or from any Default in the performance of any obligation on Tenant’s part to be performed under this Lease, or from any act, omission or negligence on the part of Tenant or Tenant’s agents, employees, subtenants, vendors, contractors, invitees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9" w:name="page350"/>
    <w:bookmarkEnd w:id="349"/>
    <w:p>
      <w:pPr>
        <w:jc w:val="both"/>
        <w:spacing w:after="0" w:line="249" w:lineRule="auto"/>
        <w:rPr>
          <w:sz w:val="20"/>
          <w:szCs w:val="20"/>
          <w:color w:val="auto"/>
        </w:rPr>
      </w:pPr>
      <w:r>
        <w:rPr>
          <w:rFonts w:ascii="Times New Roman" w:cs="Times New Roman" w:eastAsia="Times New Roman" w:hAnsi="Times New Roman"/>
          <w:sz w:val="20"/>
          <w:szCs w:val="20"/>
          <w:color w:val="auto"/>
        </w:rPr>
        <w:t>or licensees. Landlord may, at its option, require Tenant to assume Landlord’s defense in any action covered by this Section 10.2 through counsel reasonably satisfactory to Landlord. Notwithstanding the foregoing, Tenant shall not be obligated to indemnify Landlord against any liability or expense to the extent it is ultimately determined that the same was caused by the sole negligence or willful misconduct of Landlord, its agents, contractors or employees.</w:t>
      </w:r>
    </w:p>
    <w:p>
      <w:pPr>
        <w:spacing w:after="0" w:line="17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b w:val="1"/>
          <w:bCs w:val="1"/>
          <w:color w:val="auto"/>
        </w:rPr>
        <w:t>10.3 LANDLORD’S NONLIABILITY</w:t>
      </w:r>
      <w:r>
        <w:rPr>
          <w:rFonts w:ascii="Times New Roman" w:cs="Times New Roman" w:eastAsia="Times New Roman" w:hAnsi="Times New Roman"/>
          <w:sz w:val="20"/>
          <w:szCs w:val="20"/>
          <w:color w:val="auto"/>
        </w:rPr>
        <w:t>. Unless caused by the negligence or intentional misconduct of Landlord,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agents, employees or contractors but subject to Section 10.4 below, Landlord shall not be liable to Tenant, its employees, agents and invitees, and Tenant hereby waives all claims against Landlord, its employees and agents for loss of or damage to any property, or any injury to any person, resulting from any condition including, but not limited to, acts or omissions (criminal or otherwise) of third parties and/or other tenants of the Project, or their agents, employees or invitees, fire, explosion, falling plaster, steam, gas, electricity, water or rain which may leak or flow from or into any part of the Premises or from the breakage, leakage, obstruction or other defects of the pipes, sprinklers, wires, appliances, plumbing, air conditioning, electrical works or other fixtures in the Building, whether the damage or injury results from conditions arising in the Premises or in other portions of the Building. Notwithstanding anything to the contrary contained in this Lease, in no event shall Landlord be liable for Tenant’s loss or interruption of business or income (including without limitation, Tenant’s consequential damages, lost profits or opportunity costs), or for interference with light or other similar intangible interests.</w:t>
      </w:r>
    </w:p>
    <w:p>
      <w:pPr>
        <w:spacing w:after="0" w:line="18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10.4 WAIVER OF SUBROGATION</w:t>
      </w:r>
      <w:r>
        <w:rPr>
          <w:rFonts w:ascii="Times New Roman" w:cs="Times New Roman" w:eastAsia="Times New Roman" w:hAnsi="Times New Roman"/>
          <w:sz w:val="20"/>
          <w:szCs w:val="20"/>
          <w:color w:val="auto"/>
        </w:rPr>
        <w:t>. Landlord and Tenant each hereby waives all rights of recovery against the other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of loss and damage occasioned to the property of such waiving party to the extent that the waiving party is entitled to proceeds for such loss and damage under any property insurance policies carried or otherwise required to be carried by this Lease.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11. DAMAGE OR DESTRUCTION</w:t>
      </w:r>
    </w:p>
    <w:p>
      <w:pPr>
        <w:spacing w:after="0" w:line="216"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19"/>
          <w:szCs w:val="19"/>
          <w:b w:val="1"/>
          <w:bCs w:val="1"/>
          <w:color w:val="auto"/>
        </w:rPr>
        <w:t>RESTORATION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735"/>
        <w:spacing w:after="0" w:line="244" w:lineRule="auto"/>
        <w:tabs>
          <w:tab w:leader="none" w:pos="2595"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Building of which the Premises are a part is damaged as the result of an event of casualty, then subject to the provisions below, Landlord shall repair that damage as soon as reasonably possible unless Landlord reasonably determines that: (i) the Premises have been materially damaged and there is less than 1 year of the Term remaining on the date of the casualty; (ii) any Mortgagee (defined in Section 13.1) requires that the insurance proceeds be applied to the payment of the mortgage debt; or (iii) proceeds necessary to pay the full cost of the repair are not available from Landlord’s insurance, including without limitation earthquake insurance. Should Landlord elect not to repair the damage for one of the preceding reasons, Landlord shall so notify Tenant in the “</w:t>
      </w:r>
      <w:r>
        <w:rPr>
          <w:rFonts w:ascii="Times New Roman" w:cs="Times New Roman" w:eastAsia="Times New Roman" w:hAnsi="Times New Roman"/>
          <w:sz w:val="20"/>
          <w:szCs w:val="20"/>
          <w:b w:val="1"/>
          <w:bCs w:val="1"/>
          <w:color w:val="auto"/>
        </w:rPr>
        <w:t>Casualty Notice</w:t>
      </w:r>
      <w:r>
        <w:rPr>
          <w:rFonts w:ascii="Times New Roman" w:cs="Times New Roman" w:eastAsia="Times New Roman" w:hAnsi="Times New Roman"/>
          <w:sz w:val="20"/>
          <w:szCs w:val="20"/>
          <w:color w:val="auto"/>
        </w:rPr>
        <w:t>” (as defined below), and this Lease shall terminate as of the date of delivery of that notice.</w:t>
      </w:r>
    </w:p>
    <w:p>
      <w:pPr>
        <w:spacing w:after="0" w:line="185" w:lineRule="exact"/>
        <w:rPr>
          <w:rFonts w:ascii="Times New Roman" w:cs="Times New Roman" w:eastAsia="Times New Roman" w:hAnsi="Times New Roman"/>
          <w:sz w:val="20"/>
          <w:szCs w:val="20"/>
          <w:color w:val="auto"/>
        </w:rPr>
      </w:pPr>
    </w:p>
    <w:p>
      <w:pPr>
        <w:jc w:val="both"/>
        <w:ind w:firstLine="1735"/>
        <w:spacing w:after="0" w:line="242" w:lineRule="auto"/>
        <w:tabs>
          <w:tab w:leader="none" w:pos="2606"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reasonably practicable following the casualty event but not later than 60 days thereafter, Landlord shall notify Tenant in writing (“</w:t>
      </w:r>
      <w:r>
        <w:rPr>
          <w:rFonts w:ascii="Times New Roman" w:cs="Times New Roman" w:eastAsia="Times New Roman" w:hAnsi="Times New Roman"/>
          <w:sz w:val="20"/>
          <w:szCs w:val="20"/>
          <w:b w:val="1"/>
          <w:bCs w:val="1"/>
          <w:color w:val="auto"/>
        </w:rPr>
        <w:t>Casualty Notice</w:t>
      </w:r>
      <w:r>
        <w:rPr>
          <w:rFonts w:ascii="Times New Roman" w:cs="Times New Roman" w:eastAsia="Times New Roman" w:hAnsi="Times New Roman"/>
          <w:sz w:val="20"/>
          <w:szCs w:val="20"/>
          <w:color w:val="auto"/>
        </w:rPr>
        <w:t>”) of Landlord’s election, if applicable, to terminate this Lease. If this Lease is not so terminated, the Casualty Notice shall set forth the anticipated period for repairing the casualty damage. If the anticipated repair period exceeds 270 days and if the damage is so extensive as to reasonably prevent Tenant’s substantial use and enjoyment of the Premises, then either party may elect to terminate this Lease by written notice to the other within 10 days following delivery of the Casualty Notice. In addition, Tenant shall have the right to terminate this Lease if: (a) a substantial portion of the Premises has been damaged by casualty and such damage cannot reasonably be repaired within 60 days after Tenant’s receipt of the Casualty Notice; (b) there is less than 1 year of the Term remaining on the date of the casualty; (c) the casualty was not caused by the negligence or willful misconduct of Tenant or its agents, employees or contractors; and (d) Tenant provides Landlord with written notice of its intent to terminate within 10 days after the date of Tenant’s receipt of the Casualty Notice.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0" w:name="page351"/>
    <w:bookmarkEnd w:id="350"/>
    <w:p>
      <w:pPr>
        <w:jc w:val="both"/>
        <w:ind w:firstLine="1735"/>
        <w:spacing w:after="0" w:line="263" w:lineRule="auto"/>
        <w:tabs>
          <w:tab w:leader="none" w:pos="2595" w:val="left"/>
        </w:tabs>
        <w:numPr>
          <w:ilvl w:val="0"/>
          <w:numId w:val="3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neither Landlord nor Tenant terminates this Lease pursuant to Section 11.1(b), Landlord shall repair all material damage to the Premises or the Building as soon as reasonably possible and this Lease shall continue in effect for the remainder of the Term. Upon notice from Landlord, Tenant shall assign or endorse over to Landlord (or to any party designated by Landlord) all property insurance proceeds payable to Tenant under Tenant’s insurance with respect to any Alterations. Within 15 days of demand, Tenant shall also pay Landlord for any additional excess costs that are determined during the performance of the repairs to such Alterations.</w:t>
      </w:r>
    </w:p>
    <w:p>
      <w:pPr>
        <w:spacing w:after="0" w:line="166" w:lineRule="exact"/>
        <w:rPr>
          <w:rFonts w:ascii="Times New Roman" w:cs="Times New Roman" w:eastAsia="Times New Roman" w:hAnsi="Times New Roman"/>
          <w:sz w:val="19"/>
          <w:szCs w:val="19"/>
          <w:color w:val="auto"/>
        </w:rPr>
      </w:pPr>
    </w:p>
    <w:p>
      <w:pPr>
        <w:jc w:val="both"/>
        <w:ind w:firstLine="1735"/>
        <w:spacing w:after="0" w:line="254" w:lineRule="auto"/>
        <w:tabs>
          <w:tab w:leader="none" w:pos="2606"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date of the casualty event, the rental to be paid under this Lease shall be abated in the same proportion that the Floor Area of the Premises that is rendered unusable by the damage from time to time bears to the total Floor Area of the Premises.</w:t>
      </w:r>
    </w:p>
    <w:p>
      <w:pPr>
        <w:spacing w:after="0" w:line="174"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95"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subsections (a), (b) and (c) of this Section 11.1, but subject to Section 10.4, Tenant shall not be entitled to rental abatement or termination rights, if the damage is due to the gross negligence or willful misconduct of Tenant or its employees, subtenants, contractors, invitees or representatives.</w:t>
      </w:r>
    </w:p>
    <w:p>
      <w:pPr>
        <w:spacing w:after="0" w:line="170"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11.2 LEASE GOVERNS</w:t>
      </w:r>
      <w:r>
        <w:rPr>
          <w:rFonts w:ascii="Times New Roman" w:cs="Times New Roman" w:eastAsia="Times New Roman" w:hAnsi="Times New Roman"/>
          <w:sz w:val="20"/>
          <w:szCs w:val="20"/>
          <w:color w:val="auto"/>
        </w:rPr>
        <w:t>. Tenant agrees that the provisions of this Lease, including without limitation Section 11.1,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 any damage or destruction and shall accordingly supersede any contrary statute or rule of law.</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12. EMINENT DOMAIN</w:t>
      </w:r>
    </w:p>
    <w:p>
      <w:pPr>
        <w:spacing w:after="0" w:line="22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Either party may terminate this Lease if any material part of the Premises is taken or condemned for any public or quasi-public use under Law, by eminent domain or private purchase in lieu thereof (a “</w:t>
      </w:r>
      <w:r>
        <w:rPr>
          <w:rFonts w:ascii="Times New Roman" w:cs="Times New Roman" w:eastAsia="Times New Roman" w:hAnsi="Times New Roman"/>
          <w:sz w:val="20"/>
          <w:szCs w:val="20"/>
          <w:b w:val="1"/>
          <w:bCs w:val="1"/>
          <w:color w:val="auto"/>
        </w:rPr>
        <w:t>Taking</w:t>
      </w:r>
      <w:r>
        <w:rPr>
          <w:rFonts w:ascii="Times New Roman" w:cs="Times New Roman" w:eastAsia="Times New Roman" w:hAnsi="Times New Roman"/>
          <w:sz w:val="20"/>
          <w:szCs w:val="20"/>
          <w:color w:val="auto"/>
        </w:rPr>
        <w:t>”). Landlord shall also have the right to terminate this Lease if there is a Taking of any portion of the Building or Project which would have a material adverse effect on Landlord’s ability to profitably operate the remainder of the Building. The termination shall be effective as of the effective date of any order granting possession to, or vesting legal title in, the condemning authority. All compensation awarded for a Taking shall be the property of Landlord. Tenant agrees that the provisions of this Lease shall govern any Taking and shall accordingly supersede any contrary statute or rule of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13. SUBORDINATION; ESTOPPEL CERTIFICATE</w:t>
      </w:r>
    </w:p>
    <w:p>
      <w:pPr>
        <w:spacing w:after="0" w:line="216"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b w:val="1"/>
          <w:bCs w:val="1"/>
          <w:color w:val="auto"/>
        </w:rPr>
        <w:t>13.1 SUBORDINATION</w:t>
      </w:r>
      <w:r>
        <w:rPr>
          <w:rFonts w:ascii="Times New Roman" w:cs="Times New Roman" w:eastAsia="Times New Roman" w:hAnsi="Times New Roman"/>
          <w:sz w:val="20"/>
          <w:szCs w:val="20"/>
          <w:color w:val="auto"/>
        </w:rPr>
        <w:t>. Tenant accepts this Lease subject and subordinate to any mortgage(s), deed(s) of trust, ground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lease(s) or other lien(s) now or subsequently arising upon the Premises, the Building or the Project, and to renewals, modifications, refinancings and extensions thereof (collectively referred to as a “</w:t>
      </w:r>
      <w:r>
        <w:rPr>
          <w:rFonts w:ascii="Times New Roman" w:cs="Times New Roman" w:eastAsia="Times New Roman" w:hAnsi="Times New Roman"/>
          <w:sz w:val="20"/>
          <w:szCs w:val="20"/>
          <w:b w:val="1"/>
          <w:bCs w:val="1"/>
          <w:color w:val="auto"/>
        </w:rPr>
        <w:t>Mortgage</w:t>
      </w:r>
      <w:r>
        <w:rPr>
          <w:rFonts w:ascii="Times New Roman" w:cs="Times New Roman" w:eastAsia="Times New Roman" w:hAnsi="Times New Roman"/>
          <w:sz w:val="20"/>
          <w:szCs w:val="20"/>
          <w:color w:val="auto"/>
        </w:rPr>
        <w:t>”). The party having the benefit of a Mortgage shall be referred to as a “</w:t>
      </w:r>
      <w:r>
        <w:rPr>
          <w:rFonts w:ascii="Times New Roman" w:cs="Times New Roman" w:eastAsia="Times New Roman" w:hAnsi="Times New Roman"/>
          <w:sz w:val="20"/>
          <w:szCs w:val="20"/>
          <w:b w:val="1"/>
          <w:bCs w:val="1"/>
          <w:color w:val="auto"/>
        </w:rPr>
        <w:t>Mortgagee.</w:t>
      </w:r>
      <w:r>
        <w:rPr>
          <w:rFonts w:ascii="Times New Roman" w:cs="Times New Roman" w:eastAsia="Times New Roman" w:hAnsi="Times New Roman"/>
          <w:sz w:val="20"/>
          <w:szCs w:val="20"/>
          <w:color w:val="auto"/>
        </w:rPr>
        <w:t xml:space="preserve">” This clause shall be self-operative, but upon request from a Mortgagee, Tenant shall execute a commercially reasonable subordination and attornment agreement in favor of the Mortgagee,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agreement provides a non-disturbance covenant benefitting Tenant. Alternatively, a Mortgagee shall have the right at any time to subordinate its Mortgage to this Lease. Upon request, Tenant, without charge, shall attorn to any successor to Landlord’s interest in this Lease in the event of a foreclosure of any mortgage. Tenant agrees that any purchaser at a foreclosure sale or lender taking title under a deed in lieu of foreclosure shall not be responsible for any act or omission of a prior landlord, shall not be subject to any offsets or defenses Tenant may have against a prior landlord, and shall not be liable for the return of the Security Deposit not actually recovered by such purchaser nor bound by any rent paid in advance of the calendar month in which the transfer of title occurred;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release the applicable prior landlord from any liability for those obligations. Tenant acknowledges that Landlord’s Mortgagees and their successors-in-interest are intended third party beneficiaries of this Section 13.1.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1" w:name="page352"/>
    <w:bookmarkEnd w:id="351"/>
    <w:p>
      <w:pPr>
        <w:jc w:val="both"/>
        <w:ind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13.2 ESTOPPEL CERTIFICATE</w:t>
      </w:r>
      <w:r>
        <w:rPr>
          <w:rFonts w:ascii="Times New Roman" w:cs="Times New Roman" w:eastAsia="Times New Roman" w:hAnsi="Times New Roman"/>
          <w:sz w:val="20"/>
          <w:szCs w:val="20"/>
          <w:color w:val="auto"/>
        </w:rPr>
        <w:t>. Tenant shall, within 10 business days after receipt of a written request from Landlord,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 and deliver a commercially reasonable estoppel certificate in favor of those parties as are reasonably requested by Landlord (including a Mortgagee or a prospective purchaser of the Building or the Project).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14. DEFAULTS AND REMEDIES</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14.1 TENANT’S DEFAULTS</w:t>
      </w:r>
      <w:r>
        <w:rPr>
          <w:rFonts w:ascii="Times New Roman" w:cs="Times New Roman" w:eastAsia="Times New Roman" w:hAnsi="Times New Roman"/>
          <w:sz w:val="20"/>
          <w:szCs w:val="20"/>
          <w:color w:val="auto"/>
        </w:rPr>
        <w:t>. In addition to any other event of default set forth in this Lease, the occurrence of any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more of the following events shall constitute a “</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by Tenant:</w:t>
      </w:r>
    </w:p>
    <w:p>
      <w:pPr>
        <w:spacing w:after="0" w:line="156" w:lineRule="exact"/>
        <w:rPr>
          <w:sz w:val="20"/>
          <w:szCs w:val="20"/>
          <w:color w:val="auto"/>
        </w:rPr>
      </w:pPr>
    </w:p>
    <w:p>
      <w:pPr>
        <w:jc w:val="both"/>
        <w:ind w:firstLine="1735"/>
        <w:spacing w:after="0" w:line="274" w:lineRule="auto"/>
        <w:tabs>
          <w:tab w:leader="none" w:pos="2595"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by Tenant to make any payment of Rent required to be made by Tenant, as and when due, where the failure continues for a period of 3 business days after written notice from Landlord to Tenant. The term “</w:t>
      </w:r>
      <w:r>
        <w:rPr>
          <w:rFonts w:ascii="Times New Roman" w:cs="Times New Roman" w:eastAsia="Times New Roman" w:hAnsi="Times New Roman"/>
          <w:sz w:val="19"/>
          <w:szCs w:val="19"/>
          <w:b w:val="1"/>
          <w:bCs w:val="1"/>
          <w:color w:val="auto"/>
        </w:rPr>
        <w:t>Rent</w:t>
      </w:r>
      <w:r>
        <w:rPr>
          <w:rFonts w:ascii="Times New Roman" w:cs="Times New Roman" w:eastAsia="Times New Roman" w:hAnsi="Times New Roman"/>
          <w:sz w:val="19"/>
          <w:szCs w:val="19"/>
          <w:color w:val="auto"/>
        </w:rPr>
        <w:t>” as used in this Lease shall be deemed to mean the Basic Rent and all other sums required to be paid by Tenant to Landlord pursuant to the terms of this Lease.</w:t>
      </w:r>
    </w:p>
    <w:p>
      <w:pPr>
        <w:spacing w:after="0" w:line="156" w:lineRule="exact"/>
        <w:rPr>
          <w:rFonts w:ascii="Times New Roman" w:cs="Times New Roman" w:eastAsia="Times New Roman" w:hAnsi="Times New Roman"/>
          <w:sz w:val="19"/>
          <w:szCs w:val="19"/>
          <w:color w:val="auto"/>
        </w:rPr>
      </w:pPr>
    </w:p>
    <w:p>
      <w:pPr>
        <w:jc w:val="both"/>
        <w:ind w:firstLine="1735"/>
        <w:spacing w:after="0" w:line="245" w:lineRule="auto"/>
        <w:tabs>
          <w:tab w:leader="none" w:pos="2606"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a specific time period is otherwise set forth for Tenant’s performance in this Lease (in which event the failure to perform by Tenant within such time period shall be a Default), the failure or inability by Tenant to observe or perform any of the covenants or provisions of this Lease to be observed or performed by Tenant, other than as specified in any other subsection of this Section 14.1, where the failure continues for a period of 30 days after written notice from Landlord to Tenant. However, if the nature of the failure is such that more than 30 days are reasonably required for its cure, then Tenant shall not be deemed to be in Default if Tenant commences the cure within 30 days, and thereafter diligently pursues the cure to completion.</w:t>
      </w:r>
    </w:p>
    <w:p>
      <w:pPr>
        <w:spacing w:after="0" w:line="18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The notice periods provided herein are in lieu of, and not in addition to, any notice periods provided by law, and Landlord shall not be required to give any additional notice under California Code of Civil Procedure Section 1161, or any successor statute, in order to be entitled to commence an unlawful detainer proceeding.</w:t>
      </w:r>
    </w:p>
    <w:p>
      <w:pPr>
        <w:spacing w:after="0" w:line="170"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14.2</w:t>
      </w:r>
      <w:r>
        <w:rPr>
          <w:sz w:val="20"/>
          <w:szCs w:val="20"/>
          <w:color w:val="auto"/>
        </w:rPr>
        <w:tab/>
      </w:r>
      <w:r>
        <w:rPr>
          <w:rFonts w:ascii="Times New Roman" w:cs="Times New Roman" w:eastAsia="Times New Roman" w:hAnsi="Times New Roman"/>
          <w:sz w:val="19"/>
          <w:szCs w:val="19"/>
          <w:b w:val="1"/>
          <w:bCs w:val="1"/>
          <w:color w:val="auto"/>
        </w:rPr>
        <w:t>LANDLORD’S REMEDIES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735"/>
        <w:spacing w:after="0" w:line="269" w:lineRule="auto"/>
        <w:tabs>
          <w:tab w:leader="none" w:pos="2595"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any Default by Tenant, then in addition to any other remedies available to Landlord, Landlord may exercise the following remedies:</w:t>
      </w:r>
    </w:p>
    <w:p>
      <w:pPr>
        <w:spacing w:after="0" w:line="159" w:lineRule="exact"/>
        <w:rPr>
          <w:rFonts w:ascii="Times New Roman" w:cs="Times New Roman" w:eastAsia="Times New Roman" w:hAnsi="Times New Roman"/>
          <w:sz w:val="20"/>
          <w:szCs w:val="20"/>
          <w:color w:val="auto"/>
        </w:rPr>
      </w:pPr>
    </w:p>
    <w:p>
      <w:pPr>
        <w:jc w:val="both"/>
        <w:ind w:firstLine="2600"/>
        <w:spacing w:after="0" w:line="249" w:lineRule="auto"/>
        <w:tabs>
          <w:tab w:leader="none" w:pos="3427"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may terminate Tenant’s right to possession of the Premises by any lawful means, in which case this Lease shall terminate and Tenant shall immediately surrender possession of the Premises to Landlord. Such termination shall not affect any accrued obligations of Tenant under this Lease. Upon termination, Landlord shall have the right to reenter the Premises and remove all persons and property. Landlord shall also be entitled to recover from Tenant:</w:t>
      </w:r>
    </w:p>
    <w:p>
      <w:pPr>
        <w:spacing w:after="0" w:line="179" w:lineRule="exact"/>
        <w:rPr>
          <w:rFonts w:ascii="Times New Roman" w:cs="Times New Roman" w:eastAsia="Times New Roman" w:hAnsi="Times New Roman"/>
          <w:sz w:val="20"/>
          <w:szCs w:val="20"/>
          <w:color w:val="auto"/>
        </w:rPr>
      </w:pPr>
    </w:p>
    <w:p>
      <w:pPr>
        <w:ind w:left="4340" w:hanging="876"/>
        <w:spacing w:after="0"/>
        <w:tabs>
          <w:tab w:leader="none" w:pos="4340" w:val="left"/>
        </w:tabs>
        <w:numPr>
          <w:ilvl w:val="2"/>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unpaid Rent which had been earned at the time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termination;</w:t>
      </w:r>
    </w:p>
    <w:p>
      <w:pPr>
        <w:spacing w:after="0" w:line="193" w:lineRule="exact"/>
        <w:rPr>
          <w:rFonts w:ascii="Times New Roman" w:cs="Times New Roman" w:eastAsia="Times New Roman" w:hAnsi="Times New Roman"/>
          <w:sz w:val="20"/>
          <w:szCs w:val="20"/>
          <w:color w:val="auto"/>
        </w:rPr>
      </w:pPr>
    </w:p>
    <w:p>
      <w:pPr>
        <w:jc w:val="both"/>
        <w:ind w:firstLine="3464"/>
        <w:spacing w:after="0" w:line="254" w:lineRule="auto"/>
        <w:tabs>
          <w:tab w:leader="none" w:pos="4335" w:val="left"/>
        </w:tabs>
        <w:numPr>
          <w:ilvl w:val="2"/>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which would have been earned after termination until the time of award exceeds the amount of such loss that Tenant proves could have been reasonably avoided;</w:t>
      </w:r>
    </w:p>
    <w:p>
      <w:pPr>
        <w:spacing w:after="0" w:line="174" w:lineRule="exact"/>
        <w:rPr>
          <w:rFonts w:ascii="Times New Roman" w:cs="Times New Roman" w:eastAsia="Times New Roman" w:hAnsi="Times New Roman"/>
          <w:sz w:val="20"/>
          <w:szCs w:val="20"/>
          <w:color w:val="auto"/>
        </w:rPr>
      </w:pPr>
    </w:p>
    <w:p>
      <w:pPr>
        <w:ind w:left="4340" w:hanging="876"/>
        <w:spacing w:after="0"/>
        <w:tabs>
          <w:tab w:leader="none" w:pos="4340" w:val="left"/>
        </w:tabs>
        <w:numPr>
          <w:ilvl w:val="2"/>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for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balance of the Term after the time of award exceeds the amount of such loss that Tenant proves could be reasonably avoided;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2" w:name="page353"/>
    <w:bookmarkEnd w:id="352"/>
    <w:p>
      <w:pPr>
        <w:jc w:val="both"/>
        <w:ind w:firstLine="3464"/>
        <w:spacing w:after="0" w:line="246" w:lineRule="auto"/>
        <w:tabs>
          <w:tab w:leader="none" w:pos="4335" w:val="left"/>
        </w:tabs>
        <w:numPr>
          <w:ilvl w:val="2"/>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necessary to compensate Landlord for all the detriment proximately caused by Tenant’s failure to perform its obligations under this Lease or which in the ordinary course of things would be likely to result from Tenant’s default, including, but not limited to, the cost of recovering possession of the Premises, commissions and other expenses of reletting, including necessary repair, renovation, improvement and alteration of the Premises for a new tenant, reasonable attorneys’ fees, and any other reasonable costs; and</w:t>
      </w:r>
    </w:p>
    <w:p>
      <w:pPr>
        <w:spacing w:after="0" w:line="184" w:lineRule="exact"/>
        <w:rPr>
          <w:rFonts w:ascii="Times New Roman" w:cs="Times New Roman" w:eastAsia="Times New Roman" w:hAnsi="Times New Roman"/>
          <w:sz w:val="20"/>
          <w:szCs w:val="20"/>
          <w:color w:val="auto"/>
        </w:rPr>
      </w:pPr>
    </w:p>
    <w:p>
      <w:pPr>
        <w:jc w:val="both"/>
        <w:ind w:firstLine="3464"/>
        <w:spacing w:after="0" w:line="244" w:lineRule="auto"/>
        <w:tabs>
          <w:tab w:leader="none" w:pos="4335" w:val="left"/>
        </w:tabs>
        <w:numPr>
          <w:ilvl w:val="2"/>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Landlord’s election, all other amounts in addition to or in lieu of the foregoing as may be permitted by law. Any sum, other than Basic Rent, shall be computed on the basis of the average monthly amount accruing during the 24 month period immediately prior to Default, except that if it becomes necessary to compute such rental before the 24 month period has occurred, then the computation shall be on the basis of the average monthly amount during the shorter period. As used in subparagraphs (1) and (2) above, the “</w:t>
      </w:r>
      <w:r>
        <w:rPr>
          <w:rFonts w:ascii="Times New Roman" w:cs="Times New Roman" w:eastAsia="Times New Roman" w:hAnsi="Times New Roman"/>
          <w:sz w:val="20"/>
          <w:szCs w:val="20"/>
          <w:b w:val="1"/>
          <w:bCs w:val="1"/>
          <w:color w:val="auto"/>
        </w:rPr>
        <w:t>worth at the time of award</w:t>
      </w:r>
      <w:r>
        <w:rPr>
          <w:rFonts w:ascii="Times New Roman" w:cs="Times New Roman" w:eastAsia="Times New Roman" w:hAnsi="Times New Roman"/>
          <w:sz w:val="20"/>
          <w:szCs w:val="20"/>
          <w:color w:val="auto"/>
        </w:rPr>
        <w:t>” shall be computed by allowing interest at the rate of 10% per annum. As used in subparagraph (3) above, the “</w:t>
      </w:r>
      <w:r>
        <w:rPr>
          <w:rFonts w:ascii="Times New Roman" w:cs="Times New Roman" w:eastAsia="Times New Roman" w:hAnsi="Times New Roman"/>
          <w:sz w:val="20"/>
          <w:szCs w:val="20"/>
          <w:b w:val="1"/>
          <w:bCs w:val="1"/>
          <w:color w:val="auto"/>
        </w:rPr>
        <w:t>worth at the time of award</w:t>
      </w:r>
      <w:r>
        <w:rPr>
          <w:rFonts w:ascii="Times New Roman" w:cs="Times New Roman" w:eastAsia="Times New Roman" w:hAnsi="Times New Roman"/>
          <w:sz w:val="20"/>
          <w:szCs w:val="20"/>
          <w:color w:val="auto"/>
        </w:rPr>
        <w:t>” shall be computed by discounting the amount at the discount rate of the Federal Reserve Bank of San Francisco at the time of award plus 1%.</w:t>
      </w:r>
    </w:p>
    <w:p>
      <w:pPr>
        <w:spacing w:after="0" w:line="185" w:lineRule="exact"/>
        <w:rPr>
          <w:rFonts w:ascii="Times New Roman" w:cs="Times New Roman" w:eastAsia="Times New Roman" w:hAnsi="Times New Roman"/>
          <w:sz w:val="20"/>
          <w:szCs w:val="20"/>
          <w:color w:val="auto"/>
        </w:rPr>
      </w:pPr>
    </w:p>
    <w:p>
      <w:pPr>
        <w:jc w:val="both"/>
        <w:ind w:firstLine="2600"/>
        <w:spacing w:after="0" w:line="254" w:lineRule="auto"/>
        <w:tabs>
          <w:tab w:leader="none" w:pos="3482" w:val="left"/>
        </w:tabs>
        <w:numPr>
          <w:ilvl w:val="1"/>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 the remedy described in California Civil Code § 1951.4 (Landlord may continue this Lease in effect after Tenant’s breach and abandonment and recover Rent as it becomes due, if Tenant has the right to sublet or assign, subject only to reasonable limitations).</w:t>
      </w:r>
    </w:p>
    <w:p>
      <w:pPr>
        <w:spacing w:after="0" w:line="174" w:lineRule="exact"/>
        <w:rPr>
          <w:rFonts w:ascii="Times New Roman" w:cs="Times New Roman" w:eastAsia="Times New Roman" w:hAnsi="Times New Roman"/>
          <w:sz w:val="20"/>
          <w:szCs w:val="20"/>
          <w:color w:val="auto"/>
        </w:rPr>
      </w:pPr>
    </w:p>
    <w:p>
      <w:pPr>
        <w:jc w:val="both"/>
        <w:ind w:firstLine="1735"/>
        <w:spacing w:after="0" w:line="241" w:lineRule="auto"/>
        <w:tabs>
          <w:tab w:leader="none" w:pos="2606"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various rights and remedies reserved to Landlord in this Lease or otherwise shall be cumulative and, except as otherwise provided by California law, Landlord may pursue any or all of its rights and remedies at the same time. No delay or omission of Landlord to exercise any right or remedy shall be construed as a waiver of the right or remedy or of any breach or Default by Tenant. The acceptance by Landlord of rent shall not be a (i) waiver of any preceding breach or Default by Tenant of any provision of this Lease, other than the failure of Tenant to pay the particular rent accepted, regardless of Landlord’s knowledge of the preceding breach or Default at the time of acceptance of rent, or (ii) a waiver of Landlord’s right to exercise any remedy available to Landlord by virtue of the breach or Default. No payment by Tenant or receipt by Landlord of a lesser amount than the rent required by this Lease shall be deemed to be other than a partial payment on account of the earliest due stipulated rent, nor shall any endorsement or statement on any check or letter be deemed an accord and satisfaction and Landlord shall accept the check or payment without prejudice to Landlord’s right to recover the balance of the rent or pursue any other remedy available to it. Tenant hereby waives any right of redemption or relief from forfeiture under California Code of Civil Procedure Section 1174 or 1179, or under any successor statute, in the event this Lease is terminated by reason of any Default by Tenant. No act or thing done by Landlord or Landlord’s agents during the Term shall be deemed an acceptance of a surrender of the Premises, and no agreement to accept a surrender shall be valid unless in writing and signed by Landlord.</w:t>
      </w:r>
    </w:p>
    <w:p>
      <w:pPr>
        <w:spacing w:after="0" w:line="193"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b w:val="1"/>
          <w:bCs w:val="1"/>
          <w:color w:val="auto"/>
        </w:rPr>
        <w:t>14.3 LATE PAYMENTS</w:t>
      </w:r>
      <w:r>
        <w:rPr>
          <w:rFonts w:ascii="Times New Roman" w:cs="Times New Roman" w:eastAsia="Times New Roman" w:hAnsi="Times New Roman"/>
          <w:sz w:val="20"/>
          <w:szCs w:val="20"/>
          <w:color w:val="auto"/>
        </w:rPr>
        <w:t>. Any Rent due under this Lease that is not paid to Landlord within 5 days of the date when due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bear interest at the maximum rate permitted by law from the date due until fully paid and if any Rent due from Tenant shall not be received by Landlord or Landlord’s designee within 5 days after the date due, then Tenant shall pay to Landlord, in addition to the interest, a late charge for each delinquent payment equal to the greater of (i) 5% of that delinquent payment or (ii) $100.00. Notwithstanding the foregoing, Landlord will not assess a late charge or interest for the first late payment in each 12-month period unless Tenant has not cured such late payment within three (3) days from receipt of written notice from Landlord.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3" w:name="page354"/>
    <w:bookmarkEnd w:id="353"/>
    <w:p>
      <w:pPr>
        <w:jc w:val="both"/>
        <w:ind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14.4 DEFAULT BY LANDLORD</w:t>
      </w:r>
      <w:r>
        <w:rPr>
          <w:rFonts w:ascii="Times New Roman" w:cs="Times New Roman" w:eastAsia="Times New Roman" w:hAnsi="Times New Roman"/>
          <w:sz w:val="20"/>
          <w:szCs w:val="20"/>
          <w:color w:val="auto"/>
        </w:rPr>
        <w:t>. Landlord shall not be deemed to be in default in the performance of any obligation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this Lease unless and until it has failed to perform the obligation within 30 days after written notice by Tenant to Landlord specifying in reasonable detail the nature and extent of the failure;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nature of Landlord’s obligation is such that more than 30 days are required for its performance, then Landlord shall not be deemed to be in default if it commences performance within the 30 day period and thereafter diligently pursues the cure to completion.</w:t>
      </w:r>
    </w:p>
    <w:p>
      <w:pPr>
        <w:spacing w:after="0" w:line="180"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14.5 EXPENSES AND LEGAL FEES</w:t>
      </w:r>
      <w:r>
        <w:rPr>
          <w:rFonts w:ascii="Times New Roman" w:cs="Times New Roman" w:eastAsia="Times New Roman" w:hAnsi="Times New Roman"/>
          <w:sz w:val="20"/>
          <w:szCs w:val="20"/>
          <w:color w:val="auto"/>
        </w:rPr>
        <w:t>. Should either Landlord or Tenant bring any action in connection with this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prevailing party shall be entitled to recover as a part of the action its reasonable attorneys’ fees, and all other reasonable costs. The prevailing party for the purpose of this paragraph shall be determined by the trier of the facts.</w:t>
      </w:r>
    </w:p>
    <w:p>
      <w:pPr>
        <w:spacing w:after="0" w:line="169"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14.6</w:t>
      </w:r>
      <w:r>
        <w:rPr>
          <w:sz w:val="20"/>
          <w:szCs w:val="20"/>
          <w:color w:val="auto"/>
        </w:rPr>
        <w:tab/>
      </w:r>
      <w:r>
        <w:rPr>
          <w:rFonts w:ascii="Times New Roman" w:cs="Times New Roman" w:eastAsia="Times New Roman" w:hAnsi="Times New Roman"/>
          <w:sz w:val="19"/>
          <w:szCs w:val="19"/>
          <w:b w:val="1"/>
          <w:bCs w:val="1"/>
          <w:color w:val="auto"/>
        </w:rPr>
        <w:t>WAIVER OF JURY TRIAL/JUDICIAL REFERENCE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5" w:lineRule="auto"/>
        <w:tabs>
          <w:tab w:leader="none" w:pos="2595"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LANDLORD AND TENANT EACH ACKNOWLEDGES THAT IT IS AWARE OF AND HAS HAD THE ADVICE OF COUNSEL OF ITS CHOICE WITH RESPECT TO ITS RIGHT TO TRIAL BY JURY, AND EACH PARTY DOES HEREBY EXPRESSLY AND KNOWINGLY WAIVE AND RELEASE ALL SUCH RIGHTS TO TRIAL BY JURY IN ANY ACTION, PROCEEDING OR COUNTERCLAIM BROUGHT BY EITHER PARTY HERETO AGAINST THE OTHER (AND/OR AGAINST ITS OFFICERS, DIRECTORS, EMPLOYEES, AGENTS, OR SUBSIDIARY OR AFFILIATED ENTITIES) ON ANY MATTERS WHATSOEVER ARISING OUT OF OR IN ANY WAY CONNECTED WITH THIS LEASE, TENANT’S USE OR OCCUPANCY OF THE PREMISES, AND/OR ANY CLAIM OF INJURY OR DAMAGE.</w:t>
      </w:r>
    </w:p>
    <w:p>
      <w:pPr>
        <w:spacing w:after="0" w:line="183"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jury waiver provisions of Section 14.6(a) are not enforceable under California law, then, unless otherwise agreed to by the parties, the provisions of this Section 14.6(b) shall apply. Landlord and Tenant agree that any disputes arising in connection with this Lease (including but not limited to a determination of any and all of the issues in such dispute, whether of fact or of law) shall be resolved (and a decision shall be rendered) by way of a general reference as provided for in Part 2, Title 8, Chapter 6 (§§ 638 et. seq.) of the California Code of Civil Procedure, or any successor California statute governing resolution of disputes by a court appointed referee. Nothing within this Section 14.6 shall apply to an unlawful detainer action.</w:t>
      </w:r>
    </w:p>
    <w:p>
      <w:pPr>
        <w:spacing w:after="0" w:line="18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14.7 SATISFACTION OF JUDGMENT</w:t>
      </w:r>
      <w:r>
        <w:rPr>
          <w:rFonts w:ascii="Times New Roman" w:cs="Times New Roman" w:eastAsia="Times New Roman" w:hAnsi="Times New Roman"/>
          <w:sz w:val="20"/>
          <w:szCs w:val="20"/>
          <w:color w:val="auto"/>
        </w:rPr>
        <w:t>. The obligations of Landlord do not constitute the personal obligations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 partners, trustees, directors, officers, members or shareholders of Landlord or its constituent partners or members. Should Tenant recover a money judgment against Landlord, such judgment shall be satisfied only from the interest of Landlord in the Project and out of the rent or other income from such property receivable by Landlord, and no action for any deficiency may be sought or obtained by Tenant.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15. END OF TERM</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b w:val="1"/>
          <w:bCs w:val="1"/>
          <w:color w:val="auto"/>
        </w:rPr>
        <w:t>15.1 HOLDING OVER</w:t>
      </w:r>
      <w:r>
        <w:rPr>
          <w:rFonts w:ascii="Times New Roman" w:cs="Times New Roman" w:eastAsia="Times New Roman" w:hAnsi="Times New Roman"/>
          <w:sz w:val="20"/>
          <w:szCs w:val="20"/>
          <w:color w:val="auto"/>
        </w:rPr>
        <w:t>. If Tenant holds over for any period after the Expiration Date (or earlier termination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such tenancy shall constitute a tenancy at sufferance only and possession shall be subject to all of the terms of this Lease, except that the monthly Basic Rent shall be 150% of the monthly Basic Rent for the month immediately preceding the date of termination. The acceptance by Landlord of monthly hold-over rental in a lesser amount shall not constitute a waiver of Landlord’s right to recover the full amount due unless otherwise agreed in writing by Landlord. If Tenant fails to surrender the Premises upon the expiration of this Lease despite demand to do so by Landlord, Tenant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4" w:name="page355"/>
    <w:bookmarkEnd w:id="354"/>
    <w:p>
      <w:pPr>
        <w:jc w:val="both"/>
        <w:spacing w:after="0" w:line="254" w:lineRule="auto"/>
        <w:rPr>
          <w:sz w:val="20"/>
          <w:szCs w:val="20"/>
          <w:color w:val="auto"/>
        </w:rPr>
      </w:pPr>
      <w:r>
        <w:rPr>
          <w:rFonts w:ascii="Times New Roman" w:cs="Times New Roman" w:eastAsia="Times New Roman" w:hAnsi="Times New Roman"/>
          <w:sz w:val="20"/>
          <w:szCs w:val="20"/>
          <w:color w:val="auto"/>
        </w:rPr>
        <w:t>shall indemnify and hold Landlord harmless from all loss or liability, including without limitation, any claims made by any succeeding tenant relating to such failure to surrender. The foregoing provisions of this Section 15.1 are in addition to and do not affect Landlord’s right of re-entry or any other rights of Landlord under this Lease or at law.</w:t>
      </w:r>
    </w:p>
    <w:p>
      <w:pPr>
        <w:spacing w:after="0" w:line="17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9"/>
          <w:szCs w:val="19"/>
          <w:b w:val="1"/>
          <w:bCs w:val="1"/>
          <w:color w:val="auto"/>
        </w:rPr>
        <w:t>15.2 SURRENDER OF PREMISES; REMOVAL OF PROPERTY</w:t>
      </w:r>
      <w:r>
        <w:rPr>
          <w:rFonts w:ascii="Times New Roman" w:cs="Times New Roman" w:eastAsia="Times New Roman" w:hAnsi="Times New Roman"/>
          <w:sz w:val="19"/>
          <w:szCs w:val="19"/>
          <w:color w:val="auto"/>
        </w:rPr>
        <w:t>. Upon the Expiration Date or upon any earlier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termination of this Lease, Tenant shall quit and surrender possession of the Premises to Landlord in as good order, condition and repair as when received or as hereafter may be improved by Landlord or Tenant, reasonable wear and tear, casualty, and repairs which are Landlord’s obligation excepted, and shall remove or, at Tenant’s option, fund to Landlord the cost of removing all wallpapering, voice and/or data transmission cabling installed by or for Tenant and Required Removables, together with all personal property and debris, and shall perform all work required under Section 7.3 of this Lease. If Tenant shall fail to comply with the provisions of this Section 15.2, Landlord may effect the removal and/or make any repairs, and the cost to Landlord shall be additional rent payable by Tenant upon demand.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16. PAYMENTS AND NOTICES</w:t>
      </w:r>
    </w:p>
    <w:p>
      <w:pPr>
        <w:spacing w:after="0" w:line="22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All sums payable by Tenant to Landlord shall be paid, without deduction or offset, in lawful money of the United States to Landlord at its address set forth in Item 12 of the Basic Lease Provisions, or at any other place as Landlord may designate in writing. Unless this Lease expressly provides otherwise, all payments shall be due and payable within 10 business days after demand. All payments requiring proration shall be prorated on the basis of the number of days in the pertinent calendar month or year, as applicable. Any notice, election, demand, consent, approval or other communication to be given or other document to be delivered by either party to the other may be delivered to the other party, at the address set forth in Item 12 of the Basic Lease Provisions, by personal service or by any courier or “</w:t>
      </w:r>
      <w:r>
        <w:rPr>
          <w:rFonts w:ascii="Times New Roman" w:cs="Times New Roman" w:eastAsia="Times New Roman" w:hAnsi="Times New Roman"/>
          <w:sz w:val="20"/>
          <w:szCs w:val="20"/>
          <w:b w:val="1"/>
          <w:bCs w:val="1"/>
          <w:color w:val="auto"/>
        </w:rPr>
        <w:t>overnight</w:t>
      </w:r>
      <w:r>
        <w:rPr>
          <w:rFonts w:ascii="Times New Roman" w:cs="Times New Roman" w:eastAsia="Times New Roman" w:hAnsi="Times New Roman"/>
          <w:sz w:val="20"/>
          <w:szCs w:val="20"/>
          <w:color w:val="auto"/>
        </w:rPr>
        <w:t>” express mailing service. Either party may, by written notice to the other, served in the manner provided in this Article, designate a different address. The refusal to accept delivery of a notice, or the inability to deliver the notice (whether due to a change of address for which notice was not duly given or other good reason), shall be deemed delivery and receipt of the notice as of the date of attempted delivery. If more than one person or entity is named as Tenant under this Lease, service of any notice upon any one of them shall be deemed as service upon all of them.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17. RULES AND REGULATIONS</w:t>
      </w:r>
    </w:p>
    <w:p>
      <w:pPr>
        <w:spacing w:after="0" w:line="220"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Tenant agrees to comply with the Rules and Regulations attached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and any reasonable and nondiscriminatory amendments, modifications and/or additions as may be adopted by Landlord from time to time.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18. BROKER’S COMMISSION</w:t>
      </w:r>
    </w:p>
    <w:p>
      <w:pPr>
        <w:spacing w:after="0" w:line="22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The parties recognize as the broker(s) who negotiated this Lease the firm(s) whose name(s) is (are) stated in Item 10 of the Basic Lease Provisions, and agree that Landlord shall be responsible for the payment of brokerage commissions to those broker(s) unless otherwise provided in this Lease. Tenant agrees to indemnify and hold Landlord harmless from any cost, expense or liability (including reasonable attorneys’ fees) for any compensation, commissions or charges claimed by any other real estate broker or agent employed or claiming to represent or to have been employed by Tenant in connection with the negotiation of this Lease.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5" w:name="page356"/>
    <w:bookmarkEnd w:id="355"/>
    <w:p>
      <w:pPr>
        <w:jc w:val="center"/>
        <w:spacing w:after="0"/>
        <w:rPr>
          <w:sz w:val="20"/>
          <w:szCs w:val="20"/>
          <w:color w:val="auto"/>
        </w:rPr>
      </w:pPr>
      <w:r>
        <w:rPr>
          <w:rFonts w:ascii="Times New Roman" w:cs="Times New Roman" w:eastAsia="Times New Roman" w:hAnsi="Times New Roman"/>
          <w:sz w:val="20"/>
          <w:szCs w:val="20"/>
          <w:b w:val="1"/>
          <w:bCs w:val="1"/>
          <w:color w:val="auto"/>
        </w:rPr>
        <w:t>ARTICLE 19. TRANSFER OF LANDLORD’S INTEREST</w:t>
      </w:r>
    </w:p>
    <w:p>
      <w:pPr>
        <w:spacing w:after="0" w:line="220"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Landlord shall have the right to transfer and assign, in whole or in part, all of its ownership interest, rights and obligations in the Building, Project or Lease, including the Security Deposit, and upon transfer Landlord shall be released from any further obligations hereunder, and Tenant agrees to look solely to the successor in interest of Landlord for the performance of such obligations and the return of any Security Deposit.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20. INTERPRETATION</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20.1 JOINT AND SEVERAL LIABILITY</w:t>
      </w:r>
      <w:r>
        <w:rPr>
          <w:rFonts w:ascii="Times New Roman" w:cs="Times New Roman" w:eastAsia="Times New Roman" w:hAnsi="Times New Roman"/>
          <w:sz w:val="20"/>
          <w:szCs w:val="20"/>
          <w:color w:val="auto"/>
        </w:rPr>
        <w:t>. If more than one person or entity is named as Tenant, the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imposed upon each shall be joint and several and the act of or notice from, or notice or refund to, or the signature of, any one or more of them shall be binding on all of them with respect to the tenancy of this Lease, including, but not limited to, any renewal, extension, termination or modification of this Lease.</w:t>
      </w:r>
    </w:p>
    <w:p>
      <w:pPr>
        <w:spacing w:after="0" w:line="176"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20"/>
          <w:szCs w:val="20"/>
          <w:b w:val="1"/>
          <w:bCs w:val="1"/>
          <w:color w:val="auto"/>
        </w:rPr>
        <w:t>20.2 SUCCESSORS</w:t>
      </w:r>
      <w:r>
        <w:rPr>
          <w:rFonts w:ascii="Times New Roman" w:cs="Times New Roman" w:eastAsia="Times New Roman" w:hAnsi="Times New Roman"/>
          <w:sz w:val="20"/>
          <w:szCs w:val="20"/>
          <w:color w:val="auto"/>
        </w:rPr>
        <w:t>. Subject to Sections 13.1 and 22.3 and to Articles 9 and 19 of this Lease, all rights and liabilities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given to or imposed upon Landlord and Tenant shall extend to and bind their respective heirs, executors, administrators, successors and assigns.</w:t>
      </w:r>
    </w:p>
    <w:p>
      <w:pPr>
        <w:spacing w:after="0" w:line="200" w:lineRule="exact"/>
        <w:rPr>
          <w:sz w:val="20"/>
          <w:szCs w:val="20"/>
          <w:color w:val="auto"/>
        </w:rPr>
      </w:pPr>
    </w:p>
    <w:p>
      <w:pPr>
        <w:spacing w:after="0" w:line="204"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20.3 TIME OF ESSENCE</w:t>
      </w:r>
      <w:r>
        <w:rPr>
          <w:rFonts w:ascii="Times New Roman" w:cs="Times New Roman" w:eastAsia="Times New Roman" w:hAnsi="Times New Roman"/>
          <w:sz w:val="20"/>
          <w:szCs w:val="20"/>
          <w:color w:val="auto"/>
        </w:rPr>
        <w:t>. Time is of the essence with respect to the performance of every provision of this Lease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time of performance is a factor.</w:t>
      </w:r>
    </w:p>
    <w:p>
      <w:pPr>
        <w:spacing w:after="0" w:line="152"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20.4</w:t>
      </w:r>
      <w:r>
        <w:rPr>
          <w:sz w:val="20"/>
          <w:szCs w:val="20"/>
          <w:color w:val="auto"/>
        </w:rPr>
        <w:tab/>
      </w:r>
      <w:r>
        <w:rPr>
          <w:rFonts w:ascii="Times New Roman" w:cs="Times New Roman" w:eastAsia="Times New Roman" w:hAnsi="Times New Roman"/>
          <w:sz w:val="19"/>
          <w:szCs w:val="19"/>
          <w:b w:val="1"/>
          <w:bCs w:val="1"/>
          <w:color w:val="auto"/>
        </w:rPr>
        <w:t>CONTROLLING LAW</w:t>
      </w:r>
      <w:r>
        <w:rPr>
          <w:rFonts w:ascii="Times New Roman" w:cs="Times New Roman" w:eastAsia="Times New Roman" w:hAnsi="Times New Roman"/>
          <w:sz w:val="19"/>
          <w:szCs w:val="19"/>
          <w:color w:val="auto"/>
        </w:rPr>
        <w:t>. This Lease shall be governed by and interpreted in accordance with the laws of the State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California.</w:t>
      </w:r>
    </w:p>
    <w:p>
      <w:pPr>
        <w:spacing w:after="0" w:line="19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20.5 SEVERABILITY</w:t>
      </w:r>
      <w:r>
        <w:rPr>
          <w:rFonts w:ascii="Times New Roman" w:cs="Times New Roman" w:eastAsia="Times New Roman" w:hAnsi="Times New Roman"/>
          <w:sz w:val="20"/>
          <w:szCs w:val="20"/>
          <w:color w:val="auto"/>
        </w:rPr>
        <w:t>. If any term or provision of this Lease, the deletion of which would not adversely affect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of any material benefit by either party or the deletion of which is consented to by the party adversely affected, shall be held invalid or unenforceable to any extent, the remainder of this Lease shall not be affected and each term and provision of this Lease shall be valid and enforceable to the fullest extent permitted by law.</w:t>
      </w:r>
    </w:p>
    <w:p>
      <w:pPr>
        <w:spacing w:after="0" w:line="17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20.6 WAIVER</w:t>
      </w:r>
      <w:r>
        <w:rPr>
          <w:rFonts w:ascii="Times New Roman" w:cs="Times New Roman" w:eastAsia="Times New Roman" w:hAnsi="Times New Roman"/>
          <w:sz w:val="20"/>
          <w:szCs w:val="20"/>
          <w:color w:val="auto"/>
        </w:rPr>
        <w:t>. One or more waivers by Landlord or Tenant of any breach of any term, covenant or condition contained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this Lease shall not be a waiver of any subsequent breach of the same or any other term, covenant or condition. Consent to any act by one of the parties shall not be deemed to render unnecessary the obtaining of that party’s consent to any subsequent act. No breach of this Lease shall be deemed to have been waived unless the waiver is in a writing signed by the waiving party.</w:t>
      </w:r>
    </w:p>
    <w:p>
      <w:pPr>
        <w:spacing w:after="0" w:line="17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20.7 INABILITY TO PERFORM</w:t>
      </w:r>
      <w:r>
        <w:rPr>
          <w:rFonts w:ascii="Times New Roman" w:cs="Times New Roman" w:eastAsia="Times New Roman" w:hAnsi="Times New Roman"/>
          <w:sz w:val="20"/>
          <w:szCs w:val="20"/>
          <w:color w:val="auto"/>
        </w:rPr>
        <w:t>. In the event that either party shall be delayed or hindered in or prevented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of any work or in performing any act required under this Lease by reason of any cause beyond the reasonable control of that party, then the performance of the work or the doing of the act shall be excused for the period of the delay and the time for performance shall be extended for a period equivalent to the period of the delay. The provisions of this Section 20.7 shall not operate to excuse Tenant from the prompt payment of Rent.</w:t>
      </w:r>
    </w:p>
    <w:p>
      <w:pPr>
        <w:spacing w:after="0" w:line="18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20.8 ENTIRE AGREEMENT</w:t>
      </w:r>
      <w:r>
        <w:rPr>
          <w:rFonts w:ascii="Times New Roman" w:cs="Times New Roman" w:eastAsia="Times New Roman" w:hAnsi="Times New Roman"/>
          <w:sz w:val="20"/>
          <w:szCs w:val="20"/>
          <w:color w:val="auto"/>
        </w:rPr>
        <w:t>. This Lease constitutes the entire agreement between the parties and supersedes all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and understandings related to the Premises. This Lease may be modified only by a written agreement signed by Landlord and Tenant.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6" w:name="page357"/>
    <w:bookmarkEnd w:id="356"/>
    <w:p>
      <w:pPr>
        <w:jc w:val="both"/>
        <w:ind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20.9 QUIET ENJOYMENT</w:t>
      </w:r>
      <w:r>
        <w:rPr>
          <w:rFonts w:ascii="Times New Roman" w:cs="Times New Roman" w:eastAsia="Times New Roman" w:hAnsi="Times New Roman"/>
          <w:sz w:val="20"/>
          <w:szCs w:val="20"/>
          <w:color w:val="auto"/>
        </w:rPr>
        <w:t>. Upon the observance and performance of all the covenants, terms and conditions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Tenant’s part to be observed and performed, and subject to the other provisions of this Lease, Tenant shall have the right of quiet enjoyment and use of the Premises for the Term without hindrance or interruption by Landlord or any other person claiming by or through Landlord.</w:t>
      </w:r>
    </w:p>
    <w:p>
      <w:pPr>
        <w:spacing w:after="0" w:line="16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20.10 SURVIVAL</w:t>
      </w:r>
      <w:r>
        <w:rPr>
          <w:rFonts w:ascii="Times New Roman" w:cs="Times New Roman" w:eastAsia="Times New Roman" w:hAnsi="Times New Roman"/>
          <w:sz w:val="20"/>
          <w:szCs w:val="20"/>
          <w:color w:val="auto"/>
        </w:rPr>
        <w:t>. All covenants of Landlord or Tenant which reasonably would be intended to survive the expiration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sooner termination of this Lease, including without limitation any warranty or indemnity hereunder, shall so survive and continue to be binding upon and inure to the benefit of the respective parties and their successors and assigns.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21. EXECUTION</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21.1 COUNTERPARTS; DIGITAL SIGNATURES</w:t>
      </w:r>
      <w:r>
        <w:rPr>
          <w:rFonts w:ascii="Times New Roman" w:cs="Times New Roman" w:eastAsia="Times New Roman" w:hAnsi="Times New Roman"/>
          <w:sz w:val="20"/>
          <w:szCs w:val="20"/>
          <w:color w:val="auto"/>
        </w:rPr>
        <w:t>. This Lease may be executed in one or more counterparts,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shall constitute an original and all of which shall be one and the same agreement. The parties agree to accept a digital image (including but not limited to an image in the form of a PDF, JPEG, GIF file, or other e-signature) of this Lease, if applicable, reflecting the execution of one or both of the parties, as a true and correct original.</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21.2 CORPORATE AND PARTNERSHIP AUTHORITY</w:t>
      </w:r>
      <w:r>
        <w:rPr>
          <w:rFonts w:ascii="Times New Roman" w:cs="Times New Roman" w:eastAsia="Times New Roman" w:hAnsi="Times New Roman"/>
          <w:sz w:val="20"/>
          <w:szCs w:val="20"/>
          <w:color w:val="auto"/>
        </w:rPr>
        <w:t>. Tenant and each individual executing this Lease represents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warrants to Landlord, and agrees, that such individual executing this Lease on behalf of Tenant is authorized to do so on behalf of Tenant.</w:t>
      </w:r>
    </w:p>
    <w:p>
      <w:pPr>
        <w:spacing w:after="0" w:line="152"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21.3 EXECUTION OF LEASE; NO OPTION OR OFFER</w:t>
      </w:r>
      <w:r>
        <w:rPr>
          <w:rFonts w:ascii="Times New Roman" w:cs="Times New Roman" w:eastAsia="Times New Roman" w:hAnsi="Times New Roman"/>
          <w:sz w:val="20"/>
          <w:szCs w:val="20"/>
          <w:color w:val="auto"/>
        </w:rPr>
        <w:t>. The submission of this Lease to Tenant shall be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examination purposes only, and shall not constitute an offer to or option for Tenant to lease the Premises. Execution of this Lease by Tenant and its return to Landlord shall not be binding upon Landlord, notwithstanding any time interval, until Landlord has in fact executed and delivered this Lease to Tenant, it being intended that this Lease shall only become effective upon execution by Landlord and delivery of a fully executed counterpart to Tenant.</w:t>
      </w:r>
    </w:p>
    <w:p>
      <w:pPr>
        <w:spacing w:after="0" w:line="18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b w:val="1"/>
          <w:bCs w:val="1"/>
          <w:color w:val="auto"/>
        </w:rPr>
        <w:t>21.4 BROKER DISCLOSURE</w:t>
      </w:r>
      <w:r>
        <w:rPr>
          <w:rFonts w:ascii="Times New Roman" w:cs="Times New Roman" w:eastAsia="Times New Roman" w:hAnsi="Times New Roman"/>
          <w:sz w:val="20"/>
          <w:szCs w:val="20"/>
          <w:color w:val="auto"/>
        </w:rPr>
        <w:t>. By the execution of this Lease, each of Landlord and Tenant hereby acknowledge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confirm (a) receipt of a copy of a Disclosure Regarding Real Estate Agency Relationship conforming to the requirements of California Civil Code 2079.16, and (b) the agency relationships specified in Item 10 of the Basic Lease Provisions, which acknowledgement and confirmation is expressly made for the benefit of Tenant’s Broker identified in Item 10 of the Basic Lease Provisions. If there is no Tenant’s Broker so identified in Item 10 of the Basic Lease Provisions, then such acknowledgement and confirmation is expressly made for the benefit of Landlord’s Broker. By the execution of this Lease, Landlord and Tenant are executing the confirmation of the agency relationships set forth in Item 10 of the Basic Lease Provisions.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22. MISCELLANEOUS</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22.1 NONDISCLOSURE OF LEASE TERMS</w:t>
      </w:r>
      <w:r>
        <w:rPr>
          <w:rFonts w:ascii="Times New Roman" w:cs="Times New Roman" w:eastAsia="Times New Roman" w:hAnsi="Times New Roman"/>
          <w:sz w:val="20"/>
          <w:szCs w:val="20"/>
          <w:color w:val="auto"/>
        </w:rPr>
        <w:t>. Except to the extent disclosure is required by law, Tenant shall keep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content of this Lease and any related documents confidential and shall not disclose such confidential information to any person or entity other than Tenant’s financial, legal and space-planning consultants,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Tenant may disclose the terms to prospective subtenants or assignees under this Lease or pursuant to legal requirement.</w:t>
      </w:r>
    </w:p>
    <w:p>
      <w:pPr>
        <w:spacing w:after="0" w:line="17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22.2 TENANT’S FINANCIAL STATEMENTS</w:t>
      </w:r>
      <w:r>
        <w:rPr>
          <w:rFonts w:ascii="Times New Roman" w:cs="Times New Roman" w:eastAsia="Times New Roman" w:hAnsi="Times New Roman"/>
          <w:sz w:val="20"/>
          <w:szCs w:val="20"/>
          <w:color w:val="auto"/>
        </w:rPr>
        <w:t>. The application, financial statements and tax returns, if any, submitted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certified to by Tenant as an accurate representation of its financial condition have been prepared, certified and submitted to Landlord as an inducement and consideration to Landlord to enter into this Lease. Tenant shall during the Term furnish Landlord with current annual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7" w:name="page358"/>
    <w:bookmarkEnd w:id="35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financial statements accurately reflecting Tenant’s financial condition upon written request from Landlord within 10 business days following Landlord’s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unless Tenant is in Default, Landlord shall not request such statements more frequently than once during each calendar year during the Term, and (ii) so long as Tenant is a publicly traded corporation on a nationally recognized stock exchange, the foregoing obligation to deliver the statements shall be waived.</w:t>
      </w:r>
    </w:p>
    <w:p>
      <w:pPr>
        <w:spacing w:after="0" w:line="17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b w:val="1"/>
          <w:bCs w:val="1"/>
          <w:color w:val="auto"/>
        </w:rPr>
        <w:t>22.3 MORTGAGEE PROTECTION</w:t>
      </w:r>
      <w:r>
        <w:rPr>
          <w:rFonts w:ascii="Times New Roman" w:cs="Times New Roman" w:eastAsia="Times New Roman" w:hAnsi="Times New Roman"/>
          <w:sz w:val="20"/>
          <w:szCs w:val="20"/>
          <w:color w:val="auto"/>
        </w:rPr>
        <w:t>. No act or failure to act on the part of Landlord which would otherwise entitle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to be relieved of its obligations hereunder or to terminate this Lease shall result in such a release or termination unless (a) Tenant has given notice by registered or certified mail to any Mortgagee of a Mortgage covering the Building whose address has been furnished to Tenant and (b) such Mortgagee is afforded a reasonable opportunity to cure the default by Landlord. Tenant shall comply with any written directions by any Mortgagee to pay Rent due hereunder directly to such Mortgagee without determining whether a default exists under such Mortgagee’s Mortgage.</w:t>
      </w:r>
    </w:p>
    <w:p>
      <w:pPr>
        <w:spacing w:after="0" w:line="179"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22.4 SDN LIST</w:t>
      </w:r>
      <w:r>
        <w:rPr>
          <w:rFonts w:ascii="Times New Roman" w:cs="Times New Roman" w:eastAsia="Times New Roman" w:hAnsi="Times New Roman"/>
          <w:sz w:val="20"/>
          <w:szCs w:val="20"/>
          <w:color w:val="auto"/>
        </w:rPr>
        <w:t>. Tenant hereby represents and warrants that neither Tenant nor any officer, director, employee, partner,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or other principal of Tenant (collectively, “</w:t>
      </w:r>
      <w:r>
        <w:rPr>
          <w:rFonts w:ascii="Times New Roman" w:cs="Times New Roman" w:eastAsia="Times New Roman" w:hAnsi="Times New Roman"/>
          <w:sz w:val="20"/>
          <w:szCs w:val="20"/>
          <w:b w:val="1"/>
          <w:bCs w:val="1"/>
          <w:color w:val="auto"/>
        </w:rPr>
        <w:t>Tenant Parties</w:t>
      </w:r>
      <w:r>
        <w:rPr>
          <w:rFonts w:ascii="Times New Roman" w:cs="Times New Roman" w:eastAsia="Times New Roman" w:hAnsi="Times New Roman"/>
          <w:sz w:val="20"/>
          <w:szCs w:val="20"/>
          <w:color w:val="auto"/>
        </w:rPr>
        <w:t>”) is listed as a Specially Designated National and Blocked Person (“</w:t>
      </w:r>
      <w:r>
        <w:rPr>
          <w:rFonts w:ascii="Times New Roman" w:cs="Times New Roman" w:eastAsia="Times New Roman" w:hAnsi="Times New Roman"/>
          <w:sz w:val="20"/>
          <w:szCs w:val="20"/>
          <w:b w:val="1"/>
          <w:bCs w:val="1"/>
          <w:color w:val="auto"/>
        </w:rPr>
        <w:t>SDN</w:t>
      </w:r>
      <w:r>
        <w:rPr>
          <w:rFonts w:ascii="Times New Roman" w:cs="Times New Roman" w:eastAsia="Times New Roman" w:hAnsi="Times New Roman"/>
          <w:sz w:val="20"/>
          <w:szCs w:val="20"/>
          <w:color w:val="auto"/>
        </w:rPr>
        <w:t>”) on the list of such persons and entities issued by the U.S. Treasury Office of Foreign Assets Control (OFAC). In the event Tenant or any Tenant Party is or becomes listed as an SDN, Tenant shall be deemed in breach of this Lease and Landlord shall have the right to terminate this Lease immediately upon written notice to Tenant.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w:t>
            </w:r>
          </w:p>
        </w:tc>
        <w:tc>
          <w:tcPr>
            <w:tcW w:w="1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tc>
        <w:tc>
          <w:tcPr>
            <w:tcW w:w="4000" w:type="dxa"/>
            <w:vAlign w:val="bottom"/>
          </w:tcPr>
          <w:p>
            <w:pPr>
              <w:spacing w:after="0"/>
              <w:rPr>
                <w:sz w:val="22"/>
                <w:szCs w:val="22"/>
                <w:color w:val="auto"/>
              </w:rPr>
            </w:pPr>
          </w:p>
        </w:tc>
      </w:tr>
      <w:tr>
        <w:trPr>
          <w:trHeight w:val="457"/>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DISCOVERY  BUSINESS  CENTER  LLC,  a  Delaware  limited</w:t>
            </w:r>
          </w:p>
        </w:tc>
        <w:tc>
          <w:tcPr>
            <w:tcW w:w="5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TARSUS PHARMACEUTICALS, INC.,a Delaware corporation</w:t>
            </w:r>
          </w:p>
        </w:tc>
      </w:tr>
      <w:tr>
        <w:trPr>
          <w:trHeight w:val="258"/>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liability company</w:t>
            </w:r>
          </w:p>
        </w:tc>
        <w:tc>
          <w:tcPr>
            <w:tcW w:w="1760" w:type="dxa"/>
            <w:vAlign w:val="bottom"/>
          </w:tcPr>
          <w:p>
            <w:pPr>
              <w:spacing w:after="0"/>
              <w:rPr>
                <w:sz w:val="22"/>
                <w:szCs w:val="22"/>
                <w:color w:val="auto"/>
              </w:rPr>
            </w:pPr>
          </w:p>
        </w:tc>
        <w:tc>
          <w:tcPr>
            <w:tcW w:w="4000" w:type="dxa"/>
            <w:vAlign w:val="bottom"/>
          </w:tcPr>
          <w:p>
            <w:pPr>
              <w:spacing w:after="0"/>
              <w:rPr>
                <w:sz w:val="22"/>
                <w:szCs w:val="22"/>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 Steven M. Case</w:t>
            </w:r>
          </w:p>
        </w:tc>
        <w:tc>
          <w:tcPr>
            <w:tcW w:w="1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/s/ Bobak Azamian</w:t>
            </w:r>
          </w:p>
        </w:tc>
      </w:tr>
      <w:tr>
        <w:trPr>
          <w:trHeight w:val="223"/>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Steven M. Case</w:t>
            </w:r>
          </w:p>
        </w:tc>
        <w:tc>
          <w:tcPr>
            <w:tcW w:w="176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Bobak Azamian</w:t>
            </w:r>
          </w:p>
        </w:tc>
      </w:tr>
      <w:tr>
        <w:trPr>
          <w:trHeight w:val="223"/>
        </w:trPr>
        <w:tc>
          <w:tcPr>
            <w:tcW w:w="480" w:type="dxa"/>
            <w:vAlign w:val="bottom"/>
          </w:tcPr>
          <w:p>
            <w:pPr>
              <w:spacing w:after="0"/>
              <w:rPr>
                <w:sz w:val="19"/>
                <w:szCs w:val="19"/>
                <w:color w:val="auto"/>
              </w:rPr>
            </w:pPr>
          </w:p>
        </w:tc>
        <w:tc>
          <w:tcPr>
            <w:tcW w:w="50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Executive Vice President</w:t>
            </w:r>
          </w:p>
        </w:tc>
        <w:tc>
          <w:tcPr>
            <w:tcW w:w="176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Title:</w:t>
            </w:r>
          </w:p>
        </w:tc>
        <w:tc>
          <w:tcPr>
            <w:tcW w:w="40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CEO</w:t>
            </w:r>
          </w:p>
        </w:tc>
      </w:tr>
      <w:tr>
        <w:trPr>
          <w:trHeight w:val="238"/>
        </w:trPr>
        <w:tc>
          <w:tcPr>
            <w:tcW w:w="480" w:type="dxa"/>
            <w:vAlign w:val="bottom"/>
          </w:tcPr>
          <w:p>
            <w:pPr>
              <w:spacing w:after="0"/>
              <w:rPr>
                <w:sz w:val="20"/>
                <w:szCs w:val="20"/>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Office Properties</w:t>
            </w:r>
          </w:p>
        </w:tc>
        <w:tc>
          <w:tcPr>
            <w:tcW w:w="176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 Holly McManus</w:t>
            </w:r>
          </w:p>
        </w:tc>
        <w:tc>
          <w:tcPr>
            <w:tcW w:w="1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/s/ Leo M. Greenstein</w:t>
            </w:r>
          </w:p>
        </w:tc>
      </w:tr>
      <w:tr>
        <w:trPr>
          <w:trHeight w:val="223"/>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Holly McManus</w:t>
            </w:r>
          </w:p>
        </w:tc>
        <w:tc>
          <w:tcPr>
            <w:tcW w:w="176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Leo M. Greenstein</w:t>
            </w:r>
          </w:p>
        </w:tc>
      </w:tr>
      <w:tr>
        <w:trPr>
          <w:trHeight w:val="223"/>
        </w:trPr>
        <w:tc>
          <w:tcPr>
            <w:tcW w:w="480" w:type="dxa"/>
            <w:vAlign w:val="bottom"/>
          </w:tcPr>
          <w:p>
            <w:pPr>
              <w:spacing w:after="0"/>
              <w:rPr>
                <w:sz w:val="19"/>
                <w:szCs w:val="19"/>
                <w:color w:val="auto"/>
              </w:rPr>
            </w:pPr>
          </w:p>
        </w:tc>
        <w:tc>
          <w:tcPr>
            <w:tcW w:w="50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Vice President, Operations</w:t>
            </w:r>
          </w:p>
        </w:tc>
        <w:tc>
          <w:tcPr>
            <w:tcW w:w="176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Title:</w:t>
            </w:r>
          </w:p>
        </w:tc>
        <w:tc>
          <w:tcPr>
            <w:tcW w:w="40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CFO</w:t>
            </w:r>
          </w:p>
        </w:tc>
      </w:tr>
      <w:tr>
        <w:trPr>
          <w:trHeight w:val="238"/>
        </w:trPr>
        <w:tc>
          <w:tcPr>
            <w:tcW w:w="480" w:type="dxa"/>
            <w:vAlign w:val="bottom"/>
          </w:tcPr>
          <w:p>
            <w:pPr>
              <w:spacing w:after="0"/>
              <w:rPr>
                <w:sz w:val="20"/>
                <w:szCs w:val="20"/>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Office Properties</w:t>
            </w:r>
          </w:p>
        </w:tc>
        <w:tc>
          <w:tcPr>
            <w:tcW w:w="1760" w:type="dxa"/>
            <w:vAlign w:val="bottom"/>
          </w:tcPr>
          <w:p>
            <w:pPr>
              <w:spacing w:after="0"/>
              <w:rPr>
                <w:sz w:val="20"/>
                <w:szCs w:val="20"/>
                <w:color w:val="auto"/>
              </w:rPr>
            </w:pPr>
          </w:p>
        </w:tc>
        <w:tc>
          <w:tcPr>
            <w:tcW w:w="4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333" w:right="33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SUBLEASE AGREEMENT</w:t>
      </w:r>
    </w:p>
    <w:p>
      <w:pPr>
        <w:spacing w:after="0" w:line="22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 xml:space="preserve">THIS SUBLEASE AGREEMENT (“Sublease”) is made and entered into this 29th day of May, 2020 by and between </w:t>
      </w:r>
      <w:r>
        <w:rPr>
          <w:rFonts w:ascii="Times New Roman" w:cs="Times New Roman" w:eastAsia="Times New Roman" w:hAnsi="Times New Roman"/>
          <w:sz w:val="20"/>
          <w:szCs w:val="20"/>
          <w:b w:val="1"/>
          <w:bCs w:val="1"/>
          <w:color w:val="auto"/>
        </w:rPr>
        <w:t>AVENT,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20"/>
          <w:szCs w:val="20"/>
          <w:color w:val="auto"/>
        </w:rPr>
        <w:t>, a Delaware corporation (hereinafter “Sublessor”) and</w:t>
      </w:r>
      <w:r>
        <w:rPr>
          <w:rFonts w:ascii="Times New Roman" w:cs="Times New Roman" w:eastAsia="Times New Roman" w:hAnsi="Times New Roman"/>
          <w:sz w:val="20"/>
          <w:szCs w:val="20"/>
          <w:b w:val="1"/>
          <w:bCs w:val="1"/>
          <w:color w:val="auto"/>
        </w:rPr>
        <w:t xml:space="preserve"> TARSUS PHARMACEUTICALS, INC.</w:t>
      </w:r>
      <w:r>
        <w:rPr>
          <w:rFonts w:ascii="Times New Roman" w:cs="Times New Roman" w:eastAsia="Times New Roman" w:hAnsi="Times New Roman"/>
          <w:sz w:val="20"/>
          <w:szCs w:val="20"/>
          <w:color w:val="auto"/>
        </w:rPr>
        <w:t>, a Delaware corporation (hereinafter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“Sublessee”).</w:t>
      </w:r>
    </w:p>
    <w:p>
      <w:pPr>
        <w:spacing w:after="0" w:line="169" w:lineRule="exact"/>
        <w:rPr>
          <w:sz w:val="20"/>
          <w:szCs w:val="20"/>
          <w:color w:val="auto"/>
        </w:rPr>
      </w:pPr>
    </w:p>
    <w:p>
      <w:pPr>
        <w:jc w:val="both"/>
        <w:ind w:left="860" w:hanging="852"/>
        <w:spacing w:after="0" w:line="243" w:lineRule="auto"/>
        <w:tabs>
          <w:tab w:leader="none" w:pos="860"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Master Lease</w:t>
      </w:r>
      <w:r>
        <w:rPr>
          <w:rFonts w:ascii="Times New Roman" w:cs="Times New Roman" w:eastAsia="Times New Roman" w:hAnsi="Times New Roman"/>
          <w:sz w:val="20"/>
          <w:szCs w:val="20"/>
          <w:color w:val="auto"/>
        </w:rPr>
        <w:t>. Sublessor is the tenant under that certain Lease dated August 16, 2013 as amended by First Amendment to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dated May 3, 2018 (as amended, the “Master Lease”), wherein Discovery Business Center LLC, a Delaware limited liability company (hereinafter “Master Lessor”) currently leases to Sublessor approximately 5,285 rentable square feet within the Building (as defined below). A copy of the Master Lease and any amendments thereto are attached herein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and made a part hereof. Sublessor represents and warrants to Sublessee that the Master Lease has not been amended or modified except as expressly set forth herein, that Sublessor has no knowledge of it being in default of the Master Lease and will not do anything to be in material default or breach of any of the provisions of the Master Lease beyond applicable notice and cure periods, and that Sublessor has no knowledge of any claim by Master Lessor that Sublessor is in default or breach of any of the provisions of the Master Lease. Sublessor shall use commercially reasonable efforts to cause Master Lessor to perform its obligations under the Master Lease as required under the Master Lease.</w:t>
      </w:r>
    </w:p>
    <w:p>
      <w:pPr>
        <w:spacing w:after="0" w:line="182" w:lineRule="exact"/>
        <w:rPr>
          <w:sz w:val="20"/>
          <w:szCs w:val="20"/>
          <w:color w:val="auto"/>
        </w:rPr>
      </w:pPr>
    </w:p>
    <w:p>
      <w:pPr>
        <w:jc w:val="both"/>
        <w:ind w:left="860" w:hanging="852"/>
        <w:spacing w:after="0" w:line="242" w:lineRule="auto"/>
        <w:tabs>
          <w:tab w:leader="none" w:pos="86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Sublessor hereby subleases to Sublessee, on the terms and conditions set forth in this Sublease, approximately 5,285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rentable square feet of space in the building located at 15440 Laguna Canyon Road, Irvine, CA 92618 (the “Building”) and identified as Suite 130 on the Floor Plan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and made a part hereof (hereinafter “Premises”). Within thirty (30) days following delivery of the Premises to Sublessee, Sublessee, at its sole cost and expense, may cause the square footage of the Premises to be remeasured in compliance with BOMA 2010 measurement standards and verified by Stevenson Systems. In the event that Sublessor disputes such re-measurement, Sublessor may elect to re-measure the Premises, in which event a representative appointed jointly by Sublessor and Sublessee shall at a mutually agreed date and time, within twenty (20) days following Sublessee’s receipt of notice from Sublessor of its election to re-measure the Premises, jointly field measure the Premises to determine such exact square footage In the event such actual certified square footage shall differ from that set forth herein, all charges and other dollar amounts under this Sublease which are based on the square footage of the Premises shall be adjusted to reflect the actual, certified square footage.</w:t>
      </w:r>
    </w:p>
    <w:p>
      <w:pPr>
        <w:spacing w:after="0" w:line="190" w:lineRule="exact"/>
        <w:rPr>
          <w:sz w:val="20"/>
          <w:szCs w:val="20"/>
          <w:color w:val="auto"/>
        </w:rPr>
      </w:pPr>
    </w:p>
    <w:p>
      <w:pPr>
        <w:jc w:val="both"/>
        <w:ind w:left="860" w:hanging="852"/>
        <w:spacing w:after="0" w:line="243" w:lineRule="auto"/>
        <w:tabs>
          <w:tab w:leader="none" w:pos="860"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The term of this Sublease shall commence upon the later of (i) July 1, 2020 (the “Anticipated Delivery Date”), (ii)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Possession of the Premises (as defined below), or (iii) the consent of the Master Lessor being obtained in accordance with Section 30 of the Lease (hereinafter “Commencement Date”). The Term shall end on January 31, 2024 (hereinafter “Termination Date”) unless otherwise sooner terminated in accordance with the provisions of this Sublease (hereinafter referred to as either the “Term”, “Lease Term” and/or the “Term of this Lease”). Notwithstanding the foregoing, in the event Sublessor requires additional time to restore and surrender the Premises to Master Lessor in accordance with the terms of the Master Lease, Sublessor shall be permitted to reduce the Term for up to fifteen (15) days by providing at least thirty (30) days prior written notice to Sublessee. Sublessee shall indemnify, protect and save harmless the Sublessor from and against any claims, liabilities, damages and losses asserted against Sublessor as a result of Sublessee’s failure to vacate the Premises as required under this Sublease at the end of the Term or earlier termination of the Sublease.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59" w:name="page360"/>
    <w:bookmarkEnd w:id="359"/>
    <w:p>
      <w:pPr>
        <w:ind w:left="860" w:hanging="852"/>
        <w:spacing w:after="0"/>
        <w:tabs>
          <w:tab w:leader="none" w:pos="86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Commencement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80" w:right="20" w:firstLine="789"/>
        <w:spacing w:after="0" w:line="241" w:lineRule="auto"/>
        <w:tabs>
          <w:tab w:leader="none" w:pos="2462"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Sublessor and Sublessee shall execute the Commencement Date Agreement attached hereto as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and made a part hereof, which shall confirm the Commencement Date and Rent Commencement Date (as defined below). Possession of the Premises (hereinafter “Possession”) shall be delivered to Sublessee in a good broom-clean swept condition and repair, free of debris, and Hazardous Materials (as defined in Section 5.3(a) of the Master Lease) brought to the Premises by or on behalf of Sublessor, provided however, the same shall not include a reasonable quantity of standard office products that may contain Hazardous Materials (such as photocopy toner, “White Out”, and the like), and Sublessor shall warrant such condition of the Premises, including that it is free of Hazardous Materials brought to the Premises by or on behalf of Sublessor, for 30 days following the Commencement Date. In the event Sublessor does not deliver Possession of the Premises on or before the Anticipated Delivery Date, Sublessee shall be permitted to (a) terminate the Sublease, or (b) receive a Minimum Rent credit of one (1) day for each day after the Anticipated Delivery Date, to be applied to the first full month of Minimum Rent, until the Sublessor delivers Possession of the Premises. Provided reasonable written notice is provided to Sublessor, Sublessee shall have access to the Premises fifteen (15) days prior to the Commencement Date for the sole purpose of installing equipment, furniture, equipment or other personal property of Sublessee (“Early Occupancy”). Sublessee’s Early Occupancy of the Premises shall be subject to all of the terms and conditions of this Sublease, except that Sublessee shall not be required to pay Rent (as defined below) during this period. Further, if Sublessee takes Early Occupancy of the Premises, this shall not advance the Termination Date.</w:t>
      </w:r>
    </w:p>
    <w:p>
      <w:pPr>
        <w:spacing w:after="0" w:line="197" w:lineRule="exact"/>
        <w:rPr>
          <w:rFonts w:ascii="Times New Roman" w:cs="Times New Roman" w:eastAsia="Times New Roman" w:hAnsi="Times New Roman"/>
          <w:sz w:val="20"/>
          <w:szCs w:val="20"/>
          <w:color w:val="auto"/>
        </w:rPr>
      </w:pPr>
    </w:p>
    <w:p>
      <w:pPr>
        <w:jc w:val="both"/>
        <w:ind w:left="880" w:right="20" w:firstLine="789"/>
        <w:spacing w:after="0" w:line="241" w:lineRule="auto"/>
        <w:tabs>
          <w:tab w:leader="none" w:pos="2473"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if a declaration of emergency or other order associated with the Covid-19 pandemic or similar epidemic is issued by a federal, California state or local governmental agency with jurisdiction over the Premises, Sublessee or Sublessor (collectively, a “Government Order”), and such Government Order (a) materially and substantially interferes with or substantially prohibits Sublessee’ s use of the Premises and the operation of Sublessee’s business therein, then, the Commencement Date shall be delayed by one (1) day for each day until the earlier of (i) the termination of such Government Order, or (ii) Sublessee’s resuming use of the Premises or operation of Sublessee’s business therein; provided, that, performance of construction activities or the installation or storage of trade fixtures and personal property shall not be deemed to be use or operation of Sublessee’s business for this purposes, or (b) materially and substantially interferes with Sublessor’s ability to deliver the Premises in accordance with Section 4(a) above, then, the Anticipated Delivery Date shall be delayed by one (1) days for each day until the earlier of (i) the termination of such Government Order, or (ii) Sublessee’s resuming use of the Premises or operation of Sublessee’s business therein; provided, that, performance of construction activities or the installation or storage of trade fixtures and personal property shall not be deemed to be use or operation of Sublessee’s business for this purposes.</w:t>
      </w:r>
    </w:p>
    <w:p>
      <w:pPr>
        <w:spacing w:after="0" w:line="193" w:lineRule="exact"/>
        <w:rPr>
          <w:sz w:val="20"/>
          <w:szCs w:val="20"/>
          <w:color w:val="auto"/>
        </w:rPr>
      </w:pPr>
    </w:p>
    <w:p>
      <w:pPr>
        <w:ind w:left="860" w:right="20" w:hanging="852"/>
        <w:spacing w:after="0" w:line="273" w:lineRule="auto"/>
        <w:tabs>
          <w:tab w:leader="none" w:pos="860"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Rent. Minimum Rent</w:t>
      </w:r>
      <w:r>
        <w:rPr>
          <w:rFonts w:ascii="Times New Roman" w:cs="Times New Roman" w:eastAsia="Times New Roman" w:hAnsi="Times New Roman"/>
          <w:sz w:val="20"/>
          <w:szCs w:val="20"/>
          <w:color w:val="auto"/>
        </w:rPr>
        <w:t>. Sublessee shall pay to Sublessor minimum rent, without deduction, setoff, notice, or demand (except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 according to the following schedule (“Minimum Rent”):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 w:type="dxa"/>
            <w:vAlign w:val="bottom"/>
            <w:tcBorders>
              <w:right w:val="single" w:sz="8" w:color="auto"/>
            </w:tcBorders>
          </w:tcPr>
          <w:p>
            <w:pPr>
              <w:spacing w:after="0"/>
              <w:rPr>
                <w:sz w:val="21"/>
                <w:szCs w:val="21"/>
                <w:color w:val="auto"/>
              </w:rPr>
            </w:pP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Sublease Period</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Minimum Rent/RSF</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Monthly Minimum Rent</w:t>
            </w:r>
          </w:p>
        </w:tc>
      </w:tr>
      <w:tr>
        <w:trPr>
          <w:trHeight w:val="200"/>
        </w:trPr>
        <w:tc>
          <w:tcPr>
            <w:tcW w:w="900" w:type="dxa"/>
            <w:vAlign w:val="bottom"/>
            <w:tcBorders>
              <w:right w:val="single" w:sz="8" w:color="auto"/>
            </w:tcBorders>
          </w:tcPr>
          <w:p>
            <w:pPr>
              <w:spacing w:after="0"/>
              <w:rPr>
                <w:sz w:val="17"/>
                <w:szCs w:val="17"/>
                <w:color w:val="auto"/>
              </w:rPr>
            </w:pPr>
          </w:p>
        </w:tc>
        <w:tc>
          <w:tcPr>
            <w:tcW w:w="378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Commencement Date –</w:t>
            </w:r>
          </w:p>
        </w:tc>
        <w:tc>
          <w:tcPr>
            <w:tcW w:w="30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$1.75/RSF</w:t>
            </w:r>
          </w:p>
        </w:tc>
        <w:tc>
          <w:tcPr>
            <w:tcW w:w="358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$9,248.75</w:t>
            </w:r>
          </w:p>
        </w:tc>
      </w:tr>
      <w:tr>
        <w:trPr>
          <w:trHeight w:val="252"/>
        </w:trPr>
        <w:tc>
          <w:tcPr>
            <w:tcW w:w="900" w:type="dxa"/>
            <w:vAlign w:val="bottom"/>
            <w:tcBorders>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Month 12*</w:t>
            </w:r>
          </w:p>
        </w:tc>
        <w:tc>
          <w:tcPr>
            <w:tcW w:w="3020" w:type="dxa"/>
            <w:vAlign w:val="bottom"/>
            <w:tcBorders>
              <w:bottom w:val="single" w:sz="8" w:color="auto"/>
              <w:right w:val="single" w:sz="8" w:color="auto"/>
            </w:tcBorders>
          </w:tcPr>
          <w:p>
            <w:pPr>
              <w:spacing w:after="0"/>
              <w:rPr>
                <w:sz w:val="21"/>
                <w:szCs w:val="21"/>
                <w:color w:val="auto"/>
              </w:rPr>
            </w:pPr>
          </w:p>
        </w:tc>
        <w:tc>
          <w:tcPr>
            <w:tcW w:w="3580" w:type="dxa"/>
            <w:vAlign w:val="bottom"/>
            <w:tcBorders>
              <w:bottom w:val="single" w:sz="8" w:color="auto"/>
              <w:right w:val="single" w:sz="8" w:color="auto"/>
            </w:tcBorders>
          </w:tcPr>
          <w:p>
            <w:pPr>
              <w:spacing w:after="0"/>
              <w:rPr>
                <w:sz w:val="21"/>
                <w:szCs w:val="21"/>
                <w:color w:val="auto"/>
              </w:rPr>
            </w:pPr>
          </w:p>
        </w:tc>
      </w:tr>
      <w:tr>
        <w:trPr>
          <w:trHeight w:val="223"/>
        </w:trPr>
        <w:tc>
          <w:tcPr>
            <w:tcW w:w="900" w:type="dxa"/>
            <w:vAlign w:val="bottom"/>
            <w:tcBorders>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13 – Month 24</w:t>
            </w:r>
          </w:p>
        </w:tc>
        <w:tc>
          <w:tcPr>
            <w:tcW w:w="30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$1.80/RSF</w:t>
            </w:r>
          </w:p>
        </w:tc>
        <w:tc>
          <w:tcPr>
            <w:tcW w:w="35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$9,526.21</w:t>
            </w:r>
          </w:p>
        </w:tc>
      </w:tr>
      <w:tr>
        <w:trPr>
          <w:trHeight w:val="445"/>
        </w:trPr>
        <w:tc>
          <w:tcPr>
            <w:tcW w:w="9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20" w:type="dxa"/>
            <w:vAlign w:val="bottom"/>
          </w:tcPr>
          <w:p>
            <w:pPr>
              <w:jc w:val="right"/>
              <w:ind w:right="1921"/>
              <w:spacing w:after="0"/>
              <w:rPr>
                <w:sz w:val="20"/>
                <w:szCs w:val="20"/>
                <w:color w:val="auto"/>
              </w:rPr>
            </w:pPr>
            <w:r>
              <w:rPr>
                <w:rFonts w:ascii="Times New Roman" w:cs="Times New Roman" w:eastAsia="Times New Roman" w:hAnsi="Times New Roman"/>
                <w:sz w:val="20"/>
                <w:szCs w:val="20"/>
                <w:color w:val="auto"/>
              </w:rPr>
              <w:t>2</w:t>
            </w:r>
          </w:p>
        </w:tc>
        <w:tc>
          <w:tcPr>
            <w:tcW w:w="3580" w:type="dxa"/>
            <w:vAlign w:val="bottom"/>
          </w:tcPr>
          <w:p>
            <w:pPr>
              <w:spacing w:after="0"/>
              <w:rPr>
                <w:sz w:val="24"/>
                <w:szCs w:val="24"/>
                <w:color w:val="auto"/>
              </w:rPr>
            </w:pPr>
          </w:p>
        </w:tc>
      </w:tr>
      <w:tr>
        <w:trPr>
          <w:trHeight w:val="109"/>
        </w:trPr>
        <w:tc>
          <w:tcPr>
            <w:tcW w:w="90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360" w:name="page361"/>
    <w:bookmarkEnd w:id="360"/>
    <w:tbl>
      <w:tblPr>
        <w:tblLayout w:type="fixed"/>
        <w:tblInd w:w="890" w:type="dxa"/>
        <w:tblCellMar>
          <w:top w:w="0" w:type="dxa"/>
          <w:left w:w="0" w:type="dxa"/>
          <w:bottom w:w="0" w:type="dxa"/>
          <w:right w:w="0" w:type="dxa"/>
        </w:tblCellMar>
      </w:tblPr>
      <w:tr>
        <w:trPr>
          <w:trHeight w:val="243"/>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Sublease Period</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Minimum Rent/RSF</w:t>
            </w:r>
          </w:p>
        </w:tc>
        <w:tc>
          <w:tcPr>
            <w:tcW w:w="358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20"/>
                <w:szCs w:val="20"/>
                <w:b w:val="1"/>
                <w:bCs w:val="1"/>
                <w:color w:val="auto"/>
              </w:rPr>
              <w:t>Monthly Minimum Rent</w:t>
            </w:r>
          </w:p>
        </w:tc>
      </w:tr>
      <w:tr>
        <w:trPr>
          <w:trHeight w:val="223"/>
        </w:trPr>
        <w:tc>
          <w:tcPr>
            <w:tcW w:w="38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25 – Month 36</w:t>
            </w:r>
          </w:p>
        </w:tc>
        <w:tc>
          <w:tcPr>
            <w:tcW w:w="30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$1.86/RSF</w:t>
            </w:r>
          </w:p>
        </w:tc>
        <w:tc>
          <w:tcPr>
            <w:tcW w:w="3580" w:type="dxa"/>
            <w:vAlign w:val="bottom"/>
            <w:tcBorders>
              <w:bottom w:val="single" w:sz="8" w:color="auto"/>
              <w:right w:val="single" w:sz="8" w:color="auto"/>
            </w:tcBorders>
          </w:tcPr>
          <w:p>
            <w:pPr>
              <w:jc w:val="right"/>
              <w:ind w:right="1321"/>
              <w:spacing w:after="0" w:line="223" w:lineRule="exact"/>
              <w:rPr>
                <w:sz w:val="20"/>
                <w:szCs w:val="20"/>
                <w:color w:val="auto"/>
              </w:rPr>
            </w:pPr>
            <w:r>
              <w:rPr>
                <w:rFonts w:ascii="Times New Roman" w:cs="Times New Roman" w:eastAsia="Times New Roman" w:hAnsi="Times New Roman"/>
                <w:sz w:val="20"/>
                <w:szCs w:val="20"/>
                <w:color w:val="auto"/>
              </w:rPr>
              <w:t>$9,812.00</w:t>
            </w:r>
          </w:p>
        </w:tc>
      </w:tr>
      <w:tr>
        <w:trPr>
          <w:trHeight w:val="223"/>
        </w:trPr>
        <w:tc>
          <w:tcPr>
            <w:tcW w:w="38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37 – Termination Date</w:t>
            </w:r>
          </w:p>
        </w:tc>
        <w:tc>
          <w:tcPr>
            <w:tcW w:w="30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$1.91/RSF</w:t>
            </w:r>
          </w:p>
        </w:tc>
        <w:tc>
          <w:tcPr>
            <w:tcW w:w="3580" w:type="dxa"/>
            <w:vAlign w:val="bottom"/>
            <w:tcBorders>
              <w:bottom w:val="single" w:sz="8" w:color="auto"/>
              <w:right w:val="single" w:sz="8" w:color="auto"/>
            </w:tcBorders>
          </w:tcPr>
          <w:p>
            <w:pPr>
              <w:jc w:val="right"/>
              <w:ind w:right="1261"/>
              <w:spacing w:after="0" w:line="223" w:lineRule="exact"/>
              <w:rPr>
                <w:sz w:val="20"/>
                <w:szCs w:val="20"/>
                <w:color w:val="auto"/>
              </w:rPr>
            </w:pPr>
            <w:r>
              <w:rPr>
                <w:rFonts w:ascii="Times New Roman" w:cs="Times New Roman" w:eastAsia="Times New Roman" w:hAnsi="Times New Roman"/>
                <w:sz w:val="20"/>
                <w:szCs w:val="20"/>
                <w:color w:val="auto"/>
              </w:rPr>
              <w:t>$10,106.36</w:t>
            </w:r>
          </w:p>
        </w:tc>
      </w:tr>
    </w:tbl>
    <w:p>
      <w:pPr>
        <w:spacing w:after="0" w:line="207" w:lineRule="exact"/>
        <w:rPr>
          <w:sz w:val="20"/>
          <w:szCs w:val="20"/>
          <w:color w:val="auto"/>
        </w:rPr>
      </w:pPr>
    </w:p>
    <w:p>
      <w:pPr>
        <w:jc w:val="both"/>
        <w:ind w:left="880" w:right="20" w:hanging="8"/>
        <w:spacing w:after="0" w:line="246" w:lineRule="auto"/>
        <w:tabs>
          <w:tab w:leader="none" w:pos="1034"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Rent is to abate for the first four (4) full months of the Sublease Term (“Free Rent Period”), with the first installment of Minimum Rent being due upon execution of this Sublease to be applied to the Minimum Rent due for the fifth (5th) full Sublease month (the “Rent Commencement Date”). Notwithstanding the foregoing to the contrary, in the event the Commencement Date is a date other than the first day of the month, then Sublessee shall be required to pay Minimum Rent for the remaining number of days in the month after the expiration of the Free Rent Period, being due on or before said date.</w:t>
      </w:r>
    </w:p>
    <w:p>
      <w:pPr>
        <w:spacing w:after="0" w:line="185" w:lineRule="exact"/>
        <w:rPr>
          <w:sz w:val="20"/>
          <w:szCs w:val="20"/>
          <w:color w:val="auto"/>
        </w:rPr>
      </w:pPr>
    </w:p>
    <w:p>
      <w:pPr>
        <w:jc w:val="both"/>
        <w:ind w:left="880" w:right="20"/>
        <w:spacing w:after="0" w:line="249" w:lineRule="auto"/>
        <w:rPr>
          <w:sz w:val="20"/>
          <w:szCs w:val="20"/>
          <w:color w:val="auto"/>
        </w:rPr>
      </w:pPr>
      <w:r>
        <w:rPr>
          <w:rFonts w:ascii="Times New Roman" w:cs="Times New Roman" w:eastAsia="Times New Roman" w:hAnsi="Times New Roman"/>
          <w:sz w:val="20"/>
          <w:szCs w:val="20"/>
          <w:color w:val="auto"/>
        </w:rPr>
        <w:t>Minimum Rent shall be paid, in advance, on the first day of each month of the Term. Sublessee shall pay to Sublessor upon execution of this Sublease (i) the sum of Nine Thousand Two Hundred Forty-Eight and 75/100 Dollars ($9,248.75) to be applied to the Minimum Rent due for the fifth (5th) full month following the Rent Commencement Date, and (ii) Fifteen Thousand and 00/100 Dollars ($15,000.00) as consideration for the use and title of the FF&amp;E in the Premises pursuant to Section 29(a) below.</w:t>
      </w:r>
    </w:p>
    <w:p>
      <w:pPr>
        <w:spacing w:after="0" w:line="176" w:lineRule="exact"/>
        <w:rPr>
          <w:sz w:val="20"/>
          <w:szCs w:val="20"/>
          <w:color w:val="auto"/>
        </w:rPr>
      </w:pPr>
    </w:p>
    <w:p>
      <w:pPr>
        <w:jc w:val="both"/>
        <w:ind w:left="860" w:right="20" w:hanging="852"/>
        <w:spacing w:after="0" w:line="242" w:lineRule="auto"/>
        <w:tabs>
          <w:tab w:leader="none" w:pos="860"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Late Charges</w:t>
      </w:r>
      <w:r>
        <w:rPr>
          <w:rFonts w:ascii="Times New Roman" w:cs="Times New Roman" w:eastAsia="Times New Roman" w:hAnsi="Times New Roman"/>
          <w:sz w:val="20"/>
          <w:szCs w:val="20"/>
          <w:color w:val="auto"/>
        </w:rPr>
        <w:t>. In the event Sublessee fails to pay Minimum Rent on or before the fifth day of the month during the Sublease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a late charge equal to the greater of five percent (5%) of the monthly Minimum Rent or One Hundred Dollars ($100.00) will be due as “Additional Rent”. In addition, all amounts of Minimum Rent and Additional Rent (collectively, “Rent”) which remain due and unpaid for more than ten (10) days after the same become due shall bear interest at a rate of one percent (1%) per month. Sublessee agrees to tender all late Rents by cashier’s check, certified check, or money order. In the event Sublessee’s rent check is dishonored by the bank, Sublessee agrees to pay Sublessor $25.00 as a handling charge and, if applicable, the late charge, and Sublessee shall deliver said monies to Sublessor as specified in Paragraph 5 above. Dishonored checks must be replaced by cashier’s check, certified check or money order. In the event more than one check is dishonored during the Sublease Term, Sublessee agrees to pay all future Rents and charges in the form of cashier’s check, certified check, or money order. Any other amounts payable to Sublessor under this Sublease, with the exception of Rent, shall be considered past due thirty (30) days from Sublessor’s billing date and Sublessee shall pay a monthly service charge of five percent (5%) of the amount past due for that and each subsequent month that the amount remains past due. The parties agree that such charges represent a fair and reasonable estimate of the costs the Sublessor will incur by reason of such late payment and/or returned check.</w:t>
      </w:r>
    </w:p>
    <w:p>
      <w:pPr>
        <w:spacing w:after="0" w:line="185" w:lineRule="exact"/>
        <w:rPr>
          <w:sz w:val="20"/>
          <w:szCs w:val="20"/>
          <w:color w:val="auto"/>
        </w:rPr>
      </w:pPr>
    </w:p>
    <w:p>
      <w:pPr>
        <w:jc w:val="both"/>
        <w:ind w:left="860" w:right="20" w:hanging="852"/>
        <w:spacing w:after="0" w:line="243" w:lineRule="auto"/>
        <w:tabs>
          <w:tab w:leader="none" w:pos="860"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On the date of execution of this Sublease by Sublessee, Sublessee will pay to Sublessor, a security deposit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amount of Ten Thousand One Hundred Seventy-Three and 63/100 Dollars ($10,173.63) (the “Security Deposit”) as security for the full and faithful performance by Sublessee of each and every term, provision, covenant and condition of this Sublease. If Sublessee defaults beyond any notice and cure period in respect of any of the terms, provisions, covenants and conditions of this Sublease, Sublessor may, but shall not be required to, use, apply or retain the whole or any part of the Security Deposit for the payment of any Rent in default or for any other sum which Sublessor may expend by reason of Sublessee’s default, including any damages or deficiency in the re-letting of the Premises. If Sublessor shall so use, apply or retain the whole or any part of the Security Deposit, Sublessee shall upon demand immediately deposit with Sublessor a sum equal to the amount so used, applied or retained in</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62" w:right="319" w:bottom="1440" w:gutter="0" w:footer="0" w:header="0"/>
        </w:sectPr>
      </w:pPr>
    </w:p>
    <w:bookmarkStart w:id="361" w:name="page362"/>
    <w:bookmarkEnd w:id="361"/>
    <w:p>
      <w:pPr>
        <w:jc w:val="both"/>
        <w:ind w:left="860"/>
        <w:spacing w:after="0" w:line="254" w:lineRule="auto"/>
        <w:rPr>
          <w:sz w:val="20"/>
          <w:szCs w:val="20"/>
          <w:color w:val="auto"/>
        </w:rPr>
      </w:pPr>
      <w:r>
        <w:rPr>
          <w:rFonts w:ascii="Times New Roman" w:cs="Times New Roman" w:eastAsia="Times New Roman" w:hAnsi="Times New Roman"/>
          <w:sz w:val="20"/>
          <w:szCs w:val="20"/>
          <w:color w:val="auto"/>
        </w:rPr>
        <w:t>order to restore the Security Deposit to its original amount. The Security Deposit, less any amounts subtracted from the Security Deposit due to Sublessee’s default or other damage caused to the Premises, shall be returned to Sublessee within 30 days following the expiration or sooner termination of the Sublease.</w:t>
      </w:r>
    </w:p>
    <w:p>
      <w:pPr>
        <w:spacing w:after="0" w:line="170" w:lineRule="exact"/>
        <w:rPr>
          <w:sz w:val="20"/>
          <w:szCs w:val="20"/>
          <w:color w:val="auto"/>
        </w:rPr>
      </w:pPr>
    </w:p>
    <w:p>
      <w:pPr>
        <w:jc w:val="both"/>
        <w:ind w:left="860" w:hanging="852"/>
        <w:spacing w:after="0" w:line="242" w:lineRule="auto"/>
        <w:tabs>
          <w:tab w:leader="none" w:pos="86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Acceptance of Premises and Release of Claims</w:t>
      </w:r>
      <w:r>
        <w:rPr>
          <w:rFonts w:ascii="Times New Roman" w:cs="Times New Roman" w:eastAsia="Times New Roman" w:hAnsi="Times New Roman"/>
          <w:sz w:val="20"/>
          <w:szCs w:val="20"/>
          <w:color w:val="auto"/>
        </w:rPr>
        <w:t>. Sublessor, Broker and Co-Broker have made no representations or promises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the Premises, or this Sublease except as herein expressly set forth. The taking of Early Occupancy or Possession, whichever is sooner, of the Premises by Sublessee shall be evidence that Sublessee accepts the Premises “as is” and that the Premises are suitable for the use intended by Sublessee and were in satisfactory condition at the time such possession was so taken. Sublessee further acknowledges that it has had the opportunity to adequately inspect the Premises prior to the execution of this Sublease and subject to the thirty (30) day warranty period contained in Section 4(a) above, Sublessee fully releases Sublessor, its employees, officers, directors, shareholders, representatives and agents from any and all costs, losses, liabilities, damages, expenses, demands, claims, counterclaims, actions or causes of action arising from or related to any defects or other conditions affecting the Premises (“Claims”) that Sublessee, its employees or agents now has or may in the future have against Sublessor, regardless of whether such Claims are known or unknown, latent or patent, existing now or in the future, and whether such Claims arise or may arise pursuant to any existing or future federal, state or local law, rule, regulation, ordinance, code, directive, or order under common law or statutory law.</w:t>
      </w:r>
    </w:p>
    <w:p>
      <w:pPr>
        <w:spacing w:after="0" w:line="187" w:lineRule="exact"/>
        <w:rPr>
          <w:sz w:val="20"/>
          <w:szCs w:val="20"/>
          <w:color w:val="auto"/>
        </w:rPr>
      </w:pPr>
    </w:p>
    <w:p>
      <w:pPr>
        <w:jc w:val="both"/>
        <w:ind w:left="860" w:hanging="852"/>
        <w:spacing w:after="0" w:line="246" w:lineRule="auto"/>
        <w:tabs>
          <w:tab w:leader="none" w:pos="860"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Use of Premises</w:t>
      </w:r>
      <w:r>
        <w:rPr>
          <w:rFonts w:ascii="Times New Roman" w:cs="Times New Roman" w:eastAsia="Times New Roman" w:hAnsi="Times New Roman"/>
          <w:sz w:val="20"/>
          <w:szCs w:val="20"/>
          <w:color w:val="auto"/>
        </w:rPr>
        <w:t>. Sublessee shall use the Premises for general office purposes and other purposes permitted by the Master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only and for no other purpose. Sublessee shall be responsible to Sublessor and Master Lessor for all zoning compliance on the Premises or any claims, liabilities, damages and losses against Sublessor or Master Lessor as a result of Sublessee’s specific use of the Premises, and agrees to and shall indemnify, protect and save harmless the Sublessor from and against any claims, liabilities, damages and losses asserted against Sublessor as a result of Sublessee’s specific use of the Premises or any non-compliance with or violations of any zoning regulations.</w:t>
      </w:r>
    </w:p>
    <w:p>
      <w:pPr>
        <w:spacing w:after="0" w:line="179" w:lineRule="exact"/>
        <w:rPr>
          <w:sz w:val="20"/>
          <w:szCs w:val="20"/>
          <w:color w:val="auto"/>
        </w:rPr>
      </w:pPr>
    </w:p>
    <w:p>
      <w:pPr>
        <w:ind w:left="860" w:hanging="852"/>
        <w:spacing w:after="0"/>
        <w:tabs>
          <w:tab w:leader="none" w:pos="8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with Master Lease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880" w:firstLine="789"/>
        <w:spacing w:after="0" w:line="243" w:lineRule="auto"/>
        <w:tabs>
          <w:tab w:leader="none" w:pos="2462"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Sublease and all of the covenants and agreements of Sublessor and all rights and privileges of Sublessee are subject to (1) all of the terms and conditions of the Master Lease; (2) the performance and observance by Master Lessor of all of its obligations and agreements under the Master Lease; and (3) all of the rights and privileges of Master Lessor and Sublessor under the Master Lease. The terms and conditions contained in the Master Lease are incorporated as terms and conditions of this Sublease, except for rent, term, security deposit and as otherwise set forth herein. If there is a conflict between the terms of this Sublease and the Master Lease, then as between Sublessor and Sublessee, the terms of this Sublease shall control. Sublessee shall pay the Minimum Rent directly to Sublessor, with Sublessor being responsible for paying directly to Master Lessor all Base Rent and Rent Adjustments due under the Master Lease.</w:t>
      </w:r>
    </w:p>
    <w:p>
      <w:pPr>
        <w:spacing w:after="0" w:line="189" w:lineRule="exact"/>
        <w:rPr>
          <w:rFonts w:ascii="Times New Roman" w:cs="Times New Roman" w:eastAsia="Times New Roman" w:hAnsi="Times New Roman"/>
          <w:sz w:val="20"/>
          <w:szCs w:val="20"/>
          <w:color w:val="auto"/>
        </w:rPr>
      </w:pPr>
    </w:p>
    <w:p>
      <w:pPr>
        <w:ind w:left="880" w:firstLine="789"/>
        <w:spacing w:after="0" w:line="269" w:lineRule="auto"/>
        <w:tabs>
          <w:tab w:leader="none" w:pos="2473"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Sublessee shall not commit or permit to be committed on the Premises any act or omission that violates any term or condition of the Master Lease.</w:t>
      </w:r>
    </w:p>
    <w:p>
      <w:pPr>
        <w:spacing w:after="0" w:line="159" w:lineRule="exact"/>
        <w:rPr>
          <w:rFonts w:ascii="Times New Roman" w:cs="Times New Roman" w:eastAsia="Times New Roman" w:hAnsi="Times New Roman"/>
          <w:sz w:val="20"/>
          <w:szCs w:val="20"/>
          <w:color w:val="auto"/>
        </w:rPr>
      </w:pPr>
    </w:p>
    <w:p>
      <w:pPr>
        <w:jc w:val="both"/>
        <w:ind w:left="880" w:firstLine="789"/>
        <w:spacing w:after="0" w:line="274" w:lineRule="auto"/>
        <w:tabs>
          <w:tab w:leader="none" w:pos="2462" w:val="left"/>
        </w:tabs>
        <w:numPr>
          <w:ilvl w:val="1"/>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herein, Sublessor grants to Sublessee, for the duration of the Term of this Sublease, all of the rights and privileges granted Sublessor under the Master Lease as it relates to the Premises. Sublessor does not assume or agree to perform for Sublessee’s benefit any of the duties or obligations of the Master Lessor under the Master Lease.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2" w:name="page363"/>
    <w:bookmarkEnd w:id="362"/>
    <w:p>
      <w:pPr>
        <w:jc w:val="both"/>
        <w:ind w:left="880" w:firstLine="789"/>
        <w:spacing w:after="0" w:line="244" w:lineRule="auto"/>
        <w:tabs>
          <w:tab w:leader="none" w:pos="2473"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Sublessee indemnifies and agrees to hold Sublessor harmless from and against any and all claims, liabilities, damages and losses arising by reason of the breach of any covenant, agreement or obligation to be observed or performed by Sublessee under the Master Lease or this Sublease and all costs and expenses, including reasonable attorneys’ fees, incurred on account of the same. Sublessor indemnifies and agrees to hold Sublessee harmless from and against any and all claims, liabilities, damages and losses arising by reason of the breach of any covenant, agreement or obligation to be observed or performed by Sublessor under the Master Lease or this Sublease (which breach is not caused by Sublessee) and all costs and expenses, including reasonable attorneys’ fees, incurred on account of the same.</w:t>
      </w:r>
    </w:p>
    <w:p>
      <w:pPr>
        <w:spacing w:after="0" w:line="185" w:lineRule="exact"/>
        <w:rPr>
          <w:rFonts w:ascii="Times New Roman" w:cs="Times New Roman" w:eastAsia="Times New Roman" w:hAnsi="Times New Roman"/>
          <w:sz w:val="20"/>
          <w:szCs w:val="20"/>
          <w:color w:val="auto"/>
        </w:rPr>
      </w:pPr>
    </w:p>
    <w:p>
      <w:pPr>
        <w:jc w:val="both"/>
        <w:ind w:left="880" w:firstLine="789"/>
        <w:spacing w:after="0" w:line="244" w:lineRule="auto"/>
        <w:tabs>
          <w:tab w:leader="none" w:pos="2462"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Termination Date, this Sublease shall terminate and the parties shall be relieved of any further liability or obligation under this Sublease, provided however, that if the Master Lease terminates as a result of a default or breach by Sublessor or Sublessee under this Sublease and/or the Master Lease, then the defaulting party shall be liable to the nondefaulting party for the damage suffered as a result of such termination. Notwithstanding the foregoing, if the Master Lease gives Master Lessor or Sublessor any right to terminate the Master Lease in the event of the partial or total damage, destruction, or condemnation of the Premises or the Building of which the Premises are a part, the exercise of such right by Master Lessor or Sublessor shall not constitute a default or breach hereunder.</w:t>
      </w:r>
    </w:p>
    <w:p>
      <w:pPr>
        <w:spacing w:after="0" w:line="185" w:lineRule="exact"/>
        <w:rPr>
          <w:rFonts w:ascii="Times New Roman" w:cs="Times New Roman" w:eastAsia="Times New Roman" w:hAnsi="Times New Roman"/>
          <w:sz w:val="20"/>
          <w:szCs w:val="20"/>
          <w:color w:val="auto"/>
        </w:rPr>
      </w:pPr>
    </w:p>
    <w:p>
      <w:pPr>
        <w:ind w:left="2440" w:hanging="771"/>
        <w:spacing w:after="0"/>
        <w:tabs>
          <w:tab w:leader="none" w:pos="2440"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Sublessor shall not modify, amend or terminate the Master Lease without Sublessee’s prior written consent.</w:t>
      </w:r>
    </w:p>
    <w:p>
      <w:pPr>
        <w:spacing w:after="0" w:line="212" w:lineRule="exact"/>
        <w:rPr>
          <w:sz w:val="20"/>
          <w:szCs w:val="20"/>
          <w:color w:val="auto"/>
        </w:rPr>
      </w:pPr>
    </w:p>
    <w:p>
      <w:pPr>
        <w:jc w:val="both"/>
        <w:ind w:left="860" w:hanging="852"/>
        <w:spacing w:after="0" w:line="250" w:lineRule="auto"/>
        <w:tabs>
          <w:tab w:leader="none" w:pos="860"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and Subletting</w:t>
      </w:r>
      <w:r>
        <w:rPr>
          <w:rFonts w:ascii="Times New Roman" w:cs="Times New Roman" w:eastAsia="Times New Roman" w:hAnsi="Times New Roman"/>
          <w:sz w:val="20"/>
          <w:szCs w:val="20"/>
          <w:color w:val="auto"/>
        </w:rPr>
        <w:t>. Except for a Permitted Transfer (as defined in the Master Lease), Sublessee shall not assign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Sublease or further sublet all or any part of the Premises without the prior written consent of Sublessor (and without the prior written consent of Master Lessor, if such is required under the terms of the Master Lease), which Sublessor’s consent may be withheld in its reasonable discretion.</w:t>
      </w:r>
    </w:p>
    <w:p>
      <w:pPr>
        <w:spacing w:after="0" w:line="175" w:lineRule="exact"/>
        <w:rPr>
          <w:rFonts w:ascii="Times New Roman" w:cs="Times New Roman" w:eastAsia="Times New Roman" w:hAnsi="Times New Roman"/>
          <w:sz w:val="20"/>
          <w:szCs w:val="20"/>
          <w:color w:val="auto"/>
        </w:rPr>
      </w:pPr>
    </w:p>
    <w:p>
      <w:pPr>
        <w:jc w:val="both"/>
        <w:ind w:left="860" w:hanging="852"/>
        <w:spacing w:after="0" w:line="255" w:lineRule="auto"/>
        <w:tabs>
          <w:tab w:leader="none" w:pos="860" w:val="left"/>
        </w:tabs>
        <w:numPr>
          <w:ilvl w:val="0"/>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Indemnity &amp; Insurance</w:t>
      </w:r>
      <w:r>
        <w:rPr>
          <w:rFonts w:ascii="Times New Roman" w:cs="Times New Roman" w:eastAsia="Times New Roman" w:hAnsi="Times New Roman"/>
          <w:sz w:val="19"/>
          <w:szCs w:val="19"/>
          <w:color w:val="auto"/>
        </w:rPr>
        <w:t>. Sublessee agrees to and hereby does indemnify and save Master Lessor and Sublessor harmless against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claims for damages to persons or property by reason of Sublessee’s use or occupancy of the Premises, and all expenses incurred by Master Lessor and Sublessor because thereof, including attorney’s fees and court costs. Supplementing the foregoing and in addition thereto, Sublessee shall during the Term of this Sublease, and at Sublessee’s expense, maintain in full force and effect comprehensive general liability insurance with the minimum amount of coverage required of “Tenant” in the Master Lease, which insurance shall contain a special endorsement recognizing and insuring any liability accruing to Sublessee under the first sentence of this Paragraph 12, and naming Master Lessor and Sublessor as additional insureds. Sublessee shall also maintain such other insurance required to be maintained by Sublessor under the Master Lease, naming Master Lessor and Sublessor as additional insureds. Sublessee shall provide evidence of such insurance to Sublessor prior to the Commencement Date. Sublessor and Sublessee each hereby release and relieve the other, and waive its right of recovery, for loss or damage arising out of or incident to the perils insured against which perils occur in, on or about the Premises, whether due to the negligence of Sublessor or Sublessee or their Brokers, employees, contractors and/or invitees to the extent that such loss or damage is within the policy limits of said comprehensive general liability insurance. Sublessor and Sublessee shall, upon obtaining the policies of insurance required, give notice to the insurance carrier or carriers that the foregoing mutual waiver of subrogation is contained in this Sublease.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3" w:name="page364"/>
    <w:bookmarkEnd w:id="363"/>
    <w:p>
      <w:pPr>
        <w:ind w:left="860" w:right="20" w:hanging="852"/>
        <w:spacing w:after="0" w:line="273" w:lineRule="auto"/>
        <w:tabs>
          <w:tab w:leader="none" w:pos="860"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Access to Premises</w:t>
      </w:r>
      <w:r>
        <w:rPr>
          <w:rFonts w:ascii="Times New Roman" w:cs="Times New Roman" w:eastAsia="Times New Roman" w:hAnsi="Times New Roman"/>
          <w:sz w:val="20"/>
          <w:szCs w:val="20"/>
          <w:color w:val="auto"/>
        </w:rPr>
        <w:t>. Sublessor or its agents shall have the right upon at least 24 hours’ prior notice to enter upon the Premises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reasonable hours for the purpose of inspecting same.</w:t>
      </w:r>
    </w:p>
    <w:p>
      <w:pPr>
        <w:spacing w:after="0" w:line="151" w:lineRule="exact"/>
        <w:rPr>
          <w:rFonts w:ascii="Times New Roman" w:cs="Times New Roman" w:eastAsia="Times New Roman" w:hAnsi="Times New Roman"/>
          <w:sz w:val="20"/>
          <w:szCs w:val="20"/>
          <w:color w:val="auto"/>
        </w:rPr>
      </w:pPr>
    </w:p>
    <w:p>
      <w:pPr>
        <w:jc w:val="both"/>
        <w:ind w:left="860" w:hanging="852"/>
        <w:spacing w:after="0" w:line="250" w:lineRule="auto"/>
        <w:tabs>
          <w:tab w:leader="none" w:pos="860"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Sublessee’s Personal Property</w:t>
      </w:r>
      <w:r>
        <w:rPr>
          <w:rFonts w:ascii="Times New Roman" w:cs="Times New Roman" w:eastAsia="Times New Roman" w:hAnsi="Times New Roman"/>
          <w:sz w:val="20"/>
          <w:szCs w:val="20"/>
          <w:color w:val="auto"/>
        </w:rPr>
        <w:t>. Sublessor shall not be liable for any damages to fixtures, merchandise or other personal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inventories of Sublessee found or located within the Premises caused by fire, theft, misappropriation, or any other cause whatsoever, whether similar or dissimilar to the foregoing. Any such personal property placed on the Premises shall be at Sublessee’ s sole risk.</w:t>
      </w:r>
    </w:p>
    <w:p>
      <w:pPr>
        <w:spacing w:after="0" w:line="175"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 and Remedies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880" w:right="20" w:firstLine="789"/>
        <w:spacing w:after="0" w:line="269" w:lineRule="auto"/>
        <w:tabs>
          <w:tab w:leader="none" w:pos="2462"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items of Default that Sublessee is subject to under the Master Lease, the following events shall constitute a Default of this Sublease:</w:t>
      </w:r>
    </w:p>
    <w:p>
      <w:pPr>
        <w:spacing w:after="0" w:line="159" w:lineRule="exact"/>
        <w:rPr>
          <w:rFonts w:ascii="Times New Roman" w:cs="Times New Roman" w:eastAsia="Times New Roman" w:hAnsi="Times New Roman"/>
          <w:sz w:val="20"/>
          <w:szCs w:val="20"/>
          <w:color w:val="auto"/>
        </w:rPr>
      </w:pPr>
    </w:p>
    <w:p>
      <w:pPr>
        <w:ind w:left="1740" w:right="20" w:firstLine="726"/>
        <w:spacing w:after="0" w:line="269" w:lineRule="auto"/>
        <w:tabs>
          <w:tab w:leader="none" w:pos="3306" w:val="left"/>
        </w:tabs>
        <w:numPr>
          <w:ilvl w:val="2"/>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Rent, Additional Rent or any other rent or any part thereof is at anytime in arrears and unpaid for three (3) business days after written notice that the same is past due hereunder;</w:t>
      </w:r>
    </w:p>
    <w:p>
      <w:pPr>
        <w:spacing w:after="0" w:line="159" w:lineRule="exact"/>
        <w:rPr>
          <w:rFonts w:ascii="Times New Roman" w:cs="Times New Roman" w:eastAsia="Times New Roman" w:hAnsi="Times New Roman"/>
          <w:sz w:val="20"/>
          <w:szCs w:val="20"/>
          <w:color w:val="auto"/>
        </w:rPr>
      </w:pPr>
    </w:p>
    <w:p>
      <w:pPr>
        <w:jc w:val="both"/>
        <w:ind w:left="1740" w:firstLine="726"/>
        <w:spacing w:after="0" w:line="245" w:lineRule="auto"/>
        <w:tabs>
          <w:tab w:leader="none" w:pos="3360" w:val="left"/>
        </w:tabs>
        <w:numPr>
          <w:ilvl w:val="2"/>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Sublessee has failed to keep and perform any of the other covenants and agreements on its part to be kept and performed under this Sublease or as required by this Sublease under the Master Lease which constitute defaults under the Master Lease, and such failure has not been cured within thirty (30) days after written notice thereof by Sublessor; provided, however, that if the nature of Sublessee’s obligation is such that more than 30 days are required for its performance, then Sublessee shall not be deemed to be in Default if it commences performance within the 30 day period and thereafter diligently pursues the cure to completion;</w:t>
      </w:r>
    </w:p>
    <w:p>
      <w:pPr>
        <w:spacing w:after="0" w:line="184" w:lineRule="exact"/>
        <w:rPr>
          <w:rFonts w:ascii="Times New Roman" w:cs="Times New Roman" w:eastAsia="Times New Roman" w:hAnsi="Times New Roman"/>
          <w:sz w:val="20"/>
          <w:szCs w:val="20"/>
          <w:color w:val="auto"/>
        </w:rPr>
      </w:pPr>
    </w:p>
    <w:p>
      <w:pPr>
        <w:ind w:left="3420" w:hanging="954"/>
        <w:spacing w:after="0"/>
        <w:tabs>
          <w:tab w:leader="none" w:pos="3420" w:val="left"/>
        </w:tabs>
        <w:numPr>
          <w:ilvl w:val="2"/>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Sublessee abandons the Premises during the Term thereof;</w:t>
      </w:r>
    </w:p>
    <w:p>
      <w:pPr>
        <w:spacing w:after="0" w:line="215"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473"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any one or more of the above events constituting a Default of this Sublease, or any other Default of the Master Lease, if the Sublessee is required by the terms of this Sublease, to observe, keep and perform said covenants under the Master Lease, Sublessor, at its option, may do any one or more or all of the following:</w:t>
      </w:r>
    </w:p>
    <w:p>
      <w:pPr>
        <w:spacing w:after="0" w:line="174"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306" w:val="left"/>
        </w:tabs>
        <w:numPr>
          <w:ilvl w:val="2"/>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applicable law, declare the balance of all Rent and all amounts due hereunder immediately due and payable, and upon such declaration such accelerated Rent plus the aggregate amount of any installments of Rent and other sums then accrued and unpaid shall be due and payable immediately;</w:t>
      </w:r>
    </w:p>
    <w:p>
      <w:pPr>
        <w:spacing w:after="0" w:line="174" w:lineRule="exact"/>
        <w:rPr>
          <w:rFonts w:ascii="Times New Roman" w:cs="Times New Roman" w:eastAsia="Times New Roman" w:hAnsi="Times New Roman"/>
          <w:sz w:val="20"/>
          <w:szCs w:val="20"/>
          <w:color w:val="auto"/>
        </w:rPr>
      </w:pPr>
    </w:p>
    <w:p>
      <w:pPr>
        <w:jc w:val="both"/>
        <w:ind w:left="1740" w:firstLine="726"/>
        <w:spacing w:after="0" w:line="249" w:lineRule="auto"/>
        <w:tabs>
          <w:tab w:leader="none" w:pos="3360" w:val="left"/>
        </w:tabs>
        <w:numPr>
          <w:ilvl w:val="2"/>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this Sublease and re-enter the Premises and again have, repossess and enjoy the same with all the improvements then located thereon as if this Sublease had not been made, in which event, this Sublease and everything herein contained on the part of the Sublessor to be kept and performed shall cease and be utterly void, without prejudice, however, to the Sublessor’s right of action for arrears of rent and breach of covenant; and/or</w:t>
      </w:r>
    </w:p>
    <w:p>
      <w:pPr>
        <w:spacing w:after="0" w:line="179"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415" w:val="left"/>
        </w:tabs>
        <w:numPr>
          <w:ilvl w:val="2"/>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Re-let the Premises on such terms as Sublessor may from time to time elect and apply the net proceeds toward the Sublessee’s obligations hereunder, without prejudice, however, to Sublessor’s right of action for arrears of rent and breach of covenant.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64" w:name="page365"/>
    <w:bookmarkEnd w:id="364"/>
    <w:p>
      <w:pPr>
        <w:jc w:val="both"/>
        <w:ind w:left="880" w:firstLine="789"/>
        <w:spacing w:after="0" w:line="249" w:lineRule="auto"/>
        <w:tabs>
          <w:tab w:leader="none" w:pos="2462"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Sublessee shall pay and indemnify Sublessor against all legal costs and charges, including counsel fees lawfully and reasonably incurred in obtaining possession of the Premises after a default of Sublessee or after Sublessee’s default under the Master Lease or in surrendering possession of the Premises upon expiration or earlier termination of the term of the Sublease, or enforcing any covenant of this Sublease.</w:t>
      </w:r>
    </w:p>
    <w:p>
      <w:pPr>
        <w:spacing w:after="0" w:line="176" w:lineRule="exact"/>
        <w:rPr>
          <w:sz w:val="20"/>
          <w:szCs w:val="20"/>
          <w:color w:val="auto"/>
        </w:rPr>
      </w:pPr>
    </w:p>
    <w:p>
      <w:pPr>
        <w:jc w:val="both"/>
        <w:ind w:left="860" w:hanging="852"/>
        <w:spacing w:after="0" w:line="245" w:lineRule="auto"/>
        <w:tabs>
          <w:tab w:leader="none" w:pos="860"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Sublessor’s Right to Cure Sublessee’s Default</w:t>
      </w:r>
      <w:r>
        <w:rPr>
          <w:rFonts w:ascii="Times New Roman" w:cs="Times New Roman" w:eastAsia="Times New Roman" w:hAnsi="Times New Roman"/>
          <w:sz w:val="20"/>
          <w:szCs w:val="20"/>
          <w:color w:val="auto"/>
        </w:rPr>
        <w:t>. Sublessee shall not do or suffer or permit anything to be done which would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cause the Master Lease to be terminated, or forfeited by virtue of any rights of termination, or forfeiture reserved or vested in Lessor, or by law or in equity. If Sublessee shall default beyond any notice and cure period in the performance of any of its obligations under this Sublease or under the Master Lease, Sublessor, without being under any obligation to do so and without thereby waiving such default, may remedy such default for the account and at the expense of Sublessee upon prior notice. If Sublessor makes any expenditure or incurs any obligation for the payment of money in connection therewith, such sums paid or obligations incurred shall be deemed to be Additional Rent hereunder and shall be paid to Sublessor by Sublessee on demand.</w:t>
      </w:r>
    </w:p>
    <w:p>
      <w:pPr>
        <w:spacing w:after="0" w:line="179" w:lineRule="exact"/>
        <w:rPr>
          <w:rFonts w:ascii="Times New Roman" w:cs="Times New Roman" w:eastAsia="Times New Roman" w:hAnsi="Times New Roman"/>
          <w:sz w:val="20"/>
          <w:szCs w:val="20"/>
          <w:color w:val="auto"/>
        </w:rPr>
      </w:pPr>
    </w:p>
    <w:p>
      <w:pPr>
        <w:jc w:val="both"/>
        <w:ind w:left="860" w:hanging="852"/>
        <w:spacing w:after="0" w:line="247" w:lineRule="auto"/>
        <w:tabs>
          <w:tab w:leader="none" w:pos="860"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Surrender of Premises</w:t>
      </w:r>
      <w:r>
        <w:rPr>
          <w:rFonts w:ascii="Times New Roman" w:cs="Times New Roman" w:eastAsia="Times New Roman" w:hAnsi="Times New Roman"/>
          <w:sz w:val="20"/>
          <w:szCs w:val="20"/>
          <w:color w:val="auto"/>
        </w:rPr>
        <w:t>. Upon the expiration or other termination of the Term, Sublessee covenants to quit and surrender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Sublessor or Lessor, as the case may be, the Premises, broom clean, in good order and condition, ordinary wear and tear and damage by fire or other casualty excepted, and at Sublessee’s expense to remove all property of Sublessee. Any property not so removed shall be deemed to have been abandoned by Sublessee and may be retained or disposed of at Sublessee’s expense by Sublessor or Lessor, as either may desire.</w:t>
      </w:r>
    </w:p>
    <w:p>
      <w:pPr>
        <w:spacing w:after="0" w:line="180" w:lineRule="exact"/>
        <w:rPr>
          <w:rFonts w:ascii="Times New Roman" w:cs="Times New Roman" w:eastAsia="Times New Roman" w:hAnsi="Times New Roman"/>
          <w:sz w:val="20"/>
          <w:szCs w:val="20"/>
          <w:color w:val="auto"/>
        </w:rPr>
      </w:pPr>
    </w:p>
    <w:p>
      <w:pPr>
        <w:jc w:val="both"/>
        <w:ind w:left="860" w:hanging="852"/>
        <w:spacing w:after="0" w:line="256" w:lineRule="auto"/>
        <w:tabs>
          <w:tab w:leader="none" w:pos="860"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Holding Over</w:t>
      </w:r>
      <w:r>
        <w:rPr>
          <w:rFonts w:ascii="Times New Roman" w:cs="Times New Roman" w:eastAsia="Times New Roman" w:hAnsi="Times New Roman"/>
          <w:sz w:val="20"/>
          <w:szCs w:val="20"/>
          <w:color w:val="auto"/>
        </w:rPr>
        <w:t>. In the event Sublessee remains in possession of the Premises after the expiration of this Sublease, then in addition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damages due and owing by Sublessee to Master Lessor under the Master Lease, Sublessee shall be required to pay directly to Master Lessor the Holdover Rent provided for in the Master Lease.</w:t>
      </w:r>
    </w:p>
    <w:p>
      <w:pPr>
        <w:spacing w:after="0" w:line="168" w:lineRule="exact"/>
        <w:rPr>
          <w:rFonts w:ascii="Times New Roman" w:cs="Times New Roman" w:eastAsia="Times New Roman" w:hAnsi="Times New Roman"/>
          <w:sz w:val="20"/>
          <w:szCs w:val="20"/>
          <w:color w:val="auto"/>
        </w:rPr>
      </w:pPr>
    </w:p>
    <w:p>
      <w:pPr>
        <w:jc w:val="both"/>
        <w:ind w:left="860" w:hanging="852"/>
        <w:spacing w:after="0" w:line="256" w:lineRule="auto"/>
        <w:tabs>
          <w:tab w:leader="none" w:pos="860"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 Any notice by either party to the other required or permitted under this Sublease shall be valid only if in writing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deemed to be duly given only if sent by (i) registered or certified mail return receipt requested; or (ii) by pre-paid nationally recognized overnight courier service, addressed (1) if to Sublessor, at:</w:t>
      </w:r>
    </w:p>
    <w:p>
      <w:pPr>
        <w:spacing w:after="0" w:line="17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Avent, Inc.</w:t>
      </w:r>
    </w:p>
    <w:p>
      <w:pPr>
        <w:spacing w:after="0" w:line="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Attn: General Counsel</w:t>
      </w:r>
    </w:p>
    <w:p>
      <w:pPr>
        <w:ind w:left="3700"/>
        <w:spacing w:after="0"/>
        <w:rPr>
          <w:sz w:val="20"/>
          <w:szCs w:val="20"/>
          <w:color w:val="auto"/>
        </w:rPr>
      </w:pPr>
      <w:r>
        <w:rPr>
          <w:rFonts w:ascii="Times New Roman" w:cs="Times New Roman" w:eastAsia="Times New Roman" w:hAnsi="Times New Roman"/>
          <w:sz w:val="20"/>
          <w:szCs w:val="20"/>
          <w:color w:val="auto"/>
        </w:rPr>
        <w:t>5404 Windward Parkway</w:t>
      </w:r>
    </w:p>
    <w:p>
      <w:pPr>
        <w:ind w:left="3700"/>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2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With a simultaneous copy to:</w:t>
      </w:r>
    </w:p>
    <w:p>
      <w:pPr>
        <w:spacing w:after="0" w:line="2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Arnall Golden Gregory LLP</w:t>
      </w:r>
    </w:p>
    <w:p>
      <w:pPr>
        <w:spacing w:after="0" w:line="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Attention: Hedy S. Rubinger, Esq.</w:t>
      </w:r>
    </w:p>
    <w:p>
      <w:pPr>
        <w:ind w:left="3700"/>
        <w:spacing w:after="0"/>
        <w:rPr>
          <w:sz w:val="20"/>
          <w:szCs w:val="20"/>
          <w:color w:val="auto"/>
        </w:rPr>
      </w:pPr>
      <w:r>
        <w:rPr>
          <w:rFonts w:ascii="Times New Roman" w:cs="Times New Roman" w:eastAsia="Times New Roman" w:hAnsi="Times New Roman"/>
          <w:sz w:val="20"/>
          <w:szCs w:val="20"/>
          <w:color w:val="auto"/>
        </w:rPr>
        <w:t>171 17th Street, NW, Suite 2100</w:t>
      </w:r>
    </w:p>
    <w:p>
      <w:pPr>
        <w:ind w:left="3700"/>
        <w:spacing w:after="0"/>
        <w:rPr>
          <w:sz w:val="20"/>
          <w:szCs w:val="20"/>
          <w:color w:val="auto"/>
        </w:rPr>
      </w:pPr>
      <w:r>
        <w:rPr>
          <w:rFonts w:ascii="Times New Roman" w:cs="Times New Roman" w:eastAsia="Times New Roman" w:hAnsi="Times New Roman"/>
          <w:sz w:val="20"/>
          <w:szCs w:val="20"/>
          <w:color w:val="auto"/>
        </w:rPr>
        <w:t>Atlanta, Georgia 30363-1031</w:t>
      </w:r>
    </w:p>
    <w:p>
      <w:pPr>
        <w:spacing w:after="0" w:line="207" w:lineRule="exact"/>
        <w:rPr>
          <w:sz w:val="20"/>
          <w:szCs w:val="20"/>
          <w:color w:val="auto"/>
        </w:rPr>
      </w:pPr>
    </w:p>
    <w:p>
      <w:pPr>
        <w:ind w:left="880"/>
        <w:spacing w:after="0" w:line="269" w:lineRule="auto"/>
        <w:rPr>
          <w:sz w:val="20"/>
          <w:szCs w:val="20"/>
          <w:color w:val="auto"/>
        </w:rPr>
      </w:pPr>
      <w:r>
        <w:rPr>
          <w:rFonts w:ascii="Times New Roman" w:cs="Times New Roman" w:eastAsia="Times New Roman" w:hAnsi="Times New Roman"/>
          <w:sz w:val="20"/>
          <w:szCs w:val="20"/>
          <w:color w:val="auto"/>
        </w:rPr>
        <w:t>if to Sublessee, at the address of the Premises or, if different, the address set forth herein, or at such other address for either party as that party may designate by notice to the other; notice shall be deemed given upon the receipt thereof.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5" w:name="page366"/>
    <w:bookmarkEnd w:id="365"/>
    <w:p>
      <w:pPr>
        <w:jc w:val="both"/>
        <w:ind w:left="860" w:hanging="852"/>
        <w:spacing w:after="0" w:line="250" w:lineRule="auto"/>
        <w:tabs>
          <w:tab w:leader="none" w:pos="86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Transmittal of Notice and Demands</w:t>
      </w:r>
      <w:r>
        <w:rPr>
          <w:rFonts w:ascii="Times New Roman" w:cs="Times New Roman" w:eastAsia="Times New Roman" w:hAnsi="Times New Roman"/>
          <w:sz w:val="20"/>
          <w:szCs w:val="20"/>
          <w:color w:val="auto"/>
        </w:rPr>
        <w:t>. Sublessor shall promptly transmit to the Master Lessor under the Master Lease any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demand received from Sublessee and shall promptly transmit to Sublessee any notice or demand received from Master Lessor. Sublessee shall promptly transmit to Sublessor any notice or demand received from Master Lessor or any other party relating to the Premises (other than in the ordinary course of Sublessee’s business).</w:t>
      </w:r>
    </w:p>
    <w:p>
      <w:pPr>
        <w:spacing w:after="0" w:line="175" w:lineRule="exact"/>
        <w:rPr>
          <w:rFonts w:ascii="Times New Roman" w:cs="Times New Roman" w:eastAsia="Times New Roman" w:hAnsi="Times New Roman"/>
          <w:sz w:val="20"/>
          <w:szCs w:val="20"/>
          <w:color w:val="auto"/>
        </w:rPr>
      </w:pPr>
    </w:p>
    <w:p>
      <w:pPr>
        <w:jc w:val="both"/>
        <w:ind w:left="860" w:hanging="852"/>
        <w:spacing w:after="0" w:line="247" w:lineRule="auto"/>
        <w:tabs>
          <w:tab w:leader="none" w:pos="86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Sublease contains the entire agreement of the parties hereto, and no representations, inducements,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promises or agreements, oral or otherwise, between the parties, not embodied herein, shall be of any force or effect. No subsequent alteration, amendment, change or addition to this Sublease, except as to changes or additions to the Rules and Regulations, if any, as described in the Master Lease, shall be binding upon Sublessor or Sublessee unless reduced to writing and signed by Sublessor and Sublessee and, if required under the Master Lease, consented to in writing by Master Lessor.</w:t>
      </w:r>
    </w:p>
    <w:p>
      <w:pPr>
        <w:spacing w:after="0" w:line="180" w:lineRule="exact"/>
        <w:rPr>
          <w:rFonts w:ascii="Times New Roman" w:cs="Times New Roman" w:eastAsia="Times New Roman" w:hAnsi="Times New Roman"/>
          <w:sz w:val="20"/>
          <w:szCs w:val="20"/>
          <w:color w:val="auto"/>
        </w:rPr>
      </w:pPr>
    </w:p>
    <w:p>
      <w:pPr>
        <w:jc w:val="both"/>
        <w:ind w:left="860" w:hanging="852"/>
        <w:spacing w:after="0" w:line="247" w:lineRule="auto"/>
        <w:tabs>
          <w:tab w:leader="none" w:pos="86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Attorney’s Fees</w:t>
      </w:r>
      <w:r>
        <w:rPr>
          <w:rFonts w:ascii="Times New Roman" w:cs="Times New Roman" w:eastAsia="Times New Roman" w:hAnsi="Times New Roman"/>
          <w:sz w:val="20"/>
          <w:szCs w:val="20"/>
          <w:color w:val="auto"/>
        </w:rPr>
        <w:t>. In the event that any action or proceeding is brought to enforce any term, covenant or condition of this Sublease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part of the Sublessor or Sublessee, the prevailing party in such litigation shall be entitled to recover reasonable attorney’s fees actually incurred. Furthermore, Sublessor and Sublessee agree to pay the attorney’s fees and expenses of the other party to this Sublease (either Sublessor or Sublessee) if it is made a party to litigation because of its being a party to this Sublease and when it has not engaged in any wrongful conduct itself.</w:t>
      </w:r>
    </w:p>
    <w:p>
      <w:pPr>
        <w:spacing w:after="0" w:line="180"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Time of Essence</w:t>
      </w:r>
      <w:r>
        <w:rPr>
          <w:rFonts w:ascii="Times New Roman" w:cs="Times New Roman" w:eastAsia="Times New Roman" w:hAnsi="Times New Roman"/>
          <w:sz w:val="20"/>
          <w:szCs w:val="20"/>
          <w:color w:val="auto"/>
        </w:rPr>
        <w:t>. Time is of the essence of this Sublease.</w:t>
      </w:r>
    </w:p>
    <w:p>
      <w:pPr>
        <w:spacing w:after="0" w:line="215" w:lineRule="exact"/>
        <w:rPr>
          <w:rFonts w:ascii="Times New Roman" w:cs="Times New Roman" w:eastAsia="Times New Roman" w:hAnsi="Times New Roman"/>
          <w:sz w:val="20"/>
          <w:szCs w:val="20"/>
          <w:color w:val="auto"/>
        </w:rPr>
      </w:pPr>
    </w:p>
    <w:p>
      <w:pPr>
        <w:jc w:val="both"/>
        <w:ind w:left="860" w:hanging="852"/>
        <w:spacing w:after="0" w:line="246" w:lineRule="auto"/>
        <w:tabs>
          <w:tab w:leader="none" w:pos="86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Sublessor agrees to pay to pay Catherine Giel and Sam Holmes of CBRE, Inc., representing Sublessor (“Broker”),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Ross Bourne of CBRE, Inc., representing Sublessee (“Sublessee’s Broker”) for negotiating this Sublease, a commission as agreed to in a separate agreement. Sublessee warrants and represents that it has had no dealings with any broker or broker(s) in connection with this Sublease, other than Sublessee’s Broker, and Sublessee covenants to pay, hold harmless and indemnify Sublessor from and against any and all cost, expense or liability for any compensation, commissions or charges claimed by any broker or broker(s) on behalf of the Sublessee with respect to this Sublease or negotiation thereof, other than Sublessee’s Broker.</w:t>
      </w:r>
    </w:p>
    <w:p>
      <w:pPr>
        <w:spacing w:after="0" w:line="178" w:lineRule="exact"/>
        <w:rPr>
          <w:rFonts w:ascii="Times New Roman" w:cs="Times New Roman" w:eastAsia="Times New Roman" w:hAnsi="Times New Roman"/>
          <w:sz w:val="20"/>
          <w:szCs w:val="20"/>
          <w:color w:val="auto"/>
        </w:rPr>
      </w:pPr>
    </w:p>
    <w:p>
      <w:pPr>
        <w:jc w:val="both"/>
        <w:ind w:left="860" w:hanging="852"/>
        <w:spacing w:after="0" w:line="250" w:lineRule="auto"/>
        <w:tabs>
          <w:tab w:leader="none" w:pos="86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terms, conditions, covenants and provisions of this Sublease shall be deemed to be severable. If any clause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herein contained shall be adjudged to be invalid or unenforceable by a court of competent jurisdiction or by operation of any applicable law, it shall not affect the validity of any other clause or provision herein, but such other clauses or provisions shall remain in full force and effect.</w:t>
      </w:r>
    </w:p>
    <w:p>
      <w:pPr>
        <w:spacing w:after="0" w:line="175" w:lineRule="exact"/>
        <w:rPr>
          <w:rFonts w:ascii="Times New Roman" w:cs="Times New Roman" w:eastAsia="Times New Roman" w:hAnsi="Times New Roman"/>
          <w:sz w:val="20"/>
          <w:szCs w:val="20"/>
          <w:color w:val="auto"/>
        </w:rPr>
      </w:pPr>
    </w:p>
    <w:p>
      <w:pPr>
        <w:ind w:left="860" w:hanging="852"/>
        <w:spacing w:after="0" w:line="273" w:lineRule="auto"/>
        <w:tabs>
          <w:tab w:leader="none" w:pos="86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Agency Disclosure</w:t>
      </w:r>
      <w:r>
        <w:rPr>
          <w:rFonts w:ascii="Times New Roman" w:cs="Times New Roman" w:eastAsia="Times New Roman" w:hAnsi="Times New Roman"/>
          <w:sz w:val="20"/>
          <w:szCs w:val="20"/>
          <w:color w:val="auto"/>
        </w:rPr>
        <w:t>. Sublessor and Sublessee hereby acknowledge that Broker has acted as an agent for Sublessee and Sublessor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this transaction and will be paid a commission by Sublessor.</w:t>
      </w:r>
    </w:p>
    <w:p>
      <w:pPr>
        <w:spacing w:after="0" w:line="151" w:lineRule="exact"/>
        <w:rPr>
          <w:rFonts w:ascii="Times New Roman" w:cs="Times New Roman" w:eastAsia="Times New Roman" w:hAnsi="Times New Roman"/>
          <w:sz w:val="20"/>
          <w:szCs w:val="20"/>
          <w:color w:val="auto"/>
        </w:rPr>
      </w:pPr>
    </w:p>
    <w:p>
      <w:pPr>
        <w:ind w:left="860" w:right="20" w:hanging="852"/>
        <w:spacing w:after="0" w:line="273" w:lineRule="auto"/>
        <w:tabs>
          <w:tab w:leader="none" w:pos="86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Titles</w:t>
      </w:r>
      <w:r>
        <w:rPr>
          <w:rFonts w:ascii="Times New Roman" w:cs="Times New Roman" w:eastAsia="Times New Roman" w:hAnsi="Times New Roman"/>
          <w:sz w:val="20"/>
          <w:szCs w:val="20"/>
          <w:color w:val="auto"/>
        </w:rPr>
        <w:t>. The section titles in this Sublease are included for convenience only and shall not be taken into consideration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construction or interpretation of this Sublease or any of its provisions.</w:t>
      </w:r>
    </w:p>
    <w:p>
      <w:pPr>
        <w:spacing w:after="0" w:line="151" w:lineRule="exact"/>
        <w:rPr>
          <w:rFonts w:ascii="Times New Roman" w:cs="Times New Roman" w:eastAsia="Times New Roman" w:hAnsi="Times New Roman"/>
          <w:sz w:val="20"/>
          <w:szCs w:val="20"/>
          <w:color w:val="auto"/>
        </w:rPr>
      </w:pPr>
    </w:p>
    <w:p>
      <w:pPr>
        <w:jc w:val="both"/>
        <w:ind w:left="860" w:hanging="852"/>
        <w:spacing w:after="0" w:line="250" w:lineRule="auto"/>
        <w:tabs>
          <w:tab w:leader="none" w:pos="86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Rent</w:t>
      </w:r>
      <w:r>
        <w:rPr>
          <w:rFonts w:ascii="Times New Roman" w:cs="Times New Roman" w:eastAsia="Times New Roman" w:hAnsi="Times New Roman"/>
          <w:sz w:val="20"/>
          <w:szCs w:val="20"/>
          <w:color w:val="auto"/>
        </w:rPr>
        <w:t>. Sublessee shall be obligated to pay Sublessee’s Share (as hereinafter defined) of all Additional Rent, as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Sublessor pursuant to the Master Lease, which Additional Rent shall include but not be limited to Sublessor’s Share of Operating Expenses (as defined in Exhibit B of the Master Lease) which includes the payment of Property Taxes and insurance premiums (as defined in Exhibit B of the Master Lease), and all utilities provided under Exhibit 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66" w:name="page367"/>
    <w:bookmarkEnd w:id="366"/>
    <w:p>
      <w:pPr>
        <w:jc w:val="both"/>
        <w:ind w:left="860"/>
        <w:spacing w:after="0" w:line="242" w:lineRule="auto"/>
        <w:rPr>
          <w:sz w:val="20"/>
          <w:szCs w:val="20"/>
          <w:color w:val="auto"/>
        </w:rPr>
      </w:pPr>
      <w:r>
        <w:rPr>
          <w:rFonts w:ascii="Times New Roman" w:cs="Times New Roman" w:eastAsia="Times New Roman" w:hAnsi="Times New Roman"/>
          <w:sz w:val="20"/>
          <w:szCs w:val="20"/>
          <w:color w:val="auto"/>
        </w:rPr>
        <w:t>of the Master Lease; additionally, if Sublessee is furnished any additional services by Master Lessor and same are billed to Sublessor as “Additional Rent” or otherwise, Sublessee shall reimburse Sublessor within thirty (30) days of receipt of an invoice or statement forwarded by Sublessor for such charges. Additionally, Sublessee shall be responsible for the cost of excess electricity supplied to the Premises, and Sublessee shall reimburse Sublessor within thirty (30) days of after receipt of an invoice or statement forwarded by Sublessor for such charges. Sublessee shall also be responsible for the cost of maintenance and repairs by the Master Lessor to the Premises and Sublessee shall reimburse Sublessor promptly after receipt of an invoice or statement forwarded by Sublessor for such charges. “Sublessee’s Share” as used herein, shall be equivalent to Tenant’s Share (as defined in Exhibit B of the Master Lease). Notwithstanding the foregoing, Additional Rent shall not include any (i) rent or other amounts payable under the Master Lease prior to the Early Occupancy or (ii) any rent or amounts payable and resulting from Sublessor’s default under the Master Lease that is not caused by Sublessee, its agents, contractors, or employees or Sublessee’s default hereunder.</w:t>
      </w:r>
    </w:p>
    <w:p>
      <w:pPr>
        <w:spacing w:after="0" w:line="186" w:lineRule="exact"/>
        <w:rPr>
          <w:sz w:val="20"/>
          <w:szCs w:val="20"/>
          <w:color w:val="auto"/>
        </w:rPr>
      </w:pPr>
    </w:p>
    <w:p>
      <w:pPr>
        <w:ind w:left="860" w:hanging="852"/>
        <w:spacing w:after="0"/>
        <w:tabs>
          <w:tab w:leader="none" w:pos="860"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Special Stipulations</w:t>
      </w:r>
      <w:r>
        <w:rPr>
          <w:rFonts w:ascii="Times New Roman" w:cs="Times New Roman" w:eastAsia="Times New Roman" w:hAnsi="Times New Roman"/>
          <w:sz w:val="20"/>
          <w:szCs w:val="20"/>
          <w:color w:val="auto"/>
        </w:rPr>
        <w:t>. Special Stipulations shall control if in conflict with any of the foregoing provisions of this Sublease.</w:t>
      </w:r>
    </w:p>
    <w:p>
      <w:pPr>
        <w:spacing w:after="0" w:line="219"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462"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Furniture – Sublessee shall have the right to use the existing wiring, cabling, furniture, equipment and work stations (the “FF&amp;E”) located in the Premises, which FF&amp;E is listed on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color w:val="auto"/>
        </w:rPr>
        <w:t xml:space="preserve"> attached hereto and made a part hereof, during the Term, and, upon the Rent Commencement Date, free and clear title to the FF&amp;E shall be transferred to Sublessee.</w:t>
      </w:r>
    </w:p>
    <w:p>
      <w:pPr>
        <w:spacing w:after="0" w:line="174" w:lineRule="exact"/>
        <w:rPr>
          <w:rFonts w:ascii="Times New Roman" w:cs="Times New Roman" w:eastAsia="Times New Roman" w:hAnsi="Times New Roman"/>
          <w:sz w:val="20"/>
          <w:szCs w:val="20"/>
          <w:color w:val="auto"/>
        </w:rPr>
      </w:pPr>
    </w:p>
    <w:p>
      <w:pPr>
        <w:ind w:left="880" w:right="20" w:firstLine="789"/>
        <w:spacing w:after="0" w:line="269" w:lineRule="auto"/>
        <w:tabs>
          <w:tab w:leader="none" w:pos="2473"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Parking – Sublessee shall have the right to eighteen (18) parking spaces in accordance with the provisions set forth in Exhibit F of the Master Lease.</w:t>
      </w:r>
    </w:p>
    <w:p>
      <w:pPr>
        <w:spacing w:after="0" w:line="159" w:lineRule="exact"/>
        <w:rPr>
          <w:rFonts w:ascii="Times New Roman" w:cs="Times New Roman" w:eastAsia="Times New Roman" w:hAnsi="Times New Roman"/>
          <w:sz w:val="20"/>
          <w:szCs w:val="20"/>
          <w:color w:val="auto"/>
        </w:rPr>
      </w:pPr>
    </w:p>
    <w:p>
      <w:pPr>
        <w:jc w:val="both"/>
        <w:ind w:left="880" w:firstLine="789"/>
        <w:spacing w:after="0" w:line="243" w:lineRule="auto"/>
        <w:tabs>
          <w:tab w:leader="none" w:pos="2462"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Restoration – Upon the Termination Date, Sublessee shall deliver the Premises to Sublessor in broom-clean condition and in a condition equivalent to or better than on the Commencement Date (reasonable wear and tear and casualty excepted). Sublessee further agrees to remove all FF&amp;E, any Alterations performed within the Premises by Sublessee if required by Master Lessor, and other personal property within the Premises and shall be required to repair any damages caused by the removal of same. Sublessee shall indemnify, protect and save harmless the Sublessor from and against any claims, liabilities, damages and losses asserted against Sublessor as a result of Sublessee’s removal of such items. Sublessee shall have no obligation to remove or restore any damage, cabling, hazardous materials or improvements existing at the Premises as of the Commencement Date (except for the FF&amp;E).</w:t>
      </w:r>
    </w:p>
    <w:p>
      <w:pPr>
        <w:spacing w:after="0" w:line="189"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473"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Signage – Subject to the approval of Sublessor and Master Lessor, Sublessee shall be permitted to install Building standard suite signage in accordance with Section 5.2 of the Master Lease, at the sole cost and expense of Sublessee. Sublessor shall not unreasonably withhold, condition or delay its consent to such signage.</w:t>
      </w:r>
    </w:p>
    <w:p>
      <w:pPr>
        <w:spacing w:after="0" w:line="174" w:lineRule="exact"/>
        <w:rPr>
          <w:rFonts w:ascii="Times New Roman" w:cs="Times New Roman" w:eastAsia="Times New Roman" w:hAnsi="Times New Roman"/>
          <w:sz w:val="20"/>
          <w:szCs w:val="20"/>
          <w:color w:val="auto"/>
        </w:rPr>
      </w:pPr>
    </w:p>
    <w:p>
      <w:pPr>
        <w:jc w:val="both"/>
        <w:ind w:left="880" w:firstLine="789"/>
        <w:spacing w:after="0" w:line="249" w:lineRule="auto"/>
        <w:tabs>
          <w:tab w:leader="none" w:pos="2462"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Alterations – Any modifications, improvements, or alterations to the Premises by Subtenant shall (i) be constructed in accordance with all applicable laws and ordinances, (ii) shall require the prior written approval by Sublessor and Master Lessor, and (iii) shall otherwise be governed by Section 7.3 of the Master Lease. Sublessor shall not unreasonably withhold, condition or delay its consent to such Alterations.</w:t>
      </w:r>
    </w:p>
    <w:p>
      <w:pPr>
        <w:spacing w:after="0" w:line="179" w:lineRule="exact"/>
        <w:rPr>
          <w:rFonts w:ascii="Times New Roman" w:cs="Times New Roman" w:eastAsia="Times New Roman" w:hAnsi="Times New Roman"/>
          <w:sz w:val="20"/>
          <w:szCs w:val="20"/>
          <w:color w:val="auto"/>
        </w:rPr>
      </w:pPr>
    </w:p>
    <w:p>
      <w:pPr>
        <w:jc w:val="both"/>
        <w:ind w:left="880" w:right="20" w:firstLine="789"/>
        <w:spacing w:after="0" w:line="254" w:lineRule="auto"/>
        <w:tabs>
          <w:tab w:leader="none" w:pos="2440"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Contingency – This Sublease shall be contingent upon Sublessee executing a lease with Master Lessor on Suite 160 in the Building (the “Adjacent Premises”) until June 25, 2020. In the event Sublessee shall not have an executed lease for the Adjacent Premises on 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7" w:name="page368"/>
    <w:bookmarkEnd w:id="367"/>
    <w:p>
      <w:pPr>
        <w:jc w:val="both"/>
        <w:ind w:left="880"/>
        <w:spacing w:after="0" w:line="254" w:lineRule="auto"/>
        <w:rPr>
          <w:sz w:val="20"/>
          <w:szCs w:val="20"/>
          <w:color w:val="auto"/>
        </w:rPr>
      </w:pPr>
      <w:r>
        <w:rPr>
          <w:rFonts w:ascii="Times New Roman" w:cs="Times New Roman" w:eastAsia="Times New Roman" w:hAnsi="Times New Roman"/>
          <w:sz w:val="20"/>
          <w:szCs w:val="20"/>
          <w:color w:val="auto"/>
        </w:rPr>
        <w:t>before June 25, 2020, Sublessee shall have the one-time right to terminate this Sublease upon written notice to Sublessor. In the event such written notice is not delivered on or before June 25, 2020, time being of the essence, Sublessee hereby waives its rights pursuant to this Section 29(f).</w:t>
      </w:r>
    </w:p>
    <w:p>
      <w:pPr>
        <w:spacing w:after="0" w:line="170" w:lineRule="exact"/>
        <w:rPr>
          <w:sz w:val="20"/>
          <w:szCs w:val="20"/>
          <w:color w:val="auto"/>
        </w:rPr>
      </w:pPr>
    </w:p>
    <w:p>
      <w:pPr>
        <w:jc w:val="both"/>
        <w:ind w:left="860" w:hanging="852"/>
        <w:spacing w:after="0" w:line="250" w:lineRule="auto"/>
        <w:tabs>
          <w:tab w:leader="none" w:pos="860"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Consent of the Master Lessor</w:t>
      </w:r>
      <w:r>
        <w:rPr>
          <w:rFonts w:ascii="Times New Roman" w:cs="Times New Roman" w:eastAsia="Times New Roman" w:hAnsi="Times New Roman"/>
          <w:sz w:val="20"/>
          <w:szCs w:val="20"/>
          <w:color w:val="auto"/>
        </w:rPr>
        <w:t>. This Sublease shall be of no force or effect unless and until consented to, in writing, by Master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Lessor. Any such said consent by Master Lessor shall be attached hereto as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If Master Lessor does not consent to this Sublease within thirty days after the date first written above, then Sublessee may terminate this Sublease. Sublessor shall be solely responsible to pay all costs, fees and consideration charged by Master Lessor in connection with consent to this Sublease.</w:t>
      </w:r>
    </w:p>
    <w:p>
      <w:pPr>
        <w:spacing w:after="0" w:line="175" w:lineRule="exact"/>
        <w:rPr>
          <w:rFonts w:ascii="Times New Roman" w:cs="Times New Roman" w:eastAsia="Times New Roman" w:hAnsi="Times New Roman"/>
          <w:sz w:val="20"/>
          <w:szCs w:val="20"/>
          <w:color w:val="auto"/>
        </w:rPr>
      </w:pPr>
    </w:p>
    <w:p>
      <w:pPr>
        <w:ind w:left="860" w:hanging="852"/>
        <w:spacing w:after="0"/>
        <w:tabs>
          <w:tab w:leader="none" w:pos="860"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following are attached hereto and made a part hereof</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Exhibit “A” – Master Lease</w:t>
      </w:r>
    </w:p>
    <w:p>
      <w:pPr>
        <w:spacing w:after="0" w:line="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Exhibit “B” – Floor Plan</w:t>
      </w:r>
    </w:p>
    <w:p>
      <w:pPr>
        <w:ind w:left="1740"/>
        <w:spacing w:after="0"/>
        <w:rPr>
          <w:sz w:val="20"/>
          <w:szCs w:val="20"/>
          <w:color w:val="auto"/>
        </w:rPr>
      </w:pPr>
      <w:r>
        <w:rPr>
          <w:rFonts w:ascii="Times New Roman" w:cs="Times New Roman" w:eastAsia="Times New Roman" w:hAnsi="Times New Roman"/>
          <w:sz w:val="20"/>
          <w:szCs w:val="20"/>
          <w:color w:val="auto"/>
        </w:rPr>
        <w:t>Exhibit “C” – Commencement Date Agreement</w:t>
      </w:r>
    </w:p>
    <w:p>
      <w:pPr>
        <w:ind w:left="1740"/>
        <w:spacing w:after="0"/>
        <w:rPr>
          <w:sz w:val="20"/>
          <w:szCs w:val="20"/>
          <w:color w:val="auto"/>
        </w:rPr>
      </w:pPr>
      <w:r>
        <w:rPr>
          <w:rFonts w:ascii="Times New Roman" w:cs="Times New Roman" w:eastAsia="Times New Roman" w:hAnsi="Times New Roman"/>
          <w:sz w:val="20"/>
          <w:szCs w:val="20"/>
          <w:color w:val="auto"/>
        </w:rPr>
        <w:t>Exhibit “D” – List of FF&amp;E</w:t>
      </w:r>
    </w:p>
    <w:p>
      <w:pPr>
        <w:ind w:left="1740"/>
        <w:spacing w:after="0"/>
        <w:rPr>
          <w:sz w:val="20"/>
          <w:szCs w:val="20"/>
          <w:color w:val="auto"/>
        </w:rPr>
      </w:pPr>
      <w:r>
        <w:rPr>
          <w:rFonts w:ascii="Times New Roman" w:cs="Times New Roman" w:eastAsia="Times New Roman" w:hAnsi="Times New Roman"/>
          <w:sz w:val="20"/>
          <w:szCs w:val="20"/>
          <w:color w:val="auto"/>
        </w:rPr>
        <w:t>Exhibit “E” – Intentionally Omitted</w:t>
      </w:r>
    </w:p>
    <w:p>
      <w:pPr>
        <w:ind w:left="1740"/>
        <w:spacing w:after="0"/>
        <w:rPr>
          <w:sz w:val="20"/>
          <w:szCs w:val="20"/>
          <w:color w:val="auto"/>
        </w:rPr>
      </w:pPr>
      <w:r>
        <w:rPr>
          <w:rFonts w:ascii="Times New Roman" w:cs="Times New Roman" w:eastAsia="Times New Roman" w:hAnsi="Times New Roman"/>
          <w:sz w:val="20"/>
          <w:szCs w:val="20"/>
          <w:color w:val="auto"/>
        </w:rPr>
        <w:t>Exhibit “F” – Master Lessor’s Consent Form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hereunto executed this Sublease as of the day and year first above written.</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b w:val="1"/>
          <w:bCs w:val="1"/>
          <w:color w:val="auto"/>
        </w:rPr>
        <w:t>SUBLESSEE:</w:t>
      </w:r>
    </w:p>
    <w:p>
      <w:pPr>
        <w:spacing w:after="0" w:line="22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TARSUS PHARMACEUTICALS, INC.</w:t>
      </w:r>
      <w:r>
        <w:rPr>
          <w:rFonts w:ascii="Times New Roman" w:cs="Times New Roman" w:eastAsia="Times New Roman" w:hAnsi="Times New Roman"/>
          <w:sz w:val="20"/>
          <w:szCs w:val="20"/>
          <w:color w:val="auto"/>
        </w:rPr>
        <w:t>, a Delaware corporation</w:t>
      </w:r>
    </w:p>
    <w:p>
      <w:pPr>
        <w:spacing w:after="0" w:line="233" w:lineRule="exact"/>
        <w:rPr>
          <w:sz w:val="20"/>
          <w:szCs w:val="20"/>
          <w:color w:val="auto"/>
        </w:rPr>
      </w:pPr>
    </w:p>
    <w:tbl>
      <w:tblPr>
        <w:tblLayout w:type="fixed"/>
        <w:tblInd w:w="5780" w:type="dxa"/>
        <w:tblCellMar>
          <w:top w:w="0" w:type="dxa"/>
          <w:left w:w="0" w:type="dxa"/>
          <w:bottom w:w="0" w:type="dxa"/>
          <w:right w:w="0" w:type="dxa"/>
        </w:tblCellMar>
      </w:tblPr>
      <w:tr>
        <w:trPr>
          <w:trHeight w:val="252"/>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Bobby Amazian</w:t>
            </w:r>
          </w:p>
        </w:tc>
      </w:tr>
      <w:tr>
        <w:trPr>
          <w:trHeight w:val="223"/>
        </w:trPr>
        <w:tc>
          <w:tcPr>
            <w:tcW w:w="11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Name:</w:t>
            </w:r>
          </w:p>
        </w:tc>
        <w:tc>
          <w:tcPr>
            <w:tcW w:w="43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Bobak Azamian</w:t>
            </w:r>
          </w:p>
        </w:tc>
      </w:tr>
      <w:tr>
        <w:trPr>
          <w:trHeight w:val="223"/>
        </w:trPr>
        <w:tc>
          <w:tcPr>
            <w:tcW w:w="11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Its:</w:t>
            </w:r>
          </w:p>
        </w:tc>
        <w:tc>
          <w:tcPr>
            <w:tcW w:w="43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19782 MacArthur Blvd Suite 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13970</wp:posOffset>
            </wp:positionV>
            <wp:extent cx="347154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5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-139700</wp:posOffset>
            </wp:positionV>
            <wp:extent cx="136271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May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13970</wp:posOffset>
            </wp:positionV>
            <wp:extent cx="136271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b w:val="1"/>
          <w:bCs w:val="1"/>
          <w:color w:val="auto"/>
        </w:rPr>
        <w:t>SUBLESSOR:</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b w:val="1"/>
          <w:bCs w:val="1"/>
          <w:color w:val="auto"/>
        </w:rPr>
        <w:t>AVENT, INC.</w:t>
      </w:r>
      <w:r>
        <w:rPr>
          <w:rFonts w:ascii="Times New Roman" w:cs="Times New Roman" w:eastAsia="Times New Roman" w:hAnsi="Times New Roman"/>
          <w:sz w:val="20"/>
          <w:szCs w:val="20"/>
          <w:color w:val="auto"/>
        </w:rPr>
        <w:t>, a Delaware corporation</w:t>
      </w:r>
    </w:p>
    <w:p>
      <w:pPr>
        <w:spacing w:after="0" w:line="233" w:lineRule="exact"/>
        <w:rPr>
          <w:sz w:val="20"/>
          <w:szCs w:val="20"/>
          <w:color w:val="auto"/>
        </w:rPr>
      </w:pPr>
    </w:p>
    <w:tbl>
      <w:tblPr>
        <w:tblLayout w:type="fixed"/>
        <w:tblInd w:w="5780" w:type="dxa"/>
        <w:tblCellMar>
          <w:top w:w="0" w:type="dxa"/>
          <w:left w:w="0" w:type="dxa"/>
          <w:bottom w:w="0" w:type="dxa"/>
          <w:right w:w="0" w:type="dxa"/>
        </w:tblCellMar>
      </w:tblPr>
      <w:tr>
        <w:trPr>
          <w:trHeight w:val="252"/>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David Ball</w:t>
            </w:r>
          </w:p>
        </w:tc>
      </w:tr>
      <w:tr>
        <w:trPr>
          <w:trHeight w:val="223"/>
        </w:trPr>
        <w:tc>
          <w:tcPr>
            <w:tcW w:w="11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Name:</w:t>
            </w:r>
          </w:p>
        </w:tc>
        <w:tc>
          <w:tcPr>
            <w:tcW w:w="4300" w:type="dxa"/>
            <w:vAlign w:val="bottom"/>
            <w:tcBorders>
              <w:bottom w:val="single" w:sz="8" w:color="auto"/>
            </w:tcBorders>
            <w:gridSpan w:val="3"/>
          </w:tcPr>
          <w:p>
            <w:pPr>
              <w:spacing w:after="0" w:line="223" w:lineRule="exact"/>
              <w:rPr>
                <w:sz w:val="20"/>
                <w:szCs w:val="20"/>
                <w:color w:val="auto"/>
              </w:rPr>
            </w:pPr>
            <w:r>
              <w:rPr>
                <w:rFonts w:ascii="Times New Roman" w:cs="Times New Roman" w:eastAsia="Times New Roman" w:hAnsi="Times New Roman"/>
                <w:sz w:val="20"/>
                <w:szCs w:val="20"/>
                <w:color w:val="auto"/>
              </w:rPr>
              <w:t>David Ball</w:t>
            </w:r>
          </w:p>
        </w:tc>
      </w:tr>
      <w:tr>
        <w:trPr>
          <w:trHeight w:val="183"/>
        </w:trPr>
        <w:tc>
          <w:tcPr>
            <w:tcW w:w="116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Its:</w:t>
            </w:r>
          </w:p>
        </w:tc>
        <w:tc>
          <w:tcPr>
            <w:tcW w:w="4300" w:type="dxa"/>
            <w:vAlign w:val="bottom"/>
            <w:gridSpan w:val="3"/>
          </w:tcPr>
          <w:p>
            <w:pPr>
              <w:spacing w:after="0" w:line="183" w:lineRule="exact"/>
              <w:rPr>
                <w:sz w:val="20"/>
                <w:szCs w:val="20"/>
                <w:color w:val="auto"/>
              </w:rPr>
            </w:pPr>
            <w:r>
              <w:rPr>
                <w:rFonts w:ascii="Times New Roman" w:cs="Times New Roman" w:eastAsia="Times New Roman" w:hAnsi="Times New Roman"/>
                <w:sz w:val="20"/>
                <w:szCs w:val="20"/>
                <w:color w:val="auto"/>
              </w:rPr>
              <w:t>SVP, Global Supply Chain &amp;</w:t>
            </w:r>
          </w:p>
        </w:tc>
      </w:tr>
      <w:tr>
        <w:trPr>
          <w:trHeight w:val="210"/>
        </w:trPr>
        <w:tc>
          <w:tcPr>
            <w:tcW w:w="1160" w:type="dxa"/>
            <w:vAlign w:val="bottom"/>
          </w:tcPr>
          <w:p>
            <w:pPr>
              <w:spacing w:after="0"/>
              <w:rPr>
                <w:sz w:val="18"/>
                <w:szCs w:val="18"/>
                <w:color w:val="auto"/>
              </w:rPr>
            </w:pPr>
          </w:p>
        </w:tc>
        <w:tc>
          <w:tcPr>
            <w:tcW w:w="2300" w:type="dxa"/>
            <w:vAlign w:val="bottom"/>
            <w:tcBorders>
              <w:top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Procurement</w:t>
            </w:r>
          </w:p>
        </w:tc>
        <w:tc>
          <w:tcPr>
            <w:tcW w:w="20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-139700</wp:posOffset>
            </wp:positionV>
            <wp:extent cx="347154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May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13970</wp:posOffset>
            </wp:positionV>
            <wp:extent cx="347154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69" w:name="page370"/>
    <w:bookmarkEnd w:id="36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SUBLEASE AGREEMENT</w:t>
      </w:r>
    </w:p>
    <w:p>
      <w:pPr>
        <w:spacing w:after="0" w:line="233"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THIS FIRST AMENDMENT TO SUBLEASE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and effective as of July 30, 2020 (the “Effective Date”), by and between AVENT, INC., a Delaware corporation (“</w:t>
      </w:r>
      <w:r>
        <w:rPr>
          <w:rFonts w:ascii="Times New Roman" w:cs="Times New Roman" w:eastAsia="Times New Roman" w:hAnsi="Times New Roman"/>
          <w:sz w:val="20"/>
          <w:szCs w:val="20"/>
          <w:u w:val="single" w:color="auto"/>
          <w:color w:val="auto"/>
        </w:rPr>
        <w:t>Sublessor</w:t>
      </w:r>
      <w:r>
        <w:rPr>
          <w:rFonts w:ascii="Times New Roman" w:cs="Times New Roman" w:eastAsia="Times New Roman" w:hAnsi="Times New Roman"/>
          <w:sz w:val="20"/>
          <w:szCs w:val="20"/>
          <w:color w:val="auto"/>
        </w:rPr>
        <w:t>”) and TARSUS PHARMACEUTICALS, INC., a Delaware corporation (“</w:t>
      </w:r>
      <w:r>
        <w:rPr>
          <w:rFonts w:ascii="Times New Roman" w:cs="Times New Roman" w:eastAsia="Times New Roman" w:hAnsi="Times New Roman"/>
          <w:sz w:val="20"/>
          <w:szCs w:val="20"/>
          <w:u w:val="single" w:color="auto"/>
          <w:color w:val="auto"/>
        </w:rPr>
        <w:t>Sublessee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WITNESSETHTHAT:</w:t>
      </w:r>
    </w:p>
    <w:p>
      <w:pPr>
        <w:spacing w:after="0" w:line="22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WHEREAS, Sublessor and Sublessee are parties to that certain Sublease Agreement dated May 29, 2020 (the “</w:t>
      </w:r>
      <w:r>
        <w:rPr>
          <w:rFonts w:ascii="Times New Roman" w:cs="Times New Roman" w:eastAsia="Times New Roman" w:hAnsi="Times New Roman"/>
          <w:sz w:val="20"/>
          <w:szCs w:val="20"/>
          <w:u w:val="single" w:color="auto"/>
          <w:color w:val="auto"/>
        </w:rPr>
        <w:t>Sublease</w:t>
      </w:r>
      <w:r>
        <w:rPr>
          <w:rFonts w:ascii="Times New Roman" w:cs="Times New Roman" w:eastAsia="Times New Roman" w:hAnsi="Times New Roman"/>
          <w:sz w:val="20"/>
          <w:szCs w:val="20"/>
          <w:color w:val="auto"/>
        </w:rPr>
        <w:t>”) for certain premises consisting of approximately 5,285 rentable square feet of space in the building located at 15440 Laguna Canyon Road, Irvine, CA 92618 and identified as Suite 130 (the “</w:t>
      </w:r>
      <w:r>
        <w:rPr>
          <w:rFonts w:ascii="Times New Roman" w:cs="Times New Roman" w:eastAsia="Times New Roman" w:hAnsi="Times New Roman"/>
          <w:sz w:val="20"/>
          <w:szCs w:val="20"/>
          <w:u w:val="single" w:color="auto"/>
          <w:color w:val="auto"/>
        </w:rPr>
        <w:t>Premises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WHEREAS, Sublessor and Sublessee desire to amend the Sublease to confirm the Commencement Date and Rent Commencement Date of the Sublease and to otherwise revise the terms of the Sublease as set forth herein;</w:t>
      </w:r>
    </w:p>
    <w:p>
      <w:pPr>
        <w:spacing w:after="0" w:line="15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sum of Ten and No/100 Dollars ($10.00) and for other good and valuable considerations, the receipt, adequacy and sufficiency of which are hereby acknowledged, the parties do hereby covenant and agree as follows:</w:t>
      </w:r>
    </w:p>
    <w:p>
      <w:pPr>
        <w:spacing w:after="0" w:line="188" w:lineRule="exact"/>
        <w:rPr>
          <w:sz w:val="20"/>
          <w:szCs w:val="20"/>
          <w:color w:val="auto"/>
        </w:rPr>
      </w:pPr>
    </w:p>
    <w:p>
      <w:pPr>
        <w:ind w:firstLine="1735"/>
        <w:spacing w:after="0" w:line="245" w:lineRule="auto"/>
        <w:tabs>
          <w:tab w:leader="none" w:pos="2537"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Recitals</w:t>
      </w:r>
      <w:r>
        <w:rPr>
          <w:rFonts w:ascii="Times New Roman" w:cs="Times New Roman" w:eastAsia="Times New Roman" w:hAnsi="Times New Roman"/>
          <w:sz w:val="20"/>
          <w:szCs w:val="20"/>
          <w:color w:val="auto"/>
        </w:rPr>
        <w:t>. The recitals set forth above in this Amendment are incorporated into the body of this Amendment and made a part hereof as if fully set forth herein.</w:t>
      </w:r>
    </w:p>
    <w:p>
      <w:pPr>
        <w:spacing w:after="0" w:line="195" w:lineRule="exact"/>
        <w:rPr>
          <w:rFonts w:ascii="Times New Roman" w:cs="Times New Roman" w:eastAsia="Times New Roman" w:hAnsi="Times New Roman"/>
          <w:sz w:val="22"/>
          <w:szCs w:val="22"/>
          <w:color w:val="auto"/>
        </w:rPr>
      </w:pPr>
    </w:p>
    <w:p>
      <w:pPr>
        <w:ind w:firstLine="1735"/>
        <w:spacing w:after="0" w:line="245" w:lineRule="auto"/>
        <w:tabs>
          <w:tab w:leader="none" w:pos="2537"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All capitalized terms utilized in this Amendment and not expressly defined herein shall have the same meaning as ascribed to such terms in the Sublease.</w:t>
      </w:r>
    </w:p>
    <w:p>
      <w:pPr>
        <w:spacing w:after="0" w:line="195" w:lineRule="exact"/>
        <w:rPr>
          <w:rFonts w:ascii="Times New Roman" w:cs="Times New Roman" w:eastAsia="Times New Roman" w:hAnsi="Times New Roman"/>
          <w:sz w:val="22"/>
          <w:szCs w:val="22"/>
          <w:color w:val="auto"/>
        </w:rPr>
      </w:pPr>
    </w:p>
    <w:p>
      <w:pPr>
        <w:ind w:firstLine="1735"/>
        <w:spacing w:after="0" w:line="245" w:lineRule="auto"/>
        <w:tabs>
          <w:tab w:leader="none" w:pos="2537"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Commencement</w:t>
      </w:r>
      <w:r>
        <w:rPr>
          <w:rFonts w:ascii="Times New Roman" w:cs="Times New Roman" w:eastAsia="Times New Roman" w:hAnsi="Times New Roman"/>
          <w:sz w:val="20"/>
          <w:szCs w:val="20"/>
          <w:color w:val="auto"/>
        </w:rPr>
        <w:t>. The parties hereby agree that Section 4(b) of the Sublease is hereby deleted in its entirety and shall be replaced with the following:</w:t>
      </w:r>
    </w:p>
    <w:p>
      <w:pPr>
        <w:spacing w:after="0" w:line="182" w:lineRule="exact"/>
        <w:rPr>
          <w:sz w:val="20"/>
          <w:szCs w:val="20"/>
          <w:color w:val="auto"/>
        </w:rPr>
      </w:pPr>
    </w:p>
    <w:p>
      <w:pPr>
        <w:jc w:val="both"/>
        <w:ind w:left="880" w:firstLine="797"/>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contained herein, the parties hereby agree that the Rent Commencement Date and Commencement Date shall be deemed to occur on August 15, 2020 and neither party shall be obligated to execute a Commencement Date Agreement memorializing such date.”</w:t>
      </w:r>
    </w:p>
    <w:p>
      <w:pPr>
        <w:spacing w:after="0" w:line="188" w:lineRule="exact"/>
        <w:rPr>
          <w:sz w:val="20"/>
          <w:szCs w:val="20"/>
          <w:color w:val="auto"/>
        </w:rPr>
      </w:pPr>
    </w:p>
    <w:p>
      <w:pPr>
        <w:jc w:val="both"/>
        <w:ind w:firstLine="1735"/>
        <w:spacing w:after="0" w:line="242" w:lineRule="auto"/>
        <w:tabs>
          <w:tab w:leader="none" w:pos="2537"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Conflict; No Further Modification</w:t>
      </w:r>
      <w:r>
        <w:rPr>
          <w:rFonts w:ascii="Times New Roman" w:cs="Times New Roman" w:eastAsia="Times New Roman" w:hAnsi="Times New Roman"/>
          <w:sz w:val="20"/>
          <w:szCs w:val="20"/>
          <w:color w:val="auto"/>
        </w:rPr>
        <w:t>. In the event of any conflict between the Sublease and this Amendment, the terms and provisions of this Amendment shall prevail. Except as set forth in this Amendment, all of the terms and provisions of the Sublease shall remain unmodified and in full force and effect.</w:t>
      </w:r>
    </w:p>
    <w:p>
      <w:pPr>
        <w:spacing w:after="0" w:line="199" w:lineRule="exact"/>
        <w:rPr>
          <w:rFonts w:ascii="Times New Roman" w:cs="Times New Roman" w:eastAsia="Times New Roman" w:hAnsi="Times New Roman"/>
          <w:sz w:val="22"/>
          <w:szCs w:val="22"/>
          <w:color w:val="auto"/>
        </w:rPr>
      </w:pPr>
    </w:p>
    <w:p>
      <w:pPr>
        <w:jc w:val="both"/>
        <w:ind w:firstLine="1735"/>
        <w:spacing w:after="0"/>
        <w:tabs>
          <w:tab w:leader="none" w:pos="2537"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This Amendment shall be binding upon and inure to the benefit of Sublessor, Sublessee and their respective legal representatives, successors and assigns. This Amendment may be executed in counterparts, each of which shall be deemed an original and all of which shall be deemed one and the same instrument. Electronic signatures and/or signatures transmitted by facsimile or email shall have the same effect as an original signature. Time is of the essence. This Amendment shall be subject to, governed by, and construed pursuant to the laws of the State of California.</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[BALANCE OF PAGE INTENTIONALLY LEFT BLANK]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BEGIN ON FOLLOWING PAGE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70" w:name="page371"/>
    <w:bookmarkEnd w:id="370"/>
    <w:p>
      <w:pPr>
        <w:jc w:val="center"/>
        <w:ind w:right="620"/>
        <w:spacing w:after="0"/>
        <w:rPr>
          <w:sz w:val="20"/>
          <w:szCs w:val="20"/>
          <w:color w:val="auto"/>
        </w:rPr>
      </w:pPr>
      <w:r>
        <w:rPr>
          <w:rFonts w:ascii="Times New Roman" w:cs="Times New Roman" w:eastAsia="Times New Roman" w:hAnsi="Times New Roman"/>
          <w:sz w:val="19"/>
          <w:szCs w:val="19"/>
          <w:color w:val="auto"/>
        </w:rPr>
        <w:t>IN WITNESS WHEREOF, the parties have executed this Amendment under seal as of the day and year first above written.</w:t>
      </w:r>
    </w:p>
    <w:p>
      <w:pPr>
        <w:spacing w:after="0" w:line="24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u w:val="single" w:color="auto"/>
          <w:color w:val="auto"/>
        </w:rPr>
        <w:t>SUBLESSOR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AVENT, INC.,</w:t>
      </w:r>
    </w:p>
    <w:p>
      <w:pPr>
        <w:spacing w:after="0" w:line="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7" w:lineRule="exact"/>
        <w:rPr>
          <w:sz w:val="20"/>
          <w:szCs w:val="20"/>
          <w:color w:val="auto"/>
        </w:rPr>
      </w:pPr>
    </w:p>
    <w:tbl>
      <w:tblPr>
        <w:tblLayout w:type="fixed"/>
        <w:tblInd w:w="420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Ball</w:t>
            </w:r>
          </w:p>
        </w:tc>
      </w:tr>
      <w:tr>
        <w:trPr>
          <w:trHeight w:val="223"/>
        </w:trPr>
        <w:tc>
          <w:tcPr>
            <w:tcW w:w="8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Its:</w:t>
            </w:r>
          </w:p>
        </w:tc>
        <w:tc>
          <w:tcPr>
            <w:tcW w:w="532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SVP, Global Supply Chain &amp; Procurement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[SIGNATURES CONTINUE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79375</wp:posOffset>
            </wp:positionV>
            <wp:extent cx="714946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60" w:right="339" w:bottom="1440" w:gutter="0" w:footer="0" w:header="0"/>
        </w:sectPr>
      </w:pPr>
    </w:p>
    <w:bookmarkStart w:id="371" w:name="page372"/>
    <w:bookmarkEnd w:id="371"/>
    <w:p>
      <w:pPr>
        <w:jc w:val="center"/>
        <w:ind w:right="19"/>
        <w:spacing w:after="0"/>
        <w:rPr>
          <w:sz w:val="20"/>
          <w:szCs w:val="20"/>
          <w:color w:val="auto"/>
        </w:rPr>
      </w:pPr>
      <w:r>
        <w:rPr>
          <w:rFonts w:ascii="Times New Roman" w:cs="Times New Roman" w:eastAsia="Times New Roman" w:hAnsi="Times New Roman"/>
          <w:sz w:val="19"/>
          <w:szCs w:val="19"/>
          <w:color w:val="auto"/>
        </w:rPr>
        <w:t>[SIGNATURES CONTINUED FROM PREVIOUS PAGE]</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AMENDMENT]</w:t>
      </w:r>
    </w:p>
    <w:p>
      <w:pPr>
        <w:spacing w:after="0" w:line="200" w:lineRule="exact"/>
        <w:rPr>
          <w:sz w:val="20"/>
          <w:szCs w:val="20"/>
          <w:color w:val="auto"/>
        </w:rPr>
      </w:pPr>
    </w:p>
    <w:p>
      <w:pPr>
        <w:spacing w:after="0" w:line="2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u w:val="single" w:color="auto"/>
          <w:color w:val="auto"/>
        </w:rPr>
        <w:t>SUBLESSEE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TARSUS PHARMACEUTICALS, INC.,</w:t>
      </w:r>
    </w:p>
    <w:p>
      <w:pPr>
        <w:spacing w:after="0" w:line="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/s/ Leo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13970</wp:posOffset>
            </wp:positionV>
            <wp:extent cx="31972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20"/>
          <w:szCs w:val="20"/>
          <w:color w:val="auto"/>
        </w:rPr>
        <w:t>Its:</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4445</wp:posOffset>
            </wp:positionV>
            <wp:extent cx="31972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sectPr>
      <w:pgSz w:w="11900" w:h="16838" w:orient="portrait"/>
      <w:cols w:equalWidth="0" w:num="1">
        <w:col w:w="9019"/>
      </w:cols>
      <w:pgMar w:left="1440" w:top="3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D3BCD4"/>
    <w:multiLevelType w:val="hybridMultilevel"/>
    <w:lvl w:ilvl="0">
      <w:lvlJc w:val="left"/>
      <w:lvlText w:val="(%1)"/>
      <w:numFmt w:val="decimal"/>
      <w:start w:val="1"/>
    </w:lvl>
  </w:abstractNum>
  <w:abstractNum w:abstractNumId="1">
    <w:nsid w:val="4C2A7166"/>
    <w:multiLevelType w:val="hybridMultilevel"/>
    <w:lvl w:ilvl="0">
      <w:lvlJc w:val="left"/>
      <w:lvlText w:val="*"/>
      <w:numFmt w:val="bullet"/>
      <w:start w:val="1"/>
    </w:lvl>
  </w:abstractNum>
  <w:abstractNum w:abstractNumId="2">
    <w:nsid w:val="2E534A82"/>
    <w:multiLevelType w:val="hybridMultilevel"/>
    <w:lvl w:ilvl="0">
      <w:lvlJc w:val="left"/>
      <w:lvlText w:val="**"/>
      <w:numFmt w:val="bullet"/>
      <w:start w:val="1"/>
    </w:lvl>
  </w:abstractNum>
  <w:abstractNum w:abstractNumId="3">
    <w:nsid w:val="26F2D364"/>
    <w:multiLevelType w:val="hybridMultilevel"/>
    <w:lvl w:ilvl="0">
      <w:lvlJc w:val="left"/>
      <w:lvlText w:val="***"/>
      <w:numFmt w:val="bullet"/>
      <w:start w:val="1"/>
    </w:lvl>
  </w:abstractNum>
  <w:abstractNum w:abstractNumId="4">
    <w:nsid w:val="71C1AF98"/>
    <w:multiLevelType w:val="hybridMultilevel"/>
    <w:lvl w:ilvl="0">
      <w:lvlJc w:val="left"/>
      <w:lvlText w:val="†"/>
      <w:numFmt w:val="bullet"/>
      <w:start w:val="1"/>
    </w:lvl>
  </w:abstractNum>
  <w:abstractNum w:abstractNumId="5">
    <w:nsid w:val="3D00B9D9"/>
    <w:multiLevelType w:val="hybridMultilevel"/>
    <w:lvl w:ilvl="0">
      <w:lvlJc w:val="left"/>
      <w:lvlText w:val="††"/>
      <w:numFmt w:val="bullet"/>
      <w:start w:val="1"/>
    </w:lvl>
  </w:abstractNum>
  <w:abstractNum w:abstractNumId="6">
    <w:nsid w:val="15BCABA8"/>
    <w:multiLevelType w:val="hybridMultilevel"/>
    <w:lvl w:ilvl="0">
      <w:lvlJc w:val="left"/>
      <w:lvlText w:val="*"/>
      <w:numFmt w:val="bullet"/>
      <w:start w:val="1"/>
    </w:lvl>
  </w:abstractNum>
  <w:abstractNum w:abstractNumId="7">
    <w:nsid w:val="4E0B9A87"/>
    <w:multiLevelType w:val="hybridMultilevel"/>
    <w:lvl w:ilvl="0">
      <w:lvlJc w:val="left"/>
      <w:lvlText w:val="**"/>
      <w:numFmt w:val="bullet"/>
      <w:start w:val="1"/>
    </w:lvl>
  </w:abstractNum>
  <w:abstractNum w:abstractNumId="8">
    <w:nsid w:val="434BAE75"/>
    <w:multiLevelType w:val="hybridMultilevel"/>
    <w:lvl w:ilvl="0">
      <w:lvlJc w:val="left"/>
      <w:lvlText w:val="†"/>
      <w:numFmt w:val="bullet"/>
      <w:start w:val="1"/>
    </w:lvl>
  </w:abstractNum>
  <w:abstractNum w:abstractNumId="9">
    <w:nsid w:val="4F38F265"/>
    <w:multiLevelType w:val="hybridMultilevel"/>
    <w:lvl w:ilvl="0">
      <w:lvlJc w:val="left"/>
      <w:lvlText w:val="††"/>
      <w:numFmt w:val="bullet"/>
      <w:start w:val="1"/>
    </w:lvl>
  </w:abstractNum>
  <w:abstractNum w:abstractNumId="10">
    <w:nsid w:val="4C502870"/>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1">
    <w:nsid w:val="1DE8725A"/>
    <w:multiLevelType w:val="hybridMultilevel"/>
    <w:lvl w:ilvl="0">
      <w:lvlJc w:val="left"/>
      <w:lvlText w:val="•"/>
      <w:numFmt w:val="bullet"/>
      <w:start w:val="1"/>
    </w:lvl>
  </w:abstractNum>
  <w:abstractNum w:abstractNumId="12">
    <w:nsid w:val="6A37288A"/>
    <w:multiLevelType w:val="hybridMultilevel"/>
    <w:lvl w:ilvl="0">
      <w:lvlJc w:val="left"/>
      <w:lvlText w:val="•"/>
      <w:numFmt w:val="bullet"/>
      <w:start w:val="1"/>
    </w:lvl>
    <w:lvl w:ilvl="1">
      <w:lvlJc w:val="left"/>
      <w:lvlText w:val="-"/>
      <w:numFmt w:val="bullet"/>
      <w:start w:val="1"/>
    </w:lvl>
  </w:abstractNum>
  <w:abstractNum w:abstractNumId="13">
    <w:nsid w:val="8F8B73F"/>
    <w:multiLevelType w:val="hybridMultilevel"/>
    <w:lvl w:ilvl="0">
      <w:lvlJc w:val="left"/>
      <w:lvlText w:val="•"/>
      <w:numFmt w:val="bullet"/>
      <w:start w:val="1"/>
    </w:lvl>
  </w:abstractNum>
  <w:abstractNum w:abstractNumId="14">
    <w:nsid w:val="CA6B462"/>
    <w:multiLevelType w:val="hybridMultilevel"/>
    <w:lvl w:ilvl="0">
      <w:lvlJc w:val="left"/>
      <w:lvlText w:val="•"/>
      <w:numFmt w:val="bullet"/>
      <w:start w:val="1"/>
    </w:lvl>
    <w:lvl w:ilvl="1">
      <w:lvlJc w:val="left"/>
      <w:lvlText w:val="-"/>
      <w:numFmt w:val="bullet"/>
      <w:start w:val="1"/>
    </w:lvl>
  </w:abstractNum>
  <w:abstractNum w:abstractNumId="15">
    <w:nsid w:val="763CB680"/>
    <w:multiLevelType w:val="hybridMultilevel"/>
    <w:lvl w:ilvl="0">
      <w:lvlJc w:val="left"/>
      <w:lvlText w:val="•"/>
      <w:numFmt w:val="bullet"/>
      <w:start w:val="1"/>
    </w:lvl>
  </w:abstractNum>
  <w:abstractNum w:abstractNumId="16">
    <w:nsid w:val="15B71329"/>
    <w:multiLevelType w:val="hybridMultilevel"/>
    <w:lvl w:ilvl="0">
      <w:lvlJc w:val="left"/>
      <w:lvlText w:val="•"/>
      <w:numFmt w:val="bullet"/>
      <w:start w:val="1"/>
    </w:lvl>
  </w:abstractNum>
  <w:abstractNum w:abstractNumId="17">
    <w:nsid w:val="3DA97044"/>
    <w:multiLevelType w:val="hybridMultilevel"/>
    <w:lvl w:ilvl="0">
      <w:lvlJc w:val="left"/>
      <w:lvlText w:val="•"/>
      <w:numFmt w:val="bullet"/>
      <w:start w:val="1"/>
    </w:lvl>
  </w:abstractNum>
  <w:abstractNum w:abstractNumId="18">
    <w:nsid w:val="1CDCE2DE"/>
    <w:multiLevelType w:val="hybridMultilevel"/>
    <w:lvl w:ilvl="0">
      <w:lvlJc w:val="left"/>
      <w:lvlText w:val="•"/>
      <w:numFmt w:val="bullet"/>
      <w:start w:val="1"/>
    </w:lvl>
    <w:lvl w:ilvl="1">
      <w:lvlJc w:val="left"/>
      <w:lvlText w:val="-"/>
      <w:numFmt w:val="bullet"/>
      <w:start w:val="1"/>
    </w:lvl>
  </w:abstractNum>
  <w:abstractNum w:abstractNumId="19">
    <w:nsid w:val="69D3947C"/>
    <w:multiLevelType w:val="hybridMultilevel"/>
    <w:lvl w:ilvl="0">
      <w:lvlJc w:val="left"/>
      <w:lvlText w:val="•"/>
      <w:numFmt w:val="bullet"/>
      <w:start w:val="1"/>
    </w:lvl>
  </w:abstractNum>
  <w:abstractNum w:abstractNumId="20">
    <w:nsid w:val="2539DFA5"/>
    <w:multiLevelType w:val="hybridMultilevel"/>
    <w:lvl w:ilvl="0">
      <w:lvlJc w:val="left"/>
      <w:lvlText w:val="•"/>
      <w:numFmt w:val="bullet"/>
      <w:start w:val="1"/>
    </w:lvl>
    <w:lvl w:ilvl="1">
      <w:lvlJc w:val="left"/>
      <w:lvlText w:val="-"/>
      <w:numFmt w:val="bullet"/>
      <w:start w:val="1"/>
    </w:lvl>
  </w:abstractNum>
  <w:abstractNum w:abstractNumId="21">
    <w:nsid w:val="2DB88089"/>
    <w:multiLevelType w:val="hybridMultilevel"/>
    <w:lvl w:ilvl="0">
      <w:lvlJc w:val="left"/>
      <w:lvlText w:val="(%1)"/>
      <w:numFmt w:val="decimal"/>
      <w:start w:val="1"/>
    </w:lvl>
    <w:lvl w:ilvl="1">
      <w:lvlJc w:val="left"/>
      <w:lvlText w:val="-"/>
      <w:numFmt w:val="bullet"/>
      <w:start w:val="1"/>
    </w:lvl>
  </w:abstractNum>
  <w:abstractNum w:abstractNumId="22">
    <w:nsid w:val="706B674E"/>
    <w:multiLevelType w:val="hybridMultilevel"/>
    <w:lvl w:ilvl="0">
      <w:lvlJc w:val="left"/>
      <w:lvlText w:val="(%1)"/>
      <w:numFmt w:val="decimal"/>
      <w:start w:val="2"/>
    </w:lvl>
  </w:abstractNum>
  <w:abstractNum w:abstractNumId="23">
    <w:nsid w:val="2C106A57"/>
    <w:multiLevelType w:val="hybridMultilevel"/>
    <w:lvl w:ilvl="0">
      <w:lvlJc w:val="left"/>
      <w:lvlText w:val="(%1)"/>
      <w:numFmt w:val="decimal"/>
      <w:start w:val="3"/>
    </w:lvl>
    <w:lvl w:ilvl="1">
      <w:lvlJc w:val="left"/>
      <w:lvlText w:val="-"/>
      <w:numFmt w:val="bullet"/>
      <w:start w:val="1"/>
    </w:lvl>
  </w:abstractNum>
  <w:abstractNum w:abstractNumId="24">
    <w:nsid w:val="684EED59"/>
    <w:multiLevelType w:val="hybridMultilevel"/>
    <w:lvl w:ilvl="0">
      <w:lvlJc w:val="left"/>
      <w:lvlText w:val="•"/>
      <w:numFmt w:val="bullet"/>
      <w:start w:val="1"/>
    </w:lvl>
    <w:lvl w:ilvl="1">
      <w:lvlJc w:val="left"/>
      <w:lvlText w:val="-"/>
      <w:numFmt w:val="bullet"/>
      <w:start w:val="1"/>
    </w:lvl>
  </w:abstractNum>
  <w:abstractNum w:abstractNumId="25">
    <w:nsid w:val="545EE5D3"/>
    <w:multiLevelType w:val="hybridMultilevel"/>
    <w:lvl w:ilvl="0">
      <w:lvlJc w:val="left"/>
      <w:lvlText w:val="•"/>
      <w:numFmt w:val="bullet"/>
      <w:start w:val="1"/>
    </w:lvl>
  </w:abstractNum>
  <w:abstractNum w:abstractNumId="26">
    <w:nsid w:val="4A66051"/>
    <w:multiLevelType w:val="hybridMultilevel"/>
    <w:lvl w:ilvl="0">
      <w:lvlJc w:val="left"/>
      <w:lvlText w:val="•"/>
      <w:numFmt w:val="bullet"/>
      <w:start w:val="1"/>
    </w:lvl>
    <w:lvl w:ilvl="1">
      <w:lvlJc w:val="left"/>
      <w:lvlText w:val="-"/>
      <w:numFmt w:val="bullet"/>
      <w:start w:val="1"/>
    </w:lvl>
  </w:abstractNum>
  <w:abstractNum w:abstractNumId="27">
    <w:nsid w:val="20F4BDAD"/>
    <w:multiLevelType w:val="hybridMultilevel"/>
    <w:lvl w:ilvl="0">
      <w:lvlJc w:val="left"/>
      <w:lvlText w:val="•"/>
      <w:numFmt w:val="bullet"/>
      <w:start w:val="1"/>
    </w:lvl>
    <w:lvl w:ilvl="1">
      <w:lvlJc w:val="left"/>
      <w:lvlText w:val="-"/>
      <w:numFmt w:val="bullet"/>
      <w:start w:val="1"/>
    </w:lvl>
  </w:abstractNum>
  <w:abstractNum w:abstractNumId="28">
    <w:nsid w:val="639DEFAC"/>
    <w:multiLevelType w:val="hybridMultilevel"/>
    <w:lvl w:ilvl="0">
      <w:lvlJc w:val="left"/>
      <w:lvlText w:val="•"/>
      <w:numFmt w:val="bullet"/>
      <w:start w:val="1"/>
    </w:lvl>
  </w:abstractNum>
  <w:abstractNum w:abstractNumId="29">
    <w:nsid w:val="501F9786"/>
    <w:multiLevelType w:val="hybridMultilevel"/>
    <w:lvl w:ilvl="0">
      <w:lvlJc w:val="left"/>
      <w:lvlText w:val="•"/>
      <w:numFmt w:val="bullet"/>
      <w:start w:val="1"/>
    </w:lvl>
    <w:lvl w:ilvl="1">
      <w:lvlJc w:val="left"/>
      <w:lvlText w:val="-"/>
      <w:numFmt w:val="bullet"/>
      <w:start w:val="1"/>
    </w:lvl>
  </w:abstractNum>
  <w:abstractNum w:abstractNumId="30">
    <w:nsid w:val="6B057295"/>
    <w:multiLevelType w:val="hybridMultilevel"/>
    <w:lvl w:ilvl="0">
      <w:lvlJc w:val="left"/>
      <w:lvlText w:val="•"/>
      <w:numFmt w:val="bullet"/>
      <w:start w:val="1"/>
    </w:lvl>
    <w:lvl w:ilvl="1">
      <w:lvlJc w:val="left"/>
      <w:lvlText w:val="-"/>
      <w:numFmt w:val="bullet"/>
      <w:start w:val="1"/>
    </w:lvl>
  </w:abstractNum>
  <w:abstractNum w:abstractNumId="31">
    <w:nsid w:val="2771AC80"/>
    <w:multiLevelType w:val="hybridMultilevel"/>
    <w:lvl w:ilvl="0">
      <w:lvlJc w:val="left"/>
      <w:lvlText w:val="•"/>
      <w:numFmt w:val="bullet"/>
      <w:start w:val="1"/>
    </w:lvl>
    <w:lvl w:ilvl="1">
      <w:lvlJc w:val="left"/>
      <w:lvlText w:val="-"/>
      <w:numFmt w:val="bullet"/>
      <w:start w:val="1"/>
    </w:lvl>
  </w:abstractNum>
  <w:abstractNum w:abstractNumId="32">
    <w:nsid w:val="1C4A08EC"/>
    <w:multiLevelType w:val="hybridMultilevel"/>
    <w:lvl w:ilvl="0">
      <w:lvlJc w:val="left"/>
      <w:lvlText w:val="•"/>
      <w:numFmt w:val="bullet"/>
      <w:start w:val="1"/>
    </w:lvl>
  </w:abstractNum>
  <w:abstractNum w:abstractNumId="33">
    <w:nsid w:val="1958BD17"/>
    <w:multiLevelType w:val="hybridMultilevel"/>
    <w:lvl w:ilvl="0">
      <w:lvlJc w:val="left"/>
      <w:lvlText w:val="•"/>
      <w:numFmt w:val="bullet"/>
      <w:start w:val="1"/>
    </w:lvl>
  </w:abstractNum>
  <w:abstractNum w:abstractNumId="34">
    <w:nsid w:val="4E647FE4"/>
    <w:multiLevelType w:val="hybridMultilevel"/>
    <w:lvl w:ilvl="0">
      <w:lvlJc w:val="left"/>
      <w:lvlText w:val="•"/>
      <w:numFmt w:val="bullet"/>
      <w:start w:val="1"/>
    </w:lvl>
    <w:lvl w:ilvl="1">
      <w:lvlJc w:val="left"/>
      <w:lvlText w:val="-"/>
      <w:numFmt w:val="bullet"/>
      <w:start w:val="1"/>
    </w:lvl>
  </w:abstractNum>
  <w:abstractNum w:abstractNumId="35">
    <w:nsid w:val="E0BB885"/>
    <w:multiLevelType w:val="hybridMultilevel"/>
    <w:lvl w:ilvl="0">
      <w:lvlJc w:val="left"/>
      <w:lvlText w:val="•"/>
      <w:numFmt w:val="bullet"/>
      <w:start w:val="1"/>
    </w:lvl>
  </w:abstractNum>
  <w:abstractNum w:abstractNumId="36">
    <w:nsid w:val="565976F1"/>
    <w:multiLevelType w:val="hybridMultilevel"/>
    <w:lvl w:ilvl="0">
      <w:lvlJc w:val="left"/>
      <w:lvlText w:val="•"/>
      <w:numFmt w:val="bullet"/>
      <w:start w:val="1"/>
    </w:lvl>
  </w:abstractNum>
  <w:abstractNum w:abstractNumId="37">
    <w:nsid w:val="64212B8C"/>
    <w:multiLevelType w:val="hybridMultilevel"/>
    <w:lvl w:ilvl="0">
      <w:lvlJc w:val="left"/>
      <w:lvlText w:val="•"/>
      <w:numFmt w:val="bullet"/>
      <w:start w:val="1"/>
    </w:lvl>
    <w:lvl w:ilvl="1">
      <w:lvlJc w:val="left"/>
      <w:lvlText w:val="-"/>
      <w:numFmt w:val="bullet"/>
      <w:start w:val="1"/>
    </w:lvl>
  </w:abstractNum>
  <w:abstractNum w:abstractNumId="38">
    <w:nsid w:val="5C17530C"/>
    <w:multiLevelType w:val="hybridMultilevel"/>
    <w:lvl w:ilvl="0">
      <w:lvlJc w:val="left"/>
      <w:lvlText w:val="•"/>
      <w:numFmt w:val="bullet"/>
      <w:start w:val="1"/>
    </w:lvl>
  </w:abstractNum>
  <w:abstractNum w:abstractNumId="39">
    <w:nsid w:val="19A52566"/>
    <w:multiLevelType w:val="hybridMultilevel"/>
    <w:lvl w:ilvl="0">
      <w:lvlJc w:val="left"/>
      <w:lvlText w:val="•"/>
      <w:numFmt w:val="bullet"/>
      <w:start w:val="1"/>
    </w:lvl>
    <w:lvl w:ilvl="1">
      <w:lvlJc w:val="left"/>
      <w:lvlText w:val="-"/>
      <w:numFmt w:val="bullet"/>
      <w:start w:val="1"/>
    </w:lvl>
  </w:abstractNum>
  <w:abstractNum w:abstractNumId="40">
    <w:nsid w:val="335A1DF1"/>
    <w:multiLevelType w:val="hybridMultilevel"/>
    <w:lvl w:ilvl="0">
      <w:lvlJc w:val="left"/>
      <w:lvlText w:val="•"/>
      <w:numFmt w:val="bullet"/>
      <w:start w:val="1"/>
    </w:lvl>
  </w:abstractNum>
  <w:abstractNum w:abstractNumId="41">
    <w:nsid w:val="28677B7C"/>
    <w:multiLevelType w:val="hybridMultilevel"/>
    <w:lvl w:ilvl="0">
      <w:lvlJc w:val="left"/>
      <w:lvlText w:val="•"/>
      <w:numFmt w:val="bullet"/>
      <w:start w:val="1"/>
    </w:lvl>
    <w:lvl w:ilvl="1">
      <w:lvlJc w:val="left"/>
      <w:lvlText w:val="-"/>
      <w:numFmt w:val="bullet"/>
      <w:start w:val="1"/>
    </w:lvl>
  </w:abstractNum>
  <w:abstractNum w:abstractNumId="42">
    <w:nsid w:val="378D97C0"/>
    <w:multiLevelType w:val="hybridMultilevel"/>
    <w:lvl w:ilvl="0">
      <w:lvlJc w:val="left"/>
      <w:lvlText w:val="•"/>
      <w:numFmt w:val="bullet"/>
      <w:start w:val="1"/>
    </w:lvl>
  </w:abstractNum>
  <w:abstractNum w:abstractNumId="43">
    <w:nsid w:val="1D91467C"/>
    <w:multiLevelType w:val="hybridMultilevel"/>
    <w:lvl w:ilvl="0">
      <w:lvlJc w:val="left"/>
      <w:lvlText w:val="•"/>
      <w:numFmt w:val="bullet"/>
      <w:start w:val="1"/>
    </w:lvl>
    <w:lvl w:ilvl="1">
      <w:lvlJc w:val="left"/>
      <w:lvlText w:val="-"/>
      <w:numFmt w:val="bullet"/>
      <w:start w:val="1"/>
    </w:lvl>
  </w:abstractNum>
  <w:abstractNum w:abstractNumId="44">
    <w:nsid w:val="316032BB"/>
    <w:multiLevelType w:val="hybridMultilevel"/>
    <w:lvl w:ilvl="0">
      <w:lvlJc w:val="left"/>
      <w:lvlText w:val="•"/>
      <w:numFmt w:val="bullet"/>
      <w:start w:val="1"/>
    </w:lvl>
  </w:abstractNum>
  <w:abstractNum w:abstractNumId="45">
    <w:nsid w:val="44344C22"/>
    <w:multiLevelType w:val="hybridMultilevel"/>
    <w:lvl w:ilvl="0">
      <w:lvlJc w:val="left"/>
      <w:lvlText w:val="•"/>
      <w:numFmt w:val="bullet"/>
      <w:start w:val="1"/>
    </w:lvl>
  </w:abstractNum>
  <w:abstractNum w:abstractNumId="46">
    <w:nsid w:val="13CDFCFC"/>
    <w:multiLevelType w:val="hybridMultilevel"/>
    <w:lvl w:ilvl="0">
      <w:lvlJc w:val="left"/>
      <w:lvlText w:val="•"/>
      <w:numFmt w:val="bullet"/>
      <w:start w:val="1"/>
    </w:lvl>
  </w:abstractNum>
  <w:abstractNum w:abstractNumId="47">
    <w:nsid w:val="471745E4"/>
    <w:multiLevelType w:val="hybridMultilevel"/>
    <w:lvl w:ilvl="0">
      <w:lvlJc w:val="left"/>
      <w:lvlText w:val="•"/>
      <w:numFmt w:val="bullet"/>
      <w:start w:val="1"/>
    </w:lvl>
    <w:lvl w:ilvl="1">
      <w:lvlJc w:val="left"/>
      <w:lvlText w:val="-"/>
      <w:numFmt w:val="bullet"/>
      <w:start w:val="1"/>
    </w:lvl>
  </w:abstractNum>
  <w:abstractNum w:abstractNumId="48">
    <w:nsid w:val="1DDBC66"/>
    <w:multiLevelType w:val="hybridMultilevel"/>
    <w:lvl w:ilvl="0">
      <w:lvlJc w:val="left"/>
      <w:lvlText w:val="•"/>
      <w:numFmt w:val="bullet"/>
      <w:start w:val="1"/>
    </w:lvl>
  </w:abstractNum>
  <w:abstractNum w:abstractNumId="49">
    <w:nsid w:val="30AADFDA"/>
    <w:multiLevelType w:val="hybridMultilevel"/>
    <w:lvl w:ilvl="0">
      <w:lvlJc w:val="left"/>
      <w:lvlText w:val="•"/>
      <w:numFmt w:val="bullet"/>
      <w:start w:val="1"/>
    </w:lvl>
    <w:lvl w:ilvl="1">
      <w:lvlJc w:val="left"/>
      <w:lvlText w:val="-"/>
      <w:numFmt w:val="bullet"/>
      <w:start w:val="1"/>
    </w:lvl>
  </w:abstractNum>
  <w:abstractNum w:abstractNumId="50">
    <w:nsid w:val="30EADA61"/>
    <w:multiLevelType w:val="hybridMultilevel"/>
    <w:lvl w:ilvl="0">
      <w:lvlJc w:val="left"/>
      <w:lvlText w:val="•"/>
      <w:numFmt w:val="bullet"/>
      <w:start w:val="1"/>
    </w:lvl>
  </w:abstractNum>
  <w:abstractNum w:abstractNumId="51">
    <w:nsid w:val="27179C0B"/>
    <w:multiLevelType w:val="hybridMultilevel"/>
    <w:lvl w:ilvl="0">
      <w:lvlJc w:val="left"/>
      <w:lvlText w:val="•"/>
      <w:numFmt w:val="bullet"/>
      <w:start w:val="1"/>
    </w:lvl>
  </w:abstractNum>
  <w:abstractNum w:abstractNumId="52">
    <w:nsid w:val="5E636063"/>
    <w:multiLevelType w:val="hybridMultilevel"/>
    <w:lvl w:ilvl="0">
      <w:lvlJc w:val="left"/>
      <w:lvlText w:val="•"/>
      <w:numFmt w:val="bullet"/>
      <w:start w:val="1"/>
    </w:lvl>
    <w:lvl w:ilvl="1">
      <w:lvlJc w:val="left"/>
      <w:lvlText w:val="-"/>
      <w:numFmt w:val="bullet"/>
      <w:start w:val="1"/>
    </w:lvl>
  </w:abstractNum>
  <w:abstractNum w:abstractNumId="53">
    <w:nsid w:val="215641AF"/>
    <w:multiLevelType w:val="hybridMultilevel"/>
    <w:lvl w:ilvl="0">
      <w:lvlJc w:val="left"/>
      <w:lvlText w:val="•"/>
      <w:numFmt w:val="bullet"/>
      <w:start w:val="1"/>
    </w:lvl>
  </w:abstractNum>
  <w:abstractNum w:abstractNumId="54">
    <w:nsid w:val="53280662"/>
    <w:multiLevelType w:val="hybridMultilevel"/>
    <w:lvl w:ilvl="0">
      <w:lvlJc w:val="left"/>
      <w:lvlText w:val="•"/>
      <w:numFmt w:val="bullet"/>
      <w:start w:val="1"/>
    </w:lvl>
    <w:lvl w:ilvl="1">
      <w:lvlJc w:val="left"/>
      <w:lvlText w:val="-"/>
      <w:numFmt w:val="bullet"/>
      <w:start w:val="1"/>
    </w:lvl>
  </w:abstractNum>
  <w:abstractNum w:abstractNumId="55">
    <w:nsid w:val="46B24DBC"/>
    <w:multiLevelType w:val="hybridMultilevel"/>
    <w:lvl w:ilvl="0">
      <w:lvlJc w:val="left"/>
      <w:lvlText w:val="•"/>
      <w:numFmt w:val="bullet"/>
      <w:start w:val="1"/>
    </w:lvl>
  </w:abstractNum>
  <w:abstractNum w:abstractNumId="56">
    <w:nsid w:val="75B52783"/>
    <w:multiLevelType w:val="hybridMultilevel"/>
    <w:lvl w:ilvl="0">
      <w:lvlJc w:val="left"/>
      <w:lvlText w:val="(%1)"/>
      <w:numFmt w:val="lowerRoman"/>
      <w:start w:val="2"/>
    </w:lvl>
  </w:abstractNum>
  <w:abstractNum w:abstractNumId="57">
    <w:nsid w:val="57CE66B4"/>
    <w:multiLevelType w:val="hybridMultilevel"/>
    <w:lvl w:ilvl="0">
      <w:lvlJc w:val="left"/>
      <w:lvlText w:val="•"/>
      <w:numFmt w:val="bullet"/>
      <w:start w:val="1"/>
    </w:lvl>
    <w:lvl w:ilvl="1">
      <w:lvlJc w:val="left"/>
      <w:lvlText w:val="-"/>
      <w:numFmt w:val="bullet"/>
      <w:start w:val="1"/>
    </w:lvl>
  </w:abstractNum>
  <w:abstractNum w:abstractNumId="58">
    <w:nsid w:val="67A70B69"/>
    <w:multiLevelType w:val="hybridMultilevel"/>
    <w:lvl w:ilvl="0">
      <w:lvlJc w:val="left"/>
      <w:lvlText w:val="•"/>
      <w:numFmt w:val="bullet"/>
      <w:start w:val="1"/>
    </w:lvl>
  </w:abstractNum>
  <w:abstractNum w:abstractNumId="59">
    <w:nsid w:val="5953172F"/>
    <w:multiLevelType w:val="hybridMultilevel"/>
    <w:lvl w:ilvl="0">
      <w:lvlJc w:val="left"/>
      <w:lvlText w:val="•"/>
      <w:numFmt w:val="bullet"/>
      <w:start w:val="1"/>
    </w:lvl>
  </w:abstractNum>
  <w:abstractNum w:abstractNumId="60">
    <w:nsid w:val="27EDFE3A"/>
    <w:multiLevelType w:val="hybridMultilevel"/>
    <w:lvl w:ilvl="0">
      <w:lvlJc w:val="left"/>
      <w:lvlText w:val="•"/>
      <w:numFmt w:val="bullet"/>
      <w:start w:val="1"/>
    </w:lvl>
    <w:lvl w:ilvl="1">
      <w:lvlJc w:val="left"/>
      <w:lvlText w:val="-"/>
      <w:numFmt w:val="bullet"/>
      <w:start w:val="1"/>
    </w:lvl>
  </w:abstractNum>
  <w:abstractNum w:abstractNumId="61">
    <w:nsid w:val="52AC7DFF"/>
    <w:multiLevelType w:val="hybridMultilevel"/>
    <w:lvl w:ilvl="0">
      <w:lvlJc w:val="left"/>
      <w:lvlText w:val="•"/>
      <w:numFmt w:val="bullet"/>
      <w:start w:val="1"/>
    </w:lvl>
  </w:abstractNum>
  <w:abstractNum w:abstractNumId="62">
    <w:nsid w:val="C4C3AF"/>
    <w:multiLevelType w:val="hybridMultilevel"/>
    <w:lvl w:ilvl="0">
      <w:lvlJc w:val="left"/>
      <w:lvlText w:val="•"/>
      <w:numFmt w:val="bullet"/>
      <w:start w:val="1"/>
    </w:lvl>
    <w:lvl w:ilvl="1">
      <w:lvlJc w:val="left"/>
      <w:lvlText w:val="-"/>
      <w:numFmt w:val="bullet"/>
      <w:start w:val="1"/>
    </w:lvl>
  </w:abstractNum>
  <w:abstractNum w:abstractNumId="63">
    <w:nsid w:val="44380727"/>
    <w:multiLevelType w:val="hybridMultilevel"/>
    <w:lvl w:ilvl="0">
      <w:lvlJc w:val="left"/>
      <w:lvlText w:val="•"/>
      <w:numFmt w:val="bullet"/>
      <w:start w:val="1"/>
    </w:lvl>
  </w:abstractNum>
  <w:abstractNum w:abstractNumId="64">
    <w:nsid w:val="6C053B16"/>
    <w:multiLevelType w:val="hybridMultilevel"/>
    <w:lvl w:ilvl="0">
      <w:lvlJc w:val="left"/>
      <w:lvlText w:val="•"/>
      <w:numFmt w:val="bullet"/>
      <w:start w:val="1"/>
    </w:lvl>
    <w:lvl w:ilvl="1">
      <w:lvlJc w:val="left"/>
      <w:lvlText w:val="-"/>
      <w:numFmt w:val="bullet"/>
      <w:start w:val="1"/>
    </w:lvl>
  </w:abstractNum>
  <w:abstractNum w:abstractNumId="65">
    <w:nsid w:val="4F294393"/>
    <w:multiLevelType w:val="hybridMultilevel"/>
    <w:lvl w:ilvl="0">
      <w:lvlJc w:val="left"/>
      <w:lvlText w:val="•"/>
      <w:numFmt w:val="bullet"/>
      <w:start w:val="1"/>
    </w:lvl>
  </w:abstractNum>
  <w:abstractNum w:abstractNumId="66">
    <w:nsid w:val="5243BFAC"/>
    <w:multiLevelType w:val="hybridMultilevel"/>
    <w:lvl w:ilvl="0">
      <w:lvlJc w:val="left"/>
      <w:lvlText w:val="•"/>
      <w:numFmt w:val="bullet"/>
      <w:start w:val="1"/>
    </w:lvl>
    <w:lvl w:ilvl="1">
      <w:lvlJc w:val="left"/>
      <w:lvlText w:val="-"/>
      <w:numFmt w:val="bullet"/>
      <w:start w:val="1"/>
    </w:lvl>
  </w:abstractNum>
  <w:abstractNum w:abstractNumId="67">
    <w:nsid w:val="425EB207"/>
    <w:multiLevelType w:val="hybridMultilevel"/>
    <w:lvl w:ilvl="0">
      <w:lvlJc w:val="left"/>
      <w:lvlText w:val="•"/>
      <w:numFmt w:val="bullet"/>
      <w:start w:val="1"/>
    </w:lvl>
  </w:abstractNum>
  <w:abstractNum w:abstractNumId="68">
    <w:nsid w:val="334A6F1F"/>
    <w:multiLevelType w:val="hybridMultilevel"/>
    <w:lvl w:ilvl="0">
      <w:lvlJc w:val="left"/>
      <w:lvlText w:val="•"/>
      <w:numFmt w:val="bullet"/>
      <w:start w:val="1"/>
    </w:lvl>
    <w:lvl w:ilvl="1">
      <w:lvlJc w:val="left"/>
      <w:lvlText w:val="-"/>
      <w:numFmt w:val="bullet"/>
      <w:start w:val="1"/>
    </w:lvl>
  </w:abstractNum>
  <w:abstractNum w:abstractNumId="69">
    <w:nsid w:val="2E5B12B8"/>
    <w:multiLevelType w:val="hybridMultilevel"/>
    <w:lvl w:ilvl="0">
      <w:lvlJc w:val="left"/>
      <w:lvlText w:val="•"/>
      <w:numFmt w:val="bullet"/>
      <w:start w:val="1"/>
    </w:lvl>
  </w:abstractNum>
  <w:abstractNum w:abstractNumId="70">
    <w:nsid w:val="5C03D76D"/>
    <w:multiLevelType w:val="hybridMultilevel"/>
    <w:lvl w:ilvl="0">
      <w:lvlJc w:val="left"/>
      <w:lvlText w:val="•"/>
      <w:numFmt w:val="bullet"/>
      <w:start w:val="1"/>
    </w:lvl>
  </w:abstractNum>
  <w:abstractNum w:abstractNumId="71">
    <w:nsid w:val="66A48D11"/>
    <w:multiLevelType w:val="hybridMultilevel"/>
    <w:lvl w:ilvl="0">
      <w:lvlJc w:val="left"/>
      <w:lvlText w:val="•"/>
      <w:numFmt w:val="bullet"/>
      <w:start w:val="1"/>
    </w:lvl>
  </w:abstractNum>
  <w:abstractNum w:abstractNumId="72">
    <w:nsid w:val="56C28E34"/>
    <w:multiLevelType w:val="hybridMultilevel"/>
    <w:lvl w:ilvl="0">
      <w:lvlJc w:val="left"/>
      <w:lvlText w:val="•"/>
      <w:numFmt w:val="bullet"/>
      <w:start w:val="1"/>
    </w:lvl>
  </w:abstractNum>
  <w:abstractNum w:abstractNumId="73">
    <w:nsid w:val="13916F2D"/>
    <w:multiLevelType w:val="hybridMultilevel"/>
    <w:lvl w:ilvl="0">
      <w:lvlJc w:val="left"/>
      <w:lvlText w:val="•"/>
      <w:numFmt w:val="bullet"/>
      <w:start w:val="1"/>
    </w:lvl>
    <w:lvl w:ilvl="1">
      <w:lvlJc w:val="left"/>
      <w:lvlText w:val="-"/>
      <w:numFmt w:val="bullet"/>
      <w:start w:val="1"/>
    </w:lvl>
  </w:abstractNum>
  <w:abstractNum w:abstractNumId="74">
    <w:nsid w:val="435D38D"/>
    <w:multiLevelType w:val="hybridMultilevel"/>
    <w:lvl w:ilvl="0">
      <w:lvlJc w:val="left"/>
      <w:lvlText w:val="•"/>
      <w:numFmt w:val="bullet"/>
      <w:start w:val="1"/>
    </w:lvl>
  </w:abstractNum>
  <w:abstractNum w:abstractNumId="75">
    <w:nsid w:val="822C0EF"/>
    <w:multiLevelType w:val="hybridMultilevel"/>
    <w:lvl w:ilvl="0">
      <w:lvlJc w:val="left"/>
      <w:lvlText w:val="•"/>
      <w:numFmt w:val="bullet"/>
      <w:start w:val="1"/>
    </w:lvl>
  </w:abstractNum>
  <w:abstractNum w:abstractNumId="76">
    <w:nsid w:val="57C5BB4F"/>
    <w:multiLevelType w:val="hybridMultilevel"/>
    <w:lvl w:ilvl="0">
      <w:lvlJc w:val="left"/>
      <w:lvlText w:val="(%1)"/>
      <w:numFmt w:val="decimal"/>
      <w:start w:val="1"/>
    </w:lvl>
    <w:lvl w:ilvl="1">
      <w:lvlJc w:val="left"/>
      <w:lvlText w:val="-"/>
      <w:numFmt w:val="bullet"/>
      <w:start w:val="1"/>
    </w:lvl>
  </w:abstractNum>
  <w:abstractNum w:abstractNumId="77">
    <w:nsid w:val="1803D089"/>
    <w:multiLevelType w:val="hybridMultilevel"/>
    <w:lvl w:ilvl="0">
      <w:lvlJc w:val="left"/>
      <w:lvlText w:val="(%1)"/>
      <w:numFmt w:val="decimal"/>
      <w:start w:val="1"/>
    </w:lvl>
    <w:lvl w:ilvl="1">
      <w:lvlJc w:val="left"/>
      <w:lvlText w:val="-"/>
      <w:numFmt w:val="bullet"/>
      <w:start w:val="1"/>
    </w:lvl>
  </w:abstractNum>
  <w:abstractNum w:abstractNumId="78">
    <w:nsid w:val="4F3A06D4"/>
    <w:multiLevelType w:val="hybridMultilevel"/>
    <w:lvl w:ilvl="0">
      <w:lvlJc w:val="left"/>
      <w:lvlText w:val="•"/>
      <w:numFmt w:val="bullet"/>
      <w:start w:val="1"/>
    </w:lvl>
    <w:lvl w:ilvl="1">
      <w:lvlJc w:val="left"/>
      <w:lvlText w:val="-"/>
      <w:numFmt w:val="bullet"/>
      <w:start w:val="1"/>
    </w:lvl>
  </w:abstractNum>
  <w:abstractNum w:abstractNumId="79">
    <w:nsid w:val="59A377B6"/>
    <w:multiLevelType w:val="hybridMultilevel"/>
    <w:lvl w:ilvl="0">
      <w:lvlJc w:val="left"/>
      <w:lvlText w:val="•"/>
      <w:numFmt w:val="bullet"/>
      <w:start w:val="1"/>
    </w:lvl>
  </w:abstractNum>
  <w:abstractNum w:abstractNumId="80">
    <w:nsid w:val="48AEB063"/>
    <w:multiLevelType w:val="hybridMultilevel"/>
    <w:lvl w:ilvl="0">
      <w:lvlJc w:val="left"/>
      <w:lvlText w:val="•"/>
      <w:numFmt w:val="bullet"/>
      <w:start w:val="1"/>
    </w:lvl>
    <w:lvl w:ilvl="1">
      <w:lvlJc w:val="left"/>
      <w:lvlText w:val="-"/>
      <w:numFmt w:val="bullet"/>
      <w:start w:val="1"/>
    </w:lvl>
  </w:abstractNum>
  <w:abstractNum w:abstractNumId="81">
    <w:nsid w:val="24E135"/>
    <w:multiLevelType w:val="hybridMultilevel"/>
    <w:lvl w:ilvl="0">
      <w:lvlJc w:val="left"/>
      <w:lvlText w:val="•"/>
      <w:numFmt w:val="bullet"/>
      <w:start w:val="1"/>
    </w:lvl>
  </w:abstractNum>
  <w:abstractNum w:abstractNumId="82">
    <w:nsid w:val="BB13C1"/>
    <w:multiLevelType w:val="hybridMultilevel"/>
    <w:lvl w:ilvl="0">
      <w:lvlJc w:val="left"/>
      <w:lvlText w:val="(%1)"/>
      <w:numFmt w:val="lowerRoman"/>
      <w:start w:val="1"/>
    </w:lvl>
  </w:abstractNum>
  <w:abstractNum w:abstractNumId="83">
    <w:nsid w:val="271210C7"/>
    <w:multiLevelType w:val="hybridMultilevel"/>
    <w:lvl w:ilvl="0">
      <w:lvlJc w:val="left"/>
      <w:lvlText w:val="(%1)"/>
      <w:numFmt w:val="lowerRoman"/>
      <w:start w:val="1"/>
    </w:lvl>
  </w:abstractNum>
  <w:abstractNum w:abstractNumId="84">
    <w:nsid w:val="217B22E4"/>
    <w:multiLevelType w:val="hybridMultilevel"/>
    <w:lvl w:ilvl="0">
      <w:lvlJc w:val="left"/>
      <w:lvlText w:val="(%1)"/>
      <w:numFmt w:val="lowerRoman"/>
      <w:start w:val="3"/>
    </w:lvl>
  </w:abstractNum>
  <w:abstractNum w:abstractNumId="85">
    <w:nsid w:val="53E31A24"/>
    <w:multiLevelType w:val="hybridMultilevel"/>
    <w:lvl w:ilvl="0">
      <w:lvlJc w:val="left"/>
      <w:lvlText w:val="•"/>
      <w:numFmt w:val="bullet"/>
      <w:start w:val="1"/>
    </w:lvl>
    <w:lvl w:ilvl="1">
      <w:lvlJc w:val="left"/>
      <w:lvlText w:val="-"/>
      <w:numFmt w:val="bullet"/>
      <w:start w:val="1"/>
    </w:lvl>
  </w:abstractNum>
  <w:abstractNum w:abstractNumId="86">
    <w:nsid w:val="6DC45E83"/>
    <w:multiLevelType w:val="hybridMultilevel"/>
    <w:lvl w:ilvl="0">
      <w:lvlJc w:val="left"/>
      <w:lvlText w:val="•"/>
      <w:numFmt w:val="bullet"/>
      <w:start w:val="1"/>
    </w:lvl>
  </w:abstractNum>
  <w:abstractNum w:abstractNumId="87">
    <w:nsid w:val="17304A67"/>
    <w:multiLevelType w:val="hybridMultilevel"/>
    <w:lvl w:ilvl="0">
      <w:lvlJc w:val="left"/>
      <w:lvlText w:val="(%1)"/>
      <w:numFmt w:val="decimal"/>
      <w:start w:val="1"/>
    </w:lvl>
  </w:abstractNum>
  <w:abstractNum w:abstractNumId="88">
    <w:nsid w:val="2BB180D8"/>
    <w:multiLevelType w:val="hybridMultilevel"/>
    <w:lvl w:ilvl="0">
      <w:lvlJc w:val="left"/>
      <w:lvlText w:val="(%1)"/>
      <w:numFmt w:val="decimal"/>
      <w:start w:val="1"/>
    </w:lvl>
  </w:abstractNum>
  <w:abstractNum w:abstractNumId="89">
    <w:nsid w:val="556B69ED"/>
    <w:multiLevelType w:val="hybridMultilevel"/>
    <w:lvl w:ilvl="0">
      <w:lvlJc w:val="left"/>
      <w:lvlText w:val="(%1)"/>
      <w:numFmt w:val="lowerLetter"/>
      <w:start w:val="4"/>
    </w:lvl>
    <w:lvl w:ilvl="1">
      <w:lvlJc w:val="left"/>
      <w:lvlText w:val="-"/>
      <w:numFmt w:val="bullet"/>
      <w:start w:val="1"/>
    </w:lvl>
  </w:abstractNum>
  <w:abstractNum w:abstractNumId="90">
    <w:nsid w:val="70836196"/>
    <w:multiLevelType w:val="hybridMultilevel"/>
    <w:lvl w:ilvl="0">
      <w:lvlJc w:val="left"/>
      <w:lvlText w:val="•"/>
      <w:numFmt w:val="bullet"/>
      <w:start w:val="1"/>
    </w:lvl>
  </w:abstractNum>
  <w:abstractNum w:abstractNumId="91">
    <w:nsid w:val="539F7F12"/>
    <w:multiLevelType w:val="hybridMultilevel"/>
    <w:lvl w:ilvl="0">
      <w:lvlJc w:val="left"/>
      <w:lvlText w:val="•"/>
      <w:numFmt w:val="bullet"/>
      <w:start w:val="1"/>
    </w:lvl>
    <w:lvl w:ilvl="1">
      <w:lvlJc w:val="left"/>
      <w:lvlText w:val="-"/>
      <w:numFmt w:val="bullet"/>
      <w:start w:val="1"/>
    </w:lvl>
  </w:abstractNum>
  <w:abstractNum w:abstractNumId="92">
    <w:nsid w:val="2817E7EC"/>
    <w:multiLevelType w:val="hybridMultilevel"/>
    <w:lvl w:ilvl="0">
      <w:lvlJc w:val="left"/>
      <w:lvlText w:val="*"/>
      <w:numFmt w:val="bullet"/>
      <w:start w:val="1"/>
    </w:lvl>
  </w:abstractNum>
  <w:abstractNum w:abstractNumId="93">
    <w:nsid w:val="71482545"/>
    <w:multiLevelType w:val="hybridMultilevel"/>
    <w:lvl w:ilvl="0">
      <w:lvlJc w:val="left"/>
      <w:lvlText w:val="**"/>
      <w:numFmt w:val="bullet"/>
      <w:start w:val="1"/>
    </w:lvl>
    <w:lvl w:ilvl="1">
      <w:lvlJc w:val="left"/>
      <w:lvlText w:val="-"/>
      <w:numFmt w:val="bullet"/>
      <w:start w:val="1"/>
    </w:lvl>
  </w:abstractNum>
  <w:abstractNum w:abstractNumId="94">
    <w:nsid w:val="17D78639"/>
    <w:multiLevelType w:val="hybridMultilevel"/>
    <w:lvl w:ilvl="0">
      <w:lvlJc w:val="left"/>
      <w:lvlText w:val="***"/>
      <w:numFmt w:val="bullet"/>
      <w:start w:val="1"/>
    </w:lvl>
    <w:lvl w:ilvl="1">
      <w:lvlJc w:val="left"/>
      <w:lvlText w:val="-"/>
      <w:numFmt w:val="bullet"/>
      <w:start w:val="1"/>
    </w:lvl>
  </w:abstractNum>
  <w:abstractNum w:abstractNumId="95">
    <w:nsid w:val="141D2302"/>
    <w:multiLevelType w:val="hybridMultilevel"/>
    <w:lvl w:ilvl="0">
      <w:lvlJc w:val="left"/>
      <w:lvlText w:val="†"/>
      <w:numFmt w:val="bullet"/>
      <w:start w:val="1"/>
    </w:lvl>
  </w:abstractNum>
  <w:abstractNum w:abstractNumId="96">
    <w:nsid w:val="407168D8"/>
    <w:multiLevelType w:val="hybridMultilevel"/>
    <w:lvl w:ilvl="0">
      <w:lvlJc w:val="left"/>
      <w:lvlText w:val="††"/>
      <w:numFmt w:val="bullet"/>
      <w:start w:val="1"/>
    </w:lvl>
  </w:abstractNum>
  <w:abstractNum w:abstractNumId="97">
    <w:nsid w:val="6A1B45E5"/>
    <w:multiLevelType w:val="hybridMultilevel"/>
    <w:lvl w:ilvl="0">
      <w:lvlJc w:val="left"/>
      <w:lvlText w:val="-"/>
      <w:numFmt w:val="bullet"/>
      <w:start w:val="1"/>
    </w:lvl>
  </w:abstractNum>
  <w:abstractNum w:abstractNumId="98">
    <w:nsid w:val="567BD50A"/>
    <w:multiLevelType w:val="hybridMultilevel"/>
    <w:lvl w:ilvl="0">
      <w:lvlJc w:val="left"/>
      <w:lvlText w:val="*"/>
      <w:numFmt w:val="bullet"/>
      <w:start w:val="1"/>
    </w:lvl>
  </w:abstractNum>
  <w:abstractNum w:abstractNumId="99">
    <w:nsid w:val="73BBD7F8"/>
    <w:multiLevelType w:val="hybridMultilevel"/>
    <w:lvl w:ilvl="0">
      <w:lvlJc w:val="left"/>
      <w:lvlText w:val="**"/>
      <w:numFmt w:val="bullet"/>
      <w:start w:val="1"/>
    </w:lvl>
  </w:abstractNum>
  <w:abstractNum w:abstractNumId="100">
    <w:nsid w:val="1876589D"/>
    <w:multiLevelType w:val="hybridMultilevel"/>
    <w:lvl w:ilvl="0">
      <w:lvlJc w:val="left"/>
      <w:lvlText w:val="†"/>
      <w:numFmt w:val="bullet"/>
      <w:start w:val="1"/>
    </w:lvl>
  </w:abstractNum>
  <w:abstractNum w:abstractNumId="101">
    <w:nsid w:val="327FAC77"/>
    <w:multiLevelType w:val="hybridMultilevel"/>
    <w:lvl w:ilvl="0">
      <w:lvlJc w:val="left"/>
      <w:lvlText w:val="††"/>
      <w:numFmt w:val="bullet"/>
      <w:start w:val="1"/>
    </w:lvl>
  </w:abstractNum>
  <w:abstractNum w:abstractNumId="102">
    <w:nsid w:val="5A606509"/>
    <w:multiLevelType w:val="hybridMultilevel"/>
    <w:lvl w:ilvl="0">
      <w:lvlJc w:val="left"/>
      <w:lvlText w:val="•"/>
      <w:numFmt w:val="bullet"/>
      <w:start w:val="1"/>
    </w:lvl>
    <w:lvl w:ilvl="1">
      <w:lvlJc w:val="left"/>
      <w:lvlText w:val="-"/>
      <w:numFmt w:val="bullet"/>
      <w:start w:val="1"/>
    </w:lvl>
  </w:abstractNum>
  <w:abstractNum w:abstractNumId="103">
    <w:nsid w:val="6F38E6D1"/>
    <w:multiLevelType w:val="hybridMultilevel"/>
    <w:lvl w:ilvl="0">
      <w:lvlJc w:val="left"/>
      <w:lvlText w:val="•"/>
      <w:numFmt w:val="bullet"/>
      <w:start w:val="1"/>
    </w:lvl>
  </w:abstractNum>
  <w:abstractNum w:abstractNumId="104">
    <w:nsid w:val="46111BA5"/>
    <w:multiLevelType w:val="hybridMultilevel"/>
    <w:lvl w:ilvl="0">
      <w:lvlJc w:val="left"/>
      <w:lvlText w:val="•"/>
      <w:numFmt w:val="bullet"/>
      <w:start w:val="1"/>
    </w:lvl>
  </w:abstractNum>
  <w:abstractNum w:abstractNumId="105">
    <w:nsid w:val="5E963896"/>
    <w:multiLevelType w:val="hybridMultilevel"/>
    <w:lvl w:ilvl="0">
      <w:lvlJc w:val="left"/>
      <w:lvlText w:val="%1)"/>
      <w:numFmt w:val="decimal"/>
      <w:start w:val="1"/>
    </w:lvl>
  </w:abstractNum>
  <w:abstractNum w:abstractNumId="106">
    <w:nsid w:val="775BA7C1"/>
    <w:multiLevelType w:val="hybridMultilevel"/>
    <w:lvl w:ilvl="0">
      <w:lvlJc w:val="left"/>
      <w:lvlText w:val="•"/>
      <w:numFmt w:val="bullet"/>
      <w:start w:val="1"/>
    </w:lvl>
    <w:lvl w:ilvl="1">
      <w:lvlJc w:val="left"/>
      <w:lvlText w:val="-"/>
      <w:numFmt w:val="bullet"/>
      <w:start w:val="1"/>
    </w:lvl>
  </w:abstractNum>
  <w:abstractNum w:abstractNumId="107">
    <w:nsid w:val="1DD6D6F4"/>
    <w:multiLevelType w:val="hybridMultilevel"/>
    <w:lvl w:ilvl="0">
      <w:lvlJc w:val="left"/>
      <w:lvlText w:val="*"/>
      <w:numFmt w:val="bullet"/>
      <w:start w:val="1"/>
    </w:lvl>
  </w:abstractNum>
  <w:abstractNum w:abstractNumId="108">
    <w:nsid w:val="769A091F"/>
    <w:multiLevelType w:val="hybridMultilevel"/>
    <w:lvl w:ilvl="0">
      <w:lvlJc w:val="left"/>
      <w:lvlText w:val="**"/>
      <w:numFmt w:val="bullet"/>
      <w:start w:val="1"/>
    </w:lvl>
  </w:abstractNum>
  <w:abstractNum w:abstractNumId="109">
    <w:nsid w:val="4695AE95"/>
    <w:multiLevelType w:val="hybridMultilevel"/>
    <w:lvl w:ilvl="0">
      <w:lvlJc w:val="left"/>
      <w:lvlText w:val="†"/>
      <w:numFmt w:val="bullet"/>
      <w:start w:val="1"/>
    </w:lvl>
  </w:abstractNum>
  <w:abstractNum w:abstractNumId="110">
    <w:nsid w:val="777A4EAA"/>
    <w:multiLevelType w:val="hybridMultilevel"/>
    <w:lvl w:ilvl="0">
      <w:lvlJc w:val="left"/>
      <w:lvlText w:val="††"/>
      <w:numFmt w:val="bullet"/>
      <w:start w:val="1"/>
    </w:lvl>
  </w:abstractNum>
  <w:abstractNum w:abstractNumId="111">
    <w:nsid w:val="3F48B982"/>
    <w:multiLevelType w:val="hybridMultilevel"/>
    <w:lvl w:ilvl="0">
      <w:lvlJc w:val="left"/>
      <w:lvlText w:val="%1."/>
      <w:numFmt w:val="decimal"/>
      <w:start w:val="1"/>
    </w:lvl>
  </w:abstractNum>
  <w:abstractNum w:abstractNumId="112">
    <w:nsid w:val="46BA8FCA"/>
    <w:multiLevelType w:val="hybridMultilevel"/>
    <w:lvl w:ilvl="0">
      <w:lvlJc w:val="left"/>
      <w:lvlText w:val="•"/>
      <w:numFmt w:val="bullet"/>
      <w:start w:val="1"/>
    </w:lvl>
    <w:lvl w:ilvl="1">
      <w:lvlJc w:val="left"/>
      <w:lvlText w:val="-"/>
      <w:numFmt w:val="bullet"/>
      <w:start w:val="1"/>
    </w:lvl>
  </w:abstractNum>
  <w:abstractNum w:abstractNumId="113">
    <w:nsid w:val="7835626C"/>
    <w:multiLevelType w:val="hybridMultilevel"/>
    <w:lvl w:ilvl="0">
      <w:lvlJc w:val="left"/>
      <w:lvlText w:val="•"/>
      <w:numFmt w:val="bullet"/>
      <w:start w:val="1"/>
    </w:lvl>
  </w:abstractNum>
  <w:abstractNum w:abstractNumId="114">
    <w:nsid w:val="665ACA49"/>
    <w:multiLevelType w:val="hybridMultilevel"/>
    <w:lvl w:ilvl="0">
      <w:lvlJc w:val="left"/>
      <w:lvlText w:val="•"/>
      <w:numFmt w:val="bullet"/>
      <w:start w:val="1"/>
    </w:lvl>
  </w:abstractNum>
  <w:abstractNum w:abstractNumId="115">
    <w:nsid w:val="6835B2AE"/>
    <w:multiLevelType w:val="hybridMultilevel"/>
    <w:lvl w:ilvl="0">
      <w:lvlJc w:val="left"/>
      <w:lvlText w:val="•"/>
      <w:numFmt w:val="bullet"/>
      <w:start w:val="1"/>
    </w:lvl>
    <w:lvl w:ilvl="1">
      <w:lvlJc w:val="left"/>
      <w:lvlText w:val="-"/>
      <w:numFmt w:val="bullet"/>
      <w:start w:val="1"/>
    </w:lvl>
  </w:abstractNum>
  <w:abstractNum w:abstractNumId="116">
    <w:nsid w:val="4C187C90"/>
    <w:multiLevelType w:val="hybridMultilevel"/>
    <w:lvl w:ilvl="0">
      <w:lvlJc w:val="left"/>
      <w:lvlText w:val="•"/>
      <w:numFmt w:val="bullet"/>
      <w:start w:val="1"/>
    </w:lvl>
    <w:lvl w:ilvl="1">
      <w:lvlJc w:val="left"/>
      <w:lvlText w:val="-"/>
      <w:numFmt w:val="bullet"/>
      <w:start w:val="1"/>
    </w:lvl>
  </w:abstractNum>
  <w:abstractNum w:abstractNumId="117">
    <w:nsid w:val="541F28CD"/>
    <w:multiLevelType w:val="hybridMultilevel"/>
    <w:lvl w:ilvl="0">
      <w:lvlJc w:val="left"/>
      <w:lvlText w:val="•"/>
      <w:numFmt w:val="bullet"/>
      <w:start w:val="1"/>
    </w:lvl>
  </w:abstractNum>
  <w:abstractNum w:abstractNumId="118">
    <w:nsid w:val="7F65FD16"/>
    <w:multiLevelType w:val="hybridMultilevel"/>
    <w:lvl w:ilvl="0">
      <w:lvlJc w:val="left"/>
      <w:lvlText w:val="(%1)"/>
      <w:numFmt w:val="decimal"/>
      <w:start w:val="1"/>
    </w:lvl>
  </w:abstractNum>
  <w:abstractNum w:abstractNumId="119">
    <w:nsid w:val="77C9FD68"/>
    <w:multiLevelType w:val="hybridMultilevel"/>
    <w:lvl w:ilvl="0">
      <w:lvlJc w:val="left"/>
      <w:lvlText w:val="(%1)"/>
      <w:numFmt w:val="decimal"/>
      <w:start w:val="1"/>
    </w:lvl>
  </w:abstractNum>
  <w:abstractNum w:abstractNumId="120">
    <w:nsid w:val="298A92BA"/>
    <w:multiLevelType w:val="hybridMultilevel"/>
    <w:lvl w:ilvl="0">
      <w:lvlJc w:val="left"/>
      <w:lvlText w:val="•"/>
      <w:numFmt w:val="bullet"/>
      <w:start w:val="1"/>
    </w:lvl>
  </w:abstractNum>
  <w:abstractNum w:abstractNumId="121">
    <w:nsid w:val="6FE95EAC"/>
    <w:multiLevelType w:val="hybridMultilevel"/>
    <w:lvl w:ilvl="0">
      <w:lvlJc w:val="left"/>
      <w:lvlText w:val="•"/>
      <w:numFmt w:val="bullet"/>
      <w:start w:val="1"/>
    </w:lvl>
    <w:lvl w:ilvl="1">
      <w:lvlJc w:val="left"/>
      <w:lvlText w:val="-"/>
      <w:numFmt w:val="bullet"/>
      <w:start w:val="1"/>
    </w:lvl>
  </w:abstractNum>
  <w:abstractNum w:abstractNumId="122">
    <w:nsid w:val="4B697C7A"/>
    <w:multiLevelType w:val="hybridMultilevel"/>
    <w:lvl w:ilvl="0">
      <w:lvlJc w:val="left"/>
      <w:lvlText w:val="•"/>
      <w:numFmt w:val="bullet"/>
      <w:start w:val="1"/>
    </w:lvl>
  </w:abstractNum>
  <w:abstractNum w:abstractNumId="123">
    <w:nsid w:val="51A27AA6"/>
    <w:multiLevelType w:val="hybridMultilevel"/>
    <w:lvl w:ilvl="0">
      <w:lvlJc w:val="left"/>
      <w:lvlText w:val="•"/>
      <w:numFmt w:val="bullet"/>
      <w:start w:val="1"/>
    </w:lvl>
  </w:abstractNum>
  <w:abstractNum w:abstractNumId="124">
    <w:nsid w:val="613183F2"/>
    <w:multiLevelType w:val="hybridMultilevel"/>
    <w:lvl w:ilvl="0">
      <w:lvlJc w:val="left"/>
      <w:lvlText w:val="•"/>
      <w:numFmt w:val="bullet"/>
      <w:start w:val="1"/>
    </w:lvl>
  </w:abstractNum>
  <w:abstractNum w:abstractNumId="125">
    <w:nsid w:val="634102B4"/>
    <w:multiLevelType w:val="hybridMultilevel"/>
    <w:lvl w:ilvl="0">
      <w:lvlJc w:val="left"/>
      <w:lvlText w:val="•"/>
      <w:numFmt w:val="bullet"/>
      <w:start w:val="1"/>
    </w:lvl>
  </w:abstractNum>
  <w:abstractNum w:abstractNumId="126">
    <w:nsid w:val="65BF9DA8"/>
    <w:multiLevelType w:val="hybridMultilevel"/>
    <w:lvl w:ilvl="0">
      <w:lvlJc w:val="left"/>
      <w:lvlText w:val="•"/>
      <w:numFmt w:val="bullet"/>
      <w:start w:val="1"/>
    </w:lvl>
  </w:abstractNum>
  <w:abstractNum w:abstractNumId="127">
    <w:nsid w:val="21A2ECCA"/>
    <w:multiLevelType w:val="hybridMultilevel"/>
    <w:lvl w:ilvl="0">
      <w:lvlJc w:val="left"/>
      <w:lvlText w:val="•"/>
      <w:numFmt w:val="bullet"/>
      <w:start w:val="1"/>
    </w:lvl>
    <w:lvl w:ilvl="1">
      <w:lvlJc w:val="left"/>
      <w:lvlText w:val="-"/>
      <w:numFmt w:val="bullet"/>
      <w:start w:val="1"/>
    </w:lvl>
  </w:abstractNum>
  <w:abstractNum w:abstractNumId="128">
    <w:nsid w:val="4D5C4899"/>
    <w:multiLevelType w:val="hybridMultilevel"/>
    <w:lvl w:ilvl="0">
      <w:lvlJc w:val="left"/>
      <w:lvlText w:val="•"/>
      <w:numFmt w:val="bullet"/>
      <w:start w:val="1"/>
    </w:lvl>
  </w:abstractNum>
  <w:abstractNum w:abstractNumId="129">
    <w:nsid w:val="3C3B72B2"/>
    <w:multiLevelType w:val="hybridMultilevel"/>
    <w:lvl w:ilvl="0">
      <w:lvlJc w:val="left"/>
      <w:lvlText w:val="(%1)"/>
      <w:numFmt w:val="decimal"/>
      <w:start w:val="1"/>
    </w:lvl>
  </w:abstractNum>
  <w:abstractNum w:abstractNumId="130">
    <w:nsid w:val="155EC4C2"/>
    <w:multiLevelType w:val="hybridMultilevel"/>
    <w:lvl w:ilvl="0">
      <w:lvlJc w:val="left"/>
      <w:lvlText w:val="(%1)"/>
      <w:numFmt w:val="decimal"/>
      <w:start w:val="1"/>
    </w:lvl>
  </w:abstractNum>
  <w:abstractNum w:abstractNumId="131">
    <w:nsid w:val="65D2A137"/>
    <w:multiLevelType w:val="hybridMultilevel"/>
    <w:lvl w:ilvl="0">
      <w:lvlJc w:val="left"/>
      <w:lvlText w:val="(%1)"/>
      <w:numFmt w:val="decimal"/>
      <w:start w:val="1"/>
    </w:lvl>
  </w:abstractNum>
  <w:abstractNum w:abstractNumId="132">
    <w:nsid w:val="6EBB1F2A"/>
    <w:multiLevelType w:val="hybridMultilevel"/>
    <w:lvl w:ilvl="0">
      <w:lvlJc w:val="left"/>
      <w:lvlText w:val="•"/>
      <w:numFmt w:val="bullet"/>
      <w:start w:val="1"/>
    </w:lvl>
  </w:abstractNum>
  <w:abstractNum w:abstractNumId="133">
    <w:nsid w:val="6FBF29CB"/>
    <w:multiLevelType w:val="hybridMultilevel"/>
    <w:lvl w:ilvl="0">
      <w:lvlJc w:val="left"/>
      <w:lvlText w:val="*"/>
      <w:numFmt w:val="bullet"/>
      <w:start w:val="1"/>
    </w:lvl>
  </w:abstractNum>
  <w:abstractNum w:abstractNumId="134">
    <w:nsid w:val="550B8808"/>
    <w:multiLevelType w:val="hybridMultilevel"/>
    <w:lvl w:ilvl="0">
      <w:lvlJc w:val="left"/>
      <w:lvlText w:val="(%1)"/>
      <w:numFmt w:val="decimal"/>
      <w:start w:val="1"/>
    </w:lvl>
    <w:lvl w:ilvl="1">
      <w:lvlJc w:val="left"/>
      <w:lvlText w:val="-"/>
      <w:numFmt w:val="bullet"/>
      <w:start w:val="1"/>
    </w:lvl>
  </w:abstractNum>
  <w:abstractNum w:abstractNumId="135">
    <w:nsid w:val="34CC3ACF"/>
    <w:multiLevelType w:val="hybridMultilevel"/>
    <w:lvl w:ilvl="0">
      <w:lvlJc w:val="left"/>
      <w:lvlText w:val="(%1)"/>
      <w:numFmt w:val="decimal"/>
      <w:start w:val="2"/>
    </w:lvl>
    <w:lvl w:ilvl="1">
      <w:lvlJc w:val="left"/>
      <w:lvlText w:val="-"/>
      <w:numFmt w:val="bullet"/>
      <w:start w:val="1"/>
    </w:lvl>
  </w:abstractNum>
  <w:abstractNum w:abstractNumId="136">
    <w:nsid w:val="4E556261"/>
    <w:multiLevelType w:val="hybridMultilevel"/>
    <w:lvl w:ilvl="0">
      <w:lvlJc w:val="left"/>
      <w:lvlText w:val="•"/>
      <w:numFmt w:val="bullet"/>
      <w:start w:val="1"/>
    </w:lvl>
  </w:abstractNum>
  <w:abstractNum w:abstractNumId="137">
    <w:nsid w:val="4C672FC9"/>
    <w:multiLevelType w:val="hybridMultilevel"/>
    <w:lvl w:ilvl="0">
      <w:lvlJc w:val="left"/>
      <w:lvlText w:val="•"/>
      <w:numFmt w:val="bullet"/>
      <w:start w:val="1"/>
    </w:lvl>
    <w:lvl w:ilvl="1">
      <w:lvlJc w:val="left"/>
      <w:lvlText w:val="-"/>
      <w:numFmt w:val="bullet"/>
      <w:start w:val="1"/>
    </w:lvl>
  </w:abstractNum>
  <w:abstractNum w:abstractNumId="138">
    <w:nsid w:val="52A311C3"/>
    <w:multiLevelType w:val="hybridMultilevel"/>
    <w:lvl w:ilvl="0">
      <w:lvlJc w:val="left"/>
      <w:lvlText w:val="•"/>
      <w:numFmt w:val="bullet"/>
      <w:start w:val="1"/>
    </w:lvl>
  </w:abstractNum>
  <w:abstractNum w:abstractNumId="139">
    <w:nsid w:val="44EF6B80"/>
    <w:multiLevelType w:val="hybridMultilevel"/>
    <w:lvl w:ilvl="0">
      <w:lvlJc w:val="left"/>
      <w:lvlText w:val="•"/>
      <w:numFmt w:val="bullet"/>
      <w:start w:val="1"/>
    </w:lvl>
  </w:abstractNum>
  <w:abstractNum w:abstractNumId="140">
    <w:nsid w:val="12FCDE5E"/>
    <w:multiLevelType w:val="hybridMultilevel"/>
    <w:lvl w:ilvl="0">
      <w:lvlJc w:val="left"/>
      <w:lvlText w:val="•"/>
      <w:numFmt w:val="bullet"/>
      <w:start w:val="1"/>
    </w:lvl>
    <w:lvl w:ilvl="1">
      <w:lvlJc w:val="left"/>
      <w:lvlText w:val="-"/>
      <w:numFmt w:val="bullet"/>
      <w:start w:val="1"/>
    </w:lvl>
  </w:abstractNum>
  <w:abstractNum w:abstractNumId="141">
    <w:nsid w:val="4A1D606E"/>
    <w:multiLevelType w:val="hybridMultilevel"/>
    <w:lvl w:ilvl="0">
      <w:lvlJc w:val="left"/>
      <w:lvlText w:val="•"/>
      <w:numFmt w:val="bullet"/>
      <w:start w:val="1"/>
    </w:lvl>
  </w:abstractNum>
  <w:abstractNum w:abstractNumId="142">
    <w:nsid w:val="4382503"/>
    <w:multiLevelType w:val="hybridMultilevel"/>
    <w:lvl w:ilvl="0">
      <w:lvlJc w:val="left"/>
      <w:lvlText w:val="•"/>
      <w:numFmt w:val="bullet"/>
      <w:start w:val="1"/>
    </w:lvl>
  </w:abstractNum>
  <w:abstractNum w:abstractNumId="143">
    <w:nsid w:val="59B76E28"/>
    <w:multiLevelType w:val="hybridMultilevel"/>
    <w:lvl w:ilvl="0">
      <w:lvlJc w:val="left"/>
      <w:lvlText w:val="•"/>
      <w:numFmt w:val="bullet"/>
      <w:start w:val="1"/>
    </w:lvl>
  </w:abstractNum>
  <w:abstractNum w:abstractNumId="144">
    <w:nsid w:val="4252C2DA"/>
    <w:multiLevelType w:val="hybridMultilevel"/>
    <w:lvl w:ilvl="0">
      <w:lvlJc w:val="left"/>
      <w:lvlText w:val="•"/>
      <w:numFmt w:val="bullet"/>
      <w:start w:val="1"/>
    </w:lvl>
  </w:abstractNum>
  <w:abstractNum w:abstractNumId="145">
    <w:nsid w:val="6A92EF4C"/>
    <w:multiLevelType w:val="hybridMultilevel"/>
    <w:lvl w:ilvl="0">
      <w:lvlJc w:val="left"/>
      <w:lvlText w:val="•"/>
      <w:numFmt w:val="bullet"/>
      <w:start w:val="1"/>
    </w:lvl>
    <w:lvl w:ilvl="1">
      <w:lvlJc w:val="left"/>
      <w:lvlText w:val="-"/>
      <w:numFmt w:val="bullet"/>
      <w:start w:val="1"/>
    </w:lvl>
  </w:abstractNum>
  <w:abstractNum w:abstractNumId="146">
    <w:nsid w:val="41ED20D7"/>
    <w:multiLevelType w:val="hybridMultilevel"/>
    <w:lvl w:ilvl="0">
      <w:lvlJc w:val="left"/>
      <w:lvlText w:val="•"/>
      <w:numFmt w:val="bullet"/>
      <w:start w:val="1"/>
    </w:lvl>
  </w:abstractNum>
  <w:abstractNum w:abstractNumId="147">
    <w:nsid w:val="E6B3F6A"/>
    <w:multiLevelType w:val="hybridMultilevel"/>
    <w:lvl w:ilvl="0">
      <w:lvlJc w:val="left"/>
      <w:lvlText w:val="(%1)"/>
      <w:numFmt w:val="lowerLetter"/>
      <w:start w:val="1"/>
    </w:lvl>
  </w:abstractNum>
  <w:abstractNum w:abstractNumId="148">
    <w:nsid w:val="3EB21819"/>
    <w:multiLevelType w:val="hybridMultilevel"/>
    <w:lvl w:ilvl="0">
      <w:lvlJc w:val="left"/>
      <w:lvlText w:val="•"/>
      <w:numFmt w:val="bullet"/>
      <w:start w:val="1"/>
    </w:lvl>
  </w:abstractNum>
  <w:abstractNum w:abstractNumId="149">
    <w:nsid w:val="41531DED"/>
    <w:multiLevelType w:val="hybridMultilevel"/>
    <w:lvl w:ilvl="0">
      <w:lvlJc w:val="left"/>
      <w:lvlText w:val="(%1)"/>
      <w:numFmt w:val="lowerLetter"/>
      <w:start w:val="1"/>
    </w:lvl>
  </w:abstractNum>
  <w:abstractNum w:abstractNumId="150">
    <w:nsid w:val="6353CD2"/>
    <w:multiLevelType w:val="hybridMultilevel"/>
    <w:lvl w:ilvl="0">
      <w:lvlJc w:val="left"/>
      <w:lvlText w:val="(%1)"/>
      <w:numFmt w:val="decimal"/>
      <w:start w:val="1"/>
    </w:lvl>
  </w:abstractNum>
  <w:abstractNum w:abstractNumId="151">
    <w:nsid w:val="683CAAD3"/>
    <w:multiLevelType w:val="hybridMultilevel"/>
    <w:lvl w:ilvl="0">
      <w:lvlJc w:val="left"/>
      <w:lvlText w:val="%1."/>
      <w:numFmt w:val="decimal"/>
      <w:start w:val="10"/>
    </w:lvl>
  </w:abstractNum>
  <w:abstractNum w:abstractNumId="152">
    <w:nsid w:val="313C7C99"/>
    <w:multiLevelType w:val="hybridMultilevel"/>
    <w:lvl w:ilvl="0">
      <w:lvlJc w:val="left"/>
      <w:lvlText w:val="•"/>
      <w:numFmt w:val="bullet"/>
      <w:start w:val="1"/>
    </w:lvl>
  </w:abstractNum>
  <w:abstractNum w:abstractNumId="153">
    <w:nsid w:val="519EB94C"/>
    <w:multiLevelType w:val="hybridMultilevel"/>
    <w:lvl w:ilvl="0">
      <w:lvlJc w:val="left"/>
      <w:lvlText w:val="(%1)"/>
      <w:numFmt w:val="lowerLetter"/>
      <w:start w:val="1"/>
    </w:lvl>
  </w:abstractNum>
  <w:abstractNum w:abstractNumId="154">
    <w:nsid w:val="39DF2579"/>
    <w:multiLevelType w:val="hybridMultilevel"/>
    <w:lvl w:ilvl="0">
      <w:lvlJc w:val="left"/>
      <w:lvlText w:val="(%1)"/>
      <w:numFmt w:val="lowerLetter"/>
      <w:start w:val="1"/>
    </w:lvl>
  </w:abstractNum>
  <w:abstractNum w:abstractNumId="155">
    <w:nsid w:val="126E008B"/>
    <w:multiLevelType w:val="hybridMultilevel"/>
    <w:lvl w:ilvl="0">
      <w:lvlJc w:val="left"/>
      <w:lvlText w:val="*"/>
      <w:numFmt w:val="bullet"/>
      <w:start w:val="1"/>
    </w:lvl>
    <w:lvl w:ilvl="1">
      <w:lvlJc w:val="left"/>
      <w:lvlText w:val="(%2)"/>
      <w:numFmt w:val="lowerLetter"/>
      <w:start w:val="2"/>
    </w:lvl>
  </w:abstractNum>
  <w:abstractNum w:abstractNumId="156">
    <w:nsid w:val="34DFBC00"/>
    <w:multiLevelType w:val="hybridMultilevel"/>
    <w:lvl w:ilvl="0">
      <w:lvlJc w:val="left"/>
      <w:lvlText w:val="(%1)"/>
      <w:numFmt w:val="decimal"/>
      <w:start w:val="1"/>
    </w:lvl>
  </w:abstractNum>
  <w:abstractNum w:abstractNumId="157">
    <w:nsid w:val="1F9EC322"/>
    <w:multiLevelType w:val="hybridMultilevel"/>
    <w:lvl w:ilvl="0">
      <w:lvlJc w:val="left"/>
      <w:lvlText w:val="(%1)"/>
      <w:numFmt w:val="lowerLetter"/>
      <w:start w:val="1"/>
    </w:lvl>
  </w:abstractNum>
  <w:abstractNum w:abstractNumId="158">
    <w:nsid w:val="3410ED56"/>
    <w:multiLevelType w:val="hybridMultilevel"/>
    <w:lvl w:ilvl="0">
      <w:lvlJc w:val="left"/>
      <w:lvlText w:val="(%1)"/>
      <w:numFmt w:val="lowerLetter"/>
      <w:start w:val="1"/>
    </w:lvl>
  </w:abstractNum>
  <w:abstractNum w:abstractNumId="159">
    <w:nsid w:val="23C049A"/>
    <w:multiLevelType w:val="hybridMultilevel"/>
    <w:lvl w:ilvl="0">
      <w:lvlJc w:val="left"/>
      <w:lvlText w:val="(%1)"/>
      <w:numFmt w:val="lowerLetter"/>
      <w:start w:val="1"/>
    </w:lvl>
  </w:abstractNum>
  <w:abstractNum w:abstractNumId="160">
    <w:nsid w:val="5BDA35D4"/>
    <w:multiLevelType w:val="hybridMultilevel"/>
    <w:lvl w:ilvl="0">
      <w:lvlJc w:val="left"/>
      <w:lvlText w:val="(%1)"/>
      <w:numFmt w:val="lowerLetter"/>
      <w:start w:val="1"/>
    </w:lvl>
  </w:abstractNum>
  <w:abstractNum w:abstractNumId="161">
    <w:nsid w:val="496FB218"/>
    <w:multiLevelType w:val="hybridMultilevel"/>
    <w:lvl w:ilvl="0">
      <w:lvlJc w:val="left"/>
      <w:lvlText w:val="2"/>
      <w:numFmt w:val="bullet"/>
      <w:start w:val="1"/>
    </w:lvl>
  </w:abstractNum>
  <w:abstractNum w:abstractNumId="162">
    <w:nsid w:val="680EA5D1"/>
    <w:multiLevelType w:val="hybridMultilevel"/>
    <w:lvl w:ilvl="0">
      <w:lvlJc w:val="left"/>
      <w:lvlText w:val="(%1)"/>
      <w:numFmt w:val="lowerLetter"/>
      <w:start w:val="2"/>
    </w:lvl>
    <w:lvl w:ilvl="1">
      <w:lvlJc w:val="left"/>
      <w:lvlText w:val="(%2)"/>
      <w:numFmt w:val="lowerRoman"/>
      <w:start w:val="1"/>
    </w:lvl>
  </w:abstractNum>
  <w:abstractNum w:abstractNumId="163">
    <w:nsid w:val="4A9554FE"/>
    <w:multiLevelType w:val="hybridMultilevel"/>
    <w:lvl w:ilvl="0">
      <w:lvlJc w:val="left"/>
      <w:lvlText w:val="(%1)"/>
      <w:numFmt w:val="lowerRoman"/>
      <w:start w:val="3"/>
    </w:lvl>
  </w:abstractNum>
  <w:abstractNum w:abstractNumId="164">
    <w:nsid w:val="392EDBE4"/>
    <w:multiLevelType w:val="hybridMultilevel"/>
    <w:lvl w:ilvl="0">
      <w:lvlJc w:val="left"/>
      <w:lvlText w:val="(%1)"/>
      <w:numFmt w:val="lowerLetter"/>
      <w:start w:val="7"/>
    </w:lvl>
    <w:lvl w:ilvl="1">
      <w:lvlJc w:val="left"/>
      <w:lvlText w:val="(%2)"/>
      <w:numFmt w:val="lowerRoman"/>
      <w:start w:val="1"/>
    </w:lvl>
  </w:abstractNum>
  <w:abstractNum w:abstractNumId="165">
    <w:nsid w:val="3D1A2DD9"/>
    <w:multiLevelType w:val="hybridMultilevel"/>
    <w:lvl w:ilvl="0">
      <w:lvlJc w:val="left"/>
      <w:lvlText w:val="(%1)"/>
      <w:numFmt w:val="lowerLetter"/>
      <w:start w:val="9"/>
    </w:lvl>
  </w:abstractNum>
  <w:abstractNum w:abstractNumId="166">
    <w:nsid w:val="7F618FCD"/>
    <w:multiLevelType w:val="hybridMultilevel"/>
    <w:lvl w:ilvl="0">
      <w:lvlJc w:val="left"/>
      <w:lvlText w:val="(%1)"/>
      <w:numFmt w:val="lowerLetter"/>
      <w:start w:val="1"/>
    </w:lvl>
  </w:abstractNum>
  <w:abstractNum w:abstractNumId="167">
    <w:nsid w:val="7843E45"/>
    <w:multiLevelType w:val="hybridMultilevel"/>
    <w:lvl w:ilvl="0">
      <w:lvlJc w:val="left"/>
      <w:lvlText w:val="(%1)"/>
      <w:numFmt w:val="lowerLetter"/>
      <w:start w:val="1"/>
    </w:lvl>
    <w:lvl w:ilvl="1">
      <w:lvlJc w:val="left"/>
      <w:lvlText w:val="(%2)"/>
      <w:numFmt w:val="lowerRoman"/>
      <w:start w:val="1"/>
    </w:lvl>
  </w:abstractNum>
  <w:abstractNum w:abstractNumId="168">
    <w:nsid w:val="9815DA3"/>
    <w:multiLevelType w:val="hybridMultilevel"/>
    <w:lvl w:ilvl="0">
      <w:lvlJc w:val="left"/>
      <w:lvlText w:val="(%1)"/>
      <w:numFmt w:val="lowerRoman"/>
      <w:start w:val="3"/>
    </w:lvl>
  </w:abstractNum>
  <w:abstractNum w:abstractNumId="169">
    <w:nsid w:val="5204A191"/>
    <w:multiLevelType w:val="hybridMultilevel"/>
    <w:lvl w:ilvl="0">
      <w:lvlJc w:val="left"/>
      <w:lvlText w:val="(%1)"/>
      <w:numFmt w:val="lowerRoman"/>
      <w:start w:val="5"/>
    </w:lvl>
  </w:abstractNum>
  <w:abstractNum w:abstractNumId="170">
    <w:nsid w:val="4C73A9C6"/>
    <w:multiLevelType w:val="hybridMultilevel"/>
    <w:lvl w:ilvl="0">
      <w:lvlJc w:val="left"/>
      <w:lvlText w:val="%1"/>
      <w:numFmt w:val="lowerLetter"/>
      <w:start w:val="1"/>
    </w:lvl>
    <w:lvl w:ilvl="1">
      <w:lvlJc w:val="left"/>
      <w:lvlText w:val="(%2)"/>
      <w:numFmt w:val="lowerLetter"/>
      <w:start w:val="3"/>
    </w:lvl>
  </w:abstractNum>
  <w:abstractNum w:abstractNumId="171">
    <w:nsid w:val="1C7E3C01"/>
    <w:multiLevelType w:val="hybridMultilevel"/>
    <w:lvl w:ilvl="0">
      <w:lvlJc w:val="left"/>
      <w:lvlText w:val="(%1)"/>
      <w:numFmt w:val="lowerLetter"/>
      <w:start w:val="9"/>
    </w:lvl>
    <w:lvl w:ilvl="1">
      <w:lvlJc w:val="left"/>
      <w:lvlText w:val="%2"/>
      <w:numFmt w:val="lowerLetter"/>
      <w:start w:val="1"/>
    </w:lvl>
  </w:abstractNum>
  <w:abstractNum w:abstractNumId="172">
    <w:nsid w:val="1C2201FF"/>
    <w:multiLevelType w:val="hybridMultilevel"/>
    <w:lvl w:ilvl="0">
      <w:lvlJc w:val="left"/>
      <w:lvlText w:val="(%1)"/>
      <w:numFmt w:val="lowerLetter"/>
      <w:start w:val="1"/>
    </w:lvl>
  </w:abstractNum>
  <w:abstractNum w:abstractNumId="173">
    <w:nsid w:val="50ABCEC9"/>
    <w:multiLevelType w:val="hybridMultilevel"/>
    <w:lvl w:ilvl="0">
      <w:lvlJc w:val="left"/>
      <w:lvlText w:val="(%1)"/>
      <w:numFmt w:val="lowerLetter"/>
      <w:start w:val="3"/>
    </w:lvl>
  </w:abstractNum>
  <w:abstractNum w:abstractNumId="174">
    <w:nsid w:val="7635AA2A"/>
    <w:multiLevelType w:val="hybridMultilevel"/>
    <w:lvl w:ilvl="0">
      <w:lvlJc w:val="left"/>
      <w:lvlText w:val="(%1)"/>
      <w:numFmt w:val="lowerRoman"/>
      <w:start w:val="1"/>
    </w:lvl>
  </w:abstractNum>
  <w:abstractNum w:abstractNumId="175">
    <w:nsid w:val="5E74C4D9"/>
    <w:multiLevelType w:val="hybridMultilevel"/>
    <w:lvl w:ilvl="0">
      <w:lvlJc w:val="left"/>
      <w:lvlText w:val="(%1)"/>
      <w:numFmt w:val="lowerRoman"/>
      <w:start w:val="3"/>
    </w:lvl>
  </w:abstractNum>
  <w:abstractNum w:abstractNumId="176">
    <w:nsid w:val="3B3EBE15"/>
    <w:multiLevelType w:val="hybridMultilevel"/>
    <w:lvl w:ilvl="0">
      <w:lvlJc w:val="left"/>
      <w:lvlText w:val="(%1)"/>
      <w:numFmt w:val="lowerLetter"/>
      <w:start w:val="1"/>
    </w:lvl>
  </w:abstractNum>
  <w:abstractNum w:abstractNumId="177">
    <w:nsid w:val="3822CB01"/>
    <w:multiLevelType w:val="hybridMultilevel"/>
    <w:lvl w:ilvl="0">
      <w:lvlJc w:val="left"/>
      <w:lvlText w:val="(%1)"/>
      <w:numFmt w:val="lowerLetter"/>
      <w:start w:val="2"/>
    </w:lvl>
  </w:abstractNum>
  <w:abstractNum w:abstractNumId="178">
    <w:nsid w:val="6CE00443"/>
    <w:multiLevelType w:val="hybridMultilevel"/>
    <w:lvl w:ilvl="0">
      <w:lvlJc w:val="left"/>
      <w:lvlText w:val="(%1)"/>
      <w:numFmt w:val="lowerLetter"/>
      <w:start w:val="6"/>
    </w:lvl>
  </w:abstractNum>
  <w:abstractNum w:abstractNumId="179">
    <w:nsid w:val="79F0D62F"/>
    <w:multiLevelType w:val="hybridMultilevel"/>
    <w:lvl w:ilvl="0">
      <w:lvlJc w:val="left"/>
      <w:lvlText w:val="3"/>
      <w:numFmt w:val="bullet"/>
      <w:start w:val="1"/>
    </w:lvl>
  </w:abstractNum>
  <w:abstractNum w:abstractNumId="180">
    <w:nsid w:val="7975E8EE"/>
    <w:multiLevelType w:val="hybridMultilevel"/>
    <w:lvl w:ilvl="0">
      <w:lvlJc w:val="left"/>
      <w:lvlText w:val="(%1)"/>
      <w:numFmt w:val="lowerLetter"/>
      <w:start w:val="19"/>
    </w:lvl>
  </w:abstractNum>
  <w:abstractNum w:abstractNumId="181">
    <w:nsid w:val="73154115"/>
    <w:multiLevelType w:val="hybridMultilevel"/>
    <w:lvl w:ilvl="0">
      <w:lvlJc w:val="left"/>
      <w:lvlText w:val="(%1)"/>
      <w:numFmt w:val="lowerLetter"/>
      <w:start w:val="27"/>
    </w:lvl>
  </w:abstractNum>
  <w:abstractNum w:abstractNumId="182">
    <w:nsid w:val="622D8102"/>
    <w:multiLevelType w:val="hybridMultilevel"/>
    <w:lvl w:ilvl="0">
      <w:lvlJc w:val="left"/>
      <w:lvlText w:val="(%1)"/>
      <w:numFmt w:val="lowerLetter"/>
      <w:start w:val="1"/>
    </w:lvl>
  </w:abstractNum>
  <w:abstractNum w:abstractNumId="183">
    <w:nsid w:val="2AB26587"/>
    <w:multiLevelType w:val="hybridMultilevel"/>
    <w:lvl w:ilvl="0">
      <w:lvlJc w:val="left"/>
      <w:lvlText w:val="(%1)"/>
      <w:numFmt w:val="lowerLetter"/>
      <w:start w:val="1"/>
    </w:lvl>
  </w:abstractNum>
  <w:abstractNum w:abstractNumId="184">
    <w:nsid w:val="44B3FA61"/>
    <w:multiLevelType w:val="hybridMultilevel"/>
    <w:lvl w:ilvl="0">
      <w:lvlJc w:val="left"/>
      <w:lvlText w:val="(%1)"/>
      <w:numFmt w:val="lowerLetter"/>
      <w:start w:val="1"/>
    </w:lvl>
  </w:abstractNum>
  <w:abstractNum w:abstractNumId="185">
    <w:nsid w:val="1C0CA67C"/>
    <w:multiLevelType w:val="hybridMultilevel"/>
    <w:lvl w:ilvl="0">
      <w:lvlJc w:val="left"/>
      <w:lvlText w:val="(%1)"/>
      <w:numFmt w:val="lowerLetter"/>
      <w:start w:val="1"/>
    </w:lvl>
  </w:abstractNum>
  <w:abstractNum w:abstractNumId="186">
    <w:nsid w:val="3D206613"/>
    <w:multiLevelType w:val="hybridMultilevel"/>
    <w:lvl w:ilvl="0">
      <w:lvlJc w:val="left"/>
      <w:lvlText w:val="(%1)"/>
      <w:numFmt w:val="lowerLetter"/>
      <w:start w:val="1"/>
    </w:lvl>
  </w:abstractNum>
  <w:abstractNum w:abstractNumId="187">
    <w:nsid w:val="7993B662"/>
    <w:multiLevelType w:val="hybridMultilevel"/>
    <w:lvl w:ilvl="0">
      <w:lvlJc w:val="left"/>
      <w:lvlText w:val="(%1)"/>
      <w:numFmt w:val="lowerLetter"/>
      <w:start w:val="2"/>
    </w:lvl>
    <w:lvl w:ilvl="1">
      <w:lvlJc w:val="left"/>
      <w:lvlText w:val="(%2)"/>
      <w:numFmt w:val="lowerRoman"/>
      <w:start w:val="1"/>
    </w:lvl>
  </w:abstractNum>
  <w:abstractNum w:abstractNumId="188">
    <w:nsid w:val="3BAB699E"/>
    <w:multiLevelType w:val="hybridMultilevel"/>
    <w:lvl w:ilvl="0">
      <w:lvlJc w:val="left"/>
      <w:lvlText w:val="(%1)"/>
      <w:numFmt w:val="lowerLetter"/>
      <w:start w:val="3"/>
    </w:lvl>
  </w:abstractNum>
  <w:abstractNum w:abstractNumId="189">
    <w:nsid w:val="71315369"/>
    <w:multiLevelType w:val="hybridMultilevel"/>
    <w:lvl w:ilvl="0">
      <w:lvlJc w:val="left"/>
      <w:lvlText w:val="(%1)"/>
      <w:numFmt w:val="lowerRoman"/>
      <w:start w:val="1"/>
    </w:lvl>
  </w:abstractNum>
  <w:abstractNum w:abstractNumId="190">
    <w:nsid w:val="7BCFBAFC"/>
    <w:multiLevelType w:val="hybridMultilevel"/>
    <w:lvl w:ilvl="0">
      <w:lvlJc w:val="left"/>
      <w:lvlText w:val="(%1)"/>
      <w:numFmt w:val="lowerLetter"/>
      <w:start w:val="4"/>
    </w:lvl>
  </w:abstractNum>
  <w:abstractNum w:abstractNumId="191">
    <w:nsid w:val="17859F72"/>
    <w:multiLevelType w:val="hybridMultilevel"/>
    <w:lvl w:ilvl="0">
      <w:lvlJc w:val="left"/>
      <w:lvlText w:val="(%1)"/>
      <w:numFmt w:val="lowerLetter"/>
      <w:start w:val="5"/>
    </w:lvl>
  </w:abstractNum>
  <w:abstractNum w:abstractNumId="192">
    <w:nsid w:val="3AA10581"/>
    <w:multiLevelType w:val="hybridMultilevel"/>
    <w:lvl w:ilvl="0">
      <w:lvlJc w:val="left"/>
      <w:lvlText w:val="(%1)"/>
      <w:numFmt w:val="lowerRoman"/>
      <w:start w:val="1"/>
    </w:lvl>
  </w:abstractNum>
  <w:abstractNum w:abstractNumId="193">
    <w:nsid w:val="63DE60CD"/>
    <w:multiLevelType w:val="hybridMultilevel"/>
    <w:lvl w:ilvl="0">
      <w:lvlJc w:val="left"/>
      <w:lvlText w:val="(%1)"/>
      <w:numFmt w:val="lowerLetter"/>
      <w:start w:val="1"/>
    </w:lvl>
  </w:abstractNum>
  <w:abstractNum w:abstractNumId="194">
    <w:nsid w:val="621AF471"/>
    <w:multiLevelType w:val="hybridMultilevel"/>
    <w:lvl w:ilvl="0">
      <w:lvlJc w:val="left"/>
      <w:lvlText w:val="(%1)"/>
      <w:numFmt w:val="lowerLetter"/>
      <w:start w:val="3"/>
    </w:lvl>
  </w:abstractNum>
  <w:abstractNum w:abstractNumId="195">
    <w:nsid w:val="73CFE165"/>
    <w:multiLevelType w:val="hybridMultilevel"/>
    <w:lvl w:ilvl="0">
      <w:lvlJc w:val="left"/>
      <w:lvlText w:val="(%1)"/>
      <w:numFmt w:val="lowerLetter"/>
      <w:start w:val="1"/>
    </w:lvl>
  </w:abstractNum>
  <w:abstractNum w:abstractNumId="196">
    <w:nsid w:val="20F88EA6"/>
    <w:multiLevelType w:val="hybridMultilevel"/>
    <w:lvl w:ilvl="0">
      <w:lvlJc w:val="left"/>
      <w:lvlText w:val="(%1)"/>
      <w:numFmt w:val="lowerLetter"/>
      <w:start w:val="1"/>
    </w:lvl>
  </w:abstractNum>
  <w:abstractNum w:abstractNumId="197">
    <w:nsid w:val="617C843E"/>
    <w:multiLevelType w:val="hybridMultilevel"/>
    <w:lvl w:ilvl="0">
      <w:lvlJc w:val="left"/>
      <w:lvlText w:val="(%1)"/>
      <w:numFmt w:val="lowerLetter"/>
      <w:start w:val="3"/>
    </w:lvl>
  </w:abstractNum>
  <w:abstractNum w:abstractNumId="198">
    <w:nsid w:val="7B541FAB"/>
    <w:multiLevelType w:val="hybridMultilevel"/>
    <w:lvl w:ilvl="0">
      <w:lvlJc w:val="left"/>
      <w:lvlText w:val="(%1)"/>
      <w:numFmt w:val="lowerLetter"/>
      <w:start w:val="6"/>
    </w:lvl>
  </w:abstractNum>
  <w:abstractNum w:abstractNumId="199">
    <w:nsid w:val="2A79EC49"/>
    <w:multiLevelType w:val="hybridMultilevel"/>
    <w:lvl w:ilvl="0">
      <w:lvlJc w:val="left"/>
      <w:lvlText w:val="(%1)"/>
      <w:numFmt w:val="lowerLetter"/>
      <w:start w:val="1"/>
    </w:lvl>
  </w:abstractNum>
  <w:abstractNum w:abstractNumId="200">
    <w:nsid w:val="338125CF"/>
    <w:multiLevelType w:val="hybridMultilevel"/>
    <w:lvl w:ilvl="0">
      <w:lvlJc w:val="left"/>
      <w:lvlText w:val="(%1)"/>
      <w:numFmt w:val="lowerLetter"/>
      <w:start w:val="6"/>
    </w:lvl>
  </w:abstractNum>
  <w:abstractNum w:abstractNumId="201">
    <w:nsid w:val="47C7C971"/>
    <w:multiLevelType w:val="hybridMultilevel"/>
    <w:lvl w:ilvl="0">
      <w:lvlJc w:val="left"/>
      <w:lvlText w:val="(%1)"/>
      <w:numFmt w:val="lowerLetter"/>
      <w:start w:val="1"/>
    </w:lvl>
  </w:abstractNum>
  <w:abstractNum w:abstractNumId="202">
    <w:nsid w:val="46F8284B"/>
    <w:multiLevelType w:val="hybridMultilevel"/>
    <w:lvl w:ilvl="0">
      <w:lvlJc w:val="left"/>
      <w:lvlText w:val="%1"/>
      <w:numFmt w:val="lowerLetter"/>
      <w:start w:val="1"/>
    </w:lvl>
    <w:lvl w:ilvl="1">
      <w:lvlJc w:val="left"/>
      <w:lvlText w:val="(%2)"/>
      <w:numFmt w:val="lowerLetter"/>
      <w:start w:val="5"/>
    </w:lvl>
  </w:abstractNum>
  <w:abstractNum w:abstractNumId="203">
    <w:nsid w:val="4FA327CE"/>
    <w:multiLevelType w:val="hybridMultilevel"/>
    <w:lvl w:ilvl="0">
      <w:lvlJc w:val="left"/>
      <w:lvlText w:val="(%1)"/>
      <w:numFmt w:val="lowerLetter"/>
      <w:start w:val="35"/>
    </w:lvl>
    <w:lvl w:ilvl="1">
      <w:lvlJc w:val="left"/>
      <w:lvlText w:val="(%2)"/>
      <w:numFmt w:val="lowerLetter"/>
      <w:start w:val="6"/>
    </w:lvl>
  </w:abstractNum>
  <w:abstractNum w:abstractNumId="204">
    <w:nsid w:val="1873983A"/>
    <w:multiLevelType w:val="hybridMultilevel"/>
    <w:lvl w:ilvl="0">
      <w:lvlJc w:val="left"/>
      <w:lvlText w:val="(%1)"/>
      <w:numFmt w:val="lowerLetter"/>
      <w:start w:val="1"/>
    </w:lvl>
  </w:abstractNum>
  <w:abstractNum w:abstractNumId="205">
    <w:nsid w:val="3D2DD275"/>
    <w:multiLevelType w:val="hybridMultilevel"/>
    <w:lvl w:ilvl="0">
      <w:lvlJc w:val="left"/>
      <w:lvlText w:val="(%1)"/>
      <w:numFmt w:val="lowerLetter"/>
      <w:start w:val="1"/>
    </w:lvl>
  </w:abstractNum>
  <w:abstractNum w:abstractNumId="206">
    <w:nsid w:val="2E17ECA7"/>
    <w:multiLevelType w:val="hybridMultilevel"/>
    <w:lvl w:ilvl="0">
      <w:lvlJc w:val="left"/>
      <w:lvlText w:val="(%1)"/>
      <w:numFmt w:val="lowerLetter"/>
      <w:start w:val="1"/>
    </w:lvl>
  </w:abstractNum>
  <w:abstractNum w:abstractNumId="207">
    <w:nsid w:val="53B2564F"/>
    <w:multiLevelType w:val="hybridMultilevel"/>
    <w:lvl w:ilvl="0">
      <w:lvlJc w:val="left"/>
      <w:lvlText w:val="(%1)"/>
      <w:numFmt w:val="lowerLetter"/>
      <w:start w:val="1"/>
    </w:lvl>
  </w:abstractNum>
  <w:abstractNum w:abstractNumId="208">
    <w:nsid w:val="75509D76"/>
    <w:multiLevelType w:val="hybridMultilevel"/>
    <w:lvl w:ilvl="0">
      <w:lvlJc w:val="left"/>
      <w:lvlText w:val="(%1)"/>
      <w:numFmt w:val="lowerLetter"/>
      <w:start w:val="1"/>
    </w:lvl>
  </w:abstractNum>
  <w:abstractNum w:abstractNumId="209">
    <w:nsid w:val="1AF7F0EA"/>
    <w:multiLevelType w:val="hybridMultilevel"/>
    <w:lvl w:ilvl="0">
      <w:lvlJc w:val="left"/>
      <w:lvlText w:val="(%1)"/>
      <w:numFmt w:val="lowerLetter"/>
      <w:start w:val="1"/>
    </w:lvl>
    <w:lvl w:ilvl="1">
      <w:lvlJc w:val="left"/>
      <w:lvlText w:val="(%2)"/>
      <w:numFmt w:val="lowerRoman"/>
      <w:start w:val="1"/>
    </w:lvl>
  </w:abstractNum>
  <w:abstractNum w:abstractNumId="210">
    <w:nsid w:val="4DA32C7E"/>
    <w:multiLevelType w:val="hybridMultilevel"/>
    <w:lvl w:ilvl="0">
      <w:lvlJc w:val="left"/>
      <w:lvlText w:val="(%1)"/>
      <w:numFmt w:val="lowerLetter"/>
      <w:start w:val="3"/>
    </w:lvl>
  </w:abstractNum>
  <w:abstractNum w:abstractNumId="211">
    <w:nsid w:val="6EC68664"/>
    <w:multiLevelType w:val="hybridMultilevel"/>
    <w:lvl w:ilvl="0">
      <w:lvlJc w:val="left"/>
      <w:lvlText w:val="(%1)"/>
      <w:numFmt w:val="lowerRoman"/>
      <w:start w:val="1"/>
    </w:lvl>
  </w:abstractNum>
  <w:abstractNum w:abstractNumId="212">
    <w:nsid w:val="E0D31FF"/>
    <w:multiLevelType w:val="hybridMultilevel"/>
    <w:lvl w:ilvl="0">
      <w:lvlJc w:val="left"/>
      <w:lvlText w:val="(%1)"/>
      <w:numFmt w:val="lowerLetter"/>
      <w:start w:val="4"/>
    </w:lvl>
  </w:abstractNum>
  <w:abstractNum w:abstractNumId="213">
    <w:nsid w:val="2FD0AD81"/>
    <w:multiLevelType w:val="hybridMultilevel"/>
    <w:lvl w:ilvl="0">
      <w:lvlJc w:val="left"/>
      <w:lvlText w:val="(%1)"/>
      <w:numFmt w:val="lowerRoman"/>
      <w:start w:val="1"/>
    </w:lvl>
  </w:abstractNum>
  <w:abstractNum w:abstractNumId="214">
    <w:nsid w:val="1978EBEB"/>
    <w:multiLevelType w:val="hybridMultilevel"/>
    <w:lvl w:ilvl="0">
      <w:lvlJc w:val="left"/>
      <w:lvlText w:val="(%1)"/>
      <w:numFmt w:val="lowerLetter"/>
      <w:start w:val="1"/>
    </w:lvl>
  </w:abstractNum>
  <w:abstractNum w:abstractNumId="215">
    <w:nsid w:val="52C12C61"/>
    <w:multiLevelType w:val="hybridMultilevel"/>
    <w:lvl w:ilvl="0">
      <w:lvlJc w:val="left"/>
      <w:lvlText w:val="(%1)"/>
      <w:numFmt w:val="lowerLetter"/>
      <w:start w:val="2"/>
    </w:lvl>
  </w:abstractNum>
  <w:abstractNum w:abstractNumId="216">
    <w:nsid w:val="4BDD53FD"/>
    <w:multiLevelType w:val="hybridMultilevel"/>
    <w:lvl w:ilvl="0">
      <w:lvlJc w:val="left"/>
      <w:lvlText w:val="(%1)"/>
      <w:numFmt w:val="lowerLetter"/>
      <w:start w:val="8"/>
    </w:lvl>
  </w:abstractNum>
  <w:abstractNum w:abstractNumId="217">
    <w:nsid w:val="569951FE"/>
    <w:multiLevelType w:val="hybridMultilevel"/>
    <w:lvl w:ilvl="0">
      <w:lvlJc w:val="left"/>
      <w:lvlText w:val="(%1)"/>
      <w:numFmt w:val="lowerLetter"/>
      <w:start w:val="1"/>
    </w:lvl>
  </w:abstractNum>
  <w:abstractNum w:abstractNumId="218">
    <w:nsid w:val="4C54E2C3"/>
    <w:multiLevelType w:val="hybridMultilevel"/>
    <w:lvl w:ilvl="0">
      <w:lvlJc w:val="left"/>
      <w:lvlText w:val="(%1)"/>
      <w:numFmt w:val="lowerLetter"/>
      <w:start w:val="4"/>
    </w:lvl>
  </w:abstractNum>
  <w:abstractNum w:abstractNumId="219">
    <w:nsid w:val="788BD9B"/>
    <w:multiLevelType w:val="hybridMultilevel"/>
    <w:lvl w:ilvl="0">
      <w:lvlJc w:val="left"/>
      <w:lvlText w:val="(%1)"/>
      <w:numFmt w:val="lowerLetter"/>
      <w:start w:val="1"/>
    </w:lvl>
  </w:abstractNum>
  <w:abstractNum w:abstractNumId="220">
    <w:nsid w:val="47CAA567"/>
    <w:multiLevelType w:val="hybridMultilevel"/>
    <w:lvl w:ilvl="0">
      <w:lvlJc w:val="left"/>
      <w:lvlText w:val="(%1)"/>
      <w:numFmt w:val="lowerLetter"/>
      <w:start w:val="1"/>
    </w:lvl>
  </w:abstractNum>
  <w:abstractNum w:abstractNumId="221">
    <w:nsid w:val="48249DBF"/>
    <w:multiLevelType w:val="hybridMultilevel"/>
    <w:lvl w:ilvl="0">
      <w:lvlJc w:val="left"/>
      <w:lvlText w:val="(%1)"/>
      <w:numFmt w:val="lowerLetter"/>
      <w:start w:val="6"/>
    </w:lvl>
  </w:abstractNum>
  <w:abstractNum w:abstractNumId="222">
    <w:nsid w:val="1F0E5D0D"/>
    <w:multiLevelType w:val="hybridMultilevel"/>
    <w:lvl w:ilvl="0">
      <w:lvlJc w:val="left"/>
      <w:lvlText w:val="(%1)"/>
      <w:numFmt w:val="lowerLetter"/>
      <w:start w:val="1"/>
    </w:lvl>
  </w:abstractNum>
  <w:abstractNum w:abstractNumId="223">
    <w:nsid w:val="26BAAE9"/>
    <w:multiLevelType w:val="hybridMultilevel"/>
    <w:lvl w:ilvl="0">
      <w:lvlJc w:val="left"/>
      <w:lvlText w:val="%1"/>
      <w:numFmt w:val="lowerLetter"/>
      <w:start w:val="1"/>
    </w:lvl>
    <w:lvl w:ilvl="1">
      <w:lvlJc w:val="left"/>
      <w:lvlText w:val="(%2)"/>
      <w:numFmt w:val="lowerLetter"/>
      <w:start w:val="1"/>
    </w:lvl>
  </w:abstractNum>
  <w:abstractNum w:abstractNumId="224">
    <w:nsid w:val="2C02FE8C"/>
    <w:multiLevelType w:val="hybridMultilevel"/>
    <w:lvl w:ilvl="0">
      <w:lvlJc w:val="left"/>
      <w:lvlText w:val="(%1)"/>
      <w:numFmt w:val="lowerLetter"/>
      <w:start w:val="35"/>
    </w:lvl>
    <w:lvl w:ilvl="1">
      <w:lvlJc w:val="left"/>
      <w:lvlText w:val="%2"/>
      <w:numFmt w:val="lowerLetter"/>
      <w:start w:val="1"/>
    </w:lvl>
  </w:abstractNum>
  <w:abstractNum w:abstractNumId="225">
    <w:nsid w:val="129517E"/>
    <w:multiLevelType w:val="hybridMultilevel"/>
    <w:lvl w:ilvl="0">
      <w:lvlJc w:val="left"/>
      <w:lvlText w:val="(%1)"/>
      <w:numFmt w:val="lowerLetter"/>
      <w:start w:val="6"/>
    </w:lvl>
  </w:abstractNum>
  <w:abstractNum w:abstractNumId="226">
    <w:nsid w:val="763B8C4E"/>
    <w:multiLevelType w:val="hybridMultilevel"/>
    <w:lvl w:ilvl="0">
      <w:lvlJc w:val="left"/>
      <w:lvlText w:val="(%1)"/>
      <w:numFmt w:val="lowerLetter"/>
      <w:start w:val="1"/>
    </w:lvl>
  </w:abstractNum>
  <w:abstractNum w:abstractNumId="227">
    <w:nsid w:val="4CFB8D32"/>
    <w:multiLevelType w:val="hybridMultilevel"/>
    <w:lvl w:ilvl="0">
      <w:lvlJc w:val="left"/>
      <w:lvlText w:val="(%1)"/>
      <w:numFmt w:val="lowerLetter"/>
      <w:start w:val="6"/>
    </w:lvl>
  </w:abstractNum>
  <w:abstractNum w:abstractNumId="228">
    <w:nsid w:val="62A5D5BD"/>
    <w:multiLevelType w:val="hybridMultilevel"/>
    <w:lvl w:ilvl="0">
      <w:lvlJc w:val="left"/>
      <w:lvlText w:val="☐"/>
      <w:numFmt w:val="bullet"/>
      <w:start w:val="1"/>
    </w:lvl>
  </w:abstractNum>
  <w:abstractNum w:abstractNumId="229">
    <w:nsid w:val="718FABF9"/>
    <w:multiLevelType w:val="hybridMultilevel"/>
    <w:lvl w:ilvl="0">
      <w:lvlJc w:val="left"/>
      <w:lvlText w:val="☐"/>
      <w:numFmt w:val="bullet"/>
      <w:start w:val="1"/>
    </w:lvl>
  </w:abstractNum>
  <w:abstractNum w:abstractNumId="230">
    <w:nsid w:val="7775797C"/>
    <w:multiLevelType w:val="hybridMultilevel"/>
    <w:lvl w:ilvl="0">
      <w:lvlJc w:val="left"/>
      <w:lvlText w:val="☐"/>
      <w:numFmt w:val="bullet"/>
      <w:start w:val="1"/>
    </w:lvl>
  </w:abstractNum>
  <w:abstractNum w:abstractNumId="231">
    <w:nsid w:val="1626FB8C"/>
    <w:multiLevelType w:val="hybridMultilevel"/>
    <w:lvl w:ilvl="0">
      <w:lvlJc w:val="left"/>
      <w:lvlText w:val="☐"/>
      <w:numFmt w:val="bullet"/>
      <w:start w:val="1"/>
    </w:lvl>
  </w:abstractNum>
  <w:abstractNum w:abstractNumId="232">
    <w:nsid w:val="3957756A"/>
    <w:multiLevelType w:val="hybridMultilevel"/>
    <w:lvl w:ilvl="0">
      <w:lvlJc w:val="left"/>
      <w:lvlText w:val="%1."/>
      <w:numFmt w:val="decimal"/>
      <w:start w:val="1"/>
    </w:lvl>
  </w:abstractNum>
  <w:abstractNum w:abstractNumId="233">
    <w:nsid w:val="3E6DA1C7"/>
    <w:multiLevelType w:val="hybridMultilevel"/>
    <w:lvl w:ilvl="0">
      <w:lvlJc w:val="left"/>
      <w:lvlText w:val="%1."/>
      <w:numFmt w:val="decimal"/>
      <w:start w:val="8"/>
    </w:lvl>
  </w:abstractNum>
  <w:abstractNum w:abstractNumId="234">
    <w:nsid w:val="65CA235B"/>
    <w:multiLevelType w:val="hybridMultilevel"/>
    <w:lvl w:ilvl="0">
      <w:lvlJc w:val="left"/>
      <w:lvlText w:val="•"/>
      <w:numFmt w:val="bullet"/>
      <w:start w:val="1"/>
    </w:lvl>
  </w:abstractNum>
  <w:abstractNum w:abstractNumId="235">
    <w:nsid w:val="51CB0DA4"/>
    <w:multiLevelType w:val="hybridMultilevel"/>
    <w:lvl w:ilvl="0">
      <w:lvlJc w:val="left"/>
      <w:lvlText w:val="•"/>
      <w:numFmt w:val="bullet"/>
      <w:start w:val="1"/>
    </w:lvl>
  </w:abstractNum>
  <w:abstractNum w:abstractNumId="236">
    <w:nsid w:val="7B9B743C"/>
    <w:multiLevelType w:val="hybridMultilevel"/>
    <w:lvl w:ilvl="0">
      <w:lvlJc w:val="left"/>
      <w:lvlText w:val="•"/>
      <w:numFmt w:val="bullet"/>
      <w:start w:val="1"/>
    </w:lvl>
  </w:abstractNum>
  <w:abstractNum w:abstractNumId="237">
    <w:nsid w:val="13E21002"/>
    <w:multiLevelType w:val="hybridMultilevel"/>
    <w:lvl w:ilvl="0">
      <w:lvlJc w:val="left"/>
      <w:lvlText w:val="•"/>
      <w:numFmt w:val="bullet"/>
      <w:start w:val="1"/>
    </w:lvl>
  </w:abstractNum>
  <w:abstractNum w:abstractNumId="238">
    <w:nsid w:val="257D63F4"/>
    <w:multiLevelType w:val="hybridMultilevel"/>
    <w:lvl w:ilvl="0">
      <w:lvlJc w:val="left"/>
      <w:lvlText w:val="•"/>
      <w:numFmt w:val="bullet"/>
      <w:start w:val="1"/>
    </w:lvl>
  </w:abstractNum>
  <w:abstractNum w:abstractNumId="239">
    <w:nsid w:val="70EC11B2"/>
    <w:multiLevelType w:val="hybridMultilevel"/>
    <w:lvl w:ilvl="0">
      <w:lvlJc w:val="left"/>
      <w:lvlText w:val="5"/>
      <w:numFmt w:val="bullet"/>
      <w:start w:val="1"/>
    </w:lvl>
  </w:abstractNum>
  <w:abstractNum w:abstractNumId="240">
    <w:nsid w:val="2EDA00ED"/>
    <w:multiLevelType w:val="hybridMultilevel"/>
    <w:lvl w:ilvl="0">
      <w:lvlJc w:val="left"/>
      <w:lvlText w:val="•"/>
      <w:numFmt w:val="bullet"/>
      <w:start w:val="1"/>
    </w:lvl>
    <w:lvl w:ilvl="1">
      <w:lvlJc w:val="left"/>
      <w:lvlText w:val="•"/>
      <w:numFmt w:val="bullet"/>
      <w:start w:val="1"/>
    </w:lvl>
  </w:abstractNum>
  <w:abstractNum w:abstractNumId="241">
    <w:nsid w:val="73209072"/>
    <w:multiLevelType w:val="hybridMultilevel"/>
    <w:lvl w:ilvl="0">
      <w:lvlJc w:val="left"/>
      <w:lvlText w:val="6"/>
      <w:numFmt w:val="bullet"/>
      <w:start w:val="1"/>
    </w:lvl>
  </w:abstractNum>
  <w:abstractNum w:abstractNumId="242">
    <w:nsid w:val="5FB29816"/>
    <w:multiLevelType w:val="hybridMultilevel"/>
    <w:lvl w:ilvl="0">
      <w:lvlJc w:val="left"/>
      <w:lvlText w:val="8"/>
      <w:numFmt w:val="bullet"/>
      <w:start w:val="1"/>
    </w:lvl>
  </w:abstractNum>
  <w:abstractNum w:abstractNumId="243">
    <w:nsid w:val="3CE732EC"/>
    <w:multiLevelType w:val="hybridMultilevel"/>
    <w:lvl w:ilvl="0">
      <w:lvlJc w:val="left"/>
      <w:lvlText w:val="☐"/>
      <w:numFmt w:val="bullet"/>
      <w:start w:val="1"/>
    </w:lvl>
  </w:abstractNum>
  <w:abstractNum w:abstractNumId="244">
    <w:nsid w:val="22F13DF3"/>
    <w:multiLevelType w:val="hybridMultilevel"/>
    <w:lvl w:ilvl="0">
      <w:lvlJc w:val="left"/>
      <w:lvlText w:val="☐"/>
      <w:numFmt w:val="bullet"/>
      <w:start w:val="1"/>
    </w:lvl>
  </w:abstractNum>
  <w:abstractNum w:abstractNumId="245">
    <w:nsid w:val="792B8401"/>
    <w:multiLevelType w:val="hybridMultilevel"/>
    <w:lvl w:ilvl="0">
      <w:lvlJc w:val="left"/>
      <w:lvlText w:val="☐"/>
      <w:numFmt w:val="bullet"/>
      <w:start w:val="1"/>
    </w:lvl>
  </w:abstractNum>
  <w:abstractNum w:abstractNumId="246">
    <w:nsid w:val="FA85F4D"/>
    <w:multiLevelType w:val="hybridMultilevel"/>
    <w:lvl w:ilvl="0">
      <w:lvlJc w:val="left"/>
      <w:lvlText w:val="☐"/>
      <w:numFmt w:val="bullet"/>
      <w:start w:val="1"/>
    </w:lvl>
  </w:abstractNum>
  <w:abstractNum w:abstractNumId="247">
    <w:nsid w:val="6ECE91F0"/>
    <w:multiLevelType w:val="hybridMultilevel"/>
    <w:lvl w:ilvl="0">
      <w:lvlJc w:val="left"/>
      <w:lvlText w:val="%1."/>
      <w:numFmt w:val="decimal"/>
      <w:start w:val="1"/>
    </w:lvl>
  </w:abstractNum>
  <w:abstractNum w:abstractNumId="248">
    <w:nsid w:val="4FC4D600"/>
    <w:multiLevelType w:val="hybridMultilevel"/>
    <w:lvl w:ilvl="0">
      <w:lvlJc w:val="left"/>
      <w:lvlText w:val="%1."/>
      <w:numFmt w:val="decimal"/>
      <w:start w:val="9"/>
    </w:lvl>
  </w:abstractNum>
  <w:abstractNum w:abstractNumId="249">
    <w:nsid w:val="5BFD4210"/>
    <w:multiLevelType w:val="hybridMultilevel"/>
    <w:lvl w:ilvl="0">
      <w:lvlJc w:val="left"/>
      <w:lvlText w:val="•"/>
      <w:numFmt w:val="bullet"/>
      <w:start w:val="1"/>
    </w:lvl>
  </w:abstractNum>
  <w:abstractNum w:abstractNumId="250">
    <w:nsid w:val="76574F8B"/>
    <w:multiLevelType w:val="hybridMultilevel"/>
    <w:lvl w:ilvl="0">
      <w:lvlJc w:val="left"/>
      <w:lvlText w:val="•"/>
      <w:numFmt w:val="bullet"/>
      <w:start w:val="1"/>
    </w:lvl>
  </w:abstractNum>
  <w:abstractNum w:abstractNumId="251">
    <w:nsid w:val="178F7B67"/>
    <w:multiLevelType w:val="hybridMultilevel"/>
    <w:lvl w:ilvl="0">
      <w:lvlJc w:val="left"/>
      <w:lvlText w:val="•"/>
      <w:numFmt w:val="bullet"/>
      <w:start w:val="1"/>
    </w:lvl>
  </w:abstractNum>
  <w:abstractNum w:abstractNumId="252">
    <w:nsid w:val="2421DFCF"/>
    <w:multiLevelType w:val="hybridMultilevel"/>
    <w:lvl w:ilvl="0">
      <w:lvlJc w:val="left"/>
      <w:lvlText w:val="•"/>
      <w:numFmt w:val="bullet"/>
      <w:start w:val="1"/>
    </w:lvl>
  </w:abstractNum>
  <w:abstractNum w:abstractNumId="253">
    <w:nsid w:val="1565AC99"/>
    <w:multiLevelType w:val="hybridMultilevel"/>
    <w:lvl w:ilvl="0">
      <w:lvlJc w:val="left"/>
      <w:lvlText w:val="•"/>
      <w:numFmt w:val="bullet"/>
      <w:start w:val="1"/>
    </w:lvl>
  </w:abstractNum>
  <w:abstractNum w:abstractNumId="254">
    <w:nsid w:val="19FB2650"/>
    <w:multiLevelType w:val="hybridMultilevel"/>
    <w:lvl w:ilvl="0">
      <w:lvlJc w:val="left"/>
      <w:lvlText w:val="9"/>
      <w:numFmt w:val="bullet"/>
      <w:start w:val="1"/>
    </w:lvl>
  </w:abstractNum>
  <w:abstractNum w:abstractNumId="255">
    <w:nsid w:val="5024DE5B"/>
    <w:multiLevelType w:val="hybridMultilevel"/>
    <w:lvl w:ilvl="0">
      <w:lvlJc w:val="left"/>
      <w:lvlText w:val="•"/>
      <w:numFmt w:val="bullet"/>
      <w:start w:val="1"/>
    </w:lvl>
  </w:abstractNum>
  <w:abstractNum w:abstractNumId="256">
    <w:nsid w:val="168EFE17"/>
    <w:multiLevelType w:val="hybridMultilevel"/>
    <w:lvl w:ilvl="0">
      <w:lvlJc w:val="left"/>
      <w:lvlText w:val="•"/>
      <w:numFmt w:val="bullet"/>
      <w:start w:val="1"/>
    </w:lvl>
    <w:lvl w:ilvl="1">
      <w:lvlJc w:val="left"/>
      <w:lvlText w:val="•"/>
      <w:numFmt w:val="bullet"/>
      <w:start w:val="1"/>
    </w:lvl>
  </w:abstractNum>
  <w:abstractNum w:abstractNumId="257">
    <w:nsid w:val="1036B29F"/>
    <w:multiLevelType w:val="hybridMultilevel"/>
    <w:lvl w:ilvl="0">
      <w:lvlJc w:val="left"/>
      <w:lvlText w:val="%1"/>
      <w:numFmt w:val="decimal"/>
      <w:start w:val="10"/>
    </w:lvl>
  </w:abstractNum>
  <w:abstractNum w:abstractNumId="258">
    <w:nsid w:val="1D206B8E"/>
    <w:multiLevelType w:val="hybridMultilevel"/>
    <w:lvl w:ilvl="0">
      <w:lvlJc w:val="left"/>
      <w:lvlText w:val="%1."/>
      <w:numFmt w:val="upperLetter"/>
      <w:start w:val="1"/>
    </w:lvl>
  </w:abstractNum>
  <w:abstractNum w:abstractNumId="259">
    <w:nsid w:val="7934D3D4"/>
    <w:multiLevelType w:val="hybridMultilevel"/>
    <w:lvl w:ilvl="0">
      <w:lvlJc w:val="left"/>
      <w:lvlText w:val="%1."/>
      <w:numFmt w:val="upperLetter"/>
      <w:start w:val="2"/>
    </w:lvl>
  </w:abstractNum>
  <w:abstractNum w:abstractNumId="260">
    <w:nsid w:val="1C65E98"/>
    <w:multiLevelType w:val="hybridMultilevel"/>
    <w:lvl w:ilvl="0">
      <w:lvlJc w:val="left"/>
      <w:lvlText w:val="(%1)"/>
      <w:numFmt w:val="lowerLetter"/>
      <w:start w:val="1"/>
    </w:lvl>
  </w:abstractNum>
  <w:abstractNum w:abstractNumId="261">
    <w:nsid w:val="1495E50A"/>
    <w:multiLevelType w:val="hybridMultilevel"/>
    <w:lvl w:ilvl="0">
      <w:lvlJc w:val="left"/>
      <w:lvlText w:val="(%1)"/>
      <w:numFmt w:val="lowerLetter"/>
      <w:start w:val="1"/>
    </w:lvl>
  </w:abstractNum>
  <w:abstractNum w:abstractNumId="262">
    <w:nsid w:val="F5BCF61"/>
    <w:multiLevelType w:val="hybridMultilevel"/>
    <w:lvl w:ilvl="0">
      <w:lvlJc w:val="left"/>
      <w:lvlText w:val="%1"/>
      <w:numFmt w:val="lowerRoman"/>
      <w:start w:val="1"/>
    </w:lvl>
    <w:lvl w:ilvl="1">
      <w:lvlJc w:val="left"/>
      <w:lvlText w:val="(%2)"/>
      <w:numFmt w:val="lowerLetter"/>
      <w:start w:val="5"/>
    </w:lvl>
  </w:abstractNum>
  <w:abstractNum w:abstractNumId="263">
    <w:nsid w:val="3B1DD403"/>
    <w:multiLevelType w:val="hybridMultilevel"/>
    <w:lvl w:ilvl="0">
      <w:lvlJc w:val="left"/>
      <w:lvlText w:val="(%1)"/>
      <w:numFmt w:val="lowerRoman"/>
      <w:start w:val="1"/>
    </w:lvl>
    <w:lvl w:ilvl="1">
      <w:lvlJc w:val="left"/>
      <w:lvlText w:val="(%2)"/>
      <w:numFmt w:val="lowerLetter"/>
      <w:start w:val="7"/>
    </w:lvl>
  </w:abstractNum>
  <w:abstractNum w:abstractNumId="264">
    <w:nsid w:val="530386D1"/>
    <w:multiLevelType w:val="hybridMultilevel"/>
    <w:lvl w:ilvl="0">
      <w:lvlJc w:val="left"/>
      <w:lvlText w:val="(%1)"/>
      <w:numFmt w:val="lowerLetter"/>
      <w:start w:val="1"/>
    </w:lvl>
  </w:abstractNum>
  <w:abstractNum w:abstractNumId="265">
    <w:nsid w:val="7525F2BC"/>
    <w:multiLevelType w:val="hybridMultilevel"/>
    <w:lvl w:ilvl="0">
      <w:lvlJc w:val="left"/>
      <w:lvlText w:val="(%1)"/>
      <w:numFmt w:val="lowerLetter"/>
      <w:start w:val="3"/>
    </w:lvl>
  </w:abstractNum>
  <w:abstractNum w:abstractNumId="266">
    <w:nsid w:val="CE8E1A7"/>
    <w:multiLevelType w:val="hybridMultilevel"/>
    <w:lvl w:ilvl="0">
      <w:lvlJc w:val="left"/>
      <w:lvlText w:val="(%1)"/>
      <w:numFmt w:val="lowerLetter"/>
      <w:start w:val="1"/>
    </w:lvl>
  </w:abstractNum>
  <w:abstractNum w:abstractNumId="267">
    <w:nsid w:val="4E9EFB0D"/>
    <w:multiLevelType w:val="hybridMultilevel"/>
    <w:lvl w:ilvl="0">
      <w:lvlJc w:val="left"/>
      <w:lvlText w:val="%1"/>
      <w:numFmt w:val="upperLetter"/>
      <w:start w:val="1"/>
    </w:lvl>
    <w:lvl w:ilvl="1">
      <w:lvlJc w:val="left"/>
      <w:lvlText w:val="(%2)"/>
      <w:numFmt w:val="lowerRoman"/>
      <w:start w:val="1"/>
    </w:lvl>
  </w:abstractNum>
  <w:abstractNum w:abstractNumId="268">
    <w:nsid w:val="90802BE"/>
    <w:multiLevelType w:val="hybridMultilevel"/>
    <w:lvl w:ilvl="0">
      <w:lvlJc w:val="left"/>
      <w:lvlText w:val="(%1)"/>
      <w:numFmt w:val="upperLetter"/>
      <w:start w:val="2"/>
    </w:lvl>
    <w:lvl w:ilvl="1">
      <w:lvlJc w:val="left"/>
      <w:lvlText w:val="(%2)"/>
      <w:numFmt w:val="lowerRoman"/>
      <w:start w:val="5"/>
    </w:lvl>
  </w:abstractNum>
  <w:abstractNum w:abstractNumId="269">
    <w:nsid w:val="3266459B"/>
    <w:multiLevelType w:val="hybridMultilevel"/>
    <w:lvl w:ilvl="0">
      <w:lvlJc w:val="left"/>
      <w:lvlText w:val="(%1)"/>
      <w:numFmt w:val="lowerLetter"/>
      <w:start w:val="2"/>
    </w:lvl>
  </w:abstractNum>
  <w:abstractNum w:abstractNumId="270">
    <w:nsid w:val="3F8B0CBF"/>
    <w:multiLevelType w:val="hybridMultilevel"/>
    <w:lvl w:ilvl="0">
      <w:lvlJc w:val="left"/>
      <w:lvlText w:val="(%1)"/>
      <w:numFmt w:val="lowerLetter"/>
      <w:start w:val="1"/>
    </w:lvl>
  </w:abstractNum>
  <w:abstractNum w:abstractNumId="271">
    <w:nsid w:val="37E203AB"/>
    <w:multiLevelType w:val="hybridMultilevel"/>
    <w:lvl w:ilvl="0">
      <w:lvlJc w:val="left"/>
      <w:lvlText w:val="(%1)"/>
      <w:numFmt w:val="lowerLetter"/>
      <w:start w:val="1"/>
    </w:lvl>
  </w:abstractNum>
  <w:abstractNum w:abstractNumId="272">
    <w:nsid w:val="2586D60E"/>
    <w:multiLevelType w:val="hybridMultilevel"/>
    <w:lvl w:ilvl="0">
      <w:lvlJc w:val="left"/>
      <w:lvlText w:val="%1"/>
      <w:numFmt w:val="lowerLetter"/>
      <w:start w:val="1"/>
    </w:lvl>
    <w:lvl w:ilvl="1">
      <w:lvlJc w:val="left"/>
      <w:lvlText w:val="(%2)"/>
      <w:numFmt w:val="lowerLetter"/>
      <w:start w:val="2"/>
    </w:lvl>
  </w:abstractNum>
  <w:abstractNum w:abstractNumId="273">
    <w:nsid w:val="1F3DA4D5"/>
    <w:multiLevelType w:val="hybridMultilevel"/>
    <w:lvl w:ilvl="0">
      <w:lvlJc w:val="left"/>
      <w:lvlText w:val="(%1)"/>
      <w:numFmt w:val="lowerLetter"/>
      <w:start w:val="61"/>
    </w:lvl>
    <w:lvl w:ilvl="1">
      <w:lvlJc w:val="left"/>
      <w:lvlText w:val="(%2)"/>
      <w:numFmt w:val="lowerLetter"/>
      <w:start w:val="3"/>
    </w:lvl>
  </w:abstractNum>
  <w:abstractNum w:abstractNumId="274">
    <w:nsid w:val="74C93698"/>
    <w:multiLevelType w:val="hybridMultilevel"/>
    <w:lvl w:ilvl="0">
      <w:lvlJc w:val="left"/>
      <w:lvlText w:val="(%1)"/>
      <w:numFmt w:val="lowerLetter"/>
      <w:start w:val="1"/>
    </w:lvl>
  </w:abstractNum>
  <w:abstractNum w:abstractNumId="275">
    <w:nsid w:val="48781401"/>
    <w:multiLevelType w:val="hybridMultilevel"/>
    <w:lvl w:ilvl="0">
      <w:lvlJc w:val="left"/>
      <w:lvlText w:val="(%1)"/>
      <w:numFmt w:val="lowerLetter"/>
      <w:start w:val="3"/>
    </w:lvl>
  </w:abstractNum>
  <w:abstractNum w:abstractNumId="276">
    <w:nsid w:val="186928D6"/>
    <w:multiLevelType w:val="hybridMultilevel"/>
    <w:lvl w:ilvl="0">
      <w:lvlJc w:val="left"/>
      <w:lvlText w:val="(%1)"/>
      <w:numFmt w:val="decimal"/>
      <w:start w:val="1"/>
    </w:lvl>
  </w:abstractNum>
  <w:abstractNum w:abstractNumId="277">
    <w:nsid w:val="47195E5"/>
    <w:multiLevelType w:val="hybridMultilevel"/>
    <w:lvl w:ilvl="0">
      <w:lvlJc w:val="left"/>
      <w:lvlText w:val="(%1)"/>
      <w:numFmt w:val="decimal"/>
      <w:start w:val="2"/>
    </w:lvl>
  </w:abstractNum>
  <w:abstractNum w:abstractNumId="278">
    <w:nsid w:val="3746A5F2"/>
    <w:multiLevelType w:val="hybridMultilevel"/>
    <w:lvl w:ilvl="0">
      <w:lvlJc w:val="left"/>
      <w:lvlText w:val="%1."/>
      <w:numFmt w:val="decimal"/>
      <w:start w:val="1"/>
    </w:lvl>
  </w:abstractNum>
  <w:abstractNum w:abstractNumId="279">
    <w:nsid w:val="682DFED6"/>
    <w:multiLevelType w:val="hybridMultilevel"/>
    <w:lvl w:ilvl="0">
      <w:lvlJc w:val="left"/>
      <w:lvlText w:val="%1."/>
      <w:numFmt w:val="decimal"/>
      <w:start w:val="5"/>
    </w:lvl>
    <w:lvl w:ilvl="1">
      <w:lvlJc w:val="left"/>
      <w:lvlText w:val="(%2)"/>
      <w:numFmt w:val="lowerLetter"/>
      <w:start w:val="1"/>
    </w:lvl>
  </w:abstractNum>
  <w:abstractNum w:abstractNumId="280">
    <w:nsid w:val="606ED7F6"/>
    <w:multiLevelType w:val="hybridMultilevel"/>
    <w:lvl w:ilvl="0">
      <w:lvlJc w:val="left"/>
      <w:lvlText w:val="%1."/>
      <w:numFmt w:val="decimal"/>
      <w:start w:val="1"/>
    </w:lvl>
  </w:abstractNum>
  <w:abstractNum w:abstractNumId="281">
    <w:nsid w:val="2D9DF57D"/>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82">
    <w:nsid w:val="7FBD7A3E"/>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283">
    <w:nsid w:val="490B7C5"/>
    <w:multiLevelType w:val="hybridMultilevel"/>
    <w:lvl w:ilvl="0">
      <w:lvlJc w:val="left"/>
      <w:lvlText w:val="%1."/>
      <w:numFmt w:val="decimal"/>
      <w:start w:val="8"/>
    </w:lvl>
    <w:lvl w:ilvl="1">
      <w:lvlJc w:val="left"/>
      <w:lvlText w:val="(%2)"/>
      <w:numFmt w:val="lowerLetter"/>
      <w:start w:val="1"/>
    </w:lvl>
  </w:abstractNum>
  <w:abstractNum w:abstractNumId="284">
    <w:nsid w:val="4303A216"/>
    <w:multiLevelType w:val="hybridMultilevel"/>
    <w:lvl w:ilvl="0">
      <w:lvlJc w:val="left"/>
      <w:lvlText w:val="%1."/>
      <w:numFmt w:val="decimal"/>
      <w:start w:val="12"/>
    </w:lvl>
  </w:abstractNum>
  <w:abstractNum w:abstractNumId="285">
    <w:nsid w:val="19B8A08E"/>
    <w:multiLevelType w:val="hybridMultilevel"/>
    <w:lvl w:ilvl="0">
      <w:lvlJc w:val="left"/>
      <w:lvlText w:val="(%1)"/>
      <w:numFmt w:val="lowerLetter"/>
      <w:start w:val="3"/>
    </w:lvl>
  </w:abstractNum>
  <w:abstractNum w:abstractNumId="286">
    <w:nsid w:val="54B59621"/>
    <w:multiLevelType w:val="hybridMultilevel"/>
    <w:lvl w:ilvl="0">
      <w:lvlJc w:val="left"/>
      <w:lvlText w:val="(%1)"/>
      <w:numFmt w:val="lowerLetter"/>
      <w:start w:val="1"/>
    </w:lvl>
  </w:abstractNum>
  <w:abstractNum w:abstractNumId="287">
    <w:nsid w:val="5992A02E"/>
    <w:multiLevelType w:val="hybridMultilevel"/>
    <w:lvl w:ilvl="0">
      <w:lvlJc w:val="left"/>
      <w:lvlText w:val="%1."/>
      <w:numFmt w:val="decimal"/>
      <w:start w:val="1"/>
    </w:lvl>
  </w:abstractNum>
  <w:abstractNum w:abstractNumId="288">
    <w:nsid w:val="29EF532D"/>
    <w:multiLevelType w:val="hybridMultilevel"/>
    <w:lvl w:ilvl="0">
      <w:lvlJc w:val="left"/>
      <w:lvlText w:val="%1."/>
      <w:numFmt w:val="decimal"/>
      <w:start w:val="5"/>
    </w:lvl>
  </w:abstractNum>
  <w:abstractNum w:abstractNumId="289">
    <w:nsid w:val="71D601AF"/>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90">
    <w:nsid w:val="52C77402"/>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291">
    <w:nsid w:val="2BB5B1C6"/>
    <w:multiLevelType w:val="hybridMultilevel"/>
    <w:lvl w:ilvl="0">
      <w:lvlJc w:val="left"/>
      <w:lvlText w:val="%1."/>
      <w:numFmt w:val="decimal"/>
      <w:start w:val="8"/>
    </w:lvl>
    <w:lvl w:ilvl="1">
      <w:lvlJc w:val="left"/>
      <w:lvlText w:val="(%2)"/>
      <w:numFmt w:val="lowerLetter"/>
      <w:start w:val="1"/>
    </w:lvl>
  </w:abstractNum>
  <w:abstractNum w:abstractNumId="292">
    <w:nsid w:val="66BE6B9"/>
    <w:multiLevelType w:val="hybridMultilevel"/>
    <w:lvl w:ilvl="0">
      <w:lvlJc w:val="left"/>
      <w:lvlText w:val="%1."/>
      <w:numFmt w:val="decimal"/>
      <w:start w:val="12"/>
    </w:lvl>
  </w:abstractNum>
  <w:abstractNum w:abstractNumId="293">
    <w:nsid w:val="62234363"/>
    <w:multiLevelType w:val="hybridMultilevel"/>
    <w:lvl w:ilvl="0">
      <w:lvlJc w:val="left"/>
      <w:lvlText w:val="(%1)"/>
      <w:numFmt w:val="lowerLetter"/>
      <w:start w:val="3"/>
    </w:lvl>
  </w:abstractNum>
  <w:abstractNum w:abstractNumId="294">
    <w:nsid w:val="66D385C9"/>
    <w:multiLevelType w:val="hybridMultilevel"/>
    <w:lvl w:ilvl="0">
      <w:lvlJc w:val="left"/>
      <w:lvlText w:val="(%1)"/>
      <w:numFmt w:val="lowerLetter"/>
      <w:start w:val="1"/>
    </w:lvl>
  </w:abstractNum>
  <w:abstractNum w:abstractNumId="295">
    <w:nsid w:val="596F6D8A"/>
    <w:multiLevelType w:val="hybridMultilevel"/>
    <w:lvl w:ilvl="0">
      <w:lvlJc w:val="left"/>
      <w:lvlText w:val="%1."/>
      <w:numFmt w:val="decimal"/>
      <w:start w:val="1"/>
    </w:lvl>
  </w:abstractNum>
  <w:abstractNum w:abstractNumId="296">
    <w:nsid w:val="5749361F"/>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97">
    <w:nsid w:val="73BC6770"/>
    <w:multiLevelType w:val="hybridMultilevel"/>
    <w:lvl w:ilvl="0">
      <w:lvlJc w:val="left"/>
      <w:lvlText w:val="%1."/>
      <w:numFmt w:val="decimal"/>
      <w:start w:val="1"/>
    </w:lvl>
  </w:abstractNum>
  <w:abstractNum w:abstractNumId="298">
    <w:nsid w:val="280E6897"/>
    <w:multiLevelType w:val="hybridMultilevel"/>
    <w:lvl w:ilvl="0">
      <w:lvlJc w:val="left"/>
      <w:lvlText w:val="%1."/>
      <w:numFmt w:val="decimal"/>
      <w:start w:val="5"/>
    </w:lvl>
  </w:abstractNum>
  <w:abstractNum w:abstractNumId="299">
    <w:nsid w:val="605138D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00">
    <w:nsid w:val="2622AD0C"/>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301">
    <w:nsid w:val="67997556"/>
    <w:multiLevelType w:val="hybridMultilevel"/>
    <w:lvl w:ilvl="0">
      <w:lvlJc w:val="left"/>
      <w:lvlText w:val="%1."/>
      <w:numFmt w:val="decimal"/>
      <w:start w:val="8"/>
    </w:lvl>
    <w:lvl w:ilvl="1">
      <w:lvlJc w:val="left"/>
      <w:lvlText w:val="(%2)"/>
      <w:numFmt w:val="lowerLetter"/>
      <w:start w:val="1"/>
    </w:lvl>
  </w:abstractNum>
  <w:abstractNum w:abstractNumId="302">
    <w:nsid w:val="18333C89"/>
    <w:multiLevelType w:val="hybridMultilevel"/>
    <w:lvl w:ilvl="0">
      <w:lvlJc w:val="left"/>
      <w:lvlText w:val="%1."/>
      <w:numFmt w:val="decimal"/>
      <w:start w:val="12"/>
    </w:lvl>
  </w:abstractNum>
  <w:abstractNum w:abstractNumId="303">
    <w:nsid w:val="4BA9831A"/>
    <w:multiLevelType w:val="hybridMultilevel"/>
    <w:lvl w:ilvl="0">
      <w:lvlJc w:val="left"/>
      <w:lvlText w:val="(%1)"/>
      <w:numFmt w:val="lowerLetter"/>
      <w:start w:val="3"/>
    </w:lvl>
  </w:abstractNum>
  <w:abstractNum w:abstractNumId="304">
    <w:nsid w:val="6D71A2B"/>
    <w:multiLevelType w:val="hybridMultilevel"/>
    <w:lvl w:ilvl="0">
      <w:lvlJc w:val="left"/>
      <w:lvlText w:val="(%1)"/>
      <w:numFmt w:val="lowerLetter"/>
      <w:start w:val="1"/>
    </w:lvl>
  </w:abstractNum>
  <w:abstractNum w:abstractNumId="305">
    <w:nsid w:val="CFC7321"/>
    <w:multiLevelType w:val="hybridMultilevel"/>
    <w:lvl w:ilvl="0">
      <w:lvlJc w:val="left"/>
      <w:lvlText w:val="%1."/>
      <w:numFmt w:val="decimal"/>
      <w:start w:val="1"/>
    </w:lvl>
  </w:abstractNum>
  <w:abstractNum w:abstractNumId="306">
    <w:nsid w:val="1421971B"/>
    <w:multiLevelType w:val="hybridMultilevel"/>
    <w:lvl w:ilvl="0">
      <w:lvlJc w:val="left"/>
      <w:lvlText w:val="%1."/>
      <w:numFmt w:val="decimal"/>
      <w:start w:val="3"/>
    </w:lvl>
  </w:abstractNum>
  <w:abstractNum w:abstractNumId="307">
    <w:nsid w:val="1F404301"/>
    <w:multiLevelType w:val="hybridMultilevel"/>
    <w:lvl w:ilvl="0">
      <w:lvlJc w:val="left"/>
      <w:lvlText w:val="%1."/>
      <w:numFmt w:val="decimal"/>
      <w:start w:val="4"/>
    </w:lvl>
  </w:abstractNum>
  <w:abstractNum w:abstractNumId="308">
    <w:nsid w:val="116E0907"/>
    <w:multiLevelType w:val="hybridMultilevel"/>
    <w:lvl w:ilvl="0">
      <w:lvlJc w:val="left"/>
      <w:lvlText w:val="%1."/>
      <w:numFmt w:val="decimal"/>
      <w:start w:val="5"/>
    </w:lvl>
    <w:lvl w:ilvl="1">
      <w:lvlJc w:val="left"/>
      <w:lvlText w:val="\ldblquote"/>
      <w:numFmt w:val="bullet"/>
      <w:start w:val="1"/>
    </w:lvl>
  </w:abstractNum>
  <w:abstractNum w:abstractNumId="309">
    <w:nsid w:val="4B683D0D"/>
    <w:multiLevelType w:val="hybridMultilevel"/>
    <w:lvl w:ilvl="0">
      <w:lvlJc w:val="left"/>
      <w:lvlText w:val="%1"/>
      <w:numFmt w:val="lowerLetter"/>
      <w:start w:val="1"/>
    </w:lvl>
    <w:lvl w:ilvl="1">
      <w:lvlJc w:val="left"/>
      <w:lvlText w:val="(%2)"/>
      <w:numFmt w:val="lowerLetter"/>
      <w:start w:val="1"/>
    </w:lvl>
  </w:abstractNum>
  <w:abstractNum w:abstractNumId="310">
    <w:nsid w:val="76E41D8"/>
    <w:multiLevelType w:val="hybridMultilevel"/>
    <w:lvl w:ilvl="0">
      <w:lvlJc w:val="left"/>
      <w:lvlText w:val="(%1)"/>
      <w:numFmt w:val="lowerLetter"/>
      <w:start w:val="8"/>
    </w:lvl>
    <w:lvl w:ilvl="1">
      <w:lvlJc w:val="left"/>
      <w:lvlText w:val="%2"/>
      <w:numFmt w:val="lowerLetter"/>
      <w:start w:val="1"/>
    </w:lvl>
  </w:abstractNum>
  <w:abstractNum w:abstractNumId="311">
    <w:nsid w:val="71DCE0FD"/>
    <w:multiLevelType w:val="hybridMultilevel"/>
    <w:lvl w:ilvl="0">
      <w:lvlJc w:val="left"/>
      <w:lvlText w:val="%1."/>
      <w:numFmt w:val="decimal"/>
      <w:start w:val="6"/>
    </w:lvl>
  </w:abstractNum>
  <w:abstractNum w:abstractNumId="312">
    <w:nsid w:val="7906328B"/>
    <w:multiLevelType w:val="hybridMultilevel"/>
    <w:lvl w:ilvl="0">
      <w:lvlJc w:val="left"/>
      <w:lvlText w:val="%1."/>
      <w:numFmt w:val="decimal"/>
      <w:start w:val="7"/>
    </w:lvl>
  </w:abstractNum>
  <w:abstractNum w:abstractNumId="313">
    <w:nsid w:val="72BBC16"/>
    <w:multiLevelType w:val="hybridMultilevel"/>
    <w:lvl w:ilvl="0">
      <w:lvlJc w:val="left"/>
      <w:lvlText w:val="\ldblquote"/>
      <w:numFmt w:val="bullet"/>
      <w:start w:val="1"/>
    </w:lvl>
  </w:abstractNum>
  <w:abstractNum w:abstractNumId="314">
    <w:nsid w:val="766D98C2"/>
    <w:multiLevelType w:val="hybridMultilevel"/>
    <w:lvl w:ilvl="0">
      <w:lvlJc w:val="left"/>
      <w:lvlText w:val="%1."/>
      <w:numFmt w:val="decimal"/>
      <w:start w:val="8"/>
    </w:lvl>
  </w:abstractNum>
  <w:abstractNum w:abstractNumId="315">
    <w:nsid w:val="3C09D4A1"/>
    <w:multiLevelType w:val="hybridMultilevel"/>
    <w:lvl w:ilvl="0">
      <w:lvlJc w:val="left"/>
      <w:lvlText w:val="\ldblquote"/>
      <w:numFmt w:val="bullet"/>
      <w:start w:val="1"/>
    </w:lvl>
  </w:abstractNum>
  <w:abstractNum w:abstractNumId="316">
    <w:nsid w:val="20E45CA4"/>
    <w:multiLevelType w:val="hybridMultilevel"/>
    <w:lvl w:ilvl="0">
      <w:lvlJc w:val="left"/>
      <w:lvlText w:val="%1."/>
      <w:numFmt w:val="decimal"/>
      <w:start w:val="9"/>
    </w:lvl>
  </w:abstractNum>
  <w:abstractNum w:abstractNumId="317">
    <w:nsid w:val="4B232EE3"/>
    <w:multiLevelType w:val="hybridMultilevel"/>
    <w:lvl w:ilvl="0">
      <w:lvlJc w:val="left"/>
      <w:lvlText w:val="%1."/>
      <w:numFmt w:val="decimal"/>
      <w:start w:val="10"/>
    </w:lvl>
  </w:abstractNum>
  <w:abstractNum w:abstractNumId="318">
    <w:nsid w:val="159C74CF"/>
    <w:multiLevelType w:val="hybridMultilevel"/>
    <w:lvl w:ilvl="0">
      <w:lvlJc w:val="left"/>
      <w:lvlText w:val="%1."/>
      <w:numFmt w:val="decimal"/>
      <w:start w:val="11"/>
    </w:lvl>
  </w:abstractNum>
  <w:abstractNum w:abstractNumId="319">
    <w:nsid w:val="4AD3AFD2"/>
    <w:multiLevelType w:val="hybridMultilevel"/>
    <w:lvl w:ilvl="0">
      <w:lvlJc w:val="left"/>
      <w:lvlText w:val="%1."/>
      <w:numFmt w:val="decimal"/>
      <w:start w:val="12"/>
    </w:lvl>
  </w:abstractNum>
  <w:abstractNum w:abstractNumId="320">
    <w:nsid w:val="3CF93092"/>
    <w:multiLevelType w:val="hybridMultilevel"/>
    <w:lvl w:ilvl="0">
      <w:lvlJc w:val="left"/>
      <w:lvlText w:val="%1."/>
      <w:numFmt w:val="upperLetter"/>
      <w:start w:val="1"/>
    </w:lvl>
  </w:abstractNum>
  <w:abstractNum w:abstractNumId="321">
    <w:nsid w:val="6863E8D2"/>
    <w:multiLevelType w:val="hybridMultilevel"/>
    <w:lvl w:ilvl="0">
      <w:lvlJc w:val="left"/>
      <w:lvlText w:val="%1."/>
      <w:numFmt w:val="decimal"/>
      <w:start w:val="1"/>
    </w:lvl>
  </w:abstractNum>
  <w:abstractNum w:abstractNumId="322">
    <w:nsid w:val="76896198"/>
    <w:multiLevelType w:val="hybridMultilevel"/>
    <w:lvl w:ilvl="0">
      <w:lvlJc w:val="left"/>
      <w:lvlText w:val="(%1)"/>
      <w:numFmt w:val="lowerLetter"/>
      <w:start w:val="1"/>
    </w:lvl>
  </w:abstractNum>
  <w:abstractNum w:abstractNumId="323">
    <w:nsid w:val="4365174B"/>
    <w:multiLevelType w:val="hybridMultilevel"/>
    <w:lvl w:ilvl="0">
      <w:lvlJc w:val="left"/>
      <w:lvlText w:val="%1."/>
      <w:numFmt w:val="decimal"/>
      <w:start w:val="2"/>
    </w:lvl>
  </w:abstractNum>
  <w:abstractNum w:abstractNumId="324">
    <w:nsid w:val="4A872C35"/>
    <w:multiLevelType w:val="hybridMultilevel"/>
    <w:lvl w:ilvl="0">
      <w:lvlJc w:val="left"/>
      <w:lvlText w:val="%1."/>
      <w:numFmt w:val="decimal"/>
      <w:start w:val="3"/>
    </w:lvl>
  </w:abstractNum>
  <w:abstractNum w:abstractNumId="325">
    <w:nsid w:val="5D5CE761"/>
    <w:multiLevelType w:val="hybridMultilevel"/>
    <w:lvl w:ilvl="0">
      <w:lvlJc w:val="left"/>
      <w:lvlText w:val="%1."/>
      <w:numFmt w:val="decimal"/>
      <w:start w:val="4"/>
    </w:lvl>
  </w:abstractNum>
  <w:abstractNum w:abstractNumId="326">
    <w:nsid w:val="1CD484D5"/>
    <w:multiLevelType w:val="hybridMultilevel"/>
    <w:lvl w:ilvl="0">
      <w:lvlJc w:val="left"/>
      <w:lvlText w:val="(%1)"/>
      <w:numFmt w:val="lowerLetter"/>
      <w:start w:val="1"/>
    </w:lvl>
  </w:abstractNum>
  <w:abstractNum w:abstractNumId="327">
    <w:nsid w:val="21D06255"/>
    <w:multiLevelType w:val="hybridMultilevel"/>
    <w:lvl w:ilvl="0">
      <w:lvlJc w:val="left"/>
      <w:lvlText w:val="%1."/>
      <w:numFmt w:val="decimal"/>
      <w:start w:val="5"/>
    </w:lvl>
    <w:lvl w:ilvl="1">
      <w:lvlJc w:val="left"/>
      <w:lvlText w:val="(%2)"/>
      <w:numFmt w:val="lowerLetter"/>
      <w:start w:val="1"/>
    </w:lvl>
  </w:abstractNum>
  <w:abstractNum w:abstractNumId="328">
    <w:nsid w:val="51194ED1"/>
    <w:multiLevelType w:val="hybridMultilevel"/>
    <w:lvl w:ilvl="0">
      <w:lvlJc w:val="left"/>
      <w:lvlText w:val="%1."/>
      <w:numFmt w:val="decimal"/>
      <w:start w:val="6"/>
    </w:lvl>
  </w:abstractNum>
  <w:abstractNum w:abstractNumId="329">
    <w:nsid w:val="44E2ED6C"/>
    <w:multiLevelType w:val="hybridMultilevel"/>
    <w:lvl w:ilvl="0">
      <w:lvlJc w:val="left"/>
      <w:lvlText w:val="(%1)"/>
      <w:numFmt w:val="lowerLetter"/>
      <w:start w:val="1"/>
    </w:lvl>
  </w:abstractNum>
  <w:abstractNum w:abstractNumId="330">
    <w:nsid w:val="2219B33"/>
    <w:multiLevelType w:val="hybridMultilevel"/>
    <w:lvl w:ilvl="0">
      <w:lvlJc w:val="left"/>
      <w:lvlText w:val="(%1)"/>
      <w:numFmt w:val="lowerLetter"/>
      <w:start w:val="5"/>
    </w:lvl>
  </w:abstractNum>
  <w:abstractNum w:abstractNumId="331">
    <w:nsid w:val="773BFBDD"/>
    <w:multiLevelType w:val="hybridMultilevel"/>
    <w:lvl w:ilvl="0">
      <w:lvlJc w:val="left"/>
      <w:lvlText w:val="(%1)"/>
      <w:numFmt w:val="lowerLetter"/>
      <w:start w:val="1"/>
    </w:lvl>
    <w:lvl w:ilvl="1">
      <w:lvlJc w:val="left"/>
      <w:lvlText w:val="(%2)"/>
      <w:numFmt w:val="lowerRoman"/>
      <w:start w:val="1"/>
    </w:lvl>
  </w:abstractNum>
  <w:abstractNum w:abstractNumId="332">
    <w:nsid w:val="2C7C62C2"/>
    <w:multiLevelType w:val="hybridMultilevel"/>
    <w:lvl w:ilvl="0">
      <w:lvlJc w:val="left"/>
      <w:lvlText w:val="(%1)"/>
      <w:numFmt w:val="lowerLetter"/>
      <w:start w:val="2"/>
    </w:lvl>
    <w:lvl w:ilvl="1">
      <w:lvlJc w:val="left"/>
      <w:lvlText w:val="(%2)"/>
      <w:numFmt w:val="lowerRoman"/>
      <w:start w:val="1"/>
    </w:lvl>
  </w:abstractNum>
  <w:abstractNum w:abstractNumId="333">
    <w:nsid w:val="1A54D7BC"/>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9"/>
    </w:lvl>
  </w:abstractNum>
  <w:abstractNum w:abstractNumId="334">
    <w:nsid w:val="42E57EF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335">
    <w:nsid w:val="33537CED"/>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1"/>
    </w:lvl>
  </w:abstractNum>
  <w:abstractNum w:abstractNumId="336">
    <w:nsid w:val="27514ADE"/>
    <w:multiLevelType w:val="hybridMultilevel"/>
    <w:lvl w:ilvl="0">
      <w:lvlJc w:val="left"/>
      <w:lvlText w:val="(%1)"/>
      <w:numFmt w:val="lowerLetter"/>
      <w:start w:val="4"/>
    </w:lvl>
  </w:abstractNum>
  <w:abstractNum w:abstractNumId="337">
    <w:nsid w:val="57071613"/>
    <w:multiLevelType w:val="hybridMultilevel"/>
    <w:lvl w:ilvl="0">
      <w:lvlJc w:val="left"/>
      <w:lvlText w:val="(%1)"/>
      <w:numFmt w:val="lowerLetter"/>
      <w:start w:val="1"/>
    </w:lvl>
  </w:abstractNum>
  <w:abstractNum w:abstractNumId="338">
    <w:nsid w:val="5293BFE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39">
    <w:nsid w:val="38BF53E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40">
    <w:nsid w:val="226F5320"/>
    <w:multiLevelType w:val="hybridMultilevel"/>
    <w:lvl w:ilvl="0">
      <w:lvlJc w:val="left"/>
      <w:lvlText w:val="(%1)"/>
      <w:numFmt w:val="lowerLetter"/>
      <w:start w:val="6"/>
    </w:lvl>
  </w:abstractNum>
  <w:abstractNum w:abstractNumId="341">
    <w:nsid w:val="5A0201C7"/>
    <w:multiLevelType w:val="hybridMultilevel"/>
    <w:lvl w:ilvl="0">
      <w:lvlJc w:val="left"/>
      <w:lvlText w:val="(%1)"/>
      <w:numFmt w:val="lowerLetter"/>
      <w:start w:val="1"/>
    </w:lvl>
  </w:abstractNum>
  <w:abstractNum w:abstractNumId="342">
    <w:nsid w:val="2A9C34E2"/>
    <w:multiLevelType w:val="hybridMultilevel"/>
    <w:lvl w:ilvl="0">
      <w:lvlJc w:val="left"/>
      <w:lvlText w:val="(%1)"/>
      <w:numFmt w:val="decimal"/>
      <w:start w:val="12"/>
    </w:lvl>
  </w:abstractNum>
  <w:abstractNum w:abstractNumId="343">
    <w:nsid w:val="1B7585AB"/>
    <w:multiLevelType w:val="hybridMultilevel"/>
    <w:lvl w:ilvl="0">
      <w:lvlJc w:val="left"/>
      <w:lvlText w:val="%1."/>
      <w:numFmt w:val="decimal"/>
      <w:start w:val="7"/>
    </w:lvl>
  </w:abstractNum>
  <w:abstractNum w:abstractNumId="344">
    <w:nsid w:val="612DBDDD"/>
    <w:multiLevelType w:val="hybridMultilevel"/>
    <w:lvl w:ilvl="0">
      <w:lvlJc w:val="left"/>
      <w:lvlText w:val="(%1)"/>
      <w:numFmt w:val="lowerLetter"/>
      <w:start w:val="1"/>
    </w:lvl>
  </w:abstractNum>
  <w:abstractNum w:abstractNumId="345">
    <w:nsid w:val="2109CDA4"/>
    <w:multiLevelType w:val="hybridMultilevel"/>
    <w:lvl w:ilvl="0">
      <w:lvlJc w:val="left"/>
      <w:lvlText w:val="%1"/>
      <w:numFmt w:val="lowerLetter"/>
      <w:start w:val="1"/>
    </w:lvl>
    <w:lvl w:ilvl="1">
      <w:lvlJc w:val="left"/>
      <w:lvlText w:val="(%2)"/>
      <w:numFmt w:val="lowerLetter"/>
      <w:start w:val="1"/>
    </w:lvl>
  </w:abstractNum>
  <w:abstractNum w:abstractNumId="346">
    <w:nsid w:val="577F5A4D"/>
    <w:multiLevelType w:val="hybridMultilevel"/>
    <w:lvl w:ilvl="0">
      <w:lvlJc w:val="left"/>
      <w:lvlText w:val="(%1)"/>
      <w:numFmt w:val="lowerLetter"/>
      <w:start w:val="9"/>
    </w:lvl>
    <w:lvl w:ilvl="1">
      <w:lvlJc w:val="left"/>
      <w:lvlText w:val="(%2)"/>
      <w:numFmt w:val="lowerLetter"/>
      <w:start w:val="2"/>
    </w:lvl>
  </w:abstractNum>
  <w:abstractNum w:abstractNumId="347">
    <w:nsid w:val="2121A81"/>
    <w:multiLevelType w:val="hybridMultilevel"/>
    <w:lvl w:ilvl="0">
      <w:lvlJc w:val="left"/>
      <w:lvlText w:val="[***]"/>
      <w:numFmt w:val="bullet"/>
      <w:start w:val="1"/>
    </w:lvl>
    <w:lvl w:ilvl="1">
      <w:lvlJc w:val="left"/>
      <w:lvlText w:val="(%2)"/>
      <w:numFmt w:val="lowerLetter"/>
      <w:start w:val="3"/>
    </w:lvl>
  </w:abstractNum>
  <w:abstractNum w:abstractNumId="348">
    <w:nsid w:val="6C2CFC88"/>
    <w:multiLevelType w:val="hybridMultilevel"/>
    <w:lvl w:ilvl="0">
      <w:lvlJc w:val="left"/>
      <w:lvlText w:val="%1."/>
      <w:numFmt w:val="decimal"/>
      <w:start w:val="8"/>
    </w:lvl>
  </w:abstractNum>
  <w:abstractNum w:abstractNumId="349">
    <w:nsid w:val="6D1BCF1C"/>
    <w:multiLevelType w:val="hybridMultilevel"/>
    <w:lvl w:ilvl="0">
      <w:lvlJc w:val="left"/>
      <w:lvlText w:val="(%1)"/>
      <w:numFmt w:val="lowerLetter"/>
      <w:start w:val="1"/>
    </w:lvl>
  </w:abstractNum>
  <w:abstractNum w:abstractNumId="350">
    <w:nsid w:val="4CE5CA53"/>
    <w:multiLevelType w:val="hybridMultilevel"/>
    <w:lvl w:ilvl="0">
      <w:lvlJc w:val="left"/>
      <w:lvlText w:val="%1."/>
      <w:numFmt w:val="decimal"/>
      <w:start w:val="9"/>
    </w:lvl>
  </w:abstractNum>
  <w:abstractNum w:abstractNumId="351">
    <w:nsid w:val="29262D1A"/>
    <w:multiLevelType w:val="hybridMultilevel"/>
    <w:lvl w:ilvl="0">
      <w:lvlJc w:val="left"/>
      <w:lvlText w:val="%1."/>
      <w:numFmt w:val="decimal"/>
      <w:start w:val="10"/>
    </w:lvl>
  </w:abstractNum>
  <w:abstractNum w:abstractNumId="352">
    <w:nsid w:val="557FB7EE"/>
    <w:multiLevelType w:val="hybridMultilevel"/>
    <w:lvl w:ilvl="0">
      <w:lvlJc w:val="left"/>
      <w:lvlText w:val="(%1)"/>
      <w:numFmt w:val="lowerLetter"/>
      <w:start w:val="1"/>
    </w:lvl>
  </w:abstractNum>
  <w:abstractNum w:abstractNumId="353">
    <w:nsid w:val="436F2BEB"/>
    <w:multiLevelType w:val="hybridMultilevel"/>
    <w:lvl w:ilvl="0">
      <w:lvlJc w:val="left"/>
      <w:lvlText w:val="(%1)"/>
      <w:numFmt w:val="lowerLetter"/>
      <w:start w:val="1"/>
    </w:lvl>
  </w:abstractNum>
  <w:abstractNum w:abstractNumId="354">
    <w:nsid w:val="6C8B4466"/>
    <w:multiLevelType w:val="hybridMultilevel"/>
    <w:lvl w:ilvl="0">
      <w:lvlJc w:val="left"/>
      <w:lvlText w:val="%1."/>
      <w:numFmt w:val="decimal"/>
      <w:start w:val="11"/>
    </w:lvl>
  </w:abstractNum>
  <w:abstractNum w:abstractNumId="355">
    <w:nsid w:val="2006E424"/>
    <w:multiLevelType w:val="hybridMultilevel"/>
    <w:lvl w:ilvl="0">
      <w:lvlJc w:val="left"/>
      <w:lvlText w:val="(%1)"/>
      <w:numFmt w:val="lowerLetter"/>
      <w:start w:val="1"/>
    </w:lvl>
  </w:abstractNum>
  <w:abstractNum w:abstractNumId="356">
    <w:nsid w:val="20CC134C"/>
    <w:multiLevelType w:val="hybridMultilevel"/>
    <w:lvl w:ilvl="0">
      <w:lvlJc w:val="left"/>
      <w:lvlText w:val="(%1)"/>
      <w:numFmt w:val="lowerLetter"/>
      <w:start w:val="2"/>
    </w:lvl>
  </w:abstractNum>
  <w:abstractNum w:abstractNumId="357">
    <w:nsid w:val="95FC93B"/>
    <w:multiLevelType w:val="hybridMultilevel"/>
    <w:lvl w:ilvl="0">
      <w:lvlJc w:val="left"/>
      <w:lvlText w:val="(%1)"/>
      <w:numFmt w:val="lowerLetter"/>
      <w:start w:val="1"/>
    </w:lvl>
  </w:abstractNum>
  <w:abstractNum w:abstractNumId="358">
    <w:nsid w:val="41D74679"/>
    <w:multiLevelType w:val="hybridMultilevel"/>
    <w:lvl w:ilvl="0">
      <w:lvlJc w:val="left"/>
      <w:lvlText w:val="%1"/>
      <w:numFmt w:val="decimal"/>
      <w:start w:val="1"/>
    </w:lvl>
    <w:lvl w:ilvl="1">
      <w:lvlJc w:val="left"/>
      <w:lvlText w:val="(%2)"/>
      <w:numFmt w:val="lowerLetter"/>
      <w:start w:val="4"/>
    </w:lvl>
  </w:abstractNum>
  <w:abstractNum w:abstractNumId="359">
    <w:nsid w:val="71E5621E"/>
    <w:multiLevelType w:val="hybridMultilevel"/>
    <w:lvl w:ilvl="0">
      <w:lvlJc w:val="left"/>
      <w:lvlText w:val="%1."/>
      <w:numFmt w:val="decimal"/>
      <w:start w:val="12"/>
    </w:lvl>
    <w:lvl w:ilvl="1">
      <w:lvlJc w:val="left"/>
      <w:lvlText w:val="%2"/>
      <w:numFmt w:val="lowerLetter"/>
      <w:start w:val="1"/>
    </w:lvl>
  </w:abstractNum>
  <w:abstractNum w:abstractNumId="360">
    <w:nsid w:val="4E42B6A8"/>
    <w:multiLevelType w:val="hybridMultilevel"/>
    <w:lvl w:ilvl="0">
      <w:lvlJc w:val="left"/>
      <w:lvlText w:val="(%1)"/>
      <w:numFmt w:val="lowerLetter"/>
      <w:start w:val="1"/>
    </w:lvl>
  </w:abstractNum>
  <w:abstractNum w:abstractNumId="361">
    <w:nsid w:val="43F8E1AC"/>
    <w:multiLevelType w:val="hybridMultilevel"/>
    <w:lvl w:ilvl="0">
      <w:lvlJc w:val="left"/>
      <w:lvlText w:val="(%1)"/>
      <w:numFmt w:val="lowerLetter"/>
      <w:start w:val="1"/>
    </w:lvl>
  </w:abstractNum>
  <w:abstractNum w:abstractNumId="362">
    <w:nsid w:val="69215DFB"/>
    <w:multiLevelType w:val="hybridMultilevel"/>
    <w:lvl w:ilvl="0">
      <w:lvlJc w:val="left"/>
      <w:lvlText w:val="(%1)"/>
      <w:numFmt w:val="lowerLetter"/>
      <w:start w:val="2"/>
    </w:lvl>
  </w:abstractNum>
  <w:abstractNum w:abstractNumId="363">
    <w:nsid w:val="7ABF196A"/>
    <w:multiLevelType w:val="hybridMultilevel"/>
    <w:lvl w:ilvl="0">
      <w:lvlJc w:val="left"/>
      <w:lvlText w:val="(%1)"/>
      <w:numFmt w:val="lowerLetter"/>
      <w:start w:val="1"/>
    </w:lvl>
  </w:abstractNum>
  <w:abstractNum w:abstractNumId="364">
    <w:nsid w:val="5E4DB968"/>
    <w:multiLevelType w:val="hybridMultilevel"/>
    <w:lvl w:ilvl="0">
      <w:lvlJc w:val="left"/>
      <w:lvlText w:val="%1."/>
      <w:numFmt w:val="decimal"/>
      <w:start w:val="13"/>
    </w:lvl>
  </w:abstractNum>
  <w:abstractNum w:abstractNumId="365">
    <w:nsid w:val="2C06DCF3"/>
    <w:multiLevelType w:val="hybridMultilevel"/>
    <w:lvl w:ilvl="0">
      <w:lvlJc w:val="left"/>
      <w:lvlText w:val="(%1)"/>
      <w:numFmt w:val="lowerLetter"/>
      <w:start w:val="1"/>
    </w:lvl>
  </w:abstractNum>
  <w:abstractNum w:abstractNumId="366">
    <w:nsid w:val="2E129658"/>
    <w:multiLevelType w:val="hybridMultilevel"/>
    <w:lvl w:ilvl="0">
      <w:lvlJc w:val="left"/>
      <w:lvlText w:val="(%1)"/>
      <w:numFmt w:val="lowerLetter"/>
      <w:start w:val="2"/>
    </w:lvl>
  </w:abstractNum>
  <w:abstractNum w:abstractNumId="367">
    <w:nsid w:val="59F0446"/>
    <w:multiLevelType w:val="hybridMultilevel"/>
    <w:lvl w:ilvl="0">
      <w:lvlJc w:val="left"/>
      <w:lvlText w:val="%1."/>
      <w:numFmt w:val="decimal"/>
      <w:start w:val="1"/>
    </w:lvl>
  </w:abstractNum>
  <w:abstractNum w:abstractNumId="368">
    <w:nsid w:val="30DF306"/>
    <w:multiLevelType w:val="hybridMultilevel"/>
    <w:lvl w:ilvl="0">
      <w:lvlJc w:val="left"/>
      <w:lvlText w:val="%1."/>
      <w:numFmt w:val="decimal"/>
      <w:start w:val="3"/>
    </w:lvl>
  </w:abstractNum>
  <w:abstractNum w:abstractNumId="369">
    <w:nsid w:val="A65647"/>
    <w:multiLevelType w:val="hybridMultilevel"/>
    <w:lvl w:ilvl="0">
      <w:lvlJc w:val="left"/>
      <w:lvlText w:val="%1."/>
      <w:numFmt w:val="decimal"/>
      <w:start w:val="7"/>
    </w:lvl>
  </w:abstractNum>
  <w:abstractNum w:abstractNumId="370">
    <w:nsid w:val="3E5E582B"/>
    <w:multiLevelType w:val="hybridMultilevel"/>
    <w:lvl w:ilvl="0">
      <w:lvlJc w:val="left"/>
      <w:lvlText w:val="(%1)"/>
      <w:numFmt w:val="lowerLetter"/>
      <w:start w:val="1"/>
    </w:lvl>
  </w:abstractNum>
  <w:abstractNum w:abstractNumId="371">
    <w:nsid w:val="257D4626"/>
    <w:multiLevelType w:val="hybridMultilevel"/>
    <w:lvl w:ilvl="0">
      <w:lvlJc w:val="left"/>
      <w:lvlText w:val="(%1)"/>
      <w:numFmt w:val="lowerLetter"/>
      <w:start w:val="2"/>
    </w:lvl>
  </w:abstractNum>
  <w:abstractNum w:abstractNumId="372">
    <w:nsid w:val="5AA8580E"/>
    <w:multiLevelType w:val="hybridMultilevel"/>
    <w:lvl w:ilvl="0">
      <w:lvlJc w:val="left"/>
      <w:lvlText w:val="(%1)"/>
      <w:numFmt w:val="lowerLetter"/>
      <w:start w:val="5"/>
    </w:lvl>
  </w:abstractNum>
  <w:abstractNum w:abstractNumId="373">
    <w:nsid w:val="68FA8D0D"/>
    <w:multiLevelType w:val="hybridMultilevel"/>
    <w:lvl w:ilvl="0">
      <w:lvlJc w:val="left"/>
      <w:lvlText w:val="(%1)"/>
      <w:numFmt w:val="lowerLetter"/>
      <w:start w:val="6"/>
    </w:lvl>
  </w:abstractNum>
  <w:abstractNum w:abstractNumId="374">
    <w:nsid w:val="40F2CBD2"/>
    <w:multiLevelType w:val="hybridMultilevel"/>
    <w:lvl w:ilvl="0">
      <w:lvlJc w:val="left"/>
      <w:lvlText w:val="(%1)"/>
      <w:numFmt w:val="lowerLetter"/>
      <w:start w:val="1"/>
    </w:lvl>
  </w:abstractNum>
  <w:abstractNum w:abstractNumId="375">
    <w:nsid w:val="3BD615EB"/>
    <w:multiLevelType w:val="hybridMultilevel"/>
    <w:lvl w:ilvl="0">
      <w:lvlJc w:val="left"/>
      <w:lvlText w:val="(%1)"/>
      <w:numFmt w:val="lowerLetter"/>
      <w:start w:val="3"/>
    </w:lvl>
  </w:abstractNum>
  <w:abstractNum w:abstractNumId="376">
    <w:nsid w:val="A045AB2"/>
    <w:multiLevelType w:val="hybridMultilevel"/>
    <w:lvl w:ilvl="0">
      <w:lvlJc w:val="left"/>
      <w:lvlText w:val="(%1)"/>
      <w:numFmt w:val="lowerLetter"/>
      <w:start w:val="1"/>
    </w:lvl>
  </w:abstractNum>
  <w:abstractNum w:abstractNumId="377">
    <w:nsid w:val="1872261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78">
    <w:nsid w:val="3DE8306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379">
    <w:nsid w:val="7631573A"/>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380">
    <w:nsid w:val="58DF53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381">
    <w:nsid w:val="ACDFAC0"/>
    <w:multiLevelType w:val="hybridMultilevel"/>
    <w:lvl w:ilvl="0">
      <w:lvlJc w:val="left"/>
      <w:lvlText w:val="(%1)"/>
      <w:numFmt w:val="lowerLetter"/>
      <w:start w:val="1"/>
    </w:lvl>
  </w:abstractNum>
  <w:abstractNum w:abstractNumId="382">
    <w:nsid w:val="1F578454"/>
    <w:multiLevelType w:val="hybridMultilevel"/>
    <w:lvl w:ilvl="0">
      <w:lvlJc w:val="left"/>
      <w:lvlText w:val="1"/>
      <w:numFmt w:val="bullet"/>
      <w:start w:val="1"/>
    </w:lvl>
  </w:abstractNum>
  <w:abstractNum w:abstractNumId="383">
    <w:nsid w:val="5B0DAD2A"/>
    <w:multiLevelType w:val="hybridMultilevel"/>
    <w:lvl w:ilvl="0">
      <w:lvlJc w:val="left"/>
      <w:lvlText w:val="2"/>
      <w:numFmt w:val="bullet"/>
      <w:start w:val="1"/>
    </w:lvl>
  </w:abstractNum>
  <w:abstractNum w:abstractNumId="384">
    <w:nsid w:val="4E3D26AB"/>
    <w:multiLevelType w:val="hybridMultilevel"/>
    <w:lvl w:ilvl="0">
      <w:lvlJc w:val="left"/>
      <w:lvlText w:val="3"/>
      <w:numFmt w:val="bullet"/>
      <w:start w:val="1"/>
    </w:lvl>
  </w:abstractNum>
  <w:abstractNum w:abstractNumId="385">
    <w:nsid w:val="BE2C8BA"/>
    <w:multiLevelType w:val="hybridMultilevel"/>
    <w:lvl w:ilvl="0">
      <w:lvlJc w:val="left"/>
      <w:lvlText w:val="4"/>
      <w:numFmt w:val="bullet"/>
      <w:start w:val="1"/>
    </w:lvl>
    <w:lvl w:ilvl="1">
      <w:lvlJc w:val="left"/>
      <w:lvlText w:val="%2."/>
      <w:numFmt w:val="lowerLetter"/>
      <w:start w:val="1"/>
    </w:lvl>
  </w:abstractNum>
  <w:abstractNum w:abstractNumId="386">
    <w:nsid w:val="7B14914E"/>
    <w:multiLevelType w:val="hybridMultilevel"/>
    <w:lvl w:ilvl="0">
      <w:lvlJc w:val="left"/>
      <w:lvlText w:val="5"/>
      <w:numFmt w:val="bullet"/>
      <w:start w:val="1"/>
    </w:lvl>
  </w:abstractNum>
  <w:abstractNum w:abstractNumId="387">
    <w:nsid w:val="6F0939F8"/>
    <w:multiLevelType w:val="hybridMultilevel"/>
    <w:lvl w:ilvl="0">
      <w:lvlJc w:val="left"/>
      <w:lvlText w:val="*"/>
      <w:numFmt w:val="bullet"/>
      <w:start w:val="1"/>
    </w:lvl>
  </w:abstractNum>
  <w:abstractNum w:abstractNumId="388">
    <w:nsid w:val="154291F6"/>
    <w:multiLevelType w:val="hybridMultilevel"/>
    <w:lvl w:ilvl="0">
      <w:lvlJc w:val="left"/>
      <w:lvlText w:val="6"/>
      <w:numFmt w:val="bullet"/>
      <w:start w:val="1"/>
    </w:lvl>
  </w:abstractNum>
  <w:abstractNum w:abstractNumId="389">
    <w:nsid w:val="3CEBD7C7"/>
    <w:multiLevelType w:val="hybridMultilevel"/>
    <w:lvl w:ilvl="0">
      <w:lvlJc w:val="left"/>
      <w:lvlText w:val="7"/>
      <w:numFmt w:val="bullet"/>
      <w:start w:val="1"/>
    </w:lvl>
  </w:abstractNum>
  <w:abstractNum w:abstractNumId="390">
    <w:nsid w:val="60EE9C16"/>
    <w:multiLevelType w:val="hybridMultilevel"/>
    <w:lvl w:ilvl="0">
      <w:lvlJc w:val="left"/>
      <w:lvlText w:val="8"/>
      <w:numFmt w:val="bullet"/>
      <w:start w:val="1"/>
    </w:lvl>
  </w:abstractNum>
  <w:abstractNum w:abstractNumId="391">
    <w:nsid w:val="6385489E"/>
    <w:multiLevelType w:val="hybridMultilevel"/>
    <w:lvl w:ilvl="0">
      <w:lvlJc w:val="left"/>
      <w:lvlText w:val="9"/>
      <w:numFmt w:val="bullet"/>
      <w:start w:val="1"/>
    </w:lvl>
  </w:abstractNum>
  <w:abstractNum w:abstractNumId="392">
    <w:nsid w:val="E4B973"/>
    <w:multiLevelType w:val="hybridMultilevel"/>
    <w:lvl w:ilvl="0">
      <w:lvlJc w:val="left"/>
      <w:lvlText w:val="%1"/>
      <w:numFmt w:val="decimal"/>
      <w:start w:val="10"/>
    </w:lvl>
    <w:lvl w:ilvl="1">
      <w:lvlJc w:val="left"/>
      <w:lvlText w:val="%2."/>
      <w:numFmt w:val="lowerLetter"/>
      <w:start w:val="1"/>
    </w:lvl>
  </w:abstractNum>
  <w:abstractNum w:abstractNumId="393">
    <w:nsid w:val="4A0FFA11"/>
    <w:multiLevelType w:val="hybridMultilevel"/>
    <w:lvl w:ilvl="0">
      <w:lvlJc w:val="left"/>
      <w:lvlText w:val="%1."/>
      <w:numFmt w:val="lowerLetter"/>
      <w:start w:val="4"/>
    </w:lvl>
  </w:abstractNum>
  <w:abstractNum w:abstractNumId="394">
    <w:nsid w:val="5E446208"/>
    <w:multiLevelType w:val="hybridMultilevel"/>
    <w:lvl w:ilvl="0">
      <w:lvlJc w:val="left"/>
      <w:lvlText w:val="%1"/>
      <w:numFmt w:val="decimal"/>
      <w:start w:val="11"/>
    </w:lvl>
  </w:abstractNum>
  <w:abstractNum w:abstractNumId="395">
    <w:nsid w:val="5F3272D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96">
    <w:nsid w:val="7616D704"/>
    <w:multiLevelType w:val="hybridMultilevel"/>
    <w:lvl w:ilvl="0">
      <w:lvlJc w:val="left"/>
      <w:lvlText w:val="%1."/>
      <w:numFmt w:val="lowerLetter"/>
      <w:start w:val="3"/>
    </w:lvl>
  </w:abstractNum>
  <w:abstractNum w:abstractNumId="397">
    <w:nsid w:val="C56F860"/>
    <w:multiLevelType w:val="hybridMultilevel"/>
    <w:lvl w:ilvl="0">
      <w:lvlJc w:val="left"/>
      <w:lvlText w:val="%1"/>
      <w:numFmt w:val="decimal"/>
      <w:start w:val="16"/>
    </w:lvl>
  </w:abstractNum>
  <w:abstractNum w:abstractNumId="398">
    <w:nsid w:val="64D17722"/>
    <w:multiLevelType w:val="hybridMultilevel"/>
    <w:lvl w:ilvl="0">
      <w:lvlJc w:val="left"/>
      <w:lvlText w:val="%1"/>
      <w:numFmt w:val="decimal"/>
      <w:start w:val="20"/>
    </w:lvl>
  </w:abstractNum>
  <w:abstractNum w:abstractNumId="399">
    <w:nsid w:val="7924CA0A"/>
    <w:multiLevelType w:val="hybridMultilevel"/>
    <w:lvl w:ilvl="0">
      <w:lvlJc w:val="left"/>
      <w:lvlText w:val="%1"/>
      <w:numFmt w:val="decimal"/>
      <w:start w:val="29"/>
    </w:lvl>
    <w:lvl w:ilvl="1">
      <w:lvlJc w:val="left"/>
      <w:lvlText w:val="%2."/>
      <w:numFmt w:val="lowerLetter"/>
      <w:start w:val="1"/>
    </w:lvl>
  </w:abstractNum>
  <w:abstractNum w:abstractNumId="400">
    <w:nsid w:val="CFD4EA7"/>
    <w:multiLevelType w:val="hybridMultilevel"/>
    <w:lvl w:ilvl="0">
      <w:lvlJc w:val="left"/>
      <w:lvlText w:val="%1"/>
      <w:numFmt w:val="decimal"/>
      <w:start w:val="30"/>
    </w:lvl>
  </w:abstractNum>
  <w:abstractNum w:abstractNumId="401">
    <w:nsid w:val="232FCF4D"/>
    <w:multiLevelType w:val="hybridMultilevel"/>
    <w:lvl w:ilvl="0">
      <w:lvlJc w:val="left"/>
      <w:lvlText w:val="%1."/>
      <w:numFmt w:val="decimal"/>
      <w:start w:val="1"/>
    </w:lvl>
  </w:abstractNum>
  <w:abstractNum w:abstractNumId="402">
    <w:nsid w:val="1EA2103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2020-09-25T23:02:35Z</dcterms:created>
  <dcterms:modified xsi:type="dcterms:W3CDTF">2020-09-25T23:02:35Z</dcterms:modified>
</cp:coreProperties>
</file>