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139065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162560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TARSUS PHARMACEUTICALS,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tbl>
      <w:tblPr>
        <w:tblLayout w:type="fixed"/>
        <w:tblInd w:w="1540" w:type="dxa"/>
        <w:tblCellMar>
          <w:top w:w="0" w:type="dxa"/>
          <w:left w:w="0" w:type="dxa"/>
          <w:bottom w:w="0" w:type="dxa"/>
          <w:right w:w="0" w:type="dxa"/>
        </w:tblCellMar>
      </w:tblPr>
      <w:tr>
        <w:trPr>
          <w:trHeight w:val="142"/>
        </w:trPr>
        <w:tc>
          <w:tcPr>
            <w:tcW w:w="1920" w:type="dxa"/>
            <w:vAlign w:val="bottom"/>
          </w:tcPr>
          <w:p>
            <w:pPr>
              <w:jc w:val="center"/>
              <w:ind w:right="78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280" w:type="dxa"/>
            <w:vAlign w:val="bottom"/>
          </w:tcPr>
          <w:p>
            <w:pPr>
              <w:ind w:left="860"/>
              <w:spacing w:after="0"/>
              <w:rPr>
                <w:sz w:val="20"/>
                <w:szCs w:val="20"/>
                <w:color w:val="auto"/>
              </w:rPr>
            </w:pPr>
            <w:r>
              <w:rPr>
                <w:rFonts w:ascii="Times New Roman" w:cs="Times New Roman" w:eastAsia="Times New Roman" w:hAnsi="Times New Roman"/>
                <w:sz w:val="12"/>
                <w:szCs w:val="12"/>
                <w:b w:val="1"/>
                <w:bCs w:val="1"/>
                <w:color w:val="auto"/>
              </w:rPr>
              <w:t>001-39614</w:t>
            </w:r>
          </w:p>
        </w:tc>
        <w:tc>
          <w:tcPr>
            <w:tcW w:w="1640" w:type="dxa"/>
            <w:vAlign w:val="bottom"/>
          </w:tcPr>
          <w:p>
            <w:pPr>
              <w:jc w:val="center"/>
              <w:ind w:left="848"/>
              <w:spacing w:after="0"/>
              <w:rPr>
                <w:sz w:val="20"/>
                <w:szCs w:val="20"/>
                <w:color w:val="auto"/>
              </w:rPr>
            </w:pPr>
            <w:r>
              <w:rPr>
                <w:rFonts w:ascii="Times New Roman" w:cs="Times New Roman" w:eastAsia="Times New Roman" w:hAnsi="Times New Roman"/>
                <w:sz w:val="12"/>
                <w:szCs w:val="12"/>
                <w:b w:val="1"/>
                <w:bCs w:val="1"/>
                <w:color w:val="auto"/>
                <w:w w:val="99"/>
              </w:rPr>
              <w:t>81-4717861</w:t>
            </w:r>
          </w:p>
        </w:tc>
      </w:tr>
      <w:tr>
        <w:trPr>
          <w:trHeight w:val="99"/>
        </w:trPr>
        <w:tc>
          <w:tcPr>
            <w:tcW w:w="1920" w:type="dxa"/>
            <w:vAlign w:val="bottom"/>
          </w:tcPr>
          <w:p>
            <w:pPr>
              <w:jc w:val="center"/>
              <w:ind w:right="788"/>
              <w:spacing w:after="0" w:line="99" w:lineRule="exact"/>
              <w:rPr>
                <w:sz w:val="20"/>
                <w:szCs w:val="20"/>
                <w:color w:val="auto"/>
              </w:rPr>
            </w:pPr>
            <w:r>
              <w:rPr>
                <w:rFonts w:ascii="Times New Roman" w:cs="Times New Roman" w:eastAsia="Times New Roman" w:hAnsi="Times New Roman"/>
                <w:sz w:val="10"/>
                <w:szCs w:val="10"/>
                <w:b w:val="1"/>
                <w:bCs w:val="1"/>
                <w:color w:val="auto"/>
                <w:w w:val="94"/>
              </w:rPr>
              <w:t>(State or other jurisdiction</w:t>
            </w:r>
          </w:p>
        </w:tc>
        <w:tc>
          <w:tcPr>
            <w:tcW w:w="2280" w:type="dxa"/>
            <w:vAlign w:val="bottom"/>
          </w:tcPr>
          <w:p>
            <w:pPr>
              <w:ind w:left="860"/>
              <w:spacing w:after="0" w:line="99"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640" w:type="dxa"/>
            <w:vAlign w:val="bottom"/>
          </w:tcPr>
          <w:p>
            <w:pPr>
              <w:jc w:val="center"/>
              <w:ind w:left="828"/>
              <w:spacing w:after="0" w:line="99" w:lineRule="exact"/>
              <w:rPr>
                <w:sz w:val="20"/>
                <w:szCs w:val="20"/>
                <w:color w:val="auto"/>
              </w:rPr>
            </w:pPr>
            <w:r>
              <w:rPr>
                <w:rFonts w:ascii="Times New Roman" w:cs="Times New Roman" w:eastAsia="Times New Roman" w:hAnsi="Times New Roman"/>
                <w:sz w:val="10"/>
                <w:szCs w:val="10"/>
                <w:b w:val="1"/>
                <w:bCs w:val="1"/>
                <w:color w:val="auto"/>
                <w:w w:val="94"/>
              </w:rPr>
              <w:t>(I.R.S. Employer</w:t>
            </w:r>
          </w:p>
        </w:tc>
      </w:tr>
      <w:tr>
        <w:trPr>
          <w:trHeight w:val="125"/>
        </w:trPr>
        <w:tc>
          <w:tcPr>
            <w:tcW w:w="1920" w:type="dxa"/>
            <w:vAlign w:val="bottom"/>
          </w:tcPr>
          <w:p>
            <w:pPr>
              <w:jc w:val="center"/>
              <w:ind w:right="808"/>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2280" w:type="dxa"/>
            <w:vAlign w:val="bottom"/>
          </w:tcPr>
          <w:p>
            <w:pPr>
              <w:ind w:left="84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640" w:type="dxa"/>
            <w:vAlign w:val="bottom"/>
          </w:tcPr>
          <w:p>
            <w:pPr>
              <w:jc w:val="center"/>
              <w:ind w:left="828"/>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bl>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15440 Laguna Canyon Road, Suite 160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Irvine, CA 92618</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(949) 409-9820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2"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18"/>
        </w:trPr>
        <w:tc>
          <w:tcPr>
            <w:tcW w:w="24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Common Stock, $0.0001 par value per share</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TARS</w:t>
            </w:r>
          </w:p>
        </w:tc>
        <w:tc>
          <w:tcPr>
            <w:tcW w:w="60" w:type="dxa"/>
            <w:vAlign w:val="bottom"/>
          </w:tcPr>
          <w:p>
            <w:pPr>
              <w:spacing w:after="0"/>
              <w:rPr>
                <w:sz w:val="10"/>
                <w:szCs w:val="10"/>
                <w:color w:val="auto"/>
              </w:rPr>
            </w:pPr>
          </w:p>
        </w:tc>
        <w:tc>
          <w:tcPr>
            <w:tcW w:w="2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The Nasdaq Global Market LLC</w:t>
            </w: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tc>
        <w:tc>
          <w:tcPr>
            <w:tcW w:w="0" w:type="dxa"/>
            <w:vAlign w:val="bottom"/>
          </w:tcPr>
          <w:p>
            <w:pPr>
              <w:spacing w:after="0"/>
              <w:rPr>
                <w:sz w:val="1"/>
                <w:szCs w:val="1"/>
                <w:color w:val="auto"/>
              </w:rPr>
            </w:pPr>
          </w:p>
        </w:tc>
      </w:tr>
    </w:tbl>
    <w:p>
      <w:pPr>
        <w:spacing w:after="0" w:line="142" w:lineRule="exact"/>
        <w:rPr>
          <w:sz w:val="24"/>
          <w:szCs w:val="24"/>
          <w:color w:val="auto"/>
        </w:rPr>
      </w:pPr>
    </w:p>
    <w:p>
      <w:pPr>
        <w:ind w:left="840" w:right="91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(CFR §240.12b-2).</w:t>
      </w:r>
    </w:p>
    <w:p>
      <w:pPr>
        <w:spacing w:after="0" w:line="91"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95250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123825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ind w:left="840" w:right="1019"/>
        <w:spacing w:after="0" w:line="279" w:lineRule="auto"/>
        <w:rPr>
          <w:sz w:val="20"/>
          <w:szCs w:val="20"/>
          <w:color w:val="auto"/>
        </w:rPr>
      </w:pPr>
      <w:r>
        <w:rPr>
          <w:rFonts w:ascii="Times New Roman" w:cs="Times New Roman" w:eastAsia="Times New Roman" w:hAnsi="Times New Roman"/>
          <w:sz w:val="12"/>
          <w:szCs w:val="12"/>
          <w:color w:val="auto"/>
        </w:rPr>
        <w:t>On May 2, 2022, Tarsus Pharmaceuticals, Inc. (the “Company”) issued a press release announcing positive results of the Company’s Saturn-2 pivotal Phase 3 trial evaluating TP-03 for the treatment of Demodex blepharitis.</w:t>
      </w:r>
    </w:p>
    <w:p>
      <w:pPr>
        <w:spacing w:after="0" w:line="111" w:lineRule="exact"/>
        <w:rPr>
          <w:sz w:val="20"/>
          <w:szCs w:val="20"/>
          <w:color w:val="auto"/>
        </w:rPr>
      </w:pPr>
    </w:p>
    <w:p>
      <w:pPr>
        <w:ind w:left="840" w:right="1039"/>
        <w:spacing w:after="0" w:line="265" w:lineRule="auto"/>
        <w:rPr>
          <w:sz w:val="20"/>
          <w:szCs w:val="20"/>
          <w:color w:val="auto"/>
        </w:rPr>
      </w:pPr>
      <w:r>
        <w:rPr>
          <w:rFonts w:ascii="Times New Roman" w:cs="Times New Roman" w:eastAsia="Times New Roman" w:hAnsi="Times New Roman"/>
          <w:sz w:val="12"/>
          <w:szCs w:val="12"/>
          <w:color w:val="auto"/>
        </w:rPr>
        <w:t>Additionally, on May 2, 2022, the Company presented a corporate presentation relating to its positive results of the Saturn-2 pivotal Phase 3 trial evaluating TP-03 for the treatment of Demodex blepharitis and posted the corporate presentation to the investor section of the Company’s website. A copy of this presentation is filed as Exhibit 99.1 to this Current Report on Form 8-K (the “Report”).</w:t>
      </w:r>
    </w:p>
    <w:p>
      <w:pPr>
        <w:spacing w:after="0" w:line="119"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The information in this Report, including Exhibit 99.1 hereto, is being furnished and shall not be deemed “filed” for the purposes of Section 18 of the Securities Exchange Act of 1934, as amended (“Exchange Act”), or otherwise subject to the liabilities of that Section, and shall not be deemed incorporated by reference in any registration statement or other filing pursuant to the Securities Act of 1933, as amended, or the Exchange Act, except as otherwise expressly stated in such filing.</w:t>
      </w:r>
    </w:p>
    <w:p>
      <w:pPr>
        <w:spacing w:after="0" w:line="217"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Exhibit</w:t>
      </w:r>
    </w:p>
    <w:p>
      <w:pPr>
        <w:ind w:left="900"/>
        <w:spacing w:after="0" w:line="236" w:lineRule="auto"/>
        <w:tabs>
          <w:tab w:leader="none" w:pos="1380" w:val="left"/>
        </w:tabs>
        <w:rPr>
          <w:sz w:val="20"/>
          <w:szCs w:val="20"/>
          <w:color w:val="auto"/>
        </w:rPr>
      </w:pPr>
      <w:r>
        <w:rPr>
          <w:rFonts w:ascii="Times New Roman" w:cs="Times New Roman" w:eastAsia="Times New Roman" w:hAnsi="Times New Roman"/>
          <w:sz w:val="10"/>
          <w:szCs w:val="10"/>
          <w:color w:val="auto"/>
        </w:rPr>
        <w:t>No.</w:t>
      </w:r>
      <w:r>
        <w:rPr>
          <w:sz w:val="20"/>
          <w:szCs w:val="20"/>
          <w:color w:val="auto"/>
        </w:rPr>
        <w:tab/>
      </w:r>
      <w:r>
        <w:rPr>
          <w:rFonts w:ascii="Times New Roman" w:cs="Times New Roman" w:eastAsia="Times New Roman" w:hAnsi="Times New Roman"/>
          <w:sz w:val="10"/>
          <w:szCs w:val="10"/>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wp:posOffset>
            </wp:positionV>
            <wp:extent cx="1828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880" cy="5715"/>
                    </a:xfrm>
                    <a:prstGeom prst="rect">
                      <a:avLst/>
                    </a:prstGeom>
                    <a:noFill/>
                  </pic:spPr>
                </pic:pic>
              </a:graphicData>
            </a:graphic>
          </wp:anchor>
        </w:drawing>
      </w:r>
    </w:p>
    <w:p>
      <w:pPr>
        <w:spacing w:after="0" w:line="41" w:lineRule="exact"/>
        <w:rPr>
          <w:sz w:val="20"/>
          <w:szCs w:val="20"/>
          <w:color w:val="auto"/>
        </w:rPr>
      </w:pPr>
    </w:p>
    <w:p>
      <w:pPr>
        <w:ind w:left="840"/>
        <w:spacing w:after="0"/>
        <w:tabs>
          <w:tab w:leader="none" w:pos="138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1"/>
          <w:szCs w:val="11"/>
          <w:u w:val="single" w:color="auto"/>
          <w:color w:val="0000EE"/>
        </w:rPr>
        <w:t>Tarsus Pharmaceuticals, Inc. Corporate Presentation.</w:t>
      </w:r>
    </w:p>
    <w:p>
      <w:pPr>
        <w:spacing w:after="0" w:line="78" w:lineRule="exact"/>
        <w:rPr>
          <w:sz w:val="20"/>
          <w:szCs w:val="20"/>
          <w:color w:val="auto"/>
        </w:rPr>
      </w:pPr>
    </w:p>
    <w:p>
      <w:pPr>
        <w:ind w:left="840"/>
        <w:spacing w:after="0"/>
        <w:tabs>
          <w:tab w:leader="none" w:pos="138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XBRL document)</w:t>
      </w:r>
    </w:p>
    <w:p>
      <w:pPr>
        <w:sectPr>
          <w:pgSz w:w="11900" w:h="16838" w:orient="portrait"/>
          <w:cols w:equalWidth="0" w:num="1">
            <w:col w:w="9019"/>
          </w:cols>
          <w:pgMar w:left="1440" w:top="242"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0"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840"/>
        <w:spacing w:after="0"/>
        <w:tabs>
          <w:tab w:leader="none" w:pos="4560" w:val="left"/>
        </w:tabs>
        <w:rPr>
          <w:sz w:val="20"/>
          <w:szCs w:val="20"/>
          <w:color w:val="auto"/>
        </w:rPr>
      </w:pPr>
      <w:r>
        <w:rPr>
          <w:rFonts w:ascii="Times New Roman" w:cs="Times New Roman" w:eastAsia="Times New Roman" w:hAnsi="Times New Roman"/>
          <w:sz w:val="12"/>
          <w:szCs w:val="12"/>
          <w:color w:val="auto"/>
        </w:rPr>
        <w:t>Date: May 2, 2022</w:t>
      </w:r>
      <w:r>
        <w:rPr>
          <w:sz w:val="20"/>
          <w:szCs w:val="20"/>
          <w:color w:val="auto"/>
        </w:rPr>
        <w:tab/>
      </w:r>
      <w:r>
        <w:rPr>
          <w:rFonts w:ascii="Times New Roman" w:cs="Times New Roman" w:eastAsia="Times New Roman" w:hAnsi="Times New Roman"/>
          <w:sz w:val="11"/>
          <w:szCs w:val="11"/>
          <w:color w:val="auto"/>
        </w:rPr>
        <w:t>Tarsus Pharmaceuticals, Inc.</w:t>
      </w:r>
    </w:p>
    <w:p>
      <w:pPr>
        <w:spacing w:after="0" w:line="150" w:lineRule="exact"/>
        <w:rPr>
          <w:sz w:val="20"/>
          <w:szCs w:val="20"/>
          <w:color w:val="auto"/>
        </w:rPr>
      </w:pPr>
    </w:p>
    <w:p>
      <w:pPr>
        <w:ind w:left="4580"/>
        <w:spacing w:after="0"/>
        <w:tabs>
          <w:tab w:leader="none" w:pos="48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Leo M. Greenstein</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jc w:val="right"/>
        <w:ind w:right="1099"/>
        <w:spacing w:after="0"/>
        <w:rPr>
          <w:sz w:val="20"/>
          <w:szCs w:val="20"/>
          <w:color w:val="auto"/>
        </w:rPr>
      </w:pPr>
      <w:r>
        <w:rPr>
          <w:rFonts w:ascii="Times New Roman" w:cs="Times New Roman" w:eastAsia="Times New Roman" w:hAnsi="Times New Roman"/>
          <w:sz w:val="12"/>
          <w:szCs w:val="12"/>
          <w:i w:val="1"/>
          <w:iCs w:val="1"/>
          <w:color w:val="auto"/>
        </w:rPr>
        <w:t>(Principal Financial Officer and Principal Accounting Officer)</w:t>
      </w:r>
    </w:p>
    <w:p>
      <w:pPr>
        <w:sectPr>
          <w:pgSz w:w="11900" w:h="16838" w:orient="portrait"/>
          <w:cols w:equalWidth="0" w:num="1">
            <w:col w:w="9019"/>
          </w:cols>
          <w:pgMar w:left="1440" w:top="246" w:right="1440" w:bottom="1440" w:gutter="0" w:footer="0" w:header="0"/>
        </w:sectPr>
      </w:pPr>
    </w:p>
    <w:bookmarkStart w:id="3" w:name="page4"/>
    <w:bookmarkEnd w:id="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2022-05-02T07:06:34Z</dcterms:created>
  <dcterms:modified xsi:type="dcterms:W3CDTF">2022-05-02T07:06:34Z</dcterms:modified>
</cp:coreProperties>
</file>