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6309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630936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632"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LINK WILLIAM J PHD</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80"/>
        <w:spacing w:after="0" w:line="403"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IRVINE</w:t>
            </w:r>
          </w:p>
        </w:tc>
        <w:tc>
          <w:tcPr>
            <w:tcW w:w="1120" w:type="dxa"/>
            <w:vAlign w:val="bottom"/>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92618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Tarsus Pharmaceuticals,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TARS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540" w:type="dxa"/>
            <w:vAlign w:val="bottom"/>
            <w:gridSpan w:val="3"/>
          </w:tcPr>
          <w:p>
            <w:pPr>
              <w:ind w:left="80"/>
              <w:spacing w:after="0"/>
              <w:rPr>
                <w:sz w:val="20"/>
                <w:szCs w:val="20"/>
                <w:color w:val="auto"/>
              </w:rPr>
            </w:pPr>
            <w:r>
              <w:rPr>
                <w:rFonts w:ascii="Arial" w:cs="Arial" w:eastAsia="Arial" w:hAnsi="Arial"/>
                <w:sz w:val="18"/>
                <w:szCs w:val="18"/>
                <w:color w:val="0000FF"/>
              </w:rPr>
              <w:t>05/11/2023</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632"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20"/>
              <w:spacing w:after="0" w:line="136"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(D) or</w:t>
            </w:r>
          </w:p>
        </w:tc>
        <w:tc>
          <w:tcPr>
            <w:tcW w:w="540" w:type="dxa"/>
            <w:vAlign w:val="bottom"/>
          </w:tcPr>
          <w:p>
            <w:pPr>
              <w:spacing w:after="0"/>
              <w:rPr>
                <w:sz w:val="11"/>
                <w:szCs w:val="11"/>
                <w:color w:val="auto"/>
              </w:rPr>
            </w:pPr>
          </w:p>
        </w:tc>
        <w:tc>
          <w:tcPr>
            <w:tcW w:w="1080" w:type="dxa"/>
            <w:vAlign w:val="bottom"/>
            <w:gridSpan w:val="4"/>
          </w:tcPr>
          <w:p>
            <w:pPr>
              <w:ind w:left="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500" w:type="dxa"/>
            <w:vAlign w:val="bottom"/>
          </w:tcPr>
          <w:p>
            <w:pPr>
              <w:spacing w:after="0"/>
              <w:rPr>
                <w:sz w:val="14"/>
                <w:szCs w:val="14"/>
                <w:color w:val="auto"/>
              </w:rPr>
            </w:pPr>
          </w:p>
        </w:tc>
        <w:tc>
          <w:tcPr>
            <w:tcW w:w="8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4"/>
          </w:tcPr>
          <w:p>
            <w:pPr>
              <w:ind w:left="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8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4"/>
          </w:tcPr>
          <w:p>
            <w:pPr>
              <w:ind w:left="40"/>
              <w:spacing w:after="0"/>
              <w:rPr>
                <w:sz w:val="20"/>
                <w:szCs w:val="20"/>
                <w:color w:val="auto"/>
              </w:rPr>
            </w:pPr>
            <w:r>
              <w:rPr>
                <w:rFonts w:ascii="Arial" w:cs="Arial" w:eastAsia="Arial" w:hAnsi="Arial"/>
                <w:sz w:val="18"/>
                <w:szCs w:val="18"/>
                <w:color w:val="0000FF"/>
              </w:rPr>
              <w:t>By Flying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40" w:type="dxa"/>
            <w:vAlign w:val="bottom"/>
            <w:gridSpan w:val="3"/>
            <w:vMerge w:val="restart"/>
          </w:tcPr>
          <w:p>
            <w:pPr>
              <w:ind w:left="420"/>
              <w:spacing w:after="0"/>
              <w:rPr>
                <w:sz w:val="20"/>
                <w:szCs w:val="20"/>
                <w:color w:val="auto"/>
              </w:rPr>
            </w:pPr>
            <w:r>
              <w:rPr>
                <w:rFonts w:ascii="Arial" w:cs="Arial" w:eastAsia="Arial" w:hAnsi="Arial"/>
                <w:sz w:val="18"/>
                <w:szCs w:val="18"/>
                <w:color w:val="0000FF"/>
              </w:rPr>
              <w:t>05/11/2023</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80" w:type="dxa"/>
            <w:vAlign w:val="bottom"/>
            <w:vMerge w:val="restart"/>
          </w:tcPr>
          <w:p>
            <w:pPr>
              <w:jc w:val="right"/>
              <w:ind w:right="72"/>
              <w:spacing w:after="0"/>
              <w:rPr>
                <w:sz w:val="20"/>
                <w:szCs w:val="20"/>
                <w:color w:val="auto"/>
              </w:rPr>
            </w:pPr>
            <w:r>
              <w:rPr>
                <w:rFonts w:ascii="Arial" w:cs="Arial" w:eastAsia="Arial" w:hAnsi="Arial"/>
                <w:sz w:val="18"/>
                <w:szCs w:val="18"/>
                <w:color w:val="0000FF"/>
                <w:w w:val="95"/>
              </w:rPr>
              <w:t>215,576</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580" w:type="dxa"/>
            <w:vAlign w:val="bottom"/>
            <w:vMerge w:val="restart"/>
          </w:tcPr>
          <w:p>
            <w:pPr>
              <w:ind w:left="1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760" w:type="dxa"/>
            <w:vAlign w:val="bottom"/>
            <w:gridSpan w:val="2"/>
            <w:vMerge w:val="restart"/>
          </w:tcPr>
          <w:p>
            <w:pPr>
              <w:jc w:val="center"/>
              <w:ind w:left="448"/>
              <w:spacing w:after="0"/>
              <w:rPr>
                <w:sz w:val="20"/>
                <w:szCs w:val="20"/>
                <w:color w:val="auto"/>
              </w:rPr>
            </w:pPr>
            <w:r>
              <w:rPr>
                <w:rFonts w:ascii="Arial" w:cs="Arial" w:eastAsia="Arial" w:hAnsi="Arial"/>
                <w:sz w:val="18"/>
                <w:szCs w:val="18"/>
                <w:color w:val="0000FF"/>
                <w:w w:val="79"/>
              </w:rPr>
              <w:t>0</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vMerge w:val="restart"/>
          </w:tcPr>
          <w:p>
            <w:pPr>
              <w:jc w:val="center"/>
              <w:ind w:right="370"/>
              <w:spacing w:after="0"/>
              <w:rPr>
                <w:sz w:val="20"/>
                <w:szCs w:val="20"/>
                <w:color w:val="auto"/>
              </w:rPr>
            </w:pPr>
            <w:r>
              <w:rPr>
                <w:rFonts w:ascii="Arial" w:cs="Arial" w:eastAsia="Arial" w:hAnsi="Arial"/>
                <w:sz w:val="18"/>
                <w:szCs w:val="18"/>
                <w:color w:val="0000FF"/>
              </w:rPr>
              <w:t>I</w:t>
            </w:r>
          </w:p>
        </w:tc>
        <w:tc>
          <w:tcPr>
            <w:tcW w:w="300" w:type="dxa"/>
            <w:vAlign w:val="bottom"/>
          </w:tcPr>
          <w:p>
            <w:pPr>
              <w:ind w:left="40"/>
              <w:spacing w:after="0"/>
              <w:rPr>
                <w:sz w:val="20"/>
                <w:szCs w:val="20"/>
                <w:color w:val="auto"/>
              </w:rPr>
            </w:pPr>
            <w:r>
              <w:rPr>
                <w:rFonts w:ascii="Arial" w:cs="Arial" w:eastAsia="Arial" w:hAnsi="Arial"/>
                <w:sz w:val="18"/>
                <w:szCs w:val="18"/>
                <w:color w:val="0000FF"/>
              </w:rPr>
              <w:t>L</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80" w:type="dxa"/>
            <w:vAlign w:val="bottom"/>
            <w:gridSpan w:val="4"/>
            <w:vMerge w:val="restart"/>
          </w:tcPr>
          <w:p>
            <w:pPr>
              <w:ind w:left="40"/>
              <w:spacing w:after="0"/>
              <w:rPr>
                <w:sz w:val="20"/>
                <w:szCs w:val="20"/>
                <w:color w:val="auto"/>
              </w:rPr>
            </w:pPr>
            <w:r>
              <w:rPr>
                <w:rFonts w:ascii="Arial" w:cs="Arial" w:eastAsia="Arial" w:hAnsi="Arial"/>
                <w:sz w:val="18"/>
                <w:szCs w:val="18"/>
                <w:color w:val="0000FF"/>
              </w:rPr>
              <w:t>Investments</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0000FF"/>
              </w:rPr>
              <w:t>XI, LLC</w:t>
            </w:r>
            <w:r>
              <w:rPr>
                <w:rFonts w:ascii="Arial" w:cs="Arial" w:eastAsia="Arial" w:hAnsi="Arial"/>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vMerge w:val="restart"/>
          </w:tcPr>
          <w:p>
            <w:pPr>
              <w:ind w:left="1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4"/>
          </w:tcPr>
          <w:p>
            <w:pPr>
              <w:ind w:left="40"/>
              <w:spacing w:after="0"/>
              <w:rPr>
                <w:sz w:val="20"/>
                <w:szCs w:val="20"/>
                <w:color w:val="auto"/>
              </w:rPr>
            </w:pPr>
            <w:r>
              <w:rPr>
                <w:rFonts w:ascii="Arial" w:cs="Arial" w:eastAsia="Arial" w:hAnsi="Arial"/>
                <w:sz w:val="18"/>
                <w:szCs w:val="18"/>
                <w:color w:val="0000FF"/>
              </w:rPr>
              <w:t>By Flying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40" w:type="dxa"/>
            <w:vAlign w:val="bottom"/>
            <w:gridSpan w:val="3"/>
          </w:tcPr>
          <w:p>
            <w:pPr>
              <w:ind w:left="420"/>
              <w:spacing w:after="0"/>
              <w:rPr>
                <w:sz w:val="20"/>
                <w:szCs w:val="20"/>
                <w:color w:val="auto"/>
              </w:rPr>
            </w:pPr>
            <w:r>
              <w:rPr>
                <w:rFonts w:ascii="Arial" w:cs="Arial" w:eastAsia="Arial" w:hAnsi="Arial"/>
                <w:sz w:val="18"/>
                <w:szCs w:val="18"/>
                <w:color w:val="0000FF"/>
              </w:rPr>
              <w:t>05/11/2023</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ind w:left="120"/>
              <w:spacing w:after="0" w:line="216"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(3)</w:t>
            </w:r>
          </w:p>
        </w:tc>
        <w:tc>
          <w:tcPr>
            <w:tcW w:w="780" w:type="dxa"/>
            <w:vAlign w:val="bottom"/>
          </w:tcPr>
          <w:p>
            <w:pPr>
              <w:jc w:val="right"/>
              <w:ind w:right="112"/>
              <w:spacing w:after="0"/>
              <w:rPr>
                <w:sz w:val="20"/>
                <w:szCs w:val="20"/>
                <w:color w:val="auto"/>
              </w:rPr>
            </w:pPr>
            <w:r>
              <w:rPr>
                <w:rFonts w:ascii="Arial" w:cs="Arial" w:eastAsia="Arial" w:hAnsi="Arial"/>
                <w:sz w:val="18"/>
                <w:szCs w:val="18"/>
                <w:color w:val="0000FF"/>
              </w:rPr>
              <w:t>41,219</w:t>
            </w:r>
          </w:p>
        </w:tc>
        <w:tc>
          <w:tcPr>
            <w:tcW w:w="420" w:type="dxa"/>
            <w:vAlign w:val="bottom"/>
          </w:tcPr>
          <w:p>
            <w:pPr>
              <w:ind w:left="160"/>
              <w:spacing w:after="0"/>
              <w:rPr>
                <w:sz w:val="20"/>
                <w:szCs w:val="20"/>
                <w:color w:val="auto"/>
              </w:rPr>
            </w:pPr>
            <w:r>
              <w:rPr>
                <w:rFonts w:ascii="Arial" w:cs="Arial" w:eastAsia="Arial" w:hAnsi="Arial"/>
                <w:sz w:val="18"/>
                <w:szCs w:val="18"/>
                <w:color w:val="0000FF"/>
              </w:rPr>
              <w:t>A</w:t>
            </w:r>
          </w:p>
        </w:tc>
        <w:tc>
          <w:tcPr>
            <w:tcW w:w="580" w:type="dxa"/>
            <w:vAlign w:val="bottom"/>
            <w:vMerge w:val="continue"/>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0000FF"/>
                <w:w w:val="86"/>
              </w:rPr>
              <w:t>109,892</w:t>
            </w:r>
          </w:p>
        </w:tc>
        <w:tc>
          <w:tcPr>
            <w:tcW w:w="340" w:type="dxa"/>
            <w:vAlign w:val="bottom"/>
          </w:tcPr>
          <w:p>
            <w:pPr>
              <w:spacing w:after="0"/>
              <w:rPr>
                <w:sz w:val="18"/>
                <w:szCs w:val="18"/>
                <w:color w:val="auto"/>
              </w:rPr>
            </w:pPr>
          </w:p>
        </w:tc>
        <w:tc>
          <w:tcPr>
            <w:tcW w:w="540" w:type="dxa"/>
            <w:vAlign w:val="bottom"/>
          </w:tcPr>
          <w:p>
            <w:pPr>
              <w:jc w:val="center"/>
              <w:ind w:right="370"/>
              <w:spacing w:after="0"/>
              <w:rPr>
                <w:sz w:val="20"/>
                <w:szCs w:val="20"/>
                <w:color w:val="auto"/>
              </w:rPr>
            </w:pPr>
            <w:r>
              <w:rPr>
                <w:rFonts w:ascii="Arial" w:cs="Arial" w:eastAsia="Arial" w:hAnsi="Arial"/>
                <w:sz w:val="18"/>
                <w:szCs w:val="18"/>
                <w:color w:val="0000FF"/>
              </w:rPr>
              <w:t>I</w:t>
            </w:r>
          </w:p>
        </w:tc>
        <w:tc>
          <w:tcPr>
            <w:tcW w:w="1080" w:type="dxa"/>
            <w:vAlign w:val="bottom"/>
            <w:gridSpan w:val="4"/>
          </w:tcPr>
          <w:p>
            <w:pPr>
              <w:ind w:left="40"/>
              <w:spacing w:after="0"/>
              <w:rPr>
                <w:sz w:val="20"/>
                <w:szCs w:val="20"/>
                <w:color w:val="auto"/>
              </w:rPr>
            </w:pPr>
            <w:r>
              <w:rPr>
                <w:rFonts w:ascii="Arial" w:cs="Arial" w:eastAsia="Arial" w:hAnsi="Arial"/>
                <w:sz w:val="18"/>
                <w:szCs w:val="18"/>
                <w:color w:val="0000FF"/>
              </w:rPr>
              <w:t>L Partners</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gridSpan w:val="4"/>
          </w:tcPr>
          <w:p>
            <w:pPr>
              <w:ind w:left="40"/>
              <w:spacing w:after="0"/>
              <w:rPr>
                <w:sz w:val="20"/>
                <w:szCs w:val="20"/>
                <w:color w:val="auto"/>
              </w:rPr>
            </w:pPr>
            <w:r>
              <w:rPr>
                <w:rFonts w:ascii="Arial" w:cs="Arial" w:eastAsia="Arial" w:hAnsi="Arial"/>
                <w:sz w:val="18"/>
                <w:szCs w:val="18"/>
                <w:color w:val="0000FF"/>
              </w:rPr>
              <w:t>XI, LLC</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1260" w:type="dxa"/>
            <w:vAlign w:val="bottom"/>
            <w:tcBorders>
              <w:top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134,632</w:t>
            </w:r>
          </w:p>
        </w:tc>
        <w:tc>
          <w:tcPr>
            <w:tcW w:w="3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jc w:val="center"/>
              <w:ind w:right="350"/>
              <w:spacing w:after="0"/>
              <w:rPr>
                <w:sz w:val="20"/>
                <w:szCs w:val="20"/>
                <w:color w:val="auto"/>
              </w:rPr>
            </w:pPr>
            <w:r>
              <w:rPr>
                <w:rFonts w:ascii="Arial" w:cs="Arial" w:eastAsia="Arial" w:hAnsi="Arial"/>
                <w:sz w:val="18"/>
                <w:szCs w:val="18"/>
                <w:color w:val="0000FF"/>
                <w:w w:val="91"/>
              </w:rPr>
              <w:t>D</w:t>
            </w:r>
          </w:p>
        </w:tc>
        <w:tc>
          <w:tcPr>
            <w:tcW w:w="3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60" w:type="dxa"/>
            <w:vAlign w:val="bottom"/>
            <w:tcBorders>
              <w:bottom w:val="single" w:sz="8" w:color="2C2C2C"/>
            </w:tcBorders>
            <w:gridSpan w:val="6"/>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9"/>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an in-kind pro-rata distribution, and not a purchase or sale, without additional consideration by Flying L Investments XI, LLC to its partners pursuant to a 10b5-1 plan entered into by Flying L Investments XI, LLC on May 19, 2022.</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held directly held by Flying L Investments XI, LLC. The Reporting Person is the manager of Flying L Investments XI, LLC and may be deemed to have sole voting and investment power over the shares. The Reporting Person disclaims beneficial ownership of the shares except to the extent of any pecuniary interest therein.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receipt of shares from a pro-rata in-kind distribution, and not a purchase or sale, without additional consideration by Flying L Investments XI, LLC to its partners.</w:t>
      </w:r>
    </w:p>
    <w:p>
      <w:pPr>
        <w:spacing w:after="0" w:line="41" w:lineRule="exact"/>
        <w:rPr>
          <w:rFonts w:ascii="Arial" w:cs="Arial" w:eastAsia="Arial" w:hAnsi="Arial"/>
          <w:sz w:val="14"/>
          <w:szCs w:val="14"/>
          <w:color w:val="008000"/>
        </w:rPr>
      </w:pPr>
    </w:p>
    <w:p>
      <w:pPr>
        <w:ind w:left="40" w:right="400" w:firstLine="9"/>
        <w:spacing w:after="0" w:line="239"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held directly held by Flying L Partners XI, LLC. The Reporting Person is the manager of Flying L Partners XI, LLC and may be deemed to have sole voting and investment power over the shares. The Reporting Person disclaims beneficial ownership of the shares except to the extent of any pecuniary interest therein.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580"/>
        <w:spacing w:after="0" w:line="221" w:lineRule="auto"/>
        <w:rPr>
          <w:sz w:val="20"/>
          <w:szCs w:val="20"/>
          <w:color w:val="auto"/>
        </w:rPr>
      </w:pPr>
      <w:r>
        <w:rPr>
          <w:rFonts w:ascii="Arial" w:cs="Arial" w:eastAsia="Arial" w:hAnsi="Arial"/>
          <w:sz w:val="18"/>
          <w:szCs w:val="18"/>
          <w:color w:val="0000FF"/>
        </w:rPr>
        <w:t xml:space="preserve">/s/ Kim Norman, Attorney-in- </w:t>
      </w:r>
      <w:r>
        <w:rPr>
          <w:rFonts w:ascii="Arial" w:cs="Arial" w:eastAsia="Arial" w:hAnsi="Arial"/>
          <w:sz w:val="35"/>
          <w:szCs w:val="35"/>
          <w:color w:val="0000FF"/>
          <w:vertAlign w:val="subscript"/>
        </w:rPr>
        <w:t>05/15/2023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192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240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63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28684"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2023-05-15T17:08:40Z</dcterms:created>
  <dcterms:modified xsi:type="dcterms:W3CDTF">2023-05-15T17:08:40Z</dcterms:modified>
</cp:coreProperties>
</file>