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517525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6"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4"/>
          <w:szCs w:val="14"/>
          <w:color w:val="auto"/>
        </w:rPr>
        <w:t>_______________</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CURRENT REPORT</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Pursuant to Section 13 OR 15(d) of The Securities Exchange Act of 1934</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January 12, 2026</w:t>
      </w:r>
    </w:p>
    <w:p>
      <w:pPr>
        <w:spacing w:after="0" w:line="146"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4"/>
          <w:szCs w:val="14"/>
          <w:color w:val="auto"/>
        </w:rPr>
        <w:t>_______________</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TARSUS PHARMACEUTICALS,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3"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4"/>
          <w:szCs w:val="14"/>
          <w:color w:val="auto"/>
        </w:rPr>
        <w:t>_______________</w:t>
      </w:r>
    </w:p>
    <w:p>
      <w:pPr>
        <w:spacing w:after="0" w:line="19" w:lineRule="exact"/>
        <w:rPr>
          <w:sz w:val="24"/>
          <w:szCs w:val="24"/>
          <w:color w:val="auto"/>
        </w:rPr>
      </w:pPr>
    </w:p>
    <w:tbl>
      <w:tblPr>
        <w:tblLayout w:type="fixed"/>
        <w:tblInd w:w="1400" w:type="dxa"/>
        <w:tblCellMar>
          <w:top w:w="0" w:type="dxa"/>
          <w:left w:w="0" w:type="dxa"/>
          <w:bottom w:w="0" w:type="dxa"/>
          <w:right w:w="0" w:type="dxa"/>
        </w:tblCellMar>
      </w:tblPr>
      <w:tr>
        <w:trPr>
          <w:trHeight w:val="142"/>
        </w:trPr>
        <w:tc>
          <w:tcPr>
            <w:tcW w:w="2580" w:type="dxa"/>
            <w:vAlign w:val="bottom"/>
          </w:tcPr>
          <w:p>
            <w:pPr>
              <w:jc w:val="center"/>
              <w:ind w:right="952"/>
              <w:spacing w:after="0"/>
              <w:rPr>
                <w:sz w:val="20"/>
                <w:szCs w:val="20"/>
                <w:color w:val="auto"/>
              </w:rPr>
            </w:pPr>
            <w:r>
              <w:rPr>
                <w:rFonts w:ascii="Times New Roman" w:cs="Times New Roman" w:eastAsia="Times New Roman" w:hAnsi="Times New Roman"/>
                <w:sz w:val="11"/>
                <w:szCs w:val="11"/>
                <w:b w:val="1"/>
                <w:bCs w:val="1"/>
                <w:color w:val="auto"/>
                <w:w w:val="94"/>
              </w:rPr>
              <w:t>Delaware</w:t>
            </w:r>
          </w:p>
        </w:tc>
        <w:tc>
          <w:tcPr>
            <w:tcW w:w="3080" w:type="dxa"/>
            <w:vAlign w:val="bottom"/>
            <w:vMerge w:val="restart"/>
          </w:tcPr>
          <w:p>
            <w:pPr>
              <w:jc w:val="right"/>
              <w:ind w:right="1292"/>
              <w:spacing w:after="0"/>
              <w:rPr>
                <w:sz w:val="20"/>
                <w:szCs w:val="20"/>
                <w:color w:val="auto"/>
              </w:rPr>
            </w:pPr>
            <w:r>
              <w:rPr>
                <w:rFonts w:ascii="Times New Roman" w:cs="Times New Roman" w:eastAsia="Times New Roman" w:hAnsi="Times New Roman"/>
                <w:sz w:val="11"/>
                <w:szCs w:val="11"/>
                <w:b w:val="1"/>
                <w:bCs w:val="1"/>
                <w:color w:val="auto"/>
              </w:rPr>
              <w:t>001-39614</w:t>
            </w:r>
          </w:p>
        </w:tc>
        <w:tc>
          <w:tcPr>
            <w:tcW w:w="2360" w:type="dxa"/>
            <w:vAlign w:val="bottom"/>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81-4717861</w:t>
            </w: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3080" w:type="dxa"/>
            <w:vAlign w:val="bottom"/>
            <w:vMerge w:val="continue"/>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580" w:type="dxa"/>
            <w:vAlign w:val="bottom"/>
          </w:tcPr>
          <w:p>
            <w:pPr>
              <w:jc w:val="center"/>
              <w:ind w:right="952"/>
              <w:spacing w:after="0"/>
              <w:rPr>
                <w:sz w:val="20"/>
                <w:szCs w:val="20"/>
                <w:color w:val="auto"/>
              </w:rPr>
            </w:pPr>
            <w:r>
              <w:rPr>
                <w:rFonts w:ascii="Times New Roman" w:cs="Times New Roman" w:eastAsia="Times New Roman" w:hAnsi="Times New Roman"/>
                <w:sz w:val="8"/>
                <w:szCs w:val="8"/>
                <w:b w:val="1"/>
                <w:bCs w:val="1"/>
                <w:color w:val="auto"/>
              </w:rPr>
              <w:t>(State or other jurisdiction of incorporation)</w:t>
            </w:r>
          </w:p>
        </w:tc>
        <w:tc>
          <w:tcPr>
            <w:tcW w:w="3080" w:type="dxa"/>
            <w:vAlign w:val="bottom"/>
          </w:tcPr>
          <w:p>
            <w:pPr>
              <w:jc w:val="center"/>
              <w:ind w:right="32"/>
              <w:spacing w:after="0"/>
              <w:rPr>
                <w:sz w:val="20"/>
                <w:szCs w:val="20"/>
                <w:color w:val="auto"/>
              </w:rPr>
            </w:pPr>
            <w:r>
              <w:rPr>
                <w:rFonts w:ascii="Times New Roman" w:cs="Times New Roman" w:eastAsia="Times New Roman" w:hAnsi="Times New Roman"/>
                <w:sz w:val="8"/>
                <w:szCs w:val="8"/>
                <w:b w:val="1"/>
                <w:bCs w:val="1"/>
                <w:color w:val="auto"/>
              </w:rPr>
              <w:t>(Commission File Number)</w:t>
            </w:r>
          </w:p>
        </w:tc>
        <w:tc>
          <w:tcPr>
            <w:tcW w:w="2360" w:type="dxa"/>
            <w:vAlign w:val="bottom"/>
          </w:tcPr>
          <w:p>
            <w:pPr>
              <w:jc w:val="center"/>
              <w:ind w:left="1032"/>
              <w:spacing w:after="0"/>
              <w:rPr>
                <w:sz w:val="20"/>
                <w:szCs w:val="20"/>
                <w:color w:val="auto"/>
              </w:rPr>
            </w:pPr>
            <w:r>
              <w:rPr>
                <w:rFonts w:ascii="Times New Roman" w:cs="Times New Roman" w:eastAsia="Times New Roman" w:hAnsi="Times New Roman"/>
                <w:sz w:val="8"/>
                <w:szCs w:val="8"/>
                <w:b w:val="1"/>
                <w:bCs w:val="1"/>
                <w:color w:val="auto"/>
              </w:rPr>
              <w:t>(I.R.S. Employer Identification No.)</w:t>
            </w:r>
          </w:p>
        </w:tc>
        <w:tc>
          <w:tcPr>
            <w:tcW w:w="0" w:type="dxa"/>
            <w:vAlign w:val="bottom"/>
          </w:tcPr>
          <w:p>
            <w:pPr>
              <w:spacing w:after="0"/>
              <w:rPr>
                <w:sz w:val="1"/>
                <w:szCs w:val="1"/>
                <w:color w:val="auto"/>
              </w:rPr>
            </w:pPr>
          </w:p>
        </w:tc>
      </w:tr>
    </w:tbl>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15440 Laguna Canyon Road, Suite 160</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231F20"/>
        </w:rPr>
        <w:t>Irvine, CA 92618</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b w:val="1"/>
          <w:bCs w:val="1"/>
          <w:color w:val="231F20"/>
        </w:rPr>
        <w:t>(Address of principal executive offices, including Zip Code)</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(949) 418-1801</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303" w:lineRule="exact"/>
        <w:rPr>
          <w:sz w:val="24"/>
          <w:szCs w:val="24"/>
          <w:color w:val="auto"/>
        </w:rPr>
      </w:pPr>
    </w:p>
    <w:p>
      <w:pPr>
        <w:ind w:left="320" w:hanging="316"/>
        <w:spacing w:after="0"/>
        <w:tabs>
          <w:tab w:leader="none" w:pos="32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77" w:lineRule="exact"/>
        <w:rPr>
          <w:rFonts w:ascii="MS PGothic" w:cs="MS PGothic" w:eastAsia="MS PGothic" w:hAnsi="MS PGothic"/>
          <w:sz w:val="11"/>
          <w:szCs w:val="11"/>
          <w:color w:val="auto"/>
        </w:rPr>
      </w:pPr>
    </w:p>
    <w:p>
      <w:pPr>
        <w:ind w:left="320" w:hanging="316"/>
        <w:spacing w:after="0"/>
        <w:tabs>
          <w:tab w:leader="none" w:pos="32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2"/>
          <w:szCs w:val="12"/>
          <w:color w:val="231F20"/>
        </w:rPr>
        <w:t>Soliciting material pursuant to Rule 14a-12 under the Exchange Act (17 CFR 240.14a-12)</w:t>
      </w:r>
    </w:p>
    <w:p>
      <w:pPr>
        <w:spacing w:after="0" w:line="111" w:lineRule="exact"/>
        <w:rPr>
          <w:rFonts w:ascii="MS PGothic" w:cs="MS PGothic" w:eastAsia="MS PGothic" w:hAnsi="MS PGothic"/>
          <w:sz w:val="11"/>
          <w:szCs w:val="11"/>
          <w:color w:val="auto"/>
        </w:rPr>
      </w:pPr>
    </w:p>
    <w:p>
      <w:pPr>
        <w:ind w:left="320" w:hanging="316"/>
        <w:spacing w:after="0"/>
        <w:tabs>
          <w:tab w:leader="none" w:pos="320" w:val="left"/>
        </w:tabs>
        <w:numPr>
          <w:ilvl w:val="0"/>
          <w:numId w:val="1"/>
        </w:numPr>
        <w:rPr>
          <w:rFonts w:ascii="MS PGothic" w:cs="MS PGothic" w:eastAsia="MS PGothic" w:hAnsi="MS PGothic"/>
          <w:sz w:val="22"/>
          <w:szCs w:val="22"/>
          <w:color w:val="auto"/>
          <w:vertAlign w:val="superscript"/>
        </w:rPr>
      </w:pPr>
      <w:r>
        <w:rPr>
          <w:rFonts w:ascii="Times New Roman" w:cs="Times New Roman" w:eastAsia="Times New Roman" w:hAnsi="Times New Roman"/>
          <w:sz w:val="12"/>
          <w:szCs w:val="12"/>
          <w:color w:val="231F20"/>
        </w:rPr>
        <w:t>Pre-commencement communications pursuant to Rule 14d-2(b) under the Exchange Act (17 CFR 240.14d-2(b))</w:t>
      </w:r>
    </w:p>
    <w:p>
      <w:pPr>
        <w:spacing w:after="0" w:line="160" w:lineRule="exact"/>
        <w:rPr>
          <w:rFonts w:ascii="MS PGothic" w:cs="MS PGothic" w:eastAsia="MS PGothic" w:hAnsi="MS PGothic"/>
          <w:sz w:val="22"/>
          <w:szCs w:val="22"/>
          <w:color w:val="auto"/>
          <w:vertAlign w:val="superscript"/>
        </w:rPr>
      </w:pPr>
    </w:p>
    <w:p>
      <w:pPr>
        <w:ind w:right="5620" w:firstLine="4"/>
        <w:spacing w:after="0" w:line="580" w:lineRule="auto"/>
        <w:tabs>
          <w:tab w:leader="none" w:pos="327"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2"/>
          <w:szCs w:val="12"/>
          <w:color w:val="231F20"/>
        </w:rPr>
        <w:t xml:space="preserve">Pre-commencement communications pursuant to Rule 13e-4(c) under the Exchange Act (17 CFR 240.13e-4(c)) </w:t>
      </w:r>
      <w:r>
        <w:rPr>
          <w:rFonts w:ascii="Times New Roman" w:cs="Times New Roman" w:eastAsia="Times New Roman" w:hAnsi="Times New Roman"/>
          <w:sz w:val="12"/>
          <w:szCs w:val="12"/>
          <w:color w:val="000000"/>
        </w:rPr>
        <w:t>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31"/>
        </w:trPr>
        <w:tc>
          <w:tcPr>
            <w:tcW w:w="4780" w:type="dxa"/>
            <w:vAlign w:val="bottom"/>
            <w:tcBorders>
              <w:right w:val="single" w:sz="8" w:color="auto"/>
            </w:tcBorders>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Common Stock, $0.0001 par value per share</w:t>
            </w:r>
          </w:p>
        </w:tc>
        <w:tc>
          <w:tcPr>
            <w:tcW w:w="1920" w:type="dxa"/>
            <w:vAlign w:val="bottom"/>
            <w:tcBorders>
              <w:right w:val="single" w:sz="8" w:color="auto"/>
            </w:tcBorders>
          </w:tcPr>
          <w:p>
            <w:pPr>
              <w:jc w:val="center"/>
              <w:spacing w:after="0" w:line="132" w:lineRule="exact"/>
              <w:rPr>
                <w:sz w:val="20"/>
                <w:szCs w:val="20"/>
                <w:color w:val="auto"/>
              </w:rPr>
            </w:pPr>
            <w:r>
              <w:rPr>
                <w:rFonts w:ascii="Times New Roman" w:cs="Times New Roman" w:eastAsia="Times New Roman" w:hAnsi="Times New Roman"/>
                <w:sz w:val="12"/>
                <w:szCs w:val="12"/>
                <w:color w:val="auto"/>
                <w:w w:val="97"/>
              </w:rPr>
              <w:t>TARS</w:t>
            </w:r>
          </w:p>
        </w:tc>
        <w:tc>
          <w:tcPr>
            <w:tcW w:w="46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The Nasdaq Stock Market LLC</w:t>
            </w:r>
          </w:p>
        </w:tc>
      </w:tr>
      <w:tr>
        <w:trPr>
          <w:trHeight w:val="173"/>
        </w:trPr>
        <w:tc>
          <w:tcPr>
            <w:tcW w:w="4780" w:type="dxa"/>
            <w:vAlign w:val="bottom"/>
            <w:tcBorders>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Nasdaq Global Select Market</w:t>
            </w:r>
          </w:p>
        </w:tc>
      </w:tr>
    </w:tbl>
    <w:p>
      <w:pPr>
        <w:spacing w:after="0" w:line="196" w:lineRule="exact"/>
        <w:rPr>
          <w:sz w:val="24"/>
          <w:szCs w:val="24"/>
          <w:color w:val="auto"/>
        </w:rPr>
      </w:pPr>
    </w:p>
    <w:p>
      <w:pPr>
        <w:ind w:right="18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 w:cs="Times New Roman" w:eastAsia="Times New Roman" w:hAnsi="Times New Roman"/>
          <w:sz w:val="12"/>
          <w:szCs w:val="12"/>
          <w:color w:val="231F20"/>
        </w:rPr>
        <w:t>Emerging growth company</w:t>
      </w:r>
      <w:r>
        <w:rPr>
          <w:rFonts w:ascii="Times New Roman" w:cs="Times New Roman" w:eastAsia="Times New Roman" w:hAnsi="Times New Roman"/>
          <w:sz w:val="12"/>
          <w:szCs w:val="12"/>
          <w:color w:val="auto"/>
        </w:rPr>
        <w:t xml:space="preserve"> </w:t>
      </w:r>
      <w:r>
        <w:rPr>
          <w:rFonts w:ascii="MS PGothic" w:cs="MS PGothic" w:eastAsia="MS PGothic" w:hAnsi="MS PGothic"/>
          <w:sz w:val="12"/>
          <w:szCs w:val="12"/>
          <w:color w:val="auto"/>
        </w:rPr>
        <w:t>☐</w:t>
      </w:r>
    </w:p>
    <w:p>
      <w:pPr>
        <w:spacing w:after="0" w:line="116"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536575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103505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006"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January 12, 2026, Tarsus Pharmaceuticals, Inc. (the “Company”) published a corporate presentation on the Investor &amp; News section of its website, which is filed as Exhibit 99.1 to this Current Report on Form 8-K (the “Report”).</w:t>
      </w:r>
    </w:p>
    <w:p>
      <w:pPr>
        <w:spacing w:after="0" w:line="159" w:lineRule="exact"/>
        <w:rPr>
          <w:sz w:val="20"/>
          <w:szCs w:val="20"/>
          <w:color w:val="auto"/>
        </w:rPr>
      </w:pPr>
    </w:p>
    <w:p>
      <w:pPr>
        <w:jc w:val="both"/>
        <w:ind w:right="360"/>
        <w:spacing w:after="0" w:line="249" w:lineRule="auto"/>
        <w:rPr>
          <w:sz w:val="20"/>
          <w:szCs w:val="20"/>
          <w:color w:val="auto"/>
        </w:rPr>
      </w:pPr>
      <w:r>
        <w:rPr>
          <w:rFonts w:ascii="Times New Roman" w:cs="Times New Roman" w:eastAsia="Times New Roman" w:hAnsi="Times New Roman"/>
          <w:sz w:val="12"/>
          <w:szCs w:val="12"/>
          <w:color w:val="auto"/>
        </w:rPr>
        <w:t>The information in this Report, including Exhibit 99.1 hereto, is being furnished and shall not be deemed “filed” for the purposes of Section 18 of the Securities Exchange Act of 1934, as amended (“Exchange Act”), or otherwise subject to the liabilities of that Section, and shall not be deemed incorporated by reference in any registration statement or other filing pursuant to the Securities Act of 1933, as amended, or the Exchange Act, except as otherwise expressly stated in such filing.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tc>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06"/>
        </w:trPr>
        <w:tc>
          <w:tcPr>
            <w:tcW w:w="3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 Exhibits.</w:t>
            </w:r>
          </w:p>
        </w:tc>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6"/>
        </w:trPr>
        <w:tc>
          <w:tcPr>
            <w:tcW w:w="2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Exhibit No.</w:t>
            </w:r>
          </w:p>
        </w:tc>
        <w:tc>
          <w:tcPr>
            <w:tcW w:w="4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Description</w:t>
            </w:r>
          </w:p>
        </w:tc>
        <w:tc>
          <w:tcPr>
            <w:tcW w:w="40" w:type="dxa"/>
            <w:vAlign w:val="bottom"/>
          </w:tcPr>
          <w:p>
            <w:pPr>
              <w:spacing w:after="0"/>
              <w:rPr>
                <w:sz w:val="24"/>
                <w:szCs w:val="24"/>
                <w:color w:val="auto"/>
              </w:rPr>
            </w:pPr>
          </w:p>
        </w:tc>
      </w:tr>
      <w:tr>
        <w:trPr>
          <w:trHeight w:val="128"/>
        </w:trPr>
        <w:tc>
          <w:tcPr>
            <w:tcW w:w="2540" w:type="dxa"/>
            <w:vAlign w:val="bottom"/>
          </w:tcPr>
          <w:p>
            <w:pPr>
              <w:jc w:val="right"/>
              <w:ind w:right="360"/>
              <w:spacing w:after="0" w:line="129" w:lineRule="exact"/>
              <w:rPr>
                <w:sz w:val="20"/>
                <w:szCs w:val="20"/>
                <w:color w:val="auto"/>
              </w:rPr>
            </w:pPr>
            <w:r>
              <w:rPr>
                <w:rFonts w:ascii="Times New Roman" w:cs="Times New Roman" w:eastAsia="Times New Roman" w:hAnsi="Times New Roman"/>
                <w:sz w:val="12"/>
                <w:szCs w:val="12"/>
                <w:color w:val="auto"/>
              </w:rPr>
              <w:t>99.1</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40" w:type="dxa"/>
            <w:vAlign w:val="bottom"/>
            <w:tcBorders>
              <w:bottom w:val="single" w:sz="8" w:color="0000FF"/>
            </w:tcBorders>
          </w:tcPr>
          <w:p>
            <w:pPr>
              <w:spacing w:after="0" w:line="129" w:lineRule="exact"/>
              <w:rPr>
                <w:sz w:val="20"/>
                <w:szCs w:val="20"/>
                <w:color w:val="auto"/>
              </w:rPr>
            </w:pPr>
            <w:r>
              <w:rPr>
                <w:rFonts w:ascii="Times New Roman" w:cs="Times New Roman" w:eastAsia="Times New Roman" w:hAnsi="Times New Roman"/>
                <w:sz w:val="12"/>
                <w:szCs w:val="12"/>
                <w:color w:val="0000FF"/>
                <w:w w:val="99"/>
              </w:rPr>
              <w:t>Tarsus Pharmaceuticals, Inc. Corporate Presentation.</w:t>
            </w:r>
          </w:p>
        </w:tc>
        <w:tc>
          <w:tcPr>
            <w:tcW w:w="5740" w:type="dxa"/>
            <w:vAlign w:val="bottom"/>
            <w:gridSpan w:val="2"/>
          </w:tcPr>
          <w:p>
            <w:pPr>
              <w:spacing w:after="0"/>
              <w:rPr>
                <w:sz w:val="11"/>
                <w:szCs w:val="11"/>
                <w:color w:val="auto"/>
              </w:rPr>
            </w:pPr>
          </w:p>
        </w:tc>
      </w:tr>
      <w:tr>
        <w:trPr>
          <w:trHeight w:val="187"/>
        </w:trPr>
        <w:tc>
          <w:tcPr>
            <w:tcW w:w="254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104</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XBRL document)</w:t>
            </w:r>
          </w:p>
        </w:tc>
      </w:tr>
      <w:tr>
        <w:trPr>
          <w:trHeight w:val="1278"/>
        </w:trPr>
        <w:tc>
          <w:tcPr>
            <w:tcW w:w="25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2" w:name="page3"/>
    <w:bookmarkEnd w:id="2"/>
    <w:p>
      <w:pPr>
        <w:ind w:left="5280"/>
        <w:spacing w:after="0"/>
        <w:rPr>
          <w:sz w:val="20"/>
          <w:szCs w:val="20"/>
          <w:color w:val="auto"/>
        </w:rPr>
      </w:pPr>
      <w:r>
        <w:rPr>
          <w:rFonts w:ascii="Times New Roman" w:cs="Times New Roman" w:eastAsia="Times New Roman" w:hAnsi="Times New Roman"/>
          <w:sz w:val="12"/>
          <w:szCs w:val="12"/>
          <w:color w:val="auto"/>
        </w:rPr>
        <w:t>SIGNATURES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as amended, the Registrant has duly caused this report to be signed on its behalf by the undersigned hereunto duly authorized.</w:t>
      </w:r>
    </w:p>
    <w:p>
      <w:pPr>
        <w:spacing w:after="0" w:line="20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2"/>
          <w:szCs w:val="12"/>
          <w:b w:val="1"/>
          <w:bCs w:val="1"/>
          <w:color w:val="auto"/>
        </w:rPr>
        <w:t>TARSUS PHARMACEUTICALS, INC.</w:t>
      </w:r>
    </w:p>
    <w:p>
      <w:pPr>
        <w:spacing w:after="0" w:line="208" w:lineRule="exact"/>
        <w:rPr>
          <w:sz w:val="20"/>
          <w:szCs w:val="20"/>
          <w:color w:val="auto"/>
        </w:rPr>
      </w:pPr>
    </w:p>
    <w:p>
      <w:pPr>
        <w:ind w:left="20"/>
        <w:spacing w:after="0"/>
        <w:tabs>
          <w:tab w:leader="none" w:pos="640" w:val="left"/>
          <w:tab w:leader="none" w:pos="3520" w:val="left"/>
        </w:tabs>
        <w:rPr>
          <w:sz w:val="20"/>
          <w:szCs w:val="20"/>
          <w:color w:val="auto"/>
        </w:rPr>
      </w:pPr>
      <w:r>
        <w:rPr>
          <w:rFonts w:ascii="Times New Roman" w:cs="Times New Roman" w:eastAsia="Times New Roman" w:hAnsi="Times New Roman"/>
          <w:sz w:val="12"/>
          <w:szCs w:val="12"/>
          <w:color w:val="auto"/>
        </w:rPr>
        <w:t>Date:</w:t>
      </w:r>
      <w:r>
        <w:rPr>
          <w:sz w:val="20"/>
          <w:szCs w:val="20"/>
          <w:color w:val="auto"/>
        </w:rPr>
        <w:tab/>
      </w:r>
      <w:r>
        <w:rPr>
          <w:rFonts w:ascii="Times New Roman" w:cs="Times New Roman" w:eastAsia="Times New Roman" w:hAnsi="Times New Roman"/>
          <w:sz w:val="12"/>
          <w:szCs w:val="12"/>
          <w:color w:val="auto"/>
        </w:rPr>
        <w:t>January 12, 2026</w:t>
      </w:r>
      <w:r>
        <w:rPr>
          <w:sz w:val="20"/>
          <w:szCs w:val="20"/>
          <w:color w:val="auto"/>
        </w:rPr>
        <w:tab/>
      </w:r>
      <w:r>
        <w:rPr>
          <w:rFonts w:ascii="Times New Roman" w:cs="Times New Roman" w:eastAsia="Times New Roman" w:hAnsi="Times New Roman"/>
          <w:sz w:val="11"/>
          <w:szCs w:val="11"/>
          <w:color w:val="auto"/>
        </w:rPr>
        <w:t>/s/ Bryan Wahl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16510</wp:posOffset>
            </wp:positionV>
            <wp:extent cx="494347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43475" cy="5715"/>
                    </a:xfrm>
                    <a:prstGeom prst="rect">
                      <a:avLst/>
                    </a:prstGeom>
                    <a:noFill/>
                  </pic:spPr>
                </pic:pic>
              </a:graphicData>
            </a:graphic>
          </wp:anchor>
        </w:drawing>
      </w:r>
    </w:p>
    <w:p>
      <w:pPr>
        <w:spacing w:after="0" w:line="2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2"/>
          <w:szCs w:val="12"/>
          <w:color w:val="auto"/>
        </w:rPr>
        <w:t>Bryan Wahl</w:t>
      </w:r>
    </w:p>
    <w:p>
      <w:pPr>
        <w:spacing w:after="0" w:line="3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2"/>
          <w:szCs w:val="12"/>
          <w:color w:val="auto"/>
        </w:rPr>
        <w:t>General Counsel and Corporate Secretary</w:t>
      </w:r>
    </w:p>
    <w:p>
      <w:pPr>
        <w:sectPr>
          <w:pgSz w:w="11900" w:h="16838" w:orient="portrait"/>
          <w:cols w:equalWidth="0" w:num="1">
            <w:col w:w="10159"/>
          </w:cols>
          <w:pgMar w:left="300" w:top="831"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2026-01-12T07:45:46Z</dcterms:created>
  <dcterms:modified xsi:type="dcterms:W3CDTF">2026-01-12T07:45:46Z</dcterms:modified>
</cp:coreProperties>
</file>