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81-4717861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15440 Laguna Canyon Road, Suite 160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(949) 409-9820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TARS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Nasdaq Global Select Market</w:t>
            </w:r>
            <w:r>
              <w:rPr>
                <w:rFonts w:ascii="Times New Roman" w:cs="Times New Roman" w:eastAsia="Times New Roman" w:hAnsi="Times New Roman"/>
                <w:sz w:val="18"/>
                <w:szCs w:val="18"/>
                <w:color w:val="FFFFFF"/>
              </w:rPr>
              <w:t>)</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January 5, 2023, Tarsus Pharmaceuticals, Inc. (the “Company”), Hercules Capital, Inc. (“Hercules”) and Silicon Valley Bank (“SVB” and together with Hercules, the “Lenders”) entered into a First Amendment to Loan and Security Agreement (the “First Amendment”) to amend that certain Loan and Security Agreement, by and between the Company and the Lenders, dated as of February 2, 2022 (the “Loan and Security Agreement”), under which the Lenders agreed to lend to the Company up to $175.0 million, to be made available in five tranches, subject to specified conditions.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First Amendment extends the period for the Company to draw down the second tranche of $25.0 million (the “Second Tranche”) under the Loan and Security Agreement from March 15, 2023 to March 15, 2024 (subject to achievement of a regulatory milestone, which was achieved), provided that at least $5.0 million is drawn on or before March 15, 2023 and at least an additional $5.0 million is drawn on or before September 15, 2023 (then leaving $15 million available under the Second Tranche after these two draws). As previously disclosed, the third tranche of $35 million will be available upon FDA approval of TP-03 for the treatment of Demodex blepharitis and is also available to draw down by March 15, 2024. The then-available balance of $20 million under the first tranche expired pursuant to the terms of the Loan and Security Agreement on December 15, 2022, as undrawn.</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Further, the First Amendment also reduces the interest rate under the Loan and Security Agreement to the greater of (a) the prime rate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plus 4.45% (with an aggregate cap of 11.45%) and (b) 8.45%. The First Amendment also amends the terms of prepayment under the Loan and Security Agreement. The Company did not incur any lender fees as part of this First Amendment.</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material terms of the First Amendment does not purport to be complete and is qualified in its entirety by reference to the full text of the First Amendment, a copy of which, subject to any applicable confidential treatment, will be filed as an exhibit to the Company’s Quarterly Report on Form 10-Q for the quarter ending March 31, 2023.</w:t>
      </w:r>
    </w:p>
    <w:p>
      <w:pPr>
        <w:sectPr>
          <w:pgSz w:w="11900" w:h="16838" w:orient="portrait"/>
          <w:cols w:equalWidth="0" w:num="1">
            <w:col w:w="10980"/>
          </w:cols>
          <w:pgMar w:left="440" w:top="293" w:right="47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January 5, 2023</w:t>
      </w:r>
      <w:r>
        <w:rPr>
          <w:sz w:val="20"/>
          <w:szCs w:val="20"/>
          <w:color w:val="auto"/>
        </w:rPr>
        <w:tab/>
      </w:r>
      <w:r>
        <w:rPr>
          <w:rFonts w:ascii="Times New Roman" w:cs="Times New Roman" w:eastAsia="Times New Roman" w:hAnsi="Times New Roman"/>
          <w:sz w:val="18"/>
          <w:szCs w:val="18"/>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Leonard M. Greenstein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0500"/>
      </w:cols>
      <w:pgMar w:left="440" w:top="297"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2023-01-05T16:20:16Z</dcterms:created>
  <dcterms:modified xsi:type="dcterms:W3CDTF">2023-01-05T16:20:16Z</dcterms:modified>
</cp:coreProperties>
</file>