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3348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33489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Goldberg Andrew D.</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21"/>
        </w:trPr>
        <w:tc>
          <w:tcPr>
            <w:tcW w:w="3100" w:type="dxa"/>
            <w:vAlign w:val="bottom"/>
            <w:tcBorders>
              <w:bottom w:val="single" w:sz="8" w:color="9A9A9A"/>
            </w:tcBorders>
          </w:tcPr>
          <w:p>
            <w:pPr>
              <w:spacing w:after="0"/>
              <w:rPr>
                <w:sz w:val="19"/>
                <w:szCs w:val="19"/>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10/15/2020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Tarsus Pharmaceuticals,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TARS</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440"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6"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TARSUS</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PHARMACEUTICALS, INC.</w:t>
      </w:r>
    </w:p>
    <w:p>
      <w:pPr>
        <w:spacing w:after="0" w:line="56" w:lineRule="exact"/>
        <w:rPr>
          <w:sz w:val="24"/>
          <w:szCs w:val="24"/>
          <w:color w:val="auto"/>
        </w:rPr>
      </w:pPr>
    </w:p>
    <w:p>
      <w:pPr>
        <w:ind w:left="140" w:right="1257"/>
        <w:spacing w:after="0" w:line="275" w:lineRule="auto"/>
        <w:rPr>
          <w:sz w:val="20"/>
          <w:szCs w:val="20"/>
          <w:color w:val="auto"/>
        </w:rPr>
      </w:pPr>
      <w:r>
        <w:rPr>
          <w:rFonts w:ascii="Times New Roman" w:cs="Times New Roman" w:eastAsia="Times New Roman" w:hAnsi="Times New Roman"/>
          <w:sz w:val="20"/>
          <w:szCs w:val="20"/>
          <w:color w:val="0000FF"/>
        </w:rPr>
        <w:t>15440 LAGUNA CANYON ROAD, SUITE 160</w:t>
      </w:r>
    </w:p>
    <w:p>
      <w:pPr>
        <w:spacing w:after="0" w:line="265"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8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65"/>
        </w:trPr>
        <w:tc>
          <w:tcPr>
            <w:tcW w:w="8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IRVINE</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CA</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92618</w:t>
            </w:r>
          </w:p>
        </w:tc>
      </w:tr>
    </w:tbl>
    <w:p>
      <w:pPr>
        <w:spacing w:after="0" w:line="20" w:lineRule="exact"/>
        <w:rPr>
          <w:sz w:val="24"/>
          <w:szCs w:val="24"/>
          <w:color w:val="auto"/>
        </w:rPr>
      </w:pPr>
      <w:r>
        <w:rPr>
          <w:sz w:val="24"/>
          <w:szCs w:val="24"/>
          <w:color w:val="auto"/>
        </w:rPr>
        <w:br w:type="column"/>
      </w:r>
    </w:p>
    <w:p>
      <w:pPr>
        <w:ind w:left="3" w:right="300" w:hanging="3"/>
        <w:spacing w:after="0" w:line="242"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96"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70"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7" w:lineRule="exact"/>
        <w:rPr>
          <w:rFonts w:ascii="Arial" w:cs="Arial" w:eastAsia="Arial" w:hAnsi="Arial"/>
          <w:sz w:val="15"/>
          <w:szCs w:val="15"/>
          <w:color w:val="auto"/>
        </w:rPr>
      </w:pPr>
    </w:p>
    <w:p>
      <w:pPr>
        <w:ind w:left="-9" w:right="480" w:firstLine="9"/>
        <w:spacing w:after="0" w:line="25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9" w:lineRule="exact"/>
        <w:rPr>
          <w:sz w:val="24"/>
          <w:szCs w:val="24"/>
          <w:color w:val="auto"/>
        </w:rPr>
      </w:pPr>
    </w:p>
    <w:p>
      <w:pPr>
        <w:ind w:left="451" w:right="340" w:hanging="304"/>
        <w:spacing w:after="0" w:line="182"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3" w:lineRule="exact"/>
        <w:rPr>
          <w:rFonts w:ascii="Times New Roman" w:cs="Times New Roman" w:eastAsia="Times New Roman" w:hAnsi="Times New Roman"/>
          <w:sz w:val="29"/>
          <w:szCs w:val="29"/>
          <w:color w:val="0000FF"/>
          <w:vertAlign w:val="subscript"/>
        </w:rPr>
      </w:pPr>
    </w:p>
    <w:p>
      <w:pPr>
        <w:ind w:left="451" w:right="320"/>
        <w:spacing w:after="0" w:line="270"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35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3"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1029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27850" cy="1029335"/>
                    </a:xfrm>
                    <a:prstGeom prst="rect">
                      <a:avLst/>
                    </a:prstGeom>
                    <a:noFill/>
                  </pic:spPr>
                </pic:pic>
              </a:graphicData>
            </a:graphic>
          </wp:anchor>
        </w:drawing>
      </w:r>
    </w:p>
    <w:p>
      <w:pPr>
        <w:spacing w:after="0" w:line="94"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300" w:type="dxa"/>
            <w:vAlign w:val="bottom"/>
          </w:tcPr>
          <w:p>
            <w:pPr>
              <w:ind w:left="12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80" w:type="dxa"/>
            <w:vAlign w:val="bottom"/>
            <w:gridSpan w:val="2"/>
          </w:tcPr>
          <w:p>
            <w:pPr>
              <w:ind w:left="12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80" w:type="dxa"/>
            <w:vAlign w:val="bottom"/>
            <w:gridSpan w:val="2"/>
          </w:tcPr>
          <w:p>
            <w:pPr>
              <w:ind w:left="12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91"/>
        </w:trPr>
        <w:tc>
          <w:tcPr>
            <w:tcW w:w="3140" w:type="dxa"/>
            <w:vAlign w:val="bottom"/>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80" w:type="dxa"/>
            <w:vAlign w:val="bottom"/>
            <w:gridSpan w:val="2"/>
            <w:vMerge w:val="restart"/>
          </w:tcPr>
          <w:p>
            <w:pPr>
              <w:ind w:left="12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3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3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Derivative</w:t>
            </w:r>
          </w:p>
        </w:tc>
        <w:tc>
          <w:tcPr>
            <w:tcW w:w="980" w:type="dxa"/>
            <w:vAlign w:val="bottom"/>
            <w:gridSpan w:val="2"/>
          </w:tcPr>
          <w:p>
            <w:pPr>
              <w:ind w:left="120"/>
              <w:spacing w:after="0" w:line="156"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80" w:type="dxa"/>
            <w:vAlign w:val="bottom"/>
            <w:gridSpan w:val="2"/>
          </w:tcPr>
          <w:p>
            <w:pPr>
              <w:ind w:left="12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140" w:type="dxa"/>
            <w:vAlign w:val="bottom"/>
          </w:tcPr>
          <w:p>
            <w:pPr>
              <w:spacing w:after="0"/>
              <w:rPr>
                <w:sz w:val="13"/>
                <w:szCs w:val="13"/>
                <w:color w:val="auto"/>
              </w:rPr>
            </w:pPr>
          </w:p>
        </w:tc>
        <w:tc>
          <w:tcPr>
            <w:tcW w:w="106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820" w:type="dxa"/>
            <w:vAlign w:val="bottom"/>
            <w:vMerge w:val="restart"/>
          </w:tcPr>
          <w:p>
            <w:pPr>
              <w:spacing w:after="0"/>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3"/>
                <w:szCs w:val="13"/>
                <w:color w:val="auto"/>
              </w:rPr>
            </w:pPr>
          </w:p>
        </w:tc>
        <w:tc>
          <w:tcPr>
            <w:tcW w:w="940" w:type="dxa"/>
            <w:vAlign w:val="bottom"/>
          </w:tcPr>
          <w:p>
            <w:pPr>
              <w:ind w:left="300"/>
              <w:spacing w:after="0" w:line="159"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56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140" w:type="dxa"/>
            <w:vAlign w:val="bottom"/>
          </w:tcPr>
          <w:p>
            <w:pPr>
              <w:spacing w:after="0"/>
              <w:rPr>
                <w:sz w:val="18"/>
                <w:szCs w:val="18"/>
                <w:color w:val="auto"/>
              </w:rPr>
            </w:pPr>
          </w:p>
        </w:tc>
        <w:tc>
          <w:tcPr>
            <w:tcW w:w="106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20" w:type="dxa"/>
            <w:vAlign w:val="bottom"/>
          </w:tcPr>
          <w:p>
            <w:pPr>
              <w:spacing w:after="0"/>
              <w:rPr>
                <w:sz w:val="20"/>
                <w:szCs w:val="20"/>
                <w:color w:val="auto"/>
              </w:rPr>
            </w:pPr>
            <w:r>
              <w:rPr>
                <w:rFonts w:ascii="Arial" w:cs="Arial" w:eastAsia="Arial" w:hAnsi="Arial"/>
                <w:sz w:val="15"/>
                <w:szCs w:val="15"/>
                <w:b w:val="1"/>
                <w:bCs w:val="1"/>
                <w:color w:val="auto"/>
              </w:rPr>
              <w:t>Date</w:t>
            </w:r>
          </w:p>
        </w:tc>
        <w:tc>
          <w:tcPr>
            <w:tcW w:w="1560" w:type="dxa"/>
            <w:vAlign w:val="bottom"/>
            <w:vMerge w:val="continue"/>
          </w:tcPr>
          <w:p>
            <w:pPr>
              <w:spacing w:after="0"/>
              <w:rPr>
                <w:sz w:val="18"/>
                <w:szCs w:val="18"/>
                <w:color w:val="auto"/>
              </w:rPr>
            </w:pP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10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2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008000"/>
              </w:rPr>
              <w:t>No securities are beneficially owned. Exhibit 24 - Power of Attorney</w:t>
            </w:r>
          </w:p>
        </w:tc>
        <w:tc>
          <w:tcPr>
            <w:tcW w:w="8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10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Andrew D. Goldberg</w:t>
            </w:r>
          </w:p>
        </w:tc>
        <w:tc>
          <w:tcPr>
            <w:tcW w:w="300" w:type="dxa"/>
            <w:vAlign w:val="bottom"/>
          </w:tcPr>
          <w:p>
            <w:pPr>
              <w:spacing w:after="0"/>
              <w:rPr>
                <w:sz w:val="22"/>
                <w:szCs w:val="22"/>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96"/>
              </w:rPr>
              <w:t>10/15/2020</w:t>
            </w: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12"/>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TARSUS PHARMACEUTICALS, INC.</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POWER OF ATTORNEY</w:t>
      </w:r>
    </w:p>
    <w:p>
      <w:pPr>
        <w:spacing w:after="0" w:line="188" w:lineRule="exact"/>
        <w:rPr>
          <w:sz w:val="20"/>
          <w:szCs w:val="20"/>
          <w:color w:val="auto"/>
        </w:rPr>
      </w:pPr>
    </w:p>
    <w:p>
      <w:pPr>
        <w:ind w:right="619"/>
        <w:spacing w:after="0" w:line="339" w:lineRule="auto"/>
        <w:rPr>
          <w:sz w:val="20"/>
          <w:szCs w:val="20"/>
          <w:color w:val="auto"/>
        </w:rPr>
      </w:pPr>
      <w:r>
        <w:rPr>
          <w:rFonts w:ascii="Courier New" w:cs="Courier New" w:eastAsia="Courier New" w:hAnsi="Courier New"/>
          <w:sz w:val="18"/>
          <w:szCs w:val="18"/>
          <w:color w:val="auto"/>
        </w:rPr>
        <w:t>KNOW ALL BY THESE PRESENTS, the undersigned hereby constitutes and appoints each of Bobak Azamian, Leo Greenstein and Kim Norman signing singly, and with full power of substitution, the undersigned's true and lawful attorney-in-fact to:</w:t>
      </w:r>
    </w:p>
    <w:p>
      <w:pPr>
        <w:spacing w:after="0" w:line="36" w:lineRule="exact"/>
        <w:rPr>
          <w:sz w:val="20"/>
          <w:szCs w:val="20"/>
          <w:color w:val="auto"/>
        </w:rPr>
      </w:pPr>
    </w:p>
    <w:p>
      <w:pPr>
        <w:ind w:right="1079"/>
        <w:spacing w:after="0" w:line="293"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a Form ID Application, if required, "Update Passphrase Confirmation" form, if required, and submit the same to the United States Securities and Exchange Commission;</w:t>
      </w:r>
    </w:p>
    <w:p>
      <w:pPr>
        <w:spacing w:after="0" w:line="70" w:lineRule="exact"/>
        <w:rPr>
          <w:rFonts w:ascii="Courier New" w:cs="Courier New" w:eastAsia="Courier New" w:hAnsi="Courier New"/>
          <w:sz w:val="20"/>
          <w:szCs w:val="20"/>
          <w:color w:val="auto"/>
        </w:rPr>
      </w:pPr>
    </w:p>
    <w:p>
      <w:pPr>
        <w:ind w:right="619"/>
        <w:spacing w:after="0" w:line="256"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and/or director of Tarsus Pharmaceuticals, Inc. (the "Company") or as a holder of 10% or more of the Company's securities, Forms 3, 4 and 5, and any amendments thereto, in accordance with Section 16 of the Securities Exchange Act of 1934, as amended, and the rules thereunder and, if necessary, such forms or similar reports required by state or foreign regulators in jurisdictions in which the Company operates;</w:t>
      </w:r>
    </w:p>
    <w:p>
      <w:pPr>
        <w:spacing w:after="0" w:line="109" w:lineRule="exact"/>
        <w:rPr>
          <w:rFonts w:ascii="Courier New" w:cs="Courier New" w:eastAsia="Courier New" w:hAnsi="Courier New"/>
          <w:sz w:val="20"/>
          <w:szCs w:val="20"/>
          <w:color w:val="auto"/>
        </w:rPr>
      </w:pPr>
    </w:p>
    <w:p>
      <w:pPr>
        <w:ind w:right="619"/>
        <w:spacing w:after="0" w:line="260"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complete and execute any such Form 3, 4 or 5 or similar form or report required by state or foreign regulators, and any amendments thereto, and file such form or report with the United States Securities and Exchange Commission and any stock exchange or similar authority or appropriate state or foreign regulator; and</w:t>
      </w:r>
    </w:p>
    <w:p>
      <w:pPr>
        <w:spacing w:after="0" w:line="103" w:lineRule="exact"/>
        <w:rPr>
          <w:rFonts w:ascii="Courier New" w:cs="Courier New" w:eastAsia="Courier New" w:hAnsi="Courier New"/>
          <w:sz w:val="20"/>
          <w:szCs w:val="20"/>
          <w:color w:val="auto"/>
        </w:rPr>
      </w:pPr>
    </w:p>
    <w:p>
      <w:pPr>
        <w:ind w:right="739"/>
        <w:spacing w:after="0" w:line="256"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that, in the opinion of such attorney-in-fact, may be of benefit to, in the best interest of or legally required to be done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9" w:lineRule="exact"/>
        <w:rPr>
          <w:sz w:val="20"/>
          <w:szCs w:val="20"/>
          <w:color w:val="auto"/>
        </w:rPr>
      </w:pPr>
    </w:p>
    <w:p>
      <w:pPr>
        <w:ind w:right="619" w:firstLine="468"/>
        <w:spacing w:after="0" w:line="276"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 and the rules thereunder. This Power of Attorney may be filed with the SEC as a confirming statement of the authority granted herein.</w:t>
      </w:r>
    </w:p>
    <w:p>
      <w:pPr>
        <w:spacing w:after="0" w:line="328" w:lineRule="exact"/>
        <w:rPr>
          <w:sz w:val="20"/>
          <w:szCs w:val="20"/>
          <w:color w:val="auto"/>
        </w:rPr>
      </w:pPr>
    </w:p>
    <w:p>
      <w:pPr>
        <w:ind w:right="739" w:firstLine="468"/>
        <w:spacing w:after="0" w:line="265"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00" w:lineRule="exact"/>
        <w:rPr>
          <w:sz w:val="20"/>
          <w:szCs w:val="20"/>
          <w:color w:val="auto"/>
        </w:rPr>
      </w:pPr>
    </w:p>
    <w:p>
      <w:pPr>
        <w:ind w:right="739" w:firstLine="468"/>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the date written below.</w:t>
      </w:r>
    </w:p>
    <w:p>
      <w:pPr>
        <w:spacing w:after="0" w:line="18"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20"/>
          <w:szCs w:val="20"/>
          <w:color w:val="auto"/>
        </w:rPr>
        <w:t>Date:</w:t>
      </w:r>
      <w:r>
        <w:rPr>
          <w:sz w:val="20"/>
          <w:szCs w:val="20"/>
          <w:color w:val="auto"/>
        </w:rPr>
        <w:tab/>
      </w:r>
      <w:r>
        <w:rPr>
          <w:rFonts w:ascii="Courier New" w:cs="Courier New" w:eastAsia="Courier New" w:hAnsi="Courier New"/>
          <w:sz w:val="18"/>
          <w:szCs w:val="18"/>
          <w:color w:val="auto"/>
        </w:rPr>
        <w:t>September 30, 2020</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By: /s/ Andrew D. Goldberg</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Name: Andrew D. Goldberg</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827722" TargetMode="External"/><Relationship Id="rId11"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2020-10-15T19:19:38Z</dcterms:created>
  <dcterms:modified xsi:type="dcterms:W3CDTF">2020-10-15T19:19:38Z</dcterms:modified>
</cp:coreProperties>
</file>