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4"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64" w:before="30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quarterly period ended June 30, 2025</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rFonts w:ascii="Times New Roman;serif" w:hAnsi="Times New Roman;serif"/>
          <w:b/>
          <w:color w:val="000000"/>
          <w:sz w:val="18"/>
        </w:rPr>
      </w:pPr>
      <w:r>
        <w:rPr>
          <w:rFonts w:ascii="Times New Roman;serif" w:hAnsi="Times New Roman;serif"/>
          <w:b/>
          <w:color w:val="000000"/>
          <w:sz w:val="18"/>
        </w:rPr>
        <w:t>For the transition period from _____to ____</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Commission File Number: 001-39614</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TARSUS PHARMACEUTICALS, INC.</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81-4717861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52" w:type="dxa"/>
        <w:jc w:val="center"/>
        <w:tblInd w:w="0" w:type="dxa"/>
        <w:tblLayout w:type="fixed"/>
        <w:tblCellMar>
          <w:top w:w="28" w:type="dxa"/>
          <w:left w:w="28" w:type="dxa"/>
          <w:bottom w:w="28" w:type="dxa"/>
          <w:right w:w="28" w:type="dxa"/>
        </w:tblCellMar>
      </w:tblPr>
      <w:tblGrid>
        <w:gridCol w:w="1133"/>
        <w:gridCol w:w="997"/>
        <w:gridCol w:w="1005"/>
        <w:gridCol w:w="109"/>
        <w:gridCol w:w="109"/>
        <w:gridCol w:w="109"/>
        <w:gridCol w:w="290"/>
        <w:gridCol w:w="290"/>
        <w:gridCol w:w="410"/>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color w:val="000000"/>
                <w:sz w:val="18"/>
              </w:rPr>
            </w:pPr>
            <w:r>
              <w:rPr>
                <w:rFonts w:ascii="Times New Roman;serif" w:hAnsi="Times New Roman;serif"/>
                <w:b/>
                <w:color w:val="000000"/>
                <w:sz w:val="18"/>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92618</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(949) 418-1801</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Market LLC</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80"/>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As of July 31, 2025, the number of outstanding shares of the registrant's common stock, par value $0.0001 per share, was 42,214,106.</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a commercial stage biopharmaceutical company with a limited operating history and a single product approved for commercial sale. While we have generated revenue from the launch of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(lotilaner ophthalmic solution) 0.25%, we have continued to incur significant losses and negative cash flows from operations since our inception and anticipate that we will continue to incur significant expenses and potential losses for the foreseeable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obtained regulatory approval for XDEMVY in the U.S. in July 2023 and have limited experience as a commercial company generating revenue from product sales. If the commercialization of XDEMVY becomes unsuccessful or any future approved product launches are unsuccessful, we may never be profitable.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We may not be successful in educating Eye Care Professionals ("ECPs"),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sizes of the market opportunity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development and commercialization of our products, including XDEMVY, for the treatment of</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TP-04 for the potential treatment of ocular rosacea and TP-05 for potential Lyme disease prophylaxis and community malaria reduction, is dependent on intellectual property we license from Elanco Tiergesundheit AG ("Elanco").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expect to expand our development, regulatory and operational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contract with third parties for the commercial manufacture of XDEMVY and for the manufacture of our product candidates for preclinical studies, clinical trials and for eventual commercialization. In some instances, we or our third-party contract manufacturers rely on single source suppliers for certain of the materials for our product and product candidates. This reliance on third parties and single source suppliers increases the risk that we will not have sufficient quantities of XDEMVY, our product candidates, or compounds or that such supply will not be available to us at an acceptable cost, which could delay, prevent or impair our commercialization or development efforts, as we expect XDEMVY and each of our product candidates will continue to rely on single-source suppliers for the foreseeable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15" w:type="dxa"/>
        <w:jc w:val="center"/>
        <w:tblInd w:w="0" w:type="dxa"/>
        <w:tblLayout w:type="fixed"/>
        <w:tblCellMar>
          <w:top w:w="28" w:type="dxa"/>
          <w:left w:w="28" w:type="dxa"/>
          <w:bottom w:w="28" w:type="dxa"/>
          <w:right w:w="28" w:type="dxa"/>
        </w:tblCellMar>
      </w:tblPr>
      <w:tblGrid>
        <w:gridCol w:w="2876"/>
        <w:gridCol w:w="2530"/>
        <w:gridCol w:w="2543"/>
        <w:gridCol w:w="136"/>
        <w:gridCol w:w="136"/>
        <w:gridCol w:w="194"/>
      </w:tblGrid>
      <w:tr>
        <w:trPr/>
        <w:tc>
          <w:tcPr>
            <w:tcW w:w="2876"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
              <w:r>
                <w:rPr>
                  <w:rStyle w:val="InternetLink"/>
                  <w:rFonts w:ascii="Times New Roman;serif" w:hAnsi="Times New Roman;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
              <w:r>
                <w:rPr>
                  <w:rStyle w:val="InternetLink"/>
                  <w:rFonts w:ascii="Times New Roman;serif" w:hAnsi="Times New Roman;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3">
              <w:r>
                <w:rPr>
                  <w:rStyle w:val="InternetLink"/>
                  <w:rFonts w:ascii="Times New Roman;serif" w:hAnsi="Times New Roman;serif"/>
                  <w:b w:val="false"/>
                  <w:color w:val="0000FF"/>
                  <w:sz w:val="20"/>
                  <w:u w:val="single"/>
                </w:rPr>
                <w:t>Item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3">
              <w:r>
                <w:rPr>
                  <w:rStyle w:val="InternetLink"/>
                  <w:rFonts w:ascii="Times New Roman;serif" w:hAnsi="Times New Roman;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70">
              <w:r>
                <w:rPr>
                  <w:rStyle w:val="InternetLink"/>
                  <w:rFonts w:ascii="Times New Roman;serif" w:hAnsi="Times New Roman;serif"/>
                  <w:b w:val="false"/>
                  <w:strike w:val="false"/>
                  <w:dstrike w:val="false"/>
                  <w:color w:val="000000"/>
                  <w:sz w:val="20"/>
                  <w:u w:val="none"/>
                  <w:effect w:val="non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76">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76">
              <w:r>
                <w:rPr>
                  <w:rStyle w:val="InternetLink"/>
                  <w:rFonts w:ascii="Times New Roman;serif" w:hAnsi="Times New Roman;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79">
              <w:r>
                <w:rPr>
                  <w:rStyle w:val="InternetLink"/>
                  <w:rFonts w:ascii="Times New Roman;serif" w:hAnsi="Times New Roman;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79">
              <w:r>
                <w:rPr>
                  <w:rStyle w:val="InternetLink"/>
                  <w:rFonts w:ascii="Times New Roman;serif" w:hAnsi="Times New Roman;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82">
              <w:r>
                <w:rPr>
                  <w:rStyle w:val="InternetLink"/>
                  <w:rFonts w:ascii="Times New Roman;serif" w:hAnsi="Times New Roman;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82">
              <w:r>
                <w:rPr>
                  <w:rStyle w:val="InternetLink"/>
                  <w:rFonts w:ascii="Times New Roman;serif" w:hAnsi="Times New Roman;serif"/>
                  <w:b w:val="false"/>
                  <w:strike w:val="false"/>
                  <w:dstrike w:val="false"/>
                  <w:color w:val="000000"/>
                  <w:sz w:val="20"/>
                  <w:u w:val="none"/>
                  <w:effect w:val="none"/>
                </w:rPr>
                <w:t>46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85">
              <w:r>
                <w:rPr>
                  <w:rStyle w:val="InternetLink"/>
                  <w:rFonts w:ascii="Times New Roman;serif" w:hAnsi="Times New Roman;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85">
              <w:r>
                <w:rPr>
                  <w:rStyle w:val="InternetLink"/>
                  <w:rFonts w:ascii="Times New Roman;serif" w:hAnsi="Times New Roman;serif"/>
                  <w:b w:val="false"/>
                  <w:strike w:val="false"/>
                  <w:dstrike w:val="false"/>
                  <w:color w:val="000000"/>
                  <w:sz w:val="20"/>
                  <w:u w:val="none"/>
                  <w:effect w:val="none"/>
                </w:rPr>
                <w:t>46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88">
              <w:r>
                <w:rPr>
                  <w:rStyle w:val="InternetLink"/>
                  <w:rFonts w:ascii="Times New Roman;serif" w:hAnsi="Times New Roman;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88">
              <w:r>
                <w:rPr>
                  <w:rStyle w:val="InternetLink"/>
                  <w:rFonts w:ascii="Times New Roman;serif" w:hAnsi="Times New Roman;serif"/>
                  <w:b w:val="false"/>
                  <w:strike w:val="false"/>
                  <w:dstrike w:val="false"/>
                  <w:color w:val="000000"/>
                  <w:sz w:val="20"/>
                  <w:u w:val="none"/>
                  <w:effect w:val="none"/>
                </w:rPr>
                <w:t>46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91">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91">
              <w:r>
                <w:rPr>
                  <w:rStyle w:val="InternetLink"/>
                  <w:rFonts w:ascii="Times New Roman;serif" w:hAnsi="Times New Roman;serif"/>
                  <w:b w:val="false"/>
                  <w:strike w:val="false"/>
                  <w:dstrike w:val="false"/>
                  <w:color w:val="000000"/>
                  <w:sz w:val="20"/>
                  <w:u w:val="none"/>
                  <w:effect w:val="none"/>
                </w:rPr>
                <w:t>104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94">
              <w:r>
                <w:rPr>
                  <w:rStyle w:val="InternetLink"/>
                  <w:rFonts w:ascii="Times New Roman;serif" w:hAnsi="Times New Roman;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94">
              <w:r>
                <w:rPr>
                  <w:rStyle w:val="InternetLink"/>
                  <w:rFonts w:ascii="Times New Roman;serif" w:hAnsi="Times New Roman;serif"/>
                  <w:b w:val="false"/>
                  <w:strike w:val="false"/>
                  <w:dstrike w:val="false"/>
                  <w:color w:val="000000"/>
                  <w:sz w:val="20"/>
                  <w:u w:val="none"/>
                  <w:effect w:val="none"/>
                </w:rPr>
                <w:t>104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97">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97">
              <w:r>
                <w:rPr>
                  <w:rStyle w:val="InternetLink"/>
                  <w:rFonts w:ascii="Times New Roman;serif" w:hAnsi="Times New Roman;serif"/>
                  <w:b w:val="false"/>
                  <w:strike w:val="false"/>
                  <w:dstrike w:val="false"/>
                  <w:color w:val="000000"/>
                  <w:sz w:val="20"/>
                  <w:u w:val="none"/>
                  <w:effect w:val="none"/>
                </w:rPr>
                <w:t>104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0">
              <w:r>
                <w:rPr>
                  <w:rStyle w:val="InternetLink"/>
                  <w:rFonts w:ascii="Times New Roman;serif" w:hAnsi="Times New Roman;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0">
              <w:r>
                <w:rPr>
                  <w:rStyle w:val="InternetLink"/>
                  <w:rFonts w:ascii="Times New Roman;serif" w:hAnsi="Times New Roman;serif"/>
                  <w:b w:val="false"/>
                  <w:strike w:val="false"/>
                  <w:dstrike w:val="false"/>
                  <w:color w:val="000000"/>
                  <w:sz w:val="20"/>
                  <w:u w:val="none"/>
                  <w:effect w:val="none"/>
                </w:rPr>
                <w:t>104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6">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6">
              <w:r>
                <w:rPr>
                  <w:rStyle w:val="InternetLink"/>
                  <w:rFonts w:ascii="Times New Roman;serif" w:hAnsi="Times New Roman;serif"/>
                  <w:b w:val="false"/>
                  <w:strike w:val="false"/>
                  <w:dstrike w:val="false"/>
                  <w:color w:val="000000"/>
                  <w:sz w:val="20"/>
                  <w:u w:val="none"/>
                  <w:effect w:val="none"/>
                </w:rPr>
                <w:t>105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9">
              <w:r>
                <w:rPr>
                  <w:rStyle w:val="InternetLink"/>
                  <w:rFonts w:ascii="Times New Roman;serif" w:hAnsi="Times New Roman;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09">
              <w:r>
                <w:rPr>
                  <w:rStyle w:val="InternetLink"/>
                  <w:rFonts w:ascii="Times New Roman;serif" w:hAnsi="Times New Roman;serif"/>
                  <w:b w:val="false"/>
                  <w:strike w:val="false"/>
                  <w:dstrike w:val="false"/>
                  <w:color w:val="000000"/>
                  <w:sz w:val="20"/>
                  <w:u w:val="none"/>
                  <w:effect w:val="none"/>
                </w:rPr>
                <w:t>106</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Item I.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19">
              <w:r>
                <w:rPr>
                  <w:rStyle w:val="InternetLink"/>
                  <w:rFonts w:ascii="Times New Roman;serif" w:hAnsi="Times New Roman;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a25912b8e484383aa69be87c2c45de0_19">
              <w:r>
                <w:rPr>
                  <w:rStyle w:val="InternetLink"/>
                  <w:rFonts w:ascii="Times New Roman;serif" w:hAnsi="Times New Roman;serif"/>
                  <w:b w:val="false"/>
                  <w:color w:val="0000FF"/>
                  <w:sz w:val="20"/>
                  <w:u w:val="single"/>
                </w:rPr>
                <w:t>F-2</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22">
              <w:r>
                <w:rPr>
                  <w:rStyle w:val="InternetLink"/>
                  <w:rFonts w:ascii="Times New Roman;serif" w:hAnsi="Times New Roman;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5912b8e484383aa69be87c2c45de0_22">
              <w:r>
                <w:rPr>
                  <w:rStyle w:val="InternetLink"/>
                  <w:rFonts w:ascii="Times New Roman;serif" w:hAnsi="Times New Roman;serif"/>
                  <w:b w:val="false"/>
                  <w:color w:val="0000FF"/>
                  <w:sz w:val="20"/>
                  <w:u w:val="single"/>
                </w:rPr>
                <w:t>F-3</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25">
              <w:r>
                <w:rPr>
                  <w:rStyle w:val="InternetLink"/>
                  <w:rFonts w:ascii="Times New Roman;serif" w:hAnsi="Times New Roman;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5912b8e484383aa69be87c2c45de0_25">
              <w:r>
                <w:rPr>
                  <w:rStyle w:val="InternetLink"/>
                  <w:rFonts w:ascii="Times New Roman;serif" w:hAnsi="Times New Roman;serif"/>
                  <w:b w:val="false"/>
                  <w:color w:val="0000FF"/>
                  <w:sz w:val="20"/>
                  <w:u w:val="single"/>
                </w:rPr>
                <w:t>F-4</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28">
              <w:r>
                <w:rPr>
                  <w:rStyle w:val="InternetLink"/>
                  <w:rFonts w:ascii="Times New Roman;serif" w:hAnsi="Times New Roman;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5912b8e484383aa69be87c2c45de0_28">
              <w:r>
                <w:rPr>
                  <w:rStyle w:val="InternetLink"/>
                  <w:rFonts w:ascii="Times New Roman;serif" w:hAnsi="Times New Roman;serif"/>
                  <w:b w:val="false"/>
                  <w:color w:val="0000FF"/>
                  <w:sz w:val="20"/>
                  <w:u w:val="single"/>
                </w:rPr>
                <w:t>F-5</w:t>
              </w:r>
            </w:hyperlink>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25912b8e484383aa69be87c2c45de0_31">
              <w:r>
                <w:rPr>
                  <w:rStyle w:val="InternetLink"/>
                  <w:rFonts w:ascii="Times New Roman;serif" w:hAnsi="Times New Roman;serif"/>
                  <w:b w:val="false"/>
                  <w:color w:val="0000FF"/>
                  <w:sz w:val="20"/>
                  <w:u w:val="single"/>
                </w:rPr>
                <w:t>Notes to the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25912b8e484383aa69be87c2c45de0_31">
              <w:r>
                <w:rPr>
                  <w:rStyle w:val="InternetLink"/>
                  <w:rFonts w:ascii="Times New Roman;serif" w:hAnsi="Times New Roman;serif"/>
                  <w:b w:val="false"/>
                  <w:color w:val="0000FF"/>
                  <w:sz w:val="20"/>
                  <w:u w:val="single"/>
                </w:rPr>
                <w:t>F-6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8"/>
        <w:gridCol w:w="2361"/>
        <w:gridCol w:w="2246"/>
        <w:gridCol w:w="203"/>
        <w:gridCol w:w="763"/>
        <w:gridCol w:w="112"/>
        <w:gridCol w:w="109"/>
        <w:gridCol w:w="109"/>
        <w:gridCol w:w="109"/>
        <w:gridCol w:w="233"/>
        <w:gridCol w:w="875"/>
        <w:gridCol w:w="187"/>
      </w:tblGrid>
      <w:tr>
        <w:trPr/>
        <w:tc>
          <w:tcPr>
            <w:tcW w:w="2898"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356,705 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152,457 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Commitments and contingencies (</w:t>
            </w:r>
            <w:r>
              <w:rPr>
                <w:rFonts w:ascii="Times New Roman;serif" w:hAnsi="Times New Roman;serif"/>
                <w:b/>
                <w:i/>
                <w:color w:val="000000"/>
                <w:sz w:val="18"/>
              </w:rPr>
              <w:t>Note 8</w:t>
            </w:r>
            <w:r>
              <w:rPr>
                <w:rFonts w:ascii="Times New Roman;serif" w:hAnsi="Times New Roman;serif"/>
                <w:b/>
                <w:color w:val="000000"/>
                <w:sz w:val="18"/>
              </w:rPr>
              <w:t>)</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shares authorized; no shares issued and outstanding</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42,210,972 shares issued and outstanding at June 30, 2025 (unaudited); 38,349,826 shares issued and outstanding at December 31, 2024</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494,994 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02"/>
        <w:gridCol w:w="759"/>
        <w:gridCol w:w="109"/>
        <w:gridCol w:w="109"/>
        <w:gridCol w:w="109"/>
        <w:gridCol w:w="109"/>
        <w:gridCol w:w="219"/>
        <w:gridCol w:w="742"/>
        <w:gridCol w:w="109"/>
        <w:gridCol w:w="109"/>
        <w:gridCol w:w="109"/>
        <w:gridCol w:w="109"/>
        <w:gridCol w:w="202"/>
        <w:gridCol w:w="759"/>
        <w:gridCol w:w="109"/>
        <w:gridCol w:w="109"/>
        <w:gridCol w:w="109"/>
        <w:gridCol w:w="109"/>
        <w:gridCol w:w="219"/>
        <w:gridCol w:w="742"/>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42,360,452 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37,823,233 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40,869,364 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36,530,756 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885"/>
        <w:gridCol w:w="573"/>
        <w:gridCol w:w="575"/>
        <w:gridCol w:w="480"/>
        <w:gridCol w:w="481"/>
        <w:gridCol w:w="171"/>
        <w:gridCol w:w="109"/>
        <w:gridCol w:w="109"/>
        <w:gridCol w:w="109"/>
        <w:gridCol w:w="204"/>
        <w:gridCol w:w="252"/>
        <w:gridCol w:w="115"/>
        <w:gridCol w:w="109"/>
        <w:gridCol w:w="109"/>
        <w:gridCol w:w="109"/>
        <w:gridCol w:w="224"/>
        <w:gridCol w:w="843"/>
        <w:gridCol w:w="124"/>
        <w:gridCol w:w="109"/>
        <w:gridCol w:w="109"/>
        <w:gridCol w:w="109"/>
        <w:gridCol w:w="399"/>
        <w:gridCol w:w="860"/>
        <w:gridCol w:w="223"/>
        <w:gridCol w:w="109"/>
        <w:gridCol w:w="109"/>
        <w:gridCol w:w="109"/>
        <w:gridCol w:w="196"/>
        <w:gridCol w:w="764"/>
        <w:gridCol w:w="109"/>
        <w:gridCol w:w="109"/>
        <w:gridCol w:w="109"/>
        <w:gridCol w:w="109"/>
        <w:gridCol w:w="196"/>
        <w:gridCol w:w="736"/>
        <w:gridCol w:w="160"/>
      </w:tblGrid>
      <w:tr>
        <w:trPr/>
        <w:tc>
          <w:tcPr>
            <w:tcW w:w="88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38,349,826 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$9.0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41,995,537 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Recognition of stock-based compensation expense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42,210,972 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738,237 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332,612 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90"/>
        <w:gridCol w:w="577"/>
        <w:gridCol w:w="579"/>
        <w:gridCol w:w="480"/>
        <w:gridCol w:w="481"/>
        <w:gridCol w:w="171"/>
        <w:gridCol w:w="109"/>
        <w:gridCol w:w="109"/>
        <w:gridCol w:w="109"/>
        <w:gridCol w:w="204"/>
        <w:gridCol w:w="252"/>
        <w:gridCol w:w="115"/>
        <w:gridCol w:w="109"/>
        <w:gridCol w:w="109"/>
        <w:gridCol w:w="109"/>
        <w:gridCol w:w="224"/>
        <w:gridCol w:w="841"/>
        <w:gridCol w:w="124"/>
        <w:gridCol w:w="109"/>
        <w:gridCol w:w="109"/>
        <w:gridCol w:w="109"/>
        <w:gridCol w:w="389"/>
        <w:gridCol w:w="866"/>
        <w:gridCol w:w="217"/>
        <w:gridCol w:w="109"/>
        <w:gridCol w:w="109"/>
        <w:gridCol w:w="109"/>
        <w:gridCol w:w="196"/>
        <w:gridCol w:w="764"/>
        <w:gridCol w:w="109"/>
        <w:gridCol w:w="109"/>
        <w:gridCol w:w="109"/>
        <w:gridCol w:w="109"/>
        <w:gridCol w:w="196"/>
        <w:gridCol w:w="736"/>
        <w:gridCol w:w="159"/>
      </w:tblGrid>
      <w:tr>
        <w:trPr/>
        <w:tc>
          <w:tcPr>
            <w:tcW w:w="89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34,211,190 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 of $6.7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3,281,250 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pre-funded warrants, net of issuance costs of $0.6 million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37,749,468 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public offering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38,030,385 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252,246 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533" w:type="dxa"/>
        <w:jc w:val="center"/>
        <w:tblInd w:w="0" w:type="dxa"/>
        <w:tblLayout w:type="fixed"/>
        <w:tblCellMar>
          <w:top w:w="28" w:type="dxa"/>
          <w:left w:w="28" w:type="dxa"/>
          <w:bottom w:w="28" w:type="dxa"/>
          <w:right w:w="28" w:type="dxa"/>
        </w:tblCellMar>
      </w:tblPr>
      <w:tblGrid>
        <w:gridCol w:w="2567"/>
        <w:gridCol w:w="2261"/>
        <w:gridCol w:w="2266"/>
        <w:gridCol w:w="196"/>
        <w:gridCol w:w="721"/>
        <w:gridCol w:w="109"/>
        <w:gridCol w:w="109"/>
        <w:gridCol w:w="109"/>
        <w:gridCol w:w="109"/>
        <w:gridCol w:w="196"/>
        <w:gridCol w:w="736"/>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debt-related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amortization/accretion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warrants issued by licensee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from transactions denominated in a foreign currency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long-term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paid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pre-funded warrants, net of paid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 under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extinguishment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From Noncash, Investing and Financing Activities: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paid in cash</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property and equipment included within accounts payable and other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included within accounts payable and other accrued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PRESENTATION OF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(lotilaner ophthalmic solution) 0.25%,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filed an automatic shelf registration on Form S-3 ASR (the "2024 Shelf Registration Statement"). In March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June 30, 2025, 312,500 of pre-funded warrants are exercisable. The Company also granted the underwriters a 30-day option to purchase up to 468,750 additional shares of its common stock at the public offering price of $32.00 per share, which the underwriters exercised in full and was completed in March 2024. The aggregate net proceeds received by the Company were $107.7 million, after deducting underwriting discounts, commissions, and other estimated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the Company completed an underwritten follow-on public offering under the 2024 Shelf Registration Statement, pursuant to which the Company sold 2,808,988 shares of its common stock at a public offering price of $44.50 per share (the “March 2025 Public Offering”). The Company also granted the underwriters a 30-day option to purchase up to 421,348 additional shares of its common stock at the public offering price of $44.50 per share, which the underwriters exercised in full in March 2025. The aggregate net proceeds received by the Company were approximately $134.8 million, after deducting underwriting discounts, commissions, and other estimated offering-related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Sales Agreement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erif" w:hAnsi="Times New Roman;serif"/>
          <w:b w:val="false"/>
          <w:color w:val="000000"/>
          <w:sz w:val="13"/>
        </w:rPr>
        <w:t xml:space="preserve">TM </w:t>
      </w:r>
      <w:r>
        <w:rPr>
          <w:rFonts w:ascii="Times New Roman;serif" w:hAnsi="Times New Roman;serif"/>
          <w:b w:val="false"/>
          <w:color w:val="000000"/>
          <w:sz w:val="20"/>
        </w:rPr>
        <w:t>(the "2021 ATM Prospectus"). Under the terms of the 2023 ATM Prospectus, Jefferies will act as the Company's sales agent and is entitled to compensation for its services equal to 3% of the gross proceeds of any shares of common stock sold. In December 2023, the Company sold 1,000,000 shares of common stock under the 2023 ATM Prospectus for net proceeds of $19.2 million, after deducting broker commissions and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there were no sales of the Company's common stock pursuant to the 2023 ATM Prospectus.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ind w:left="0" w:right="0" w:firstLine="108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 Company has a limited operating history, limited history of product sales and has accumulated losses and negative cash flows from operations since inception. The Company has funded its inception-to-date operations through the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w:t>
      </w:r>
      <w:r>
        <w:rPr>
          <w:rFonts w:ascii="Times New Roman;serif" w:hAnsi="Times New Roman;serif"/>
          <w:b w:val="false"/>
          <w:color w:val="000000"/>
          <w:sz w:val="20"/>
          <w:shd w:fill="FFFFFF" w:val="clear"/>
        </w:rPr>
        <w:t>Pharmakon Advisors, LP</w:t>
      </w:r>
      <w:r>
        <w:rPr>
          <w:color w:val="000000"/>
        </w:rPr>
        <w:t xml:space="preserve"> </w:t>
      </w:r>
      <w:r>
        <w:rPr>
          <w:rFonts w:ascii="Times New Roman;serif" w:hAnsi="Times New Roman;serif"/>
          <w:b w:val="false"/>
          <w:color w:val="000000"/>
          <w:sz w:val="20"/>
        </w:rPr>
        <w:t>("Pharmakon") and the previous loan and security agreement with Hercules Capital, Inc. ("Hercules") and Silicon Valley Bank, a division of First-Citizens Bank &amp; Trust Company ("SVB") (collectively the "Credit Facilities"). The Company estimates that its existing capital resources will be sufficient to meet projected operating expense requirements and other liquidity needs for at least 12 months from the issuance date of the accompanying Condensed Financial Statements that have been prepared on a going-concern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 AND USE OF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accompanying Condensed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erif" w:hAnsi="Times New Roman;serif"/>
          <w:b w:val="false"/>
          <w:color w:val="000000"/>
          <w:sz w:val="20"/>
        </w:rPr>
        <w:t>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2024, as filed with the SEC on February 25,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interim Condensed Balance Sheet as of June 30, 2025, the Condensed Statements of Operations and Comprehensive Loss, and the Condensed Statements of Stockholders’ Equity for the three and six months ended June 30, 2025 and 2024, and the Condensed Statements of Cash Flows for the six months ended June 30, 2025 and 2024 are unaudited. These unaudited interim financial statements have been prepared on the same basis as the Company’s annual financial statements and, in the opinion of management, reflect all adjustments, which consist of only normal and recurring adjustments for the fair presentation of its financial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related to the three and six month periods are also unaudited. The Condensed Balance Sheet as of December 31, 2024 has been derived from the audited financial statements at that date but does not include all information and footnotes required by GAAP for annual financial statements. The condensed interim operating results for three and six months ended June 30, 2025 are not necessarily indicative of results to be expected for the year ending December 31, 2025 or any other interim or annual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and with the rules and regulations of the SEC requires management to make informed estimates and assumptions that affect the amounts reported in these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basis, management evaluates its estimates, including those related to the recognition of revenue, clinical trial accruals, contract manufacturing accruals, expected demand for inventory, fair value of assets and liabilities, income taxes, and stock-based compensation.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Condensed Financial Statements as of and for the three and six months ended June 30, 2025,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estimates that most significantly impact the presented amounts within these accompanying Condensed Financial Statements are further described below:</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of June 30, 2025 and December 31, 2024, the Company held $2.6 million of restricted cash as collateral for a letter of credit related to the Company's new office space lease that was executed in December 2024 (see </w:t>
      </w:r>
      <w:r>
        <w:rPr>
          <w:rFonts w:ascii="Times New Roman;serif" w:hAnsi="Times New Roman;serif"/>
          <w:b w:val="false"/>
          <w:i/>
          <w:color w:val="000000"/>
          <w:sz w:val="20"/>
        </w:rPr>
        <w:t>Note 8</w:t>
      </w:r>
      <w:r>
        <w:rPr>
          <w:rFonts w:ascii="Times New Roman;serif" w:hAnsi="Times New Roman;serif"/>
          <w:b w:val="false"/>
          <w:color w:val="000000"/>
          <w:sz w:val="20"/>
        </w:rPr>
        <w:t>). The restricted cash will be held for longer than one year and is reported in non-current assets on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erif" w:hAnsi="Times New Roman;serif"/>
          <w:b w:val="false"/>
          <w:i/>
          <w:color w:val="000000"/>
          <w:sz w:val="20"/>
        </w:rPr>
        <w:t>Note 3</w:t>
      </w:r>
      <w:r>
        <w:rPr>
          <w:rFonts w:ascii="Times New Roman;serif" w:hAnsi="Times New Roman;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Marketable securities are recorded at fair value with unrealized gains and losses reported as a component of accumulated other comprehensive income (loss) within the accompanying Condensed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in the accompanying Condensed Statements of Operations and Comprehensive Loss. The Company evaluates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left"/>
        <w:rPr/>
      </w:pPr>
      <w:r>
        <w:rPr/>
      </w:r>
    </w:p>
    <w:p>
      <w:pPr>
        <w:pStyle w:val="TextBody"/>
        <w:bidi w:val="0"/>
        <w:spacing w:lineRule="auto" w:line="288" w:before="240" w:after="283"/>
        <w:ind w:left="0" w:right="0" w:firstLine="990"/>
        <w:jc w:val="left"/>
        <w:rPr/>
      </w:pPr>
      <w:r>
        <w:rPr>
          <w:rFonts w:ascii="Times New Roman;serif" w:hAnsi="Times New Roman;serif"/>
          <w:b w:val="false"/>
          <w:color w:val="000000"/>
          <w:sz w:val="20"/>
        </w:rPr>
        <w:t>The Company holds a preferred stock investment in a privately-held eye care company which does not meet the criteria for in-substance common stock. This preferred stock investment is included in long-term investments in the accompanying Condensed Balance Sheets given the Company's intent to hold these securities for longer than one year. In accordance with the measurement alternative under the Accounting Standards Codification 321,</w:t>
      </w:r>
      <w:r>
        <w:rPr>
          <w:color w:val="000000"/>
        </w:rPr>
        <w:t xml:space="preserve"> </w:t>
      </w:r>
      <w:r>
        <w:rPr>
          <w:rFonts w:ascii="Times New Roman;serif" w:hAnsi="Times New Roman;serif"/>
          <w:b w:val="false"/>
          <w:i/>
          <w:color w:val="000000"/>
          <w:sz w:val="20"/>
        </w:rPr>
        <w:t>Investments— Equity Securities</w:t>
      </w:r>
      <w:r>
        <w:rPr>
          <w:rFonts w:ascii="Times New Roman;serif" w:hAnsi="Times New Roman;serif"/>
          <w:b w:val="false"/>
          <w:color w:val="000000"/>
          <w:sz w:val="20"/>
        </w:rPr>
        <w:t>, at each subsequent reporting period the Company records its preferred stock investment at cost, plus or minus changes resulting from observable price changes in orderly transactions for identical or similar equity financings at each subsequent reporting period. In addition, at each subsequent reporting period the Company will assess for possible impairment indicators. If the Company determines that the preferred stock fair value is less than its carrying value, it will recognize an impairment loss through other income (expense) on the Condensed Statements of Operations and Comprehensive Loss. As of June 30, 2025 and December 31, 2024, there have been no observable transactions or impairment indicators that resulted in a change to the fair value of the Company's preferred stock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during the three and six months ended June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Inventories include the costs of material, third-party manufacturing costs, packaging services, and freight-in. Cost is determined on a first-in, first-out basis. Inventory is measured at the lower-of-cost and net realizable value, based on a number of factors including, but not limited to, damage, expiration, or changes in price level.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The Company evaluates inventory levels that would be sold within one year. The portion of inventory that is not expected to be sold or used within one year is classified as inventory, non-current in the accompanying Condensed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amounts for financial instruments consisting of cash, cash equivalents, accounts receivable, net, accounts payable and accrued liabilities approximate fair value due to the short maturities for each.</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periods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variable lease costs, consisting primarily of real estate taxes, insurance costs, and common area maintenance, are expensed as incurred and excluded from the reported ROU assets and lease liabilities amounts presented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accompanying Condensed Balance Sheets. The current and noncurrent portion of the operating lease liability are included in accounts payable and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Risk </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Customers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agreements with certain limited specialty pharmacies and specialty distributors for the sale of XDEMVY in the U.S. For the three and six months ended June 30, 2025, the Company's two and three largest customers, respectively, each individually accounted for more than 10% of total gross product sales. These customers on a combined basis accounted for 75.0% and 83.5% of gross product sales for the respective periods. For each of the three and six months ended June 30, 2024, the Company's four largest customers each individually accounted for more than 10% of total gross product sales. These customers on a combined basis accounted for 91.3% and 88.9% of gross product sales for the respective periods.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respectively, the Company's one and two largest customers each exceeded 10% of gross accounts receivable. These customers accounted for approximately 62.0% and 68.4% of the accounts receivable balance on a combined basis for the respective periods. The Company believes that the concentration of credit risk in its accounts receivable is mitigated by its credit evaluation process, relatively short collection terms, and the level of credit worthiness of its customers.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Major Suppliers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does not currently own manufacturing facilities and depends on outsourced manufacturing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 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recognizes product sales, net, when a customer obtains control of the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sells XDEMVY to customers in the U.S., which became available for commercial sale during the third quarter of 2023. These customers include a limited number of specialty pharmacies and distributors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During the three and six months ended June 30, 2025 and 2024, the Company did not recognize any revenue related to material changes in product sales, net related to amounts included in accrued liabilities at the beginning of the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categorizes product sales deduction estimates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Distribution Service Fees:</w:t>
      </w:r>
      <w:r>
        <w:rPr>
          <w:color w:val="000000"/>
        </w:rPr>
        <w:t xml:space="preserve"> </w:t>
      </w:r>
      <w:r>
        <w:rPr>
          <w:rFonts w:ascii="Times New Roman;serif" w:hAnsi="Times New Roman;serif"/>
          <w:b w:val="false"/>
          <w:color w:val="000000"/>
          <w:sz w:val="20"/>
        </w:rPr>
        <w:t>The Company engages with wholesalers and specialty pharmacies to distribute its products to end customers. The 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Prompt Pay Discounts: </w:t>
      </w:r>
      <w:r>
        <w:rPr>
          <w:rFonts w:ascii="Times New Roman;serif" w:hAnsi="Times New Roman;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Product Returns:</w:t>
      </w:r>
      <w:r>
        <w:rPr>
          <w:color w:val="000000"/>
        </w:rPr>
        <w:t xml:space="preserve"> </w:t>
      </w:r>
      <w:r>
        <w:rPr>
          <w:rFonts w:ascii="Times New Roman;serif" w:hAnsi="Times New Roman;serif"/>
          <w:b w:val="false"/>
          <w:color w:val="000000"/>
          <w:sz w:val="20"/>
        </w:rPr>
        <w:t xml:space="preserve">The Company's customers are contractually permitted to return product within the contractual allowable time, both before and after the applicable expiration date. In the initial sales period, the Company estimates its provision for returns based on industry data and adjusts the transaction price at the time of the product sale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Chargebacks:</w:t>
      </w:r>
      <w:r>
        <w:rPr>
          <w:color w:val="000000"/>
        </w:rPr>
        <w:t xml:space="preserve"> </w:t>
      </w:r>
      <w:r>
        <w:rPr>
          <w:rFonts w:ascii="Times New Roman;serif" w:hAnsi="Times New Roman;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Co-payment Assistance:</w:t>
      </w:r>
      <w:r>
        <w:rPr>
          <w:color w:val="000000"/>
        </w:rPr>
        <w:t xml:space="preserve"> </w:t>
      </w:r>
      <w:r>
        <w:rPr>
          <w:rFonts w:ascii="Times New Roman;serif" w:hAnsi="Times New Roman;serif"/>
          <w:b w:val="false"/>
          <w:color w:val="000000"/>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Rebates:</w:t>
      </w:r>
      <w:r>
        <w:rPr>
          <w:color w:val="000000"/>
        </w:rPr>
        <w:t xml:space="preserve"> </w:t>
      </w:r>
      <w:r>
        <w:rPr>
          <w:rFonts w:ascii="Times New Roman;serif" w:hAnsi="Times New Roman;serif"/>
          <w:b w:val="false"/>
          <w:color w:val="000000"/>
          <w:sz w:val="20"/>
        </w:rPr>
        <w:t>The Company accrues rebates for contractually agreed-upon discounts with commercial payers and mandated discounts under government programs such as the Medicaid Drug Rebate Program, Medicare Part D Prescription Drug Program, and other government health care programs in the U.S. The Company's estimates for expected utilization of 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180"/>
        <w:jc w:val="left"/>
        <w:rPr>
          <w:rFonts w:ascii="Times New Roman;serif" w:hAnsi="Times New Roman;serif"/>
          <w:b/>
          <w:i/>
          <w:color w:val="000000"/>
          <w:sz w:val="20"/>
        </w:rPr>
      </w:pPr>
      <w:r>
        <w:rPr>
          <w:rFonts w:ascii="Times New Roman;serif" w:hAnsi="Times New Roman;serif"/>
          <w:b/>
          <w:i/>
          <w:color w:val="000000"/>
          <w:sz w:val="20"/>
        </w:rPr>
        <w:t>(ii) License Fees and Collaboration Revenue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License fees and collaboration revenue in the accompanying Condensed Statements of Operations and Comprehensive Loss have historically been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serif" w:hAnsi="Times New Roman;serif"/>
          <w:b w:val="false"/>
          <w:i/>
          <w:color w:val="000000"/>
          <w:sz w:val="20"/>
        </w:rPr>
        <w:t>Note 9</w:t>
      </w:r>
      <w:r>
        <w:rPr>
          <w:rFonts w:ascii="Times New Roman;serif" w:hAnsi="Times New Roman;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China Out-License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Contractual Terms for Receipt of Payments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Development Milestones:</w:t>
      </w:r>
      <w:r>
        <w:rPr>
          <w:color w:val="000000"/>
        </w:rPr>
        <w:t xml:space="preserve"> </w:t>
      </w:r>
      <w:r>
        <w:rPr>
          <w:rFonts w:ascii="Times New Roman;serif" w:hAnsi="Times New Roman;serif"/>
          <w:b w:val="false"/>
          <w:color w:val="000000"/>
          <w:sz w:val="20"/>
        </w:rPr>
        <w:t>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Regulatory Milestones:</w:t>
      </w:r>
      <w:r>
        <w:rPr>
          <w:color w:val="000000"/>
        </w:rPr>
        <w:t xml:space="preserve"> </w:t>
      </w:r>
      <w:r>
        <w:rPr>
          <w:rFonts w:ascii="Times New Roman;serif" w:hAnsi="Times New Roman;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Royalties:</w:t>
      </w:r>
      <w:r>
        <w:rPr>
          <w:color w:val="000000"/>
        </w:rPr>
        <w:t xml:space="preserve"> </w:t>
      </w:r>
      <w:r>
        <w:rPr>
          <w:rFonts w:ascii="Times New Roman;serif" w:hAnsi="Times New Roman;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Sales Threshold Milestones:</w:t>
      </w:r>
      <w:r>
        <w:rPr>
          <w:color w:val="000000"/>
        </w:rPr>
        <w:t xml:space="preserve"> </w:t>
      </w:r>
      <w:r>
        <w:rPr>
          <w:rFonts w:ascii="Times New Roman;serif" w:hAnsi="Times New Roman;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re-evaluates the measure of progress to each performance obligation in each reporting period as uncertain events are resolved and other changes in circumstances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Food and Drug Administration ("FDA") approval of XDEMVY in July 2023. Prior to FDA approval of XDEMVY, manufacturing and other inventory costs were recorded to research and development expenses in the Condensed Statements of Operations and Comprehensive Loss.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to support the Company's commercial launch that started in August 2023, consulting fees, legal services, rent and other facilities costs, patient assistance donations, the U.S. healthcare reform federal excise fee on Branded Prescription Pharmaceutical Manufacturers and Importers, and other general operating expenses not otherwise classified as research and development expenses. Advertising costs are expensed as incurred.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personnel-related costs (including stock-based compensation expense), license fees, materials, clinical trial site insurance,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grant-date.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will recognize compensation expense when performance conditions are achieved or when the Company determines it is probable the performance conditions will be achieved by the end of the requisite service period. Compensation expense will be recognized on a cumulative catch-up basis in the period of achievement, and on a straight-line basis thereafter until the end of the requisite service period. The expense recognized for awards is based on the grant date fair value of a unit multiplied by the number of units expected to be earned with respect to the related performance conditions. Depending on the outcome of these performance goals, a recipient may ultimately earn a number of units greater or less than the number of units expected to be earned. Shares of the Company's common stock are issued on a one-for-one basis for each performance unit earned. In general, performance unit awards vest at the end of the performance period.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(i) the expected term of the stock option until its exercise by the recipient, (ii) stock price volatility over the expected term, (iii) the prevailing risk-free interest rate over the expected term, and (iv) expected dividend payments over the expected term.</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Fair Value of Common Stock</w:t>
      </w:r>
      <w:r>
        <w:rPr>
          <w:color w:val="000000"/>
        </w:rPr>
        <w:t xml:space="preserve"> — </w:t>
      </w:r>
      <w:r>
        <w:rPr>
          <w:rFonts w:ascii="Times New Roman;serif" w:hAnsi="Times New Roman;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Dividend Yield</w:t>
      </w:r>
      <w:r>
        <w:rPr>
          <w:color w:val="000000"/>
        </w:rPr>
        <w:t xml:space="preserve"> — </w:t>
      </w:r>
      <w:r>
        <w:rPr>
          <w:rFonts w:ascii="Times New Roman;serif" w:hAnsi="Times New Roman;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Comprehensive loss represents (i) net loss for the periods presented, and (ii) unrealized gains or losses on debt securities included in the Company's reported marketable securities and cash equivalents.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Recently issued or effective accounting pronouncements that impact, or may have an impact, on the Company’s financial statements have been discussed within the footnote to which each relates. Outside of the pronouncement below,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recent accounting pronouncements not disclosed in these Condensed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the Financial Accounting Standards Board ("FASB") issued ASU No. 2023-09, </w:t>
      </w:r>
      <w:r>
        <w:rPr>
          <w:rFonts w:ascii="Times New Roman;serif" w:hAnsi="Times New Roman;serif"/>
          <w:b w:val="false"/>
          <w:i/>
          <w:color w:val="000000"/>
          <w:sz w:val="20"/>
        </w:rPr>
        <w:t>Income Taxes (Topic 740): Improvements to Income Tax Disclosure</w:t>
      </w:r>
      <w:r>
        <w:rPr>
          <w:color w:val="000000"/>
        </w:rPr>
        <w:t xml:space="preserve"> </w:t>
      </w:r>
      <w:r>
        <w:rPr>
          <w:rFonts w:ascii="Times New Roman;serif" w:hAnsi="Times New Roman;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its Annual Report on Form 10-K for the year ending in 2025. The Company anticipates that the adoption of ASU 2023-09 will expand its income tax footnote disclosures, including a more detailed effective tax rate reconciliation.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Reporting-Comprehensive Income-Expense Disaggregation Disclosures (Subtopic 220-40), Disaggregation of Income Statement Expenses </w:t>
      </w:r>
      <w:r>
        <w:rPr>
          <w:rFonts w:ascii="Times New Roman;serif" w:hAnsi="Times New Roman;serif"/>
          <w:b w:val="false"/>
          <w:color w:val="000000"/>
          <w:sz w:val="20"/>
        </w:rPr>
        <w:t>("ASU 2024-03"). ASU 2024-03 improves the disclosures about a public business entity’s expenses by requiring more detailed information about the types of expenses (including purchases of inventory, employee compensation, depreciation and amortization) included within income statement expense captions. The standard is effective for the Company beginning with its Annual Report on Form 10-K for the year ending 2027. Early adoption is permitted. ASU 2024-03 should be applied prospectively. Retrospective adoption is permitted.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subject to fair value measurements on a recurring basis and the level of inputs used in such measurements by major security type are presented in the following table:</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c>
      </w:tr>
    </w:tbl>
    <w:tbl>
      <w:tblPr>
        <w:tblW w:w="735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Money Market Funds and U.S. Treasury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investments by major security type are presented in the following table:</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63,942 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284,457 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284,495 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Money market funds</w:t>
            </w:r>
            <w:r>
              <w:rPr>
                <w:rFonts w:ascii="Times New Roman;serif" w:hAnsi="Times New Roman;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46,644 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Government-related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marketable securities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196,379 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 </w:t>
      </w:r>
      <w:r>
        <w:rPr>
          <w:rFonts w:ascii="Times New Roman;serif" w:hAnsi="Times New Roman;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substantially all available-for-sale debt securities had a maturity of 12 months or less. As of June 30, 2025, six securities had a contractual maturity between one and two years, with an estimated fair market value of $17.5 million and amortized cost of $17.5 million. As of December 31, 2024, eight available-for-sale debt securities had a maturity between one and two years, with an estimated fair market value of $19.0 million and amortized cost of $19.0 million.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fifty-one and ten available-for-sale positions of debt securities, respectively, in a continuous gross unrealized loss position for less than one year. As of June 30, 2025 and December 31, 2024, unrealized credit losses on these securities were not material. Further, the Company does not intend to sell these investments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BALANCE SHEET ACCOUNT DETAIL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of selected captions within the accompanying Condensed Balance Sheets are summarized below: </w:t>
      </w:r>
    </w:p>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w:t>
      </w:r>
    </w:p>
    <w:tbl>
      <w:tblPr>
        <w:tblW w:w="4721" w:type="dxa"/>
        <w:jc w:val="left"/>
        <w:tblInd w:w="0" w:type="dxa"/>
        <w:tblLayout w:type="fixed"/>
        <w:tblCellMar>
          <w:top w:w="28" w:type="dxa"/>
          <w:left w:w="28" w:type="dxa"/>
          <w:bottom w:w="28" w:type="dxa"/>
          <w:right w:w="28" w:type="dxa"/>
        </w:tblCellMar>
      </w:tblPr>
      <w:tblGrid>
        <w:gridCol w:w="624"/>
        <w:gridCol w:w="549"/>
        <w:gridCol w:w="552"/>
        <w:gridCol w:w="256"/>
        <w:gridCol w:w="727"/>
        <w:gridCol w:w="142"/>
        <w:gridCol w:w="109"/>
        <w:gridCol w:w="109"/>
        <w:gridCol w:w="109"/>
        <w:gridCol w:w="334"/>
        <w:gridCol w:w="948"/>
        <w:gridCol w:w="26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5485" w:type="dxa"/>
        <w:jc w:val="center"/>
        <w:tblInd w:w="0" w:type="dxa"/>
        <w:tblLayout w:type="fixed"/>
        <w:tblCellMar>
          <w:top w:w="28" w:type="dxa"/>
          <w:left w:w="28" w:type="dxa"/>
          <w:bottom w:w="28" w:type="dxa"/>
          <w:right w:w="28" w:type="dxa"/>
        </w:tblCellMar>
      </w:tblPr>
      <w:tblGrid>
        <w:gridCol w:w="901"/>
        <w:gridCol w:w="792"/>
        <w:gridCol w:w="796"/>
        <w:gridCol w:w="256"/>
        <w:gridCol w:w="727"/>
        <w:gridCol w:w="142"/>
        <w:gridCol w:w="109"/>
        <w:gridCol w:w="109"/>
        <w:gridCol w:w="109"/>
        <w:gridCol w:w="334"/>
        <w:gridCol w:w="948"/>
        <w:gridCol w:w="262"/>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equipment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2025 and 2024 was $0.2 million and $0.1 million, respectively, and for the six months ended June 30, 2025 and 2024 was $0.4 million and $0.3 million, respectively. There were no impairments recognized during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the following:</w:t>
      </w:r>
    </w:p>
    <w:tbl>
      <w:tblPr>
        <w:tblW w:w="5501" w:type="dxa"/>
        <w:jc w:val="left"/>
        <w:tblInd w:w="0" w:type="dxa"/>
        <w:tblLayout w:type="fixed"/>
        <w:tblCellMar>
          <w:top w:w="28" w:type="dxa"/>
          <w:left w:w="28" w:type="dxa"/>
          <w:bottom w:w="28" w:type="dxa"/>
          <w:right w:w="28" w:type="dxa"/>
        </w:tblCellMar>
      </w:tblPr>
      <w:tblGrid>
        <w:gridCol w:w="907"/>
        <w:gridCol w:w="797"/>
        <w:gridCol w:w="801"/>
        <w:gridCol w:w="256"/>
        <w:gridCol w:w="727"/>
        <w:gridCol w:w="142"/>
        <w:gridCol w:w="109"/>
        <w:gridCol w:w="109"/>
        <w:gridCol w:w="109"/>
        <w:gridCol w:w="334"/>
        <w:gridCol w:w="948"/>
        <w:gridCol w:w="262"/>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gross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Intangible assets are amortized to cost of sales over the remaining useful life of 8.2 years as of June 30, 2025, with an initial useful life of 10 years from the date of first commercial sale (see </w:t>
      </w:r>
      <w:r>
        <w:rPr>
          <w:rFonts w:ascii="Times New Roman;serif" w:hAnsi="Times New Roman;serif"/>
          <w:b w:val="false"/>
          <w:i/>
          <w:color w:val="000000"/>
          <w:sz w:val="20"/>
        </w:rPr>
        <w:t>Note 8</w:t>
      </w:r>
      <w:r>
        <w:rPr>
          <w:rFonts w:ascii="Times New Roman;serif" w:hAnsi="Times New Roman;serif"/>
          <w:b w:val="false"/>
          <w:color w:val="000000"/>
          <w:sz w:val="20"/>
        </w:rPr>
        <w:t>). Amortization expense for the three months ended June 30, 2025 and 2024 was $0.2 million and $0.1 million, respectively, and for the six months ended June 30, 2025 and 2024 was $0.5 million and $0.2 million,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the expected future amortization expense for the Company's intangible assets is as follows:</w:t>
      </w:r>
    </w:p>
    <w:tbl>
      <w:tblPr>
        <w:tblW w:w="3408" w:type="dxa"/>
        <w:jc w:val="left"/>
        <w:tblInd w:w="0" w:type="dxa"/>
        <w:tblLayout w:type="fixed"/>
        <w:tblCellMar>
          <w:top w:w="28" w:type="dxa"/>
          <w:left w:w="28" w:type="dxa"/>
          <w:bottom w:w="28" w:type="dxa"/>
          <w:right w:w="28" w:type="dxa"/>
        </w:tblCellMar>
      </w:tblPr>
      <w:tblGrid>
        <w:gridCol w:w="788"/>
        <w:gridCol w:w="692"/>
        <w:gridCol w:w="695"/>
        <w:gridCol w:w="109"/>
        <w:gridCol w:w="109"/>
        <w:gridCol w:w="109"/>
        <w:gridCol w:w="196"/>
        <w:gridCol w:w="55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impairments of intangible assets for the three and six months ended June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Accounts Payable and Other Accrued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 consists of the following:</w:t>
      </w:r>
    </w:p>
    <w:tbl>
      <w:tblPr>
        <w:tblW w:w="6341" w:type="dxa"/>
        <w:jc w:val="center"/>
        <w:tblInd w:w="0" w:type="dxa"/>
        <w:tblLayout w:type="fixed"/>
        <w:tblCellMar>
          <w:top w:w="28" w:type="dxa"/>
          <w:left w:w="28" w:type="dxa"/>
          <w:bottom w:w="28" w:type="dxa"/>
          <w:right w:w="28" w:type="dxa"/>
        </w:tblCellMar>
      </w:tblPr>
      <w:tblGrid>
        <w:gridCol w:w="1208"/>
        <w:gridCol w:w="1064"/>
        <w:gridCol w:w="1072"/>
        <w:gridCol w:w="232"/>
        <w:gridCol w:w="764"/>
        <w:gridCol w:w="129"/>
        <w:gridCol w:w="109"/>
        <w:gridCol w:w="109"/>
        <w:gridCol w:w="109"/>
        <w:gridCol w:w="304"/>
        <w:gridCol w:w="1002"/>
        <w:gridCol w:w="239"/>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 and other</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product sales deductions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royalty payable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42,210,972 and 38,349,826 shares of common stock issued and outstanding, respectively, excluding 312,500 of pre-funded warrants that remained exercisable at period end and are reserved for future issuance. Common stockholders have one vote for each share of common stock held and are entitled to receive dividends declared by the Company's Board of Directors when legally available for distribution, then-subject to the dividend rights of the holders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total shares reserved for future issuance under its 2020 and 2016 Equity Incentive Plans and 2020 Employee Stock Purchase Plan ("ESPP") are summarized below:</w:t>
      </w:r>
    </w:p>
    <w:tbl>
      <w:tblPr>
        <w:tblW w:w="10205" w:type="dxa"/>
        <w:jc w:val="center"/>
        <w:tblInd w:w="0" w:type="dxa"/>
        <w:tblLayout w:type="fixed"/>
        <w:tblCellMar>
          <w:top w:w="28" w:type="dxa"/>
          <w:left w:w="28" w:type="dxa"/>
          <w:bottom w:w="28" w:type="dxa"/>
          <w:right w:w="28" w:type="dxa"/>
        </w:tblCellMar>
      </w:tblPr>
      <w:tblGrid>
        <w:gridCol w:w="2536"/>
        <w:gridCol w:w="2215"/>
        <w:gridCol w:w="2231"/>
        <w:gridCol w:w="487"/>
        <w:gridCol w:w="474"/>
        <w:gridCol w:w="356"/>
        <w:gridCol w:w="109"/>
        <w:gridCol w:w="109"/>
        <w:gridCol w:w="109"/>
        <w:gridCol w:w="498"/>
        <w:gridCol w:w="463"/>
        <w:gridCol w:w="618"/>
      </w:tblGrid>
      <w:tr>
        <w:trPr/>
        <w:tc>
          <w:tcPr>
            <w:tcW w:w="2536"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Pre-funded warrants to purchase common stock</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 plans:</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2020 and 2016 Equity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7,238,841 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7,204,677 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awards reserved for future issuance under the 2020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2,832,929 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2,765,942 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 (unvested and vested) under 2020 and 2016 Equity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5,318,222 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5,007,908 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issued and outstanding (unvested) under 2020 Equity Incentive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1,813,364 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1,915,281 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stock units issued and outstanding (unvested) under 2020 Equity Incentive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692,623 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common stock reserved</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18,208,479 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17,206,308 </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restricted stock units, and the ESPP was recognized in the accompanying Condensed Statements of Operations and Comprehensive Loss as follows:</w:t>
      </w:r>
    </w:p>
    <w:tbl>
      <w:tblPr>
        <w:tblW w:w="7410" w:type="dxa"/>
        <w:jc w:val="center"/>
        <w:tblInd w:w="0" w:type="dxa"/>
        <w:tblLayout w:type="fixed"/>
        <w:tblCellMar>
          <w:top w:w="28" w:type="dxa"/>
          <w:left w:w="28" w:type="dxa"/>
          <w:bottom w:w="28" w:type="dxa"/>
          <w:right w:w="28" w:type="dxa"/>
        </w:tblCellMar>
      </w:tblPr>
      <w:tblGrid>
        <w:gridCol w:w="918"/>
        <w:gridCol w:w="810"/>
        <w:gridCol w:w="821"/>
        <w:gridCol w:w="216"/>
        <w:gridCol w:w="614"/>
        <w:gridCol w:w="120"/>
        <w:gridCol w:w="120"/>
        <w:gridCol w:w="120"/>
        <w:gridCol w:w="120"/>
        <w:gridCol w:w="216"/>
        <w:gridCol w:w="614"/>
        <w:gridCol w:w="120"/>
        <w:gridCol w:w="109"/>
        <w:gridCol w:w="109"/>
        <w:gridCol w:w="109"/>
        <w:gridCol w:w="196"/>
        <w:gridCol w:w="646"/>
        <w:gridCol w:w="109"/>
        <w:gridCol w:w="109"/>
        <w:gridCol w:w="109"/>
        <w:gridCol w:w="109"/>
        <w:gridCol w:w="196"/>
        <w:gridCol w:w="64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fair value of granted stock options was estimated as of the date of grant using the Black-Scholes option-pricing model, based on the following inputs:</w:t>
      </w:r>
    </w:p>
    <w:tbl>
      <w:tblPr>
        <w:tblW w:w="9145" w:type="dxa"/>
        <w:jc w:val="left"/>
        <w:tblInd w:w="0" w:type="dxa"/>
        <w:tblLayout w:type="fixed"/>
        <w:tblCellMar>
          <w:top w:w="28" w:type="dxa"/>
          <w:left w:w="28" w:type="dxa"/>
          <w:bottom w:w="28" w:type="dxa"/>
          <w:right w:w="28" w:type="dxa"/>
        </w:tblCellMar>
      </w:tblPr>
      <w:tblGrid>
        <w:gridCol w:w="1458"/>
        <w:gridCol w:w="1286"/>
        <w:gridCol w:w="1290"/>
        <w:gridCol w:w="365"/>
        <w:gridCol w:w="191"/>
        <w:gridCol w:w="400"/>
        <w:gridCol w:w="170"/>
        <w:gridCol w:w="170"/>
        <w:gridCol w:w="170"/>
        <w:gridCol w:w="365"/>
        <w:gridCol w:w="191"/>
        <w:gridCol w:w="400"/>
        <w:gridCol w:w="109"/>
        <w:gridCol w:w="109"/>
        <w:gridCol w:w="109"/>
        <w:gridCol w:w="356"/>
        <w:gridCol w:w="200"/>
        <w:gridCol w:w="362"/>
        <w:gridCol w:w="154"/>
        <w:gridCol w:w="154"/>
        <w:gridCol w:w="154"/>
        <w:gridCol w:w="356"/>
        <w:gridCol w:w="200"/>
        <w:gridCol w:w="426"/>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risk-free interest rate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volatility</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70.50 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68.35 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grant-date fair value per stock option</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option activity for the period presented is as follows:</w:t>
      </w:r>
    </w:p>
    <w:tbl>
      <w:tblPr>
        <w:tblW w:w="8208" w:type="dxa"/>
        <w:jc w:val="left"/>
        <w:tblInd w:w="0" w:type="dxa"/>
        <w:tblLayout w:type="fixed"/>
        <w:tblCellMar>
          <w:top w:w="28" w:type="dxa"/>
          <w:left w:w="28" w:type="dxa"/>
          <w:bottom w:w="28" w:type="dxa"/>
          <w:right w:w="28" w:type="dxa"/>
        </w:tblCellMar>
      </w:tblPr>
      <w:tblGrid>
        <w:gridCol w:w="961"/>
        <w:gridCol w:w="844"/>
        <w:gridCol w:w="849"/>
        <w:gridCol w:w="435"/>
        <w:gridCol w:w="436"/>
        <w:gridCol w:w="296"/>
        <w:gridCol w:w="109"/>
        <w:gridCol w:w="109"/>
        <w:gridCol w:w="109"/>
        <w:gridCol w:w="399"/>
        <w:gridCol w:w="399"/>
        <w:gridCol w:w="401"/>
        <w:gridCol w:w="109"/>
        <w:gridCol w:w="109"/>
        <w:gridCol w:w="109"/>
        <w:gridCol w:w="359"/>
        <w:gridCol w:w="359"/>
        <w:gridCol w:w="361"/>
        <w:gridCol w:w="109"/>
        <w:gridCol w:w="109"/>
        <w:gridCol w:w="109"/>
        <w:gridCol w:w="368"/>
        <w:gridCol w:w="368"/>
        <w:gridCol w:w="392"/>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40" w:before="0" w:after="0"/>
              <w:jc w:val="center"/>
              <w:rPr/>
            </w:pPr>
            <w:r>
              <w:rPr>
                <w:rFonts w:ascii="Times New Roman;serif" w:hAnsi="Times New Roman;serif"/>
                <w:b/>
                <w:color w:val="000000"/>
                <w:sz w:val="16"/>
              </w:rPr>
              <w:t>Value ($)</w:t>
            </w:r>
            <w:r>
              <w:rPr>
                <w:rFonts w:ascii="Times New Roman;serif" w:hAnsi="Times New Roman;serif"/>
                <w:b/>
                <w:color w:val="000000"/>
                <w:sz w:val="10"/>
              </w:rPr>
              <w:t>(1)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5,007,908 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180,669 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498,372 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5,318,222 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105,735 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June 30, 2025</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3,715,800 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June 30, 2025</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1,602,422 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options and the fair value of the Company’s common stock as of June 30,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there was approximately $31.3 million of unrecognized compensation expense related to unvested stock options, which the Company expects to recognize over a weighted average period of 2.5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Restricted stock unit activity for the period presented is as follows:</w:t>
      </w:r>
    </w:p>
    <w:tbl>
      <w:tblPr>
        <w:tblW w:w="5664" w:type="dxa"/>
        <w:jc w:val="left"/>
        <w:tblInd w:w="0" w:type="dxa"/>
        <w:tblLayout w:type="fixed"/>
        <w:tblCellMar>
          <w:top w:w="28" w:type="dxa"/>
          <w:left w:w="28" w:type="dxa"/>
          <w:bottom w:w="28" w:type="dxa"/>
          <w:right w:w="28" w:type="dxa"/>
        </w:tblCellMar>
      </w:tblPr>
      <w:tblGrid>
        <w:gridCol w:w="961"/>
        <w:gridCol w:w="844"/>
        <w:gridCol w:w="849"/>
        <w:gridCol w:w="435"/>
        <w:gridCol w:w="436"/>
        <w:gridCol w:w="296"/>
        <w:gridCol w:w="109"/>
        <w:gridCol w:w="109"/>
        <w:gridCol w:w="109"/>
        <w:gridCol w:w="444"/>
        <w:gridCol w:w="444"/>
        <w:gridCol w:w="628"/>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1,915,281 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464,552 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(463,578)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(102,891)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1,813,364 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there was approximately $48.0 million of unrecognized compensation expense related to unvested restricted stock units, which the Company expects to recognize over a weighted average period of 3.0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granted certain employees performance stock units. Performance stock unit activity for the period presented is as follows:</w:t>
      </w:r>
    </w:p>
    <w:tbl>
      <w:tblPr>
        <w:tblW w:w="5529" w:type="dxa"/>
        <w:jc w:val="left"/>
        <w:tblInd w:w="0" w:type="dxa"/>
        <w:tblLayout w:type="fixed"/>
        <w:tblCellMar>
          <w:top w:w="28" w:type="dxa"/>
          <w:left w:w="28" w:type="dxa"/>
          <w:bottom w:w="28" w:type="dxa"/>
          <w:right w:w="28" w:type="dxa"/>
        </w:tblCellMar>
      </w:tblPr>
      <w:tblGrid>
        <w:gridCol w:w="961"/>
        <w:gridCol w:w="844"/>
        <w:gridCol w:w="849"/>
        <w:gridCol w:w="368"/>
        <w:gridCol w:w="368"/>
        <w:gridCol w:w="296"/>
        <w:gridCol w:w="109"/>
        <w:gridCol w:w="109"/>
        <w:gridCol w:w="109"/>
        <w:gridCol w:w="444"/>
        <w:gridCol w:w="444"/>
        <w:gridCol w:w="628"/>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 xml:space="preserve">Grant Date </w:t>
              <w:br/>
              <w:t>Fair Value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692,623 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June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692,623 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there was approximately $30.8 million of grant-date fair value unrecognized compensation expense related to unvested performance stock units. For the three and six months ended June 30, 2025, there was no stock-based compensation expense recognized given that none of the performance conditions were achieved or considered probable of being achieved during the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the ESPP was $0.2 million and $0.3 million, respectively, for the three months ended June 30, 2025 and 2024, and was $0.5 million and $0.5 million, respectively, for the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NET LOSS PER SHARE</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The following</w:t>
      </w:r>
      <w:r>
        <w:rPr>
          <w:color w:val="000000"/>
        </w:rPr>
        <w:t xml:space="preserve"> </w:t>
      </w:r>
      <w:r>
        <w:rPr>
          <w:rFonts w:ascii="Times New Roman;serif" w:hAnsi="Times New Roman;serif"/>
          <w:b w:val="false"/>
          <w:color w:val="000000"/>
          <w:sz w:val="20"/>
        </w:rPr>
        <w:t>table sets forth the computation of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71" w:type="dxa"/>
        <w:jc w:val="center"/>
        <w:tblInd w:w="0" w:type="dxa"/>
        <w:tblLayout w:type="fixed"/>
        <w:tblCellMar>
          <w:top w:w="28" w:type="dxa"/>
          <w:left w:w="28" w:type="dxa"/>
          <w:bottom w:w="28" w:type="dxa"/>
          <w:right w:w="28" w:type="dxa"/>
        </w:tblCellMar>
      </w:tblPr>
      <w:tblGrid>
        <w:gridCol w:w="1579"/>
        <w:gridCol w:w="1385"/>
        <w:gridCol w:w="1401"/>
        <w:gridCol w:w="219"/>
        <w:gridCol w:w="742"/>
        <w:gridCol w:w="109"/>
        <w:gridCol w:w="109"/>
        <w:gridCol w:w="109"/>
        <w:gridCol w:w="109"/>
        <w:gridCol w:w="219"/>
        <w:gridCol w:w="742"/>
        <w:gridCol w:w="109"/>
        <w:gridCol w:w="109"/>
        <w:gridCol w:w="109"/>
        <w:gridCol w:w="109"/>
        <w:gridCol w:w="219"/>
        <w:gridCol w:w="742"/>
        <w:gridCol w:w="109"/>
        <w:gridCol w:w="109"/>
        <w:gridCol w:w="109"/>
        <w:gridCol w:w="109"/>
        <w:gridCol w:w="219"/>
        <w:gridCol w:w="742"/>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Weighted-average shares outstanding — basic and diluted</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36,530,756 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basic and diluted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2"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Weighted-average shares outstanding includes pre-funded warrants issued on 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6206" w:type="dxa"/>
        <w:jc w:val="left"/>
        <w:tblInd w:w="0" w:type="dxa"/>
        <w:tblLayout w:type="fixed"/>
        <w:tblCellMar>
          <w:top w:w="28" w:type="dxa"/>
          <w:left w:w="28" w:type="dxa"/>
          <w:bottom w:w="28" w:type="dxa"/>
          <w:right w:w="28" w:type="dxa"/>
        </w:tblCellMar>
      </w:tblPr>
      <w:tblGrid>
        <w:gridCol w:w="1346"/>
        <w:gridCol w:w="1182"/>
        <w:gridCol w:w="1192"/>
        <w:gridCol w:w="435"/>
        <w:gridCol w:w="436"/>
        <w:gridCol w:w="156"/>
        <w:gridCol w:w="125"/>
        <w:gridCol w:w="125"/>
        <w:gridCol w:w="125"/>
        <w:gridCol w:w="435"/>
        <w:gridCol w:w="436"/>
        <w:gridCol w:w="213"/>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5,116,594 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1,900,370 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7,131,586 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7,016,964 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(see </w:t>
      </w:r>
      <w:r>
        <w:rPr>
          <w:rFonts w:ascii="Times New Roman;serif" w:hAnsi="Times New Roman;serif"/>
          <w:b w:val="false"/>
          <w:i/>
          <w:color w:val="000000"/>
          <w:sz w:val="20"/>
        </w:rPr>
        <w:t>Note 9</w:t>
      </w:r>
      <w:r>
        <w:rPr>
          <w:rFonts w:ascii="Times New Roman;serif" w:hAnsi="Times New Roman;serif"/>
          <w:b w:val="false"/>
          <w:color w:val="000000"/>
          <w:sz w:val="20"/>
        </w:rPr>
        <w:t xml:space="preserve">). The accounting policies of the therapeutics segment are the same as those described in the summary of significant accounting policies (see </w:t>
      </w:r>
      <w:r>
        <w:rPr>
          <w:rFonts w:ascii="Times New Roman;serif" w:hAnsi="Times New Roman;serif"/>
          <w:b w:val="false"/>
          <w:i/>
          <w:color w:val="000000"/>
          <w:sz w:val="20"/>
        </w:rPr>
        <w:t>Note 2</w:t>
      </w:r>
      <w:r>
        <w:rPr>
          <w:rFonts w:ascii="Times New Roman;serif" w:hAnsi="Times New Roman;serif"/>
          <w:b w:val="false"/>
          <w:color w:val="000000"/>
          <w:sz w:val="20"/>
        </w:rPr>
        <w: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("CODM") is its Chief Executive Officer ("CEO"). The CODM uses net loss, as reported in the accompanying Condensed Statements of Operations and Comprehensive Loss, to assess performance of the therapeutics segment and in deciding whether to allocate resources into the therapeutics segment or outside the segment, such as for acquisitions or new in-license agreements. The CODM uses net loss to regularly monitor budget versus actual results which are used in assessing performance of the segment and in establishing management’s compensation.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CODM does not review assets in evaluating the results of the therapeutics segment, and therefore, such information is not presented.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operating financial results of the therapeutics segment:</w:t>
      </w:r>
    </w:p>
    <w:tbl>
      <w:tblPr>
        <w:tblW w:w="10205" w:type="dxa"/>
        <w:jc w:val="left"/>
        <w:tblInd w:w="0" w:type="dxa"/>
        <w:tblLayout w:type="fixed"/>
        <w:tblCellMar>
          <w:top w:w="28" w:type="dxa"/>
          <w:left w:w="28" w:type="dxa"/>
          <w:bottom w:w="28" w:type="dxa"/>
          <w:right w:w="28" w:type="dxa"/>
        </w:tblCellMar>
      </w:tblPr>
      <w:tblGrid>
        <w:gridCol w:w="1238"/>
        <w:gridCol w:w="1013"/>
        <w:gridCol w:w="1020"/>
        <w:gridCol w:w="264"/>
        <w:gridCol w:w="995"/>
        <w:gridCol w:w="146"/>
        <w:gridCol w:w="146"/>
        <w:gridCol w:w="146"/>
        <w:gridCol w:w="146"/>
        <w:gridCol w:w="264"/>
        <w:gridCol w:w="955"/>
        <w:gridCol w:w="146"/>
        <w:gridCol w:w="146"/>
        <w:gridCol w:w="146"/>
        <w:gridCol w:w="146"/>
        <w:gridCol w:w="264"/>
        <w:gridCol w:w="995"/>
        <w:gridCol w:w="146"/>
        <w:gridCol w:w="146"/>
        <w:gridCol w:w="146"/>
        <w:gridCol w:w="146"/>
        <w:gridCol w:w="264"/>
        <w:gridCol w:w="955"/>
        <w:gridCol w:w="226"/>
      </w:tblGrid>
      <w:tr>
        <w:trPr/>
        <w:tc>
          <w:tcPr>
            <w:tcW w:w="123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(70,986)</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reconciling items</w:t>
            </w:r>
            <w:r>
              <w:rPr>
                <w:rFonts w:ascii="Times New Roman;serif" w:hAnsi="Times New Roman;serif"/>
                <w:b w:val="false"/>
                <w:color w:val="000000"/>
                <w:sz w:val="12"/>
              </w:rPr>
              <w:t>(1)</w:t>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segment disclosures: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reconciling items primarily includes interest income and interest expense. In the prior year periods, other reconciling items also included loss on debt extinguishment.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&amp;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Current Lease Agreement</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lease agreements with unaffiliated third parties for its facilities and office equipment. As of June 30, 2025, the Company had six active leases for adjacent office and laboratory suites in Irvine, California.</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an agreement to terminate its existing facility lease agreements (the "Current Lease") and entered into a new lease agreement (the "New Lease"), both with the same landlord, to relocate its corporate headquarters to another location in Irvine, California. The Current Lease will terminate upon the earlier of the substantial completion of tenant improvements at the New Lease premises or the commencement of the Company's regular business activities at the New Lease premises, which the Company expects to begin occupying in late 2025, as discussed in more detail below.</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expense for the Current Lease are as follows:</w:t>
      </w:r>
    </w:p>
    <w:tbl>
      <w:tblPr>
        <w:tblW w:w="6528" w:type="dxa"/>
        <w:jc w:val="left"/>
        <w:tblInd w:w="0" w:type="dxa"/>
        <w:tblLayout w:type="fixed"/>
        <w:tblCellMar>
          <w:top w:w="28" w:type="dxa"/>
          <w:left w:w="28" w:type="dxa"/>
          <w:bottom w:w="28" w:type="dxa"/>
          <w:right w:w="28" w:type="dxa"/>
        </w:tblCellMar>
      </w:tblPr>
      <w:tblGrid>
        <w:gridCol w:w="662"/>
        <w:gridCol w:w="582"/>
        <w:gridCol w:w="585"/>
        <w:gridCol w:w="249"/>
        <w:gridCol w:w="536"/>
        <w:gridCol w:w="138"/>
        <w:gridCol w:w="138"/>
        <w:gridCol w:w="138"/>
        <w:gridCol w:w="138"/>
        <w:gridCol w:w="249"/>
        <w:gridCol w:w="536"/>
        <w:gridCol w:w="138"/>
        <w:gridCol w:w="109"/>
        <w:gridCol w:w="109"/>
        <w:gridCol w:w="109"/>
        <w:gridCol w:w="227"/>
        <w:gridCol w:w="488"/>
        <w:gridCol w:w="126"/>
        <w:gridCol w:w="126"/>
        <w:gridCol w:w="126"/>
        <w:gridCol w:w="126"/>
        <w:gridCol w:w="227"/>
        <w:gridCol w:w="488"/>
        <w:gridCol w:w="178"/>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expense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Current Lease is as follows:</w:t>
      </w:r>
    </w:p>
    <w:tbl>
      <w:tblPr>
        <w:tblW w:w="5171" w:type="dxa"/>
        <w:jc w:val="left"/>
        <w:tblInd w:w="0" w:type="dxa"/>
        <w:tblLayout w:type="fixed"/>
        <w:tblCellMar>
          <w:top w:w="28" w:type="dxa"/>
          <w:left w:w="28" w:type="dxa"/>
          <w:bottom w:w="28" w:type="dxa"/>
          <w:right w:w="28" w:type="dxa"/>
        </w:tblCellMar>
      </w:tblPr>
      <w:tblGrid>
        <w:gridCol w:w="788"/>
        <w:gridCol w:w="692"/>
        <w:gridCol w:w="695"/>
        <w:gridCol w:w="258"/>
        <w:gridCol w:w="258"/>
        <w:gridCol w:w="608"/>
        <w:gridCol w:w="109"/>
        <w:gridCol w:w="109"/>
        <w:gridCol w:w="109"/>
        <w:gridCol w:w="323"/>
        <w:gridCol w:w="323"/>
        <w:gridCol w:w="899"/>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lease term (years)</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Cash paid for our Current Lease was $0.2 million and $0.2 million, respectively, for the three months ended June 30, 2025 and 2024, and was $0.3 million and $0.3 million, respectively, for the six months ended June 30, 2025 and 2024.</w:t>
      </w:r>
    </w:p>
    <w:p>
      <w:pPr>
        <w:pStyle w:val="TextBody"/>
        <w:bidi w:val="0"/>
        <w:spacing w:lineRule="auto" w:line="256"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below table summarizes the (i) minimum lease payments for the remainder of the year and thereafter, (ii) lease arrangement imputed interest, and (iii) present value of future lease payments for the Current Lease:</w:t>
      </w:r>
    </w:p>
    <w:tbl>
      <w:tblPr>
        <w:tblW w:w="4212"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202"/>
        <w:gridCol w:w="434"/>
        <w:gridCol w:w="16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 undiscounted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Lease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the New Lease for 59,626 square feet of office space located in Irvine, California for a 10-year lease term. The New Lease payments are expected to commence in late 2025 following the earlier of: (i) eleven months following the New Lease execution date, or (ii) the date the Company commences its regular business activities at the premises following completion of tenant improvements. The base rent for the first year of the New Lease will be $2.5 million and is subject to annual increases of 3% thereafter. The Company is entitled to an abatement of base rent for the first five full calendar months from the beginning of the New Lease commencement date for an aggregate amount of $0.7 million. The New Lease also provides for a tenant improvement allowance, not to exceed $6.0 million, to be applied to the construction costs of the premises. The tenant improvement allowance must be used within one year of the Company commencing its regular business activities otherwise it will be forfeited with no further obligation by the landlord. As of June 30, 2025, no rent payments were made and the landlord had not provided any of the tenant improvement allowance.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Upon New Lease execution, the Company provided the landlord a letter of credit for $2.6 million to serve as a security deposit. Provided that no defaults occur and the Company meets certain financial milestones for certain time periods, the security deposit can subsequently be reduced to $2.0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In-License Agreements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2023, a milestone of $4.0 million was achieved and paid to Elanco upon the first commercial sale of XDEMVY in the U.S. and in September 2024, a $5.0 million sales-based milestone obligation to Elanco was triggered for the achievement of reaching $100.0 million in net product sales of XDEMVY. These respective milestone payments were recorded to intangible assets, net in the accompanying Condensed Balance Sheets as of June 30, 2025 and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make further cash payments to Elanco of $2.0 million under the Eye and Derm Elanco Agreement upon achievement of the last clinical milestone in the treatment of human skin diseases using lotilaner and a maximum of $70.0 million for various commercial and sales threshold milestones for the treatment of human skin diseases and the treatment of blepharitis in humans using lotilaner.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May 2025, Elanco sold and assigned its rights to receive certain future tiered royalties and commercial milestones under the Eye and Derm Elanco Agreement to an affiliate of Blackstone Private Credit Fund ("Blackstone"). Certain future payments under the Eye and Derm Elanco Agreement will be directed to Blackstone, with no modification to the Company’s obligations or the terms of the underlying agreement. The Company and Elanco amended the Eye and Derm Elanco Agreement to make certain conforming changes.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Company is obligated to pay tiered contractual royalties in the mid to high single digits of its product sales, net. If the Company receives certain types of payments from its sublicensees, it will be obligated to pay a variable percentage in the low to mid double-digits of such proceeds, until achievement of the first applicable regulatory approval of a product covered under the license, which occurred in July 2023 with the FDA approval of XDEMVY. The Company's accrued royalties payable are recorded to cost of sales in the accompanying Condensed Statement of Operations and Comprehensive Loss for the three and six months ended June 30, 2025 and 2024, and accounts payable and other accrued liabilities in the accompanying Condensed Balance Sheets as of June 30, 2025 and December 31, 2024. Royalty expense for the three months ended June 30, 2025 and 2024, was $5.1 million and $2.1 million, respectively, and for the six months ended June 30, 2025 and 2024 was $9.0 million and $3.3 million, respectively.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in the single digits of its product sales, net. If the Company receives certain types of payments from its sublicensees, it will also be obligated to pay a variable percentage in the low to mid double-digits of such proceeds, until achievement of the first applicable regulatory approval of a product covered under the license.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In-License Agreement for All Ophthalmic Uses in Humans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October 2024, the Company executed a new in-license agreement from a third party for the exclusive worldwide rights to develop, manufacture, and commercialize a compound for all ophthalmic uses (the "In-License Agreement"). The Company made an upfront payment of $2.5 million upon contract execution in October 2024, which was recorded to research and development expense in the Statements of Operations for the year ended December 31, 2024. As of June 30, 2025, the Company is obligated to make potential future cash payments under the In-License Agreement of $3.0 million upon the achievement of an event-based development milestone and up to $102.0 million for various commercial and sales threshold milestones. Future annual worldwide net sales of products developed from the compound, developed, manufactured, and commercialized via the In-License Agreement, will also be subject to incremental royalty rates in the range of mid-to-high single digits.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agreements, including severance and change in control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Indemnities and Guarantees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OUT-LICENSE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Out-License of TP-03 Commercial Rights in the China Territory in March 2021</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March 2021, the Company entered into the China Out-License with LianBio for its exclusive development and commercialization rights of TP-03 (lotilaner ophthalmic solution) 0.25% in the China Territory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Prior to the March 2024 Novation Agreement to GrandPharma discussed in detail below,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assessment of the initial transaction price for the China Out-License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equity warrants.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each performance obligation as follows: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Services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February 2024, LianBio announced its plan to wind down its operations and in March 2024 made a special cash dividend payment to the Company of $0.7 million (equivalent to $4.80 per share - see </w:t>
      </w:r>
      <w:r>
        <w:rPr>
          <w:rFonts w:ascii="Times New Roman;serif" w:hAnsi="Times New Roman;serif"/>
          <w:b w:val="false"/>
          <w:i/>
          <w:color w:val="000000"/>
          <w:sz w:val="20"/>
        </w:rPr>
        <w:t>Note 3</w:t>
      </w:r>
      <w:r>
        <w:rPr>
          <w:rFonts w:ascii="Times New Roman;serif" w:hAnsi="Times New Roman;serif"/>
          <w:b w:val="false"/>
          <w:color w:val="000000"/>
          <w:sz w:val="20"/>
        </w:rPr>
        <w:t xml:space="preserve">). In March 2024, the Company executed an agreement with GrandPharma and LianBio to transition the rights to develop and commercialize TP-03 in China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from LianBio to GrandPharma ("the Novation Agreement") and, upon execution of the Novation Agreement, the China Out-License with LianBio was assigned to GrandPharma with a one-time payment of $2.5 million (the "Termination Payment") made to the Company from LianBio in April 2024. This Termination Payment was recorded as license fees and collaboration revenue in the Condensed Statements of Operations and Comprehensive Loss for the six months ended June 30, 2024. The Novation Agreement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Simultaneous with the execution of the Novation Agreement, the Company entered into a warrant termination agreement (the "Warrant Termination Agreement") for a total cancellation payment of $0.4 million (the "Warrant Cancellation Payment"). This Warrant Cancellation Payment was recorded as license fees and collaboration revenue in the Condensed Statements of Operations and Comprehensive Loss for the six months ended June 30,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Through June 30, 2025, the Company received aggregate payments from LianBio totaling $86.1 million, comprised of (i) initial consideration of $15.0 million, (ii) $67.5 million for the achievement of specified milestones, (iii) $2.5 million upon execution of the Novation Agreement, (iv) $0.4 million upon execution of the Warrant Termination Agreement, and (v) $0.7 million related to a special cash dividend.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is eligible to receive further consideration from GrandPharma upon the achievement of additional TP-03 events, including: (i) additional regulatory approval and/or patent issuance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CREDIT FACILITY AGREEMENTS</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In April 2024, the Company executed the 2024 Credit Facility with Pharmakon with maturity in April 2029. The 2024 Credit Facility is collateralized by substantially all of the Company's presently existing and subsequently acquired assets. Upon execution, the Company made a $75.0 million draw from the initial tranche of the 2024 Credit Facility, a portion of which was utilized to repay all outstanding indebtedness on the Credit Facility with Hercules and SVB (the "2022 Credit Facility"), resulting in total net proceeds of</w:t>
      </w:r>
      <w:r>
        <w:rPr>
          <w:color w:val="000000"/>
        </w:rPr>
        <w:t xml:space="preserve"> </w:t>
      </w:r>
      <w:r>
        <w:rPr>
          <w:rFonts w:ascii="Times New Roman;serif" w:hAnsi="Times New Roman;serif"/>
          <w:b w:val="false"/>
          <w:color w:val="000000"/>
          <w:sz w:val="20"/>
        </w:rPr>
        <w:t xml:space="preserve">$39.6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2024 Credit Facility </w:t>
      </w:r>
      <w:r>
        <w:rPr>
          <w:rFonts w:ascii="Times New Roman;serif" w:hAnsi="Times New Roman;serif"/>
          <w:b w:val="false"/>
          <w:color w:val="000000"/>
          <w:sz w:val="20"/>
          <w:shd w:fill="FFFFFF" w:val="clear"/>
        </w:rPr>
        <w:t xml:space="preserve">provided for three potential additional term loan tranches in principal amounts up to $25.0 million, $50.0 million, and $50.0 million, respectively, subject to customary conditions to funding and, in the case of the last two tranches, achieving minimum net product sales milestones which have been met. </w:t>
      </w:r>
      <w:r>
        <w:rPr>
          <w:rFonts w:ascii="Times New Roman;serif" w:hAnsi="Times New Roman;serif"/>
          <w:b w:val="false"/>
          <w:color w:val="000000"/>
          <w:sz w:val="20"/>
        </w:rPr>
        <w:t>The Company did not draw on the first or second additional tranche of $25.0 million and $50.0 million, respectively, each of which expired on December 31, 2024 and June 30, 2025. The one remaining $50.0 million tranche may be</w:t>
      </w:r>
      <w:r>
        <w:rPr>
          <w:color w:val="000000"/>
          <w:shd w:fill="FFFFFF" w:val="clear"/>
        </w:rPr>
        <w:t xml:space="preserve"> </w:t>
      </w:r>
      <w:r>
        <w:rPr>
          <w:rFonts w:ascii="Times New Roman;serif" w:hAnsi="Times New Roman;serif"/>
          <w:b w:val="false"/>
          <w:color w:val="000000"/>
          <w:sz w:val="20"/>
          <w:shd w:fill="FFFFFF" w:val="clear"/>
        </w:rPr>
        <w:t>requested at the Company's option on or prior to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Under the 2024 Credit Facility, the outstanding principal draws accrue interest at a floating rate based upon the secured overnight financing rate (“SOFR”), plus a margin of 6.75% per annum. The SOFR is subject to a 3.75% floor. At the extinguishment date of the 2022 Credit Facility, the outstanding principal was accruing interest at the aggregate cap of 11.45%.</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Company was required to pay a specified fee upon the earlier of (i) February 2, 2027 or (ii) the date the Company prepays, in full or in part, the outstanding principal balance of the 2022 Credit Facility ("End of Term Charge"). Upon the signing of the 2024 Credit Facility, the End of Term Charge of $1.4 million was paid in full in April 2024, which was derived by multiplying 4.75% by the $30.0 million outstanding principal balance. Prior to being paid, the End of Term Charge was accreted to interest expense over the expected maturity date. The Company recognized a loss on debt extinguishment of </w:t>
      </w:r>
      <w:r>
        <w:rPr>
          <w:rFonts w:ascii="Times New Roman;serif" w:hAnsi="Times New Roman;serif"/>
          <w:b w:val="false"/>
          <w:color w:val="000000"/>
          <w:sz w:val="20"/>
          <w:shd w:fill="FFFFFF" w:val="clear"/>
        </w:rPr>
        <w:t>$1.9 million</w:t>
      </w:r>
      <w:r>
        <w:rPr>
          <w:color w:val="000000"/>
        </w:rPr>
        <w:t xml:space="preserve"> </w:t>
      </w:r>
      <w:r>
        <w:rPr>
          <w:rFonts w:ascii="Times New Roman;serif" w:hAnsi="Times New Roman;serif"/>
          <w:b w:val="false"/>
          <w:color w:val="000000"/>
          <w:sz w:val="20"/>
        </w:rPr>
        <w:t>in the Statement of Operations and Comprehensive Loss for the year ended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and 2024, the effective interest rates for the full term of the Credit Facilities was 12.31% and 13.37%, respectively. The Company recognized interest expense in the accompanying Condensed Statements of Operations and Comprehensive Loss in connection with the Credit Facilities as follows:</w:t>
      </w:r>
    </w:p>
    <w:tbl>
      <w:tblPr>
        <w:tblW w:w="7339" w:type="dxa"/>
        <w:jc w:val="left"/>
        <w:tblInd w:w="0" w:type="dxa"/>
        <w:tblLayout w:type="fixed"/>
        <w:tblCellMar>
          <w:top w:w="28" w:type="dxa"/>
          <w:left w:w="28" w:type="dxa"/>
          <w:bottom w:w="28" w:type="dxa"/>
          <w:right w:w="28" w:type="dxa"/>
        </w:tblCellMar>
      </w:tblPr>
      <w:tblGrid>
        <w:gridCol w:w="957"/>
        <w:gridCol w:w="839"/>
        <w:gridCol w:w="843"/>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55"/>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for long-term debt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end of term charge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value of the 2024 Credit Facility consists of principal outstanding less legal and administrative issuance costs that were recorded as a debt discount to the long-term debt, net and will continue to be accreted to interest expense using the effective interest method during its term. The principal balance of the 2024 Credit Facility and related accretion and amortization are reported on a combined basis as long-term debt, net in the accompanying Condensed Balance Sheets as follows:</w:t>
      </w:r>
    </w:p>
    <w:tbl>
      <w:tblPr>
        <w:tblW w:w="6552" w:type="dxa"/>
        <w:jc w:val="left"/>
        <w:tblInd w:w="0" w:type="dxa"/>
        <w:tblLayout w:type="fixed"/>
        <w:tblCellMar>
          <w:top w:w="28" w:type="dxa"/>
          <w:left w:w="28" w:type="dxa"/>
          <w:bottom w:w="28" w:type="dxa"/>
          <w:right w:w="28" w:type="dxa"/>
        </w:tblCellMar>
      </w:tblPr>
      <w:tblGrid>
        <w:gridCol w:w="1286"/>
        <w:gridCol w:w="1130"/>
        <w:gridCol w:w="1139"/>
        <w:gridCol w:w="232"/>
        <w:gridCol w:w="764"/>
        <w:gridCol w:w="129"/>
        <w:gridCol w:w="109"/>
        <w:gridCol w:w="109"/>
        <w:gridCol w:w="109"/>
        <w:gridCol w:w="304"/>
        <w:gridCol w:w="1002"/>
        <w:gridCol w:w="239"/>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 of debt issuance costs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72,129 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Investment in Privately-Held Eye Care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In April 2024, the Company </w:t>
      </w:r>
      <w:r>
        <w:rPr>
          <w:rFonts w:ascii="Times New Roman;serif" w:hAnsi="Times New Roman;serif"/>
          <w:b w:val="false"/>
          <w:color w:val="000000"/>
          <w:sz w:val="20"/>
        </w:rPr>
        <w:t>participated in an equity funding round of an early clinical-stage private eye care company. Pursuant to the terms of a Preferred Stock Purchase Agreement, the Company purchased</w:t>
      </w:r>
      <w:r>
        <w:rPr>
          <w:color w:val="000000"/>
          <w:shd w:fill="FFFFFF" w:val="clear"/>
        </w:rPr>
        <w:t xml:space="preserve">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rPr>
        <w:t>of preferred stock. Drs. Azamian (the Company's CEO and Chair of the Board) and Link (a member of the Company's Board of Directors) are board members of this private company. The Company also owns a small minority of this private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SUBSEQUENT EVENT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 Act”) was enacted in the U.S, which contains a broad range of tax reform provisions affecting businesses. The Company is currently evaluating the potential impact of the OBBB Act on its financial position, but does not expect it to materially impact the Company’s effective tax rate or cash flows during the current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continue to successfully commercialize XDEMVY</w:t>
      </w:r>
      <w:r>
        <w:rPr>
          <w:rFonts w:ascii="Times New Roman;serif" w:hAnsi="Times New Roman;serif"/>
          <w:b w:val="false"/>
          <w:color w:val="000000"/>
          <w:sz w:val="13"/>
        </w:rPr>
        <w:t>®</w:t>
      </w:r>
      <w:r>
        <w:rPr>
          <w:rFonts w:ascii="Times New Roman;serif" w:hAnsi="Times New Roman;serif"/>
          <w:b w:val="false"/>
          <w:color w:val="000000"/>
          <w:sz w:val="20"/>
        </w:rPr>
        <w:t xml:space="preserve">, formerly known as TP-03,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prevalence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shd w:fill="FFFFFF" w:val="clear"/>
        </w:rPr>
        <w:t>our plans related to the continued commercialization of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timing or likelihood of regulatory filings and approval for our product candidates </w:t>
      </w:r>
      <w:r>
        <w:rPr>
          <w:rFonts w:ascii="Times New Roman;serif" w:hAnsi="Times New Roman;serif"/>
          <w:b w:val="false"/>
          <w:color w:val="000000"/>
          <w:sz w:val="20"/>
          <w:shd w:fill="FFFFFF" w:val="clear"/>
        </w:rPr>
        <w:t>and our ability to meet existing or future regulatory standards or comply with post-approval requirements</w:t>
      </w:r>
      <w:r>
        <w:rPr>
          <w:rFonts w:ascii="Times New Roman;serif" w:hAnsi="Times New Roman;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health epidemics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our estimates of the number of patients in the United States ("U.S.") or globally, as applicable,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ocular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existing regulations and regulatory developments in the U.S.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plans and ability to obtain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competitive position;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March 2024 (the "March 2024 Public Offering"), and March 2025 (the "March 2025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References in this Quarterly Report on Form 10-Q to the terms, “Tarsus,” the “Company,” “we,” “our,” and “us” refer to Tarsus Pharmaceuticals, Inc., unless the context otherwise indicates.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are a commercial stage biopharmaceutical company focused on the development and commercialization of therapeutics, starting with eye care. </w:t>
      </w:r>
      <w:r>
        <w:rPr>
          <w:rFonts w:ascii="Times New Roman;serif" w:hAnsi="Times New Roman;serif"/>
          <w:b w:val="false"/>
          <w:color w:val="000000"/>
          <w:sz w:val="20"/>
          <w:shd w:fill="FFFFFF" w:val="clear"/>
        </w:rPr>
        <w:t>We launched XDEMVY</w:t>
      </w:r>
      <w:r>
        <w:rPr>
          <w:rFonts w:ascii="Times New Roman;serif" w:hAnsi="Times New Roman;serif"/>
          <w:b w:val="false"/>
          <w:color w:val="000000"/>
          <w:sz w:val="16"/>
        </w:rPr>
        <w:t>®</w:t>
      </w:r>
      <w:r>
        <w:rPr>
          <w:color w:val="000000"/>
          <w:shd w:fill="FFFFFF" w:val="clear"/>
        </w:rPr>
        <w:t xml:space="preserve"> </w:t>
      </w:r>
      <w:r>
        <w:rPr>
          <w:rFonts w:ascii="Times New Roman;serif" w:hAnsi="Times New Roman;serif"/>
          <w:b w:val="false"/>
          <w:color w:val="000000"/>
          <w:sz w:val="20"/>
          <w:shd w:fill="FFFFFF" w:val="clear"/>
        </w:rPr>
        <w:t xml:space="preserve">(lotilaner ophthalmic solution) 0.25%, formerly known as TP-03, for the treatment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August 2023 after receiving U.S. Food and Drug Administration ("FDA") approval in July 2023.</w:t>
      </w:r>
      <w:r>
        <w:rPr>
          <w:color w:val="000000"/>
        </w:rPr>
        <w:t xml:space="preserve">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shd w:fill="FFFFFF" w:val="clear"/>
        </w:rPr>
        <w:t>blepharitis is</w:t>
      </w:r>
      <w:r>
        <w:rPr>
          <w:color w:val="000000"/>
        </w:rPr>
        <w:t xml:space="preserve"> </w:t>
      </w:r>
      <w:r>
        <w:rPr>
          <w:rFonts w:ascii="Times New Roman;serif" w:hAnsi="Times New Roman;serif"/>
          <w:b w:val="false"/>
          <w:color w:val="000000"/>
          <w:sz w:val="20"/>
        </w:rPr>
        <w:t xml:space="preserve">caused by the infestation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Poorly controlled and progressive blepharitis can lead to corneal damage over time and, in extreme cases, blindness. There may be as many as approximately 25 million people in the U.S. who suffer from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XDEMVY is the first and only therapeutic approved by the FDA and we believe is the definitive standard of care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targets and eradicates the root cause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GABA-Cl") channels with no GABA-Cl inhibition in humans.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all of which met their primary, secondary and/or certain exploratory endpoints, with the drug well tolerated throughout each trial. We have also completed clinical trials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patients with Meibomian Gland Disease ("MGD") including the Ersa clinical trial involving XDEMVY (the "Ersa Trial"), and the Rhea clinical trial involving an XDEMVY vehicle (the "Rhea Trial"), all of which met their primary, secondary, and/or certain exploratory endpoints, with the drug well tolerated throughout each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intend to further advance our pipeline with, e.g., the lotilaner API to address several diseases in human medicine, including eye care, and infectious disease prevention. We are investigating the development of our product candidates to address targeted diseases with high unmet medical needs, which currently include TP-04, an investigational sterile aqueous gel formulation of lotilaner for the potential treatment of ocular rosacea and TP-05, an investigational oral systemic formulation of lotilaner, for potential Lyme disease prophylaxis and community malaria reduction.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Business and Clinical Highlights</w:t>
      </w:r>
    </w:p>
    <w:p>
      <w:pPr>
        <w:pStyle w:val="TextBody"/>
        <w:bidi w:val="0"/>
        <w:spacing w:lineRule="auto" w:line="288" w:before="240" w:after="283"/>
        <w:jc w:val="left"/>
        <w:rPr/>
      </w:pPr>
      <w:r>
        <w:rPr>
          <w:rFonts w:ascii="Times New Roman;serif" w:hAnsi="Times New Roman;serif"/>
          <w:b/>
          <w:color w:val="000000"/>
          <w:sz w:val="20"/>
          <w:u w:val="single"/>
        </w:rPr>
        <w:t>XDEMVY</w:t>
      </w:r>
      <w:r>
        <w:rPr>
          <w:rFonts w:ascii="Times New Roman;serif" w:hAnsi="Times New Roman;serif"/>
          <w:b w:val="false"/>
          <w:color w:val="000000"/>
          <w:sz w:val="20"/>
        </w:rPr>
        <w: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XDEMVY is one of the fastest growing and best-selling launches in the prescription eye drop segment. During the second quarter of 2025, the Company: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Recognized $102.7 million in net product sales, an increase of 152% year over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Dispensed approximately 91,000 bottles of XDEMVY to patients.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Obtained broader commercial, Medicare, and Medicaid reimbursement of XDEMVY for more than 90% of covered lives.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Recognized a gross-to-net discount of approximately 45%.</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Company's action-oriented direct-to-consumer ("DTC") advertising campaign is now meaningfully contributing to prescription growth, resulting from new patient engagement and subsequent increase in Eye Care Professionals ("ECPs") diagnosing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and writing prescriptions.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Consumers actively engaging on our XDEMVY.com website is up nearly 400% since the beginning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Consumer unaided awareness of XDEMVY has more than tripled since the beginning of the DTC campaign.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More than 20,000 ECPs are now actively prescribing XDEMVY, a more than 30% increase since the beginning of 2025 and beyond our initial target list of approximately 15,000 ECPs.</w:t>
      </w:r>
    </w:p>
    <w:p>
      <w:pPr>
        <w:pStyle w:val="TextBody"/>
        <w:bidi w:val="0"/>
        <w:spacing w:lineRule="auto" w:line="288" w:before="240" w:after="283"/>
        <w:jc w:val="left"/>
        <w:rPr/>
      </w:pPr>
      <w:r>
        <w:rPr>
          <w:rFonts w:ascii="Times New Roman;serif" w:hAnsi="Times New Roman;serif"/>
          <w:b/>
          <w:color w:val="000000"/>
          <w:sz w:val="20"/>
          <w:u w:val="single"/>
        </w:rPr>
        <w:t xml:space="preserve">TP-03 </w:t>
      </w:r>
      <w:r>
        <w:rPr>
          <w:rFonts w:ascii="Times New Roman;serif" w:hAnsi="Times New Roman;serif"/>
          <w:b/>
          <w:i/>
          <w:color w:val="000000"/>
          <w:sz w:val="20"/>
          <w:u w:val="single"/>
        </w:rPr>
        <w:t>Demodex</w:t>
      </w:r>
      <w:r>
        <w:rPr>
          <w:color w:val="000000"/>
          <w:u w:val="single"/>
        </w:rPr>
        <w:t xml:space="preserve"> </w:t>
      </w:r>
      <w:r>
        <w:rPr>
          <w:rFonts w:ascii="Times New Roman;serif" w:hAnsi="Times New Roman;serif"/>
          <w:b/>
          <w:color w:val="000000"/>
          <w:sz w:val="20"/>
          <w:u w:val="single"/>
        </w:rPr>
        <w:t>blepharitis in patients with MGD, Ersa and Rhea Trials: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December 2023, we announced positive topline results of the Ersa Trial evaluating XDEMVY administered twice daily ("BID") or three times a day ("TID") for 6 weeks and 12 weeks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 pilot study evaluating XDEMVY vehicle for the treatment of MGD in patients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mites, at the American Academy of Optometry ("AAOpt") Annual Meeting 2024, and in April 2025 at the American Society of Cataract and Refractive Surgery ("ASCRS") Annual Meeting 2025. The Rhea Trial enrolled a similar patient population as the Ersa Trial, and evaluated the same outcomes, with the same dosing regimens, except the Rhea Trial participants received XDEMVY vehicle. Both the Ersa and Rhea Trials also assessed patient reported outcomes for some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most commonly reported patient symptoms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namely fluctuating vision, itching, redness, and burning.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erif" w:hAnsi="Times New Roman;serif"/>
          <w:b w:val="false"/>
          <w:color w:val="000000"/>
          <w:sz w:val="20"/>
        </w:rPr>
        <w:t xml:space="preserve">The presentations, which combined the Ersa and Rhea Trials data in a pooled analysis, demonstrated that XDEMVY provided statistically significant and clinically meaningful improvements of the meibomian glands from baseline and when compared to vehicle, including at least three times more glands secreting normal or clear liquid in patients treated with XDEMVY compared to vehicle at day 43. These improvements were shown across three objective measures of MGD: 1) the presence and quality of liquid secretion as measured by the Meibomian Gland Secretion Score; 2) the number of glands secreting normal or clear liquid; and 3)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our medical affairs team is continuing to move forward with sharing this data with ECPs.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TP-04 Rosacea, Galatea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announced positive topline results from the Galatea trial, a Phase 2a trial evaluating TP-04, an investigational sterile aqueous gel formulation of lotilaner, for the treatment of rosacea (the "Galatea Trial"). The positive topline results demonstrated statistically significant improvements (p&lt;0.05) in inflammatory lesions and Investigator's Global Assessment score (change in baseline and success rate) were observed compared to vehicle at week 12. TP-04 was generally well tolerated. After review of this data with the FDA and key opinion leaders, we decided to pursue development of TP-04 for the potential treatment for ocular rosacea, a highly prevalent and underserved eye disease with no FDA-approved therapy. In January 2025, we announced plans to initiate a Phase 2 study in the second half of 2025 for the potential treatment of ocular rosacea, which remains on track.</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TP-05 Lyme Disease, Carpo Trial: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w:t>
      </w:r>
      <w:r>
        <w:rPr>
          <w:color w:val="008080"/>
        </w:rPr>
        <w:t xml:space="preserve"> </w:t>
      </w:r>
      <w:r>
        <w:rPr>
          <w:rFonts w:ascii="Times New Roman;serif" w:hAnsi="Times New Roman;serif"/>
          <w:b w:val="false"/>
          <w:color w:val="000000"/>
          <w:sz w:val="20"/>
        </w:rPr>
        <w:t>February 2024, we announced positive topline results from the Carpo trial, which demonstrated statistical significance in the mortality of ticks compared to vehicle (p&lt;0.001), regardless of treatment arm, and was well tolerated (the "Carpo Trial"). The Carpo Trial is designed to evaluate TP-05, an investigational oral systemic,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we met with the FDA about our Lyme disease program. The FDA agreed to our proposed approach for a Phase 2b clinical trial of TP-05 (an investigational oral tablet), which would include several hundred subjects with planned trial initiation expected sometime in 2026. Additionally, the FDA confirmed that a Phase 3 clinical study would require a disease prevention field study that would likely require the enrollment of thousands of patients. We continue to believe that the best approach to get this potential prophylactic therapy to patients is to partner this program either prior to the planned initiation of the Phase 2b study or after the completion of the study.</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Additional Potential Growth Drivers in 2025 and Beyond: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believe we are on track for potential European regulatory approval expected in 2027, for a preservative-free formulation of XDEMVY for the potential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In Japan, we plan to meet with regulatory authorities in the second half of 2025 to help determine a regulatory path forward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The Elara prevalence study showed high prevalence and significant impact of </w:t>
      </w:r>
      <w:r>
        <w:rPr>
          <w:rFonts w:ascii="Times New Roman;serif" w:hAnsi="Times New Roman;serif"/>
          <w:b w:val="false"/>
          <w:i/>
          <w:color w:val="000000"/>
          <w:sz w:val="20"/>
          <w:shd w:fill="FFFFFF" w:val="clear"/>
        </w:rPr>
        <w:t xml:space="preserve">Demodex </w:t>
      </w:r>
      <w:r>
        <w:rPr>
          <w:rFonts w:ascii="Times New Roman;serif" w:hAnsi="Times New Roman;serif"/>
          <w:b w:val="false"/>
          <w:color w:val="000000"/>
          <w:sz w:val="20"/>
          <w:shd w:fill="FFFFFF" w:val="clear"/>
        </w:rPr>
        <w:t>blepharitis in Japan, consistent with U.S. findings.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Financial 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through private placements of preferred stock, convertible promissory notes, net proceeds from issuance of common stock in our IPO, our subsequent Follow-On Public Offerings and our 2023 ATM Prospectus, as well as proceeds from net product sales, our China Out-License, and drawdowns from the 2024 Credit Facility and the previous loan and security agreement with Hercules Capital, Inc. and Silicon Valley Bank, a division of First Citizens Bank &amp; Trust Company ("the 2022 Credit Facility", and collectively the "Credit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We have incurred significant net operating losses ("NOLs") in every year since our inception and expect to continue to incur significant operating expenses as we commercialize XDEMVY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as we advance our other product candidates through clinical trials, regulatory submissions, and potential commercialization. Our net losses were $20.3 million and $33.3 million for the three months ended June 30, 2025 and 2024, respectively, and $45.6 million and $69.0 million for the six months ended June 30, 2025 and 2024,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w:t>
      </w:r>
      <w:r>
        <w:rPr>
          <w:color w:val="000000"/>
        </w:rPr>
        <w:t xml:space="preserve"> </w:t>
      </w:r>
      <w:r>
        <w:rPr>
          <w:rFonts w:ascii="Times New Roman;serif" w:hAnsi="Times New Roman;serif"/>
          <w:b w:val="false"/>
          <w:color w:val="000000"/>
          <w:sz w:val="20"/>
        </w:rPr>
        <w:t>and our other product candidates for which we obtain regulatory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the clinical development of TP-04 for the potential treatment of ocular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 information systems and personnel to support our product development and continued commercialization efforts, and to enable us to operate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began generating XDEMVY product sales in August 2023, following FDA approval in July 2023. Our reported revenue within license fees and collaboration revenue is from our China Out-License and clinical supply agreement; we expect to report additional revenue under this caption in future periods.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Until such time as we can generate significant revenue from product sales and achieve profitability, if ever, we expect to finance our operations through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erif" w:hAnsi="Times New Roman;serif"/>
          <w:b w:val="false"/>
          <w:color w:val="000000"/>
          <w:sz w:val="20"/>
        </w:rPr>
        <w:t>As of June 30, 2025, our aggregate cash, cash equivalents and marketable securities was $381.1 million – see the section below titled "</w:t>
      </w:r>
      <w:r>
        <w:rPr>
          <w:rFonts w:ascii="Times New Roman;serif" w:hAnsi="Times New Roman;serif"/>
          <w:b w:val="false"/>
          <w:i/>
          <w:color w:val="000000"/>
          <w:sz w:val="20"/>
        </w:rPr>
        <w:t>Management's Discussion and Analysis of Financial Condition and Results of Operations — 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Recently, </w:t>
      </w:r>
      <w:r>
        <w:rPr>
          <w:rFonts w:ascii="Times New Roman;serif" w:hAnsi="Times New Roman;serif"/>
          <w:b w:val="false"/>
          <w:color w:val="000000"/>
          <w:sz w:val="20"/>
          <w:shd w:fill="FFFFFF" w:val="clear"/>
        </w:rPr>
        <w:t>the economy has experienced significant volatility and escalating trade tensions. Together with high rates of inflation and energy supply issues experienced in certain regions, the potential enactment of tariffs, war and geopolitical conflicts, these conditions have led to regional and/or global macroeconomic challenges, the effects of which may be of an extended duration.</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tbl>
      <w:tblPr>
        <w:tblW w:w="7541" w:type="dxa"/>
        <w:jc w:val="left"/>
        <w:tblInd w:w="0" w:type="dxa"/>
        <w:tblLayout w:type="fixed"/>
        <w:tblCellMar>
          <w:top w:w="28" w:type="dxa"/>
          <w:left w:w="28" w:type="dxa"/>
          <w:bottom w:w="28" w:type="dxa"/>
          <w:right w:w="28" w:type="dxa"/>
        </w:tblCellMar>
      </w:tblPr>
      <w:tblGrid>
        <w:gridCol w:w="1384"/>
        <w:gridCol w:w="1216"/>
        <w:gridCol w:w="1224"/>
        <w:gridCol w:w="196"/>
        <w:gridCol w:w="736"/>
        <w:gridCol w:w="109"/>
        <w:gridCol w:w="109"/>
        <w:gridCol w:w="109"/>
        <w:gridCol w:w="109"/>
        <w:gridCol w:w="196"/>
        <w:gridCol w:w="721"/>
        <w:gridCol w:w="109"/>
        <w:gridCol w:w="109"/>
        <w:gridCol w:w="109"/>
        <w:gridCol w:w="109"/>
        <w:gridCol w:w="196"/>
        <w:gridCol w:w="64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and 2024, we recognized revenue of $102.7 million and $40.8 million, respectively, from product sales, net of rebates, chargebacks, discounts, and other adjustments driven by approximately 91,000 bottles of XDEMVY delivered to patients compared to 37,000 bottles delivered in the prior year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and 2024, we recognized $6.2 million and $3.0 million, respectively, in cost of sales for XDEMVY. Cost of sales consists of direct and indirect costs related to the manufacturing and distribution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XDEMVY, including raw materials, third-party manufacturing costs, packaging services, freight-in, third-party royalties payable on our product sales, net, and amortization of capitalized intangible assets associated with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756" w:type="dxa"/>
        <w:jc w:val="left"/>
        <w:tblInd w:w="0" w:type="dxa"/>
        <w:tblLayout w:type="fixed"/>
        <w:tblCellMar>
          <w:top w:w="28" w:type="dxa"/>
          <w:left w:w="28" w:type="dxa"/>
          <w:bottom w:w="28" w:type="dxa"/>
          <w:right w:w="28" w:type="dxa"/>
        </w:tblCellMar>
      </w:tblPr>
      <w:tblGrid>
        <w:gridCol w:w="1101"/>
        <w:gridCol w:w="971"/>
        <w:gridCol w:w="973"/>
        <w:gridCol w:w="199"/>
        <w:gridCol w:w="656"/>
        <w:gridCol w:w="110"/>
        <w:gridCol w:w="110"/>
        <w:gridCol w:w="110"/>
        <w:gridCol w:w="110"/>
        <w:gridCol w:w="199"/>
        <w:gridCol w:w="656"/>
        <w:gridCol w:w="110"/>
        <w:gridCol w:w="109"/>
        <w:gridCol w:w="109"/>
        <w:gridCol w:w="109"/>
        <w:gridCol w:w="196"/>
        <w:gridCol w:w="556"/>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Compensation and personnel-related </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$3.3 million for the three months ended June 30, 2025, as compared to the prior year period. The increase was primarily due to (i) $0.8 million of increased TP-04 program expenses, (ii) $1.3 million of increased payroll and personnel-related costs (including a slight increase in stock-based compensation expense) related to employee additions to drive our product development initiatives, (iii) $1.0 million of increased early-stage programs, and (iv) $0.3 million of increased other indirect expenses. These increases were partially offset by $0.2 million of decreased TP-03 program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$44.2 million for the three months ended June 30, 2025, as compared to the prior year period. The increase was primarily due to (i) $7.1 million of increased payroll and personnel-related costs (including increased stock-based compensation expense of $0.7 million) for commercial and corporate employee additions to support our business growth and commercial leadership hires for XDEMVY, (ii) $30.2 million of increased commercial and marketing costs, including DTC advertising costs, as we continued our commercial expansion of XDEMVY and (iii) $6.9 million of increased information technology applications, legal, professional and other corporate expenses. We expect increased vendor expenses in 2025 given further growth and expansion of our commercial activities for XDEMVY and other corporate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Other income (expense), net increased by $1.8 million compared to the prior year period due primarily to a $1.9 million loss on debt extinguishment related to the 2022 Credit Facility (see </w:t>
      </w:r>
      <w:r>
        <w:rPr>
          <w:rFonts w:ascii="Times New Roman;serif" w:hAnsi="Times New Roman;serif"/>
          <w:b w:val="false"/>
          <w:i/>
          <w:color w:val="000000"/>
          <w:sz w:val="20"/>
        </w:rPr>
        <w:t>Note 10</w:t>
      </w:r>
      <w:r>
        <w:rPr>
          <w:rFonts w:ascii="Times New Roman;serif" w:hAnsi="Times New Roman;serif"/>
          <w:b w:val="false"/>
          <w:color w:val="000000"/>
          <w:sz w:val="20"/>
        </w:rPr>
        <w:t xml:space="preserve">), which was recognized in the prior year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 Act”) was enacted in the U.S, which contains a broad range of tax reform provisions affecting businesses. We are currently evaluating the potential impact of the OBBB Act on our financial position, but do not expect it to materially impact our effective tax rate or cash flows during the current fiscal year. As the legislation was signed into law after the quarter ended June 30, 2025, any potential impact is not included in our operating results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w:t>
      </w:r>
    </w:p>
    <w:tbl>
      <w:tblPr>
        <w:tblW w:w="7819" w:type="dxa"/>
        <w:jc w:val="center"/>
        <w:tblInd w:w="0" w:type="dxa"/>
        <w:tblLayout w:type="fixed"/>
        <w:tblCellMar>
          <w:top w:w="28" w:type="dxa"/>
          <w:left w:w="28" w:type="dxa"/>
          <w:bottom w:w="28" w:type="dxa"/>
          <w:right w:w="28" w:type="dxa"/>
        </w:tblCellMar>
      </w:tblPr>
      <w:tblGrid>
        <w:gridCol w:w="1384"/>
        <w:gridCol w:w="1216"/>
        <w:gridCol w:w="1224"/>
        <w:gridCol w:w="196"/>
        <w:gridCol w:w="736"/>
        <w:gridCol w:w="109"/>
        <w:gridCol w:w="109"/>
        <w:gridCol w:w="109"/>
        <w:gridCol w:w="109"/>
        <w:gridCol w:w="196"/>
        <w:gridCol w:w="721"/>
        <w:gridCol w:w="109"/>
        <w:gridCol w:w="203"/>
        <w:gridCol w:w="203"/>
        <w:gridCol w:w="109"/>
        <w:gridCol w:w="196"/>
        <w:gridCol w:w="73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and 2024, we recognized revenue of $181.0 million and $65.5 million, respectively, from product sales, net of rebates, chargebacks, discounts, and other adjustments driven by approximately 163,000 bottles of XDEMVY delivered to patients, compared to 63,000 bottles delivered in the prior year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License Fees and Collaboration Revenue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During the six months ended June 30, 2025, we did not recognize any license fees and collaboration revenue. During the six months ended June 30, 2024, we recognized $2.9 million of license fees and collaboration revenue including (i) $2.5 million for a termination payment related to the Novation Agreement, and (ii) $0.4 million for a warrant termination payment (see </w:t>
      </w:r>
      <w:r>
        <w:rPr>
          <w:rFonts w:ascii="Times New Roman;serif" w:hAnsi="Times New Roman;serif"/>
          <w:b w:val="false"/>
          <w:i/>
          <w:color w:val="000000"/>
          <w:sz w:val="20"/>
        </w:rPr>
        <w:t>Note 9</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we recognized $11.4 million and $4.7 million, respectively, in cost of sales of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6506" w:type="dxa"/>
        <w:jc w:val="left"/>
        <w:tblInd w:w="0" w:type="dxa"/>
        <w:tblLayout w:type="fixed"/>
        <w:tblCellMar>
          <w:top w:w="28" w:type="dxa"/>
          <w:left w:w="28" w:type="dxa"/>
          <w:bottom w:w="28" w:type="dxa"/>
          <w:right w:w="28" w:type="dxa"/>
        </w:tblCellMar>
      </w:tblPr>
      <w:tblGrid>
        <w:gridCol w:w="1101"/>
        <w:gridCol w:w="970"/>
        <w:gridCol w:w="973"/>
        <w:gridCol w:w="196"/>
        <w:gridCol w:w="646"/>
        <w:gridCol w:w="109"/>
        <w:gridCol w:w="109"/>
        <w:gridCol w:w="109"/>
        <w:gridCol w:w="109"/>
        <w:gridCol w:w="196"/>
        <w:gridCol w:w="646"/>
        <w:gridCol w:w="109"/>
        <w:gridCol w:w="109"/>
        <w:gridCol w:w="109"/>
        <w:gridCol w:w="109"/>
        <w:gridCol w:w="196"/>
        <w:gridCol w:w="55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external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TP-03 program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TP-04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TP-05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early-stage programs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personnel-related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$5.6 million for the six months ended June 30, 2025, as compared to the prior year period. The increase was primarily due to (i) $2.2 million of increased indirect expenses related to payroll and personnel-related costs (including increased stock-based compensation expense of $0.1 million) for employee additions to drive our product development initiatives, (ii) $0.6 million of increased other indirect expenses, (iii) $1.9 million of increased early-stage programs, (iv) $1.3 million of increased TP-04 program expenses and (v) $0.2 million of increased TP-05 program expenses. These increases were partially offset by $0.7 million of decreased TP-03 program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$77.6 million for the six months ended June 30, 2025, as compared to the prior year period. The increase was primarily due to (i) $16.6 million of increased payroll and employee-related costs (including increased stock-based compensation expense of $2.1 million) for commercial and corporate employee additions to support our business growth and commercial leadership hires for XDEMVY, (ii) $55.9 million of increased commercial and marketing costs, including DTC advertising costs, as we continued our commercial expansion for the commercial launch of XDEMVY, and (iii) $5.0 million of increased information technology applications, legal, professional and other corporate expenses. Our field sales headcount and associated vendor expenses have continued to increase during 2025 due to further growth and expansion of our commercial activities for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Other income (expense), net increased by $1.0 million primarily due to a $1.9 million loss on debt extinguishment related to the 2022 Credit Facility (see </w:t>
      </w:r>
      <w:r>
        <w:rPr>
          <w:rFonts w:ascii="Times New Roman;serif" w:hAnsi="Times New Roman;serif"/>
          <w:b w:val="false"/>
          <w:i/>
          <w:color w:val="000000"/>
          <w:sz w:val="20"/>
        </w:rPr>
        <w:t>Note 10)</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which was recognized in the prior year period</w:t>
      </w:r>
      <w:r>
        <w:rPr>
          <w:color w:val="000000"/>
        </w:rPr>
        <w:t xml:space="preserve"> </w:t>
      </w:r>
      <w:r>
        <w:rPr>
          <w:rFonts w:ascii="Times New Roman;serif" w:hAnsi="Times New Roman;serif"/>
          <w:b w:val="false"/>
          <w:color w:val="000000"/>
          <w:sz w:val="20"/>
        </w:rPr>
        <w:t>and $0.4 million of increased interest income earned on our cash, cash equivalents and marketable securities, partially offset by $1.4 million of increased interest expense related to the Credit Facilities.</w:t>
      </w: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July 4, 2025, the OBBB Act was enacted in the U.S, which contains a broad range of tax reform provisions affecting businesses. We are currently evaluating the potential impact of the OBBB Act on our financial position, but do not expect it to materially impact our effective tax rate or cash flows during the current fiscal year. As the legislation was signed into law after the quarter ended June 30, 2025, any potential impact is not included in our operating results for the six months ended June 30,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financed our operations substantially through private placements of preferred stock, net proceeds from the issuance of common stock through our IPO, Follow-on Public Offerings, and the 2023 ATM Prospectus, as well as proceeds from product sales, net, the China Out-License, and drawdowns from our Credit Facilities. As of June 30, 2025, we had cash, cash equivalents and marketable securities of $381.1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Follow-On Public Offerings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an automatic shelf registration statement on Form S-3 ASR (the "2024 Shelf Registration Statement"). In March 2024, we completed the March 2024 Public Offering. The 2024 Public Offering was an underwritten follow-on public offering under the 2024 Shelf Registration Statement, pursuant to which we sold 2,812,500 shares of our common stock, and, in lieu of common stock to a certain investor, pre-funded warrants to purchase 312,500 shares of our common stock.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our common stock at the public offering price of $32.00 per share, which the underwriters exercised in full in March 2024. We received $107.7 million of aggregate net proceeds, after deducting underwriting discounts, commissions, and other estimated offering-related expenses.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we completed an underwritten follow-on public offering under the 2024 Shelf Registration Statement pursuant to which we sold 2,808,988 shares of our common stock. The price to the public was $44.50 per share. We also granted the underwriters a 30-day option to purchase up to 421,348 additional shares of our common stock at the public offering price of $44.50 per share, which the underwriters exercised in full in March 2025. We received approximately $134.8 million of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have received $86.1 million of total proceeds in connection with our China Out-License comprised of (i) $15.0 million of initial consideration, (ii) $67.5 million for the achievement of specified milestones, (iii) $0.7 million related to a special cash dividend, (iv) $2.5 million related to the Novation Agreement, and (v) $0.4 million related to a warrant termination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we are eligible to receive further consideration from GrandPharma upon the achievement of additional TP-03 events, including: (i) additional regulatory approval and/or patent issuance milestones and one-time payments of up to an aggregate of $20.0 million; (ii) China-based TP-03 sales threshold milestones of up to an aggregate of $100.0 million; and (iii) tiered low-to-high-teen royalties for China Territory TP-03 product sales.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April 2024, we executed the 2024 Credit Facility with Pharmakon with</w:t>
      </w:r>
      <w:r>
        <w:rPr>
          <w:color w:val="000000"/>
          <w:shd w:fill="FFFFFF" w:val="clear"/>
        </w:rPr>
        <w:t xml:space="preserve"> </w:t>
      </w:r>
      <w:r>
        <w:rPr>
          <w:rFonts w:ascii="Times New Roman;serif" w:hAnsi="Times New Roman;serif"/>
          <w:b w:val="false"/>
          <w:color w:val="000000"/>
          <w:sz w:val="20"/>
          <w:shd w:fill="FFFFFF" w:val="clear"/>
        </w:rPr>
        <w:t>maturity in April 2029</w:t>
      </w:r>
      <w:r>
        <w:rPr>
          <w:rFonts w:ascii="Times New Roman;serif" w:hAnsi="Times New Roman;serif"/>
          <w:b w:val="false"/>
          <w:color w:val="000000"/>
          <w:sz w:val="20"/>
        </w:rPr>
        <w:t xml:space="preserve">. The 2024 Credit Facility is collateralized by substantially all of our presently existing and subsequently acquired assets. </w:t>
      </w:r>
      <w:r>
        <w:rPr>
          <w:rFonts w:ascii="Times New Roman;serif" w:hAnsi="Times New Roman;serif"/>
          <w:b w:val="false"/>
          <w:color w:val="000000"/>
          <w:sz w:val="20"/>
          <w:shd w:fill="FFFFFF" w:val="clear"/>
        </w:rPr>
        <w:t>Upon execution, we made</w:t>
      </w:r>
      <w:r>
        <w:rPr>
          <w:color w:val="000000"/>
        </w:rPr>
        <w:t xml:space="preserve"> </w:t>
      </w:r>
      <w:r>
        <w:rPr>
          <w:rFonts w:ascii="Times New Roman;serif" w:hAnsi="Times New Roman;serif"/>
          <w:b w:val="false"/>
          <w:color w:val="000000"/>
          <w:sz w:val="20"/>
        </w:rPr>
        <w:t>a $75.0 million draw from the initial tranche, a portion of which was utilized to repay all outstanding indebtedness associated with the 2022 Credit Facility,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erif" w:hAnsi="Times New Roman;serif"/>
          <w:b w:val="false"/>
          <w:color w:val="000000"/>
          <w:sz w:val="20"/>
        </w:rPr>
        <w:t>achieving minimum net sales milestones, which have been met. We did not draw on the first or second additional tranches of $25.0 million and $50,0 million, respectively, each of which expired on December 31, 2024 and June 30, 2025. The one remaining $50.0 million tranche may be requested at our option on or prior to December 31, 2025.</w:t>
      </w:r>
    </w:p>
    <w:p>
      <w:pPr>
        <w:pStyle w:val="TextBody"/>
        <w:bidi w:val="0"/>
        <w:spacing w:lineRule="auto" w:line="288" w:before="240" w:after="283"/>
        <w:ind w:left="0" w:right="0" w:firstLine="990"/>
        <w:jc w:val="left"/>
        <w:rPr/>
      </w:pPr>
      <w:r>
        <w:rPr>
          <w:rFonts w:ascii="Times New Roman;serif" w:hAnsi="Times New Roman;serif"/>
          <w:b w:val="false"/>
          <w:color w:val="000000"/>
          <w:sz w:val="20"/>
          <w:shd w:fill="FFFFFF" w:val="clear"/>
        </w:rPr>
        <w:t xml:space="preserve">The 2024 Credit Facility bears interest at a floating rate based upon the secured overnight financing rate (“SOFR”), plus a margin of 6.75% per annum. The SOFR is subject to a 3.75% floor. </w:t>
      </w:r>
      <w:r>
        <w:rPr>
          <w:rFonts w:ascii="Times New Roman;serif" w:hAnsi="Times New Roman;serif"/>
          <w:b w:val="false"/>
          <w:color w:val="000000"/>
          <w:sz w:val="20"/>
        </w:rPr>
        <w:t xml:space="preserve">The 2024 Credit Facility contains representations and warranties, affirmative and negative covenants in each case. </w:t>
      </w:r>
      <w:r>
        <w:rPr>
          <w:rFonts w:ascii="Times New Roman;serif" w:hAnsi="Times New Roman;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$405.7 million and $360.2 million as of June 30, 2025 and December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marketable securities of $381.1 million as of June 30, 2025, is sufficient to fund our current and planned operations for at least the next twelve months from the date of filing this Quarterly Report on Form 10-Q. We have additional availability from our 2024 Credit Facility of $50.0 million contingent on reaching certain sales milestones.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Shelf Registration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In November 2023, we filed a shelf registration statement on Form S-3 that was declared effective by the SEC on November 21, 2023, (the "2023 Shelf Registration Statement"), and as part of the 2023 Shelf Registration Statement, we concurrently filed the 2023 ATM Prospectus with Jefferies. The 2023 ATM Prospectus covers the sale of up to $100.0 million of our common stock pursuant to an Open Market Sales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 In December 2023, we sold 1,000,000 shares of our common stock under the 2023 ATM Prospectus for $20.00 per share and received net proceeds of $19.2 million, after deducting broker commission and offering-related expenses. We have not sold any shares of our common stock under the 2023 ATM Prospectus during the six months ended June 30, 2025 and 2024. </w:t>
      </w:r>
    </w:p>
    <w:p>
      <w:pPr>
        <w:pStyle w:val="TextBody"/>
        <w:bidi w:val="0"/>
        <w:spacing w:lineRule="auto" w:line="288" w:before="240" w:after="283"/>
        <w:ind w:left="0" w:right="0" w:firstLine="720"/>
        <w:jc w:val="left"/>
        <w:rPr/>
      </w:pPr>
      <w:r>
        <w:rPr>
          <w:rFonts w:ascii="Times New Roman;serif" w:hAnsi="Times New Roman;serif"/>
          <w:b/>
          <w:i/>
          <w:color w:val="000000"/>
          <w:sz w:val="20"/>
        </w:rPr>
        <w:t>Other Liquidity Risks</w:t>
      </w:r>
      <w:r>
        <w:rPr>
          <w:color w:val="000000"/>
        </w:rPr>
        <w:t xml:space="preserv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incur significant operating losses for the foreseeable future, and for these losses to further increase, as we expand our clinical development programs for our other product candidates and continue to commercialize XDEMVY. We may also encounter unforeseen expenses, difficulties, complications, delays and other currently unknown factors that could adversely affect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under any collaboration agreements we might have at such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availability of our 2024 Credit Facility;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Statements of Cash Flows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cash equivalents and restricted cash for each of the periods presented below:</w:t>
      </w:r>
    </w:p>
    <w:tbl>
      <w:tblPr>
        <w:tblW w:w="7359" w:type="dxa"/>
        <w:jc w:val="center"/>
        <w:tblInd w:w="0" w:type="dxa"/>
        <w:tblLayout w:type="fixed"/>
        <w:tblCellMar>
          <w:top w:w="28" w:type="dxa"/>
          <w:left w:w="28" w:type="dxa"/>
          <w:bottom w:w="28" w:type="dxa"/>
          <w:right w:w="28" w:type="dxa"/>
        </w:tblCellMar>
      </w:tblPr>
      <w:tblGrid>
        <w:gridCol w:w="1786"/>
        <w:gridCol w:w="1564"/>
        <w:gridCol w:w="1585"/>
        <w:gridCol w:w="196"/>
        <w:gridCol w:w="721"/>
        <w:gridCol w:w="109"/>
        <w:gridCol w:w="109"/>
        <w:gridCol w:w="109"/>
        <w:gridCol w:w="109"/>
        <w:gridCol w:w="196"/>
        <w:gridCol w:w="721"/>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(decrease) in cash, cash equivalents and restricted cash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$50.0 million for the six months ended June 30, 2025, which primarily consisted of a net loss of $45.5 million and a net decrease in operating assets and liabilities of $18.3 million, partially offset by net increases in non-cash and other charges of $13.7 million. The decrease in net operating assets and liabilities were primarily due to cash decreases in prepaid expenses of $14.4 million, accounts receivable of $11.6 million, accrued payroll and benefits of $4.2 million and inventories of $1.3 million, partially offset by a cash increase of $13.6 million of accounts payable and other accrued liabilities. The increase in net non-cash and other charges were primarily related to stock-based compensation expense of $15.2 million and amortization of intangible assets and depreciation of property, plant and equipment totaling $0.9 million, partially offset by net amortization/accretion of marketable securities of $3.0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$52.2 million for the six months ended June 30, 2024, which primarily consisted of a net loss of $69.0 million, partially offset by a net increase in net operating assets and liabilities of $1.7 million and a net increase in non-cash and other charges of $15.2 million. The increase in net operating assets and liabilities was primarily due to an increase in accounts payable and other accrued liabilities of $19.4 million and a decrease in prepaid expenses of $1.8 million, partially offset by cash decreases including $12.9 million of accounts receivable, $5.2 million of accrued payroll and benefits, and $1.6 million of inventory. The net non-cash and other charges were primarily related to stock-based compensation expense of $13.0 million and a loss on debt extinguishment of $1.9 million.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$86.6 million for the six months ended June 30, 2025, and related to $255.3 million of purchased marketable securities and $1.6 million of purchased property, plant and equipment. These cash decreases were partially offset by $170.2 million of proceeds from maturities of marketable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$142.7 million for the six months ended June 30, 2024, and related to $151.6 million of purchased marketable securities, $3.0 million of purchased long-term investments, and $1.2 million of purchased property, plant and equipment, partially offset by $13.0 million of proceeds from maturities of marketable securities.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$138.5 million for the six months ended June 30, 2025, and related to $134.8 million of net proceeds from the issuance of common stock in the March 2025 Public Offering, $2.6 million of proceeds from employee stock option exercises and $1.1 million of proceeds from the issuance of common stock for our employee stock purchase plan ("ESPP").</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$151.1 million for the six months ended June 30, 2024, and primarily related to (i) $98.3 million of net proceeds from the issuance of common stock in the March 2024 Public Offering, (ii) $9.4 million of net proceeds from the issuance of pre-funded warrants in the March 2024 Public Offering, (iii) $75 million of proceeds from an initial draw against our 2024 Credit Facility, (iv) $2.6 million of proceeds from employee stock option exercises, and (v) $1.1 million of proceeds from the issuance of common stock for our ESPP. These increases to cash were partially offset by $31.9 million of payments on the 2022 Credit Facility, and $3.5 million of cash paid for loan issuance costs on the 2024 Credit Facility.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Condensed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 A summary of our critical accounting policies is presented in our filed Annual Report on Form 10-K for the year ended December 31, 2024.</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the notes to our financial statements also included in this Quarterly Report on Form 10-Q, we believe this critical accounting policy is the most important to understanding and evaluating our reported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Rebates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description of recent accounting pronouncements that may potentially impact our financial position, results of operations or cash flows is disclosed in the notes to which they relate within these accompanying Condensed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risks during the three and six months ended June 30,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risk inherent in our financial instruments and in our financial position represents the potential loss arising from adverse changes in interest rates. As of June 30, 2025, we had cash, cash equivalents and marketable securities of $381.1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June 30, 2025,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 not believe that a hypothetical 100 basis point increase or decrease in the applicable interest rate would have had a significant impact on our interest expense for the three and six months ended June 30,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Security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June 30, 2025. Based upon that evaluation, our Chief Executive Officer and Chief Financial Officer have concluded that, as of June 30, 2025, the Company's disclosure controls and procedures were effective to provide reasonable assurance that information we are required to disclose in the reports that we file or submit under the Exchange Act is recorded, processed, summarized and reported within the time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erif" w:hAnsi="Times New Roman;serif"/>
          <w:b/>
          <w:i/>
          <w:color w:val="000000"/>
          <w:sz w:val="20"/>
        </w:rPr>
        <w:t>We are a commercial stage biopharmaceutical company with a limited operating history and a single product approved for commercial sale. While we have generated revenue from the launch of XDEMVY</w:t>
      </w:r>
      <w:r>
        <w:rPr>
          <w:rFonts w:ascii="null;sans-serif" w:hAnsi="null;sans-serif"/>
          <w:b/>
          <w:i/>
          <w:color w:val="000000"/>
          <w:sz w:val="20"/>
        </w:rPr>
        <w:t xml:space="preserve">® </w:t>
      </w:r>
      <w:r>
        <w:rPr>
          <w:rFonts w:ascii="Times New Roman;serif" w:hAnsi="Times New Roman;serif"/>
          <w:b/>
          <w:i/>
          <w:color w:val="000000"/>
          <w:sz w:val="20"/>
        </w:rPr>
        <w:t>(lotilaner ophthalmic solution) 0.25%, we have continued to incur significant losses and negative cash flows from operations since our inception and anticipate that we will continue to incur significant expenses and potential losses for the foreseeable future.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have one product, XDEMVY®, formerly known as TP-03, which obtained Food and Drug Administration ("FDA") approval for the treatment of </w:t>
      </w:r>
      <w:r>
        <w:rPr>
          <w:rFonts w:ascii="Times New Roman;serif" w:hAnsi="Times New Roman;serif"/>
          <w:b w:val="false"/>
          <w:i/>
          <w:color w:val="000000"/>
          <w:sz w:val="20"/>
        </w:rPr>
        <w:t>Demode</w:t>
      </w:r>
      <w:r>
        <w:rPr>
          <w:rFonts w:ascii="Times New Roman;serif" w:hAnsi="Times New Roman;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Open Market Sale Agreement</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(the "2023 ATM Prospectus"), as well as proceeds from product sales, net, our China Out-License and draws from our Credit Facilities (as defined below). For the three months ended June 30, 2025 and 2024 our net losses were $20.3 million and $33.3 million, respectively, and for the six months ended June 30, 2025 and 2024, our net losses were $45.5 million and $69.0 million, respectively. As of June 30, 2025 and December 31, 2024, we had an accumulated deficit of $405.7 million and $360.2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initiated sales and marketing activities to commercialize XDEMVY in August 2023. We could potentially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incurring significant expenses and potential operating losses for the foreseeable future. We expect that our expenses will increase substantially as we: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prepare for and initiate additional preclinical, clinical and other studies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 or add additional manufacturers or suppliers, some of which may require additional permits or other governmental approvals;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are any third-party challenges to our intellectual property or we need to defend against any intellectual property-related claim.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our operational, financial and management controls, reporting systems and procedures.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employees, consultants and advisors and to attract, retain and motivate qualified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 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maintain specific coverage to mitigate losses associated with certain cybersecurity incidents that impact our or our third parties’ systems, networks, and technologies.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inability or delay of our efforts to commercialize XDEMVY or any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demand for XDEMVY or any product candidates or products that we may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recalls, withdrawals or new labeling requirements, marketing or promotional restrictions;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Unfavorable global and geopolitical economic conditions could adversely affect our business, financial condition or results of operations.</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and geopolitical economy and in the global financial markets. Financial pressures may cause government or other third-party payers to more aggressively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lineRule="auto" w:line="288" w:before="240" w:after="283"/>
        <w:ind w:left="0" w:right="0" w:firstLine="979"/>
        <w:jc w:val="both"/>
        <w:rPr>
          <w:rFonts w:ascii="Times New Roman;serif" w:hAnsi="Times New Roman;serif"/>
          <w:b w:val="false"/>
          <w:color w:val="000000"/>
          <w:sz w:val="20"/>
        </w:rPr>
      </w:pPr>
      <w:r>
        <w:rPr>
          <w:rFonts w:ascii="Times New Roman;serif" w:hAnsi="Times New Roman;serif"/>
          <w:b w:val="false"/>
          <w:color w:val="000000"/>
          <w:sz w:val="20"/>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the U.S. government has made statements and taken certain actions that may lead to changes in U.S. and international trade policies towards China and other countries. It remains unclear what additional actions, if any, will be taken by the U.S. or other governments with respect to international trade agreements, the imposition of tariffs on goods imported into the United States, tax policy related to international commerce, or other trade matters. We are closely monitoring changes and developments in international trade policy and assessing the potential impact of these and other trade policy changes on our business operations and financial performance. XDEMVY is currently being filled and finished by a reputable contract manufacturer in Europe, and we are in discussions to potentially add a second contract manufacturer domiciled in the U.S. If tariffs are imposed, we believe the potential impact will be insignificant to our gross margins or other operating expenses.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capital controls or tariffs, or any countermeasures imposed in response thereto, may negatively affect the demand and competitive position of our products or future products to the extent any of our product candidates are approved for commercial sale, negatively affect our costs, or negatively impact our supply chain, among other potential negative impacts. If any new tariffs, legislation and/or regulations are implemented, or if existing trade agreements are renegotiated or, in particular, if the U.S. government, or other governments take retaliatory trade actions due to the recent trade tensions, including U.S.-China trade tensions, such changes could have an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manufacturing of our product candidates or laboratory supplies for our preclinical studies and clinical trials, in each case, because of ongoing efforts to address the outbreak.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experience disruptions that could severely impact our business, preclinical studies, and clinical trials,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and supply chain disruptions;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interruption or delays to our sourced discovery and clinical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Development and Commercialization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 launch of XDEMVY is unsuccessful or any future approved products are unsuccessful, we may never be profitable.</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received approval by the FDA for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Eye Care Professionals ("ECPs") and third-party payers. Further, our commercial success is dependent on our ability to educate ECPs, patients and others in the medical community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dependent on the successful commercialization of XDEMVY and the development, regulatory approval, and commercialization of our current and future product candidates.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We currently have one product approved for commercial sale, XDEMVY, which was approved by the FDA in July 2023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in the U.S. The success of our business, including our ability to generate revenue from product sales in the future, will primarily depend on the continued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and timely completion of preclinical and clinical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successfully educating ECPs about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related diagnosis;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commercial acceptance of XDEMVY and any of our other product candidates by patients, the medical community and third-party payers, including our direct-to-consumer television advertising campaign;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 IND prior to commencing clinical trials in the U.S. for drug for a particular indication, such as TP-04 for the potential treatment of ocular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the only other current treatments include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be successful.</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Although XDEMVY is approved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ECPs and potential patients may not have sufficient information about, or recognize the need for a treatment specifically targeting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It is possible that ECPs may continue to rely on other treatments for treating symptoms consistent with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 key tenet of our continued commercialization strategy is to educate ECPs on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how to diagnose it with a simple slit lamp examination as well as raise patient awareness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However, our efforts may prove to be unsuccessful, and we may not be able to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because of the possibility that the disease will recur despite mite eradication, or after adoption fail to continue to use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clinical indications for which the product is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perception by patients or physicians that the diseases we are targeting, including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successfully commercialize XDEMVY or any future approved products.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our first product, XDEMVY, in the U.S. in July 2023.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example, the commercialization of XDEMVY may not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planned, we may require significant additional capital and financial resources, we may not become profitable, and we may not be able to compete against more established companies in our industry.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lineRule="auto" w:line="288" w:before="240" w:after="283"/>
        <w:jc w:val="left"/>
        <w:rPr/>
      </w:pPr>
      <w:r>
        <w:rPr>
          <w:rFonts w:ascii="Times New Roman;serif" w:hAnsi="Times New Roman;serif"/>
          <w:b/>
          <w:i/>
          <w:color w:val="000000"/>
          <w:sz w:val="20"/>
        </w:rPr>
        <w:t xml:space="preserve">The sizes of the market opportunities for our product or product candidates, particularly XDEMVY for the treatment of </w:t>
      </w:r>
      <w:r>
        <w:rPr>
          <w:rFonts w:ascii="Times New Roman;serif" w:hAnsi="Times New Roman;serif"/>
          <w:b/>
          <w:color w:val="000000"/>
          <w:sz w:val="20"/>
        </w:rPr>
        <w:t>Demodex</w:t>
      </w:r>
      <w:r>
        <w:rPr>
          <w:color w:val="000000"/>
        </w:rPr>
        <w:t xml:space="preserve"> </w:t>
      </w:r>
      <w:r>
        <w:rPr>
          <w:rFonts w:ascii="Times New Roman;serif" w:hAnsi="Times New Roman;serif"/>
          <w:b/>
          <w:i/>
          <w:color w:val="000000"/>
          <w:sz w:val="20"/>
        </w:rPr>
        <w:t>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new drug products is highly competitive. We may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Additionally, while XDEMVY is approved for the treatment of blepharitis 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reputation may suffer and there may be resulting harm to physician or patient acceptance of our product.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erif" w:hAnsi="Times New Roman;serif"/>
          <w:b w:val="false"/>
          <w:color w:val="000000"/>
          <w:sz w:val="20"/>
        </w:rPr>
        <w:t>CMS could also decide to terminate our Medicaid Drug Rebate Program,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Affordable Care Act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Certain pharmacy benefit managers ("PBM") “accumulator” and "maximizer" programs that attempted to implement these regulatiwere invalidated by a court, but such programs may continue to negatively affect us in other ways. Our failure to comply with these price reporting and rebate payment options, as well as PBM “accumulator” and "maximizer" programs, could negatively impact our financial results.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the Inflation Reduction Act ("IRA") established a Medicare Part D Prescription Drug Program ("Medicare Part D") inflation rebate scheme, with the first rebate period taking place in the fourth quarter of 2022 through the third quarter of 2023, and a drug price negotiation program, with the first negotiated prices to take effect in 2026. It also makes several changes to the Medicare Part D benefit, including the creation of a new Manufacturer Discount Program ("MDP") in place of the current coverage gap discount program (which began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Our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Because we have limited financial and managerial resources, we must prioritize our research programs and will need to focus our product candidates on the potential treatment of certain indications. We are currently focused on the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XDEMVY and other product candidates may not yield any commercially viable products. If we do not accurately evaluate the commercial potential or target market for XDEMVY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 Moreover, our business relating to our ability to educate consumers and ECPs about our products including XDEMVY could be adversely affected if regulatory authorities further restrict, or no longer allow pharmaceutical direct-to-consumer campaigns. </w:t>
      </w:r>
    </w:p>
    <w:p>
      <w:pPr>
        <w:pStyle w:val="TextBody"/>
        <w:bidi w:val="0"/>
        <w:spacing w:lineRule="auto" w:line="288" w:before="240" w:after="283"/>
        <w:jc w:val="left"/>
        <w:rPr/>
      </w:pPr>
      <w:r>
        <w:rPr>
          <w:rFonts w:ascii="Times New Roman;serif" w:hAnsi="Times New Roman;serif"/>
          <w:b/>
          <w:i/>
          <w:color w:val="000000"/>
          <w:sz w:val="20"/>
        </w:rPr>
        <w:t>If XDEMVY</w:t>
      </w:r>
      <w:r>
        <w:rPr>
          <w:color w:val="000000"/>
        </w:rPr>
        <w:t xml:space="preserve"> </w:t>
      </w:r>
      <w:r>
        <w:rPr>
          <w:rFonts w:ascii="Times New Roman;serif" w:hAnsi="Times New Roman;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we are not permitted to promote XDEMVY for any other uses, unless and until such uses are approved.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product candidates or cause regulatory authorities to require additional testing before approving any of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determine that the planned design of our clinical trials is flawed or inadequate;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have the product removed from the market after obtaining marketing approval.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development efforts for our product candidates and indications, including TP-04 for the treatment of ocular rosacea and TP-05 for potential Lyme disease prophylaxis and community malaria reduction. The risk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to satisfy the preclinical study requirements for TP-04 and TP-05 and other indications. For rosacea, we conducted the Phase 1 Galatea Trial with TP-04 and initiated the Phase 2a Galatea Trial, for the potential treatment of rosacea in March 2023. In February 2024 we announced positive topline results, and in January 2025 we announced plans to initiate a Phase 2 study specifically for the potential treatment of ocular rosacea in the second half of 2025. With respect to Lyme disease, in December 2022 we announced positive topline results from the completed Callisto trial and enrollment of the first patient in the Carpo Trial. The Carpo Trial, evaluating TP-05, an investigational oral systemic,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In December 2024, we met with the FDA about our Lyme disease program. The FDA agreed to our proposed approach for a Phase 2b clinical trial, which would include several hundred subjects. Additionally, the FDA confirmed that a Phase 3 clinical study would require a disease prevention field study that would likely require the enrollment of thousands of patients.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The FDA may reject our use of data from TP-03 preclinical studies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being pushed to February 2024 as a result of patient enrollment delays. The enrollment of patients depends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difficulties of enrolling patients or patients continuing to participate in follow-up visits due to ongoing or new health epidemics;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and MGD. As of the date of this filing, it is uncertain if and when we will receive any future milestone consideration under the China Out-License.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conducted a number of our completed clinical trials and may conduct ongoing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diminished protection of intellectual property in some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have entered into two license agreements with Elanco Tiergesundheit AG ("Elanco"): (i) a license agreement for exclusive worldwide rights to certain intellectual property for the development and commercialization of lotilaner in the treatment or cure of any eye or skin disease or condition in humans, as amended in June 2022 ("Eye and Derm Elanco Agreement"), and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and with the Eye and Derm Elanco Agreement, the "Elanco Agreements"), and have also entered into the China Out-License as discussed elsewhere herein. We have also entered into and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limited operating history may make it difficult for you to evaluate the success of our business to date and to assess our future viability.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commenced activities in 2016. Our limited operating history may make it difficult to evaluate the success of our business to date and to assess our future viability. Our operations to date have been limited to organizing our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and longer-term planning for commercialization efforts of XDEMVY and our other potential product candidates.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Facilities.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cash equivalents and marketable securities of $381.1 million as of June 30, 2025 and expected sales of XDEMVY is sufficient to fund our current and planned operations for at least the next twelve months from the date of filing this Quarterly Report on Form 10-Q.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will need to raise substantial additional capital to complete the development and commercialization of XDEMVY and our other product candidates through one or more of: equity offerings, draws from our Credit Facilities,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and costs of manufacturing development and commercial manufacturing activities and our ability to scale them 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associated with being a public company.</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rights to our technologies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Until such time we can generate substantial revenue from product sales, including from XDEMVY, our only approved product,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March 2024, and March 2025, we completed the Follow-On Public Offerings, in which we received total net proceeds of $74.2 million, $99.3 million, $107.7 million, and $134.8 million, respectively (after deducting underwriting discounts, commissions and other estimated offering-related expenses) through the issuance of 5,889,832 shares of our common stock in the May 2022 Public Offering, 6,069,449 shares of our common stock in the August 2023 Public Offering, 3,281,250 shares of our common stock and, in lieu of common stock to a certain investor, pre-funded warrants to purchase 312,500 shares of our common stock in the March 2024 Public Offering, and 3,230,336 shares of our common stock in the March 2025 Public Offering. Debt financing, if available, may involve agreements that include covenants limiting or restricting our ability to take specific actions. For example, the 2024 Credit Facility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 In March 2023, First Citizens Bank assumed all of SVBB’s obligations and commitments, and SVBB began operating as SVB,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 impacts from financial institutions in the future and uncertainty remains over liquidity concerns in the broader financial services industry.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April 2024 we entered into the 2024 Credit Facility with Pharmakon. The 2024 Credit Facility provides a $75.0 million initial term loan which was drawn in April 2024, a portion of which was utilized to repay all outstanding indebtedness, for total net proceeds of $39.6 million. The 2024 Credit Facility provided for three potential additional term loan tranches in principal amounts up to $25.0 million, $50.0 million, and $50.0 million, respectively, subject to customary conditions to funding and, in the case of the last two tranches, achieving minimum net product sales milestones, which have been met. We did not draw on the first or second additional tranches of $25.0 million and $50.0 million, respectively, which expired on December 31, 2024 and June 30, 2025. The one remaining $50.0 million tranche may be requested at our option on or prior to December 31, 2025.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engage in acquisitions or strategic partnerships that could disrupt our business, cause dilution to our stockholders, reduce our financial resources, cause us to incur debt or assume contingent liabilities, and subject us to other risks.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experienced ownership changes in the past due to several offerings of our common and preferred stock. However, we do not believe that these ownership changes will significantly limit our ability to use our pre-change tax attributes. We may experience ownership changes in the future as a result of subsequent shifts in our stock.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 For example, the Internal Revenue Code tax capitalization rules operative beginning in 2022 required that domestically incurred research and development expenses be capitalized and amortized over a 5-year period for tax purposes. However, The One Big Beautiful Bill Act (the “OBBB Act”) features several tax reforms, including permitting taxpayers to permanently deduct domestic research and development expenses for amounts paid or incurred in tax years beginning after December 31, 2024. We are continuing to analyze the potential impact of the OBBB Act on our operations and financial condition, but we do not expect the OBBB Act to materially impact our effective tax rate or cash flows in the current fiscal year.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contract with third parties for the commercial manufacture of XDEMVY and for the manufacture of our product candidates for preclinical studies, clinical trials and eventual commercialization. In some instances, we or our third-party contract manufacturers rely on single source suppliers for certain of the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third-party manufacturers, which exacerbates these and other related risks for us. Additionally, we and our third-party contract manufacturers rely, and we expect that we will continue to rely, on single source suppliers for certain materials for our products and product candidates for the foreseeable future. For example, we purchase our API for XDEMVY, lotilaner, from a single source supplier.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materials to manufacture our products and product candidates, we may experience delays in our commercialization and development efforts, which would have an adverse affect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requirements to cease development or to recall batches of XDEMVY or our product candidates;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loss of the cooperation of an existing or future collaborator, including by Elanco and under the Elanco Agreements;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development and commercialization of our products, including our lead product XDEMVY, for the treatment of Demodex blepharitis, TP-04 for the potential treatment of ocular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with a combined condition of patent issuance related to TP-03 in China. If we are not able to maintain the aforementioned patent issuance in China, the likelihood we achieve the associated milestone, as well as commercialization in the China Territory may be substantially decreased.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 sufficient rights to exclude others from commercializing technology and products similar or identical to any of our technology and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industry and market conditions generally.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disputes may arise with respect to the ownership of intellectual property developed pursuant to our 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 them, and accordingly seek to terminate our license, which could adversely affect our competitive business position and harm our business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Disputes may arise regarding intellectual property subject to a licensing agreement,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have pending U.S. and foreign patent applications in our portfolio, we cannot predict: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for any product candidates we may develop, our business may be materially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and other intellectual property rights, which could be expensive, time-consuming and unsuccessful.</w:t>
      </w:r>
    </w:p>
    <w:p>
      <w:pPr>
        <w:pStyle w:val="TextBody"/>
        <w:bidi w:val="0"/>
        <w:spacing w:lineRule="auto" w:line="288" w:before="240" w:after="283"/>
        <w:ind w:left="0" w:right="0" w:firstLine="979"/>
        <w:jc w:val="left"/>
        <w:rPr/>
      </w:pPr>
      <w:r>
        <w:rPr>
          <w:rFonts w:ascii="Times New Roman;serif" w:hAnsi="Times New Roman;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of the expense and uncertainty of litigation, we may not be in a position to enforce our intellectual property rights against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patent law in the U.S. and other jurisdictions could diminish the value of patents in general, thereby impairing our ability to protect our product candidates.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w:t>
      </w:r>
      <w:r>
        <w:rPr>
          <w:color w:val="000000"/>
        </w:rPr>
        <w:t xml:space="preserve">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Patents are of national or regional effect, and filing, prosecuting and defending patents on all of our product candidates throughout the world would be prohibitively expensive, and the laws of foreign countries may not protect our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lineRule="auto" w:line="288" w:before="240" w:after="283"/>
        <w:ind w:left="0" w:right="0" w:firstLine="979"/>
        <w:jc w:val="left"/>
        <w:rPr/>
      </w:pPr>
      <w:r>
        <w:rPr>
          <w:rFonts w:ascii="Times New Roman;serif" w:hAnsi="Times New Roman;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erif" w:hAnsi="Times New Roman;serif"/>
          <w:b w:val="false"/>
          <w:color w:val="000000"/>
          <w:sz w:val="20"/>
        </w:rPr>
        <w:t>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The IRA introduces several changes to the Medicare Part D benefit, including a limit on annual out-of-pocket costs and a change in manufacturer liability under the program which could negatively affect the profitability of our product candidates. The IRA sunsets the current Medicare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scheme, under which, generally speaking, manufacturers will owe rebates if the price of a Medicare Part B or Part D drug increases faster than the pace of inflation. Failure to timely pay a Medicare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 FAMP starting in 2026. Failure to comply with requirements under the drug price negotiation program is subject to an excise tax and/or a civil monetary penalty. This or any other legislative change could impact the market conditions for our products.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consumer protection laws (e.g., Section 5 of the Federal Trade Commission Act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lineRule="auto" w:line="288" w:before="240" w:after="283"/>
        <w:ind w:left="0" w:right="0" w:firstLine="979"/>
        <w:jc w:val="left"/>
        <w:rPr/>
      </w:pPr>
      <w:r>
        <w:rPr>
          <w:rFonts w:ascii="Times New Roman;serif" w:hAnsi="Times New Roman;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erif" w:hAnsi="Times New Roman;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lineRule="auto" w:line="288" w:before="240" w:after="283"/>
        <w:ind w:left="0" w:right="0" w:firstLine="990"/>
        <w:jc w:val="left"/>
        <w:rPr/>
      </w:pPr>
      <w:r>
        <w:rPr>
          <w:rFonts w:ascii="Times New Roman;serif" w:hAnsi="Times New Roman;serif"/>
          <w:b w:val="false"/>
          <w:color w:val="000000"/>
          <w:sz w:val="20"/>
        </w:rPr>
        <w:t>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erif" w:hAnsi="Times New Roman;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stock price of our common stock may be volatile or may decline regardless of our operating performance and you could lose all or part of your investment.</w:t>
      </w:r>
    </w:p>
    <w:p>
      <w:pPr>
        <w:pStyle w:val="TextBody"/>
        <w:bidi w:val="0"/>
        <w:spacing w:lineRule="auto" w:line="288" w:before="240" w:after="283"/>
        <w:ind w:left="0" w:right="0" w:firstLine="979"/>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rPr>
        <w:t>our failure to achieve product development or commercialization goals or regulatory approval milestones in the timeframe we announce;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expenses related to future product candidates or clinical development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other factors discussed in this report.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of December 31, 2024, we no longer qualified as an emerging growth company or a smaller reporting company and, as a result, are no longer able to avail ourselves of certain reduced reporting requirements applicable to emerging growth companies or smaller reporting companies, subject to applicable transition relief.</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June 28, 2024, the last business day of the second quarter of 2024, the aggregate market value of the shares of our common stock held by non-affiliate stockholders exceeded $700.0 million. As a result, we became a large accelerated filer as of December 31, 2024, as defined in Rule 12b-2 under the Exchange Act, and ceased to qualify as an emerging growth company. Effective December 31, 2024, due to large accelerated filer status, we no longer qualify as a smaller reporting company and accordingly are not permitted to take advantage of the reduced reporting requirements for smaller reporting companies, subject to a transition period that allows us to use smaller reporting company scaled disclosure for our Annual Report on Form 10-K for the year ending December 31, 2024. With the transition to a large accelerated filer, we have not elected to use the smaller reporting company scaled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a result of no longer having emerging growth company and smaller reporting company status, we expect our operating costs to increase as our compliance, reporting and other costs increase.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the price of our common stock to fall.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2025, we had 42,210,972 shares of common stock outstanding. Shares held by directors, executive officers and other affiliates will be subject to volume limitations under Rule 144 under the Securities Act of 1933, as amended, (the "Securities Act") and various vesting agreements.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2023 ATM Prospectus, convertible securities or other equity securities in one or more transactions at prices and in a manner we determine from time to time. For example, in March 2025, we completed a follow-on public offering of 3.2 million shares of our common stock at a public offering price of $44.50 per share, for aggregate net proceeds of approximately $134.8 million (after deducting underwriting discounts, commissions and other estimated offering-related expenses). In March 2024, we completed a follow-on public offering of 3.3 million shares of our common stock at a public offering price of $32.00 per share and, in lieu of common stock to a certain investor, pre-funded warrants to purchase 312,500 shares of our common stock at a price of $31.9999 per pre-funded warrant, for aggregate net proceeds of $107.7 million (after deducting underwriting discounts, commissions and other estimated offering-related expenses). In 2023 we raised approximately $19.2 million, after deducting broker commissions and fees, through sales under our 2023 ATM Prospectus.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Requirements associated with being a public company will increase our costs significantly, as well as divert significant company resources and management attention.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foreseeable future. </w:t>
      </w:r>
      <w:r>
        <w:rPr>
          <w:rFonts w:ascii="Times New Roman;serif" w:hAnsi="Times New Roman;serif"/>
          <w:b w:val="false"/>
          <w:color w:val="000000"/>
          <w:sz w:val="20"/>
          <w:shd w:fill="FFFFFF" w:val="clear"/>
        </w:rPr>
        <w:t xml:space="preserve">Our 2024 Credit Facility also contains a negative covenant that prohibits us from paying dividends subject to limited exceptions. </w:t>
      </w:r>
      <w:r>
        <w:rPr>
          <w:rFonts w:ascii="Times New Roman;serif" w:hAnsi="Times New Roman;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subject to securities class action litigation.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changing and volatile U.S., EU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provides that the Court of Chancery of the State of Delaware is the exclusive forum for any derivative action or proceeding brought on our behalf, any action asserting a breach of fiduciary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73685"/>
                <wp:effectExtent l="0" t="0" r="0" b="0"/>
                <wp:wrapNone/>
                <wp:docPr id="107"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duty, any action asserting a claim against us arising pursuant to the DGCL, our certificate of incorporation or our bylaws or any action asserting a claim against us that is governed by the internal affairs doctrine.</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240" w:after="283"/>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2024, Bobak Azamian, our Chief Executive Officer, adopted a Rule 10b5-1 trading plan to satisfy the affirmative defense of Rule 10b5-1(c) under the Exchange Act. The plan provides for the sale of up to 24,000 shares of common stock held by Dr. Azamian between March 24, 2025 and March 23, 2026. For the quarter ended June 30, 2025, Dr. Azamian did not sell any shares under this adopted 10b5-1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Aziz Mottiwala, our Chief Commercial Officer, adopted a Rule 10b5-1 trading plan to satisfy the affirmative defense of Rule 10b5-1(c) under the Exchange Act. The plan provides for the sale of up to 17,500 shares of common stock held by Mr. Mottiwala between June 9, 2025 and June 9, 2026. For the quarter ended June 30, 2025, Mr. Mottiwala sold 17,500 shares under this adopted 10b5-1 Plan, and as such all trades under said plan have been completed.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2025, none of our other officers or directors, as defined in Rule 16a-1(f), informed us of an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3685"/>
                <wp:effectExtent l="0" t="0" r="0" b="0"/>
                <wp:wrapNone/>
                <wp:docPr id="108"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692"/>
        <w:gridCol w:w="1627"/>
        <w:gridCol w:w="1644"/>
        <w:gridCol w:w="170"/>
        <w:gridCol w:w="170"/>
        <w:gridCol w:w="171"/>
        <w:gridCol w:w="259"/>
        <w:gridCol w:w="259"/>
        <w:gridCol w:w="260"/>
        <w:gridCol w:w="500"/>
        <w:gridCol w:w="500"/>
        <w:gridCol w:w="501"/>
        <w:gridCol w:w="150"/>
        <w:gridCol w:w="150"/>
        <w:gridCol w:w="151"/>
        <w:gridCol w:w="275"/>
        <w:gridCol w:w="275"/>
        <w:gridCol w:w="396"/>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ndmentdatedmay12025to.htm">
              <w:r>
                <w:rPr>
                  <w:rStyle w:val="InternetLink"/>
                  <w:rFonts w:ascii="Times New Roman;serif" w:hAnsi="Times New Roman;serif"/>
                  <w:b w:val="false"/>
                  <w:color w:val="000080"/>
                  <w:sz w:val="18"/>
                  <w:u w:val="single"/>
                </w:rPr>
                <w:t>A</w:t>
              </w:r>
            </w:hyperlink>
            <w:hyperlink w:anchor="amendmentdatedmay12025to.htm">
              <w:r>
                <w:rPr>
                  <w:rStyle w:val="InternetLink"/>
                  <w:rFonts w:ascii="Times New Roman;serif" w:hAnsi="Times New Roman;serif"/>
                  <w:b w:val="false"/>
                  <w:color w:val="000080"/>
                  <w:sz w:val="18"/>
                  <w:u w:val="single"/>
                </w:rPr>
                <w:t>mend</w:t>
              </w:r>
            </w:hyperlink>
            <w:hyperlink w:anchor="amendmentdatedmay12025to.htm">
              <w:r>
                <w:rPr>
                  <w:rStyle w:val="InternetLink"/>
                  <w:rFonts w:ascii="Times New Roman;serif" w:hAnsi="Times New Roman;serif"/>
                  <w:b w:val="false"/>
                  <w:color w:val="000080"/>
                  <w:sz w:val="18"/>
                  <w:u w:val="single"/>
                </w:rPr>
                <w:t>ment</w:t>
              </w:r>
            </w:hyperlink>
            <w:hyperlink w:anchor="amendmentdatedmay12025to.htm">
              <w:r>
                <w:rPr>
                  <w:rStyle w:val="InternetLink"/>
                  <w:rFonts w:ascii="Times New Roman;serif" w:hAnsi="Times New Roman;serif"/>
                  <w:b w:val="false"/>
                  <w:color w:val="000080"/>
                  <w:sz w:val="18"/>
                  <w:u w:val="single"/>
                </w:rPr>
                <w:t xml:space="preserve">, dated May </w:t>
              </w:r>
            </w:hyperlink>
            <w:hyperlink w:anchor="amendmentdatedmay12025to.htm">
              <w:r>
                <w:rPr>
                  <w:rStyle w:val="InternetLink"/>
                  <w:rFonts w:ascii="Times New Roman;serif" w:hAnsi="Times New Roman;serif"/>
                  <w:b w:val="false"/>
                  <w:color w:val="000080"/>
                  <w:sz w:val="18"/>
                  <w:u w:val="single"/>
                </w:rPr>
                <w:t>1</w:t>
              </w:r>
            </w:hyperlink>
            <w:hyperlink w:anchor="amendmentdatedmay12025to.htm">
              <w:r>
                <w:rPr>
                  <w:rStyle w:val="InternetLink"/>
                  <w:rFonts w:ascii="Times New Roman;serif" w:hAnsi="Times New Roman;serif"/>
                  <w:b w:val="false"/>
                  <w:color w:val="000080"/>
                  <w:sz w:val="18"/>
                  <w:u w:val="single"/>
                </w:rPr>
                <w:t xml:space="preserve">, 2025, to </w:t>
              </w:r>
            </w:hyperlink>
            <w:hyperlink w:anchor="amendmentdatedmay12025to.htm">
              <w:r>
                <w:rPr>
                  <w:rStyle w:val="InternetLink"/>
                  <w:rFonts w:ascii="Times New Roman;serif" w:hAnsi="Times New Roman;serif"/>
                  <w:b w:val="false"/>
                  <w:color w:val="000080"/>
                  <w:sz w:val="18"/>
                  <w:u w:val="single"/>
                </w:rPr>
                <w:t>Amended and Restated License Agreement, dated June 3, 2022, between the Registrant and Elanco Tiergesundheit AG.</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63025.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63025.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63025.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63025.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With Embedded Linkbase Documents.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8a25912b8e484383aa69be87c2c45d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tbl>
      <w:tblPr>
        <w:tblW w:w="770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spacing w:before="0" w:after="0"/>
        <w:jc w:val="center"/>
        <w:rPr/>
      </w:pPr>
      <w:bookmarkStart w:id="0" w:name="amendmentdatedmay12025to.htm"/>
      <w:bookmarkStart w:id="1" w:name="ksamendmentdatedmay12025to"/>
      <w:bookmarkEnd w:id="0"/>
      <w:bookmarkEnd w:id="1"/>
      <w:r>
        <w:rPr/>
        <w:drawing>
          <wp:inline distT="0" distB="0" distL="0" distR="0">
            <wp:extent cx="10048875" cy="13001625"/>
            <wp:effectExtent l="0" t="0" r="0" b="0"/>
            <wp:docPr id="1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3685"/>
                <wp:effectExtent l="0" t="0" r="0" b="0"/>
                <wp:wrapNone/>
                <wp:docPr id="111"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jc w:val="center"/>
        <w:rPr>
          <w:color w:val="FFFFFF"/>
          <w:sz w:val="2"/>
        </w:rPr>
      </w:pPr>
      <w:r>
        <w:rPr>
          <w:color w:val="FFFFFF"/>
          <w:sz w:val="2"/>
        </w:rPr>
        <w:t xml:space="preserve">CERTAIN IDENTIFIED INFORMATION HAS BEEN OMITTED FROM THIS DOCUMENT BECAUSE IT IS BOTH NOT MATERIAL AND IS THE TYPE THAT THE REGISTRANT TREATS AS PRIVATE OR CONFIDENTIAL, AND HAS BEEN MARKED WITH “[***]” TO INDICATE WHERE OMISSIONS HAVE BEEN MADE. Exhibit 10.1 FIRST AMENDMENT TO AMENDED AND RESTATED LICENSE AGREEMENT This First Amendment to Amended and Restated License Agreement (this “First Amendment”) is made and entered into effective as of May 1, 2025 (the “First Amendment Effective Date”) by and between Elanco Tiergesundheit AG, a Swiss corporation having a place of business at Mattenstrasse 24A, 4058 Basel, Switzerland (“Elanco”), and Tarsus Pharmaceuticals, Inc., a Delaware corporation having its principal offices at 15440 Laguna Canyon Rd., Suite 160, Irvine, CA 92618 (“Tarsus”). Each of Elanco and Tarsus may be referred to herein as a “Party and collectively as the “Parties”. Capitalized terms used but not defined in this First Amendment shall have meanings ascribed to such terms in the Agreement (as defined below). RECITALS WHEREAS, Elanco and Tarsus entered into that certain Amended and Restated License Agreement effective as of June 3, 2022 relating to the treatment, palliation, prevention, or cure of any disease or condition in eye care or dermatology in humans (the “Agreement”); and WHEREAS, the Parties desire to amend certain provisions of the Agreement related to the royalty reports provided by Tarsus thereunder. NOW, THEREFORE, in consideration of the mutual covenants and agreements contained herein and for other good and valuable consideration, the receipt and sufficiency of which are hereby acknowledged, the Parties agree as follows: 1) Amendments to Agreement. The Parties hereby amend the Agreement as follows: a) Section 6.5(c) of the Agreement is hereby deleted in its entirety and is replaced with the following: “(c) Timing of Payments; Reports. Commencing with the calendar quarter during which the First Commercial Sale of the first Licensed Product is made anywhere in the Territory, and for each calendar quarter thereafter during the Royalty Term during which royalties are due hereunder, Tarsus shall provide Elanco with a report that contains the following information for the applicable calendar quarter, on a Licensed Product-by- Licensed Product and country-by-country basis with the information for each Licensed Product and each country for such Licensed Product listed on a separate page of such report: (i) the amount of gross sales of the Licensed Products, (ii) an itemized calculation of Net Sales showing deductions provided for in the definition of “Net Sales”, (iii) a calculation of the royalty payment due on such sales, (iv) the exchange rate for such country, and (v) aggregate Net Sales of all Licensed Products in the Field in the Territory for such calendar quarter and for the calendar year to date. By way of example, with respect to a single Licensed Product, the information set forth in clauses (i)-(iv) for the United States would be listed on its own page, such information with respect to the United Kingdom would be listed on a separate page, etc., such that each page of the royalty report would only contain information relating to one Licensed Product and one country. Tarsus shall provide such report and make corresponding payment to Elanco within forty five (45) days after the end of each calendar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Section 6.5(f) of the Agreement is hereby deleted in its entirety and is replaced with the following: “(f) Royalty Reduction. If at any time during the Royalty Term for a given Licensed Product in a given country, there is no Valid Claim Covering such Licensed Product in such country, then the royalty rate payable by Tarsus pursuant to Section 6.5(a) shall be reduced to [***] percent of the rates set forth in Section 6.5(a) for such Licensed Product in such country.” 2) Miscellaneous. Except as expressly modified by this First Amendment, the Agreement remains in full force and effect in accordance with its terms. This First Amendment may be executed simultaneously in any number of counterparts, any one of which need not contain the signature of more than one Party but all such counterparts taken together shall constitute one and the same agreement. Electronic signatures will have the same weight and effect as originals. Signatures (whether wet ink or electronic) provided in Adobe™ Portable Document Format (PDF) sent by electronic mail, including signature pages in DocuSign, shall be deemed to be original signatures.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to Amended and Restated License Agreement] IN WITNESS WHEREOF, each Party has caused this First Amendment to be duly executed by its authorized representative on the First Amendment Effective Date. ELANCO TIERGESUNDHEIT AG TARSUS PHARMACEUTICALS, INC. /s/ Stefan A. Gebauer By: Name: Stefan A. Gebauer By: Name: Jeffrey Farrow Title: Member of the Board Title: CFO and Chief Strategy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each Party has caused this First Amendment to be duly executed by its authorized representative on the First Amendment Effective Date. ELANCO TIERGESUNDHEIT AG TARSUS PHARMACEUTICALS, INC. By: Name: Stefan A. Gebauer /s/ Jeffrey Farrow By: Name: Jeffrey Farrow Title: Member of the Board Title: CFO and Chief Strategy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468" w:type="dxa"/>
        <w:jc w:val="left"/>
        <w:tblInd w:w="0" w:type="dxa"/>
        <w:tblLayout w:type="fixed"/>
        <w:tblCellMar>
          <w:top w:w="28" w:type="dxa"/>
          <w:left w:w="28" w:type="dxa"/>
          <w:bottom w:w="28" w:type="dxa"/>
          <w:right w:w="28" w:type="dxa"/>
        </w:tblCellMar>
      </w:tblPr>
      <w:tblGrid>
        <w:gridCol w:w="232"/>
        <w:gridCol w:w="203"/>
        <w:gridCol w:w="203"/>
        <w:gridCol w:w="203"/>
        <w:gridCol w:w="203"/>
        <w:gridCol w:w="203"/>
        <w:gridCol w:w="203"/>
        <w:gridCol w:w="203"/>
        <w:gridCol w:w="203"/>
        <w:gridCol w:w="109"/>
        <w:gridCol w:w="109"/>
        <w:gridCol w:w="109"/>
        <w:gridCol w:w="109"/>
        <w:gridCol w:w="109"/>
        <w:gridCol w:w="109"/>
        <w:gridCol w:w="109"/>
        <w:gridCol w:w="109"/>
        <w:gridCol w:w="109"/>
        <w:gridCol w:w="492"/>
        <w:gridCol w:w="492"/>
        <w:gridCol w:w="492"/>
        <w:gridCol w:w="492"/>
        <w:gridCol w:w="492"/>
        <w:gridCol w:w="492"/>
        <w:gridCol w:w="492"/>
        <w:gridCol w:w="492"/>
        <w:gridCol w:w="695"/>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18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4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Bobak Azamian, M.D., Ph.D.</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RULES 13a-14(a) AND 15d-14(a) UNDER THE SECURITIES EXCHANGE ACT OF 1934,</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8165" w:type="dxa"/>
        <w:jc w:val="left"/>
        <w:tblInd w:w="0" w:type="dxa"/>
        <w:tblLayout w:type="fixed"/>
        <w:tblCellMar>
          <w:top w:w="28" w:type="dxa"/>
          <w:left w:w="28" w:type="dxa"/>
          <w:bottom w:w="28" w:type="dxa"/>
          <w:right w:w="28" w:type="dxa"/>
        </w:tblCellMar>
      </w:tblPr>
      <w:tblGrid>
        <w:gridCol w:w="232"/>
        <w:gridCol w:w="203"/>
        <w:gridCol w:w="203"/>
        <w:gridCol w:w="203"/>
        <w:gridCol w:w="203"/>
        <w:gridCol w:w="203"/>
        <w:gridCol w:w="203"/>
        <w:gridCol w:w="203"/>
        <w:gridCol w:w="203"/>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18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Jeffrey Farrow</w:t>
            </w:r>
          </w:p>
          <w:p>
            <w:pPr>
              <w:pStyle w:val="TableContents"/>
              <w:bidi w:val="0"/>
              <w:spacing w:lineRule="auto" w:line="276" w:before="0" w:after="0"/>
              <w:ind w:left="0" w:right="0" w:firstLine="18"/>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p>
            <w:pPr>
              <w:pStyle w:val="TableContents"/>
              <w:bidi w:val="0"/>
              <w:spacing w:lineRule="auto" w:line="276" w:before="0" w:after="0"/>
              <w:ind w:left="0" w:right="0" w:firstLine="18"/>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June 30, 2025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rPr/>
      </w:pPr>
      <w:r>
        <w:rPr/>
      </w:r>
    </w:p>
    <w:p>
      <w:pPr>
        <w:pStyle w:val="TextBody"/>
        <w:bidi w:val="0"/>
        <w:spacing w:before="0" w:after="0"/>
        <w:jc w:val="left"/>
        <w:rPr/>
      </w:pPr>
      <w:r>
        <w:rPr/>
      </w:r>
    </w:p>
    <w:tbl>
      <w:tblPr>
        <w:tblW w:w="7476"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109"/>
        <w:gridCol w:w="109"/>
        <w:gridCol w:w="109"/>
        <w:gridCol w:w="109"/>
        <w:gridCol w:w="109"/>
        <w:gridCol w:w="109"/>
        <w:gridCol w:w="109"/>
        <w:gridCol w:w="109"/>
        <w:gridCol w:w="109"/>
        <w:gridCol w:w="718"/>
        <w:gridCol w:w="718"/>
        <w:gridCol w:w="718"/>
        <w:gridCol w:w="718"/>
        <w:gridCol w:w="718"/>
        <w:gridCol w:w="1041"/>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Bobak Azamian, M.D., Ph.D.</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Bobak Azamian, M.D., Ph.D.</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Board Chairman</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 AS ADOPTED PURSUANT TO</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Tarsus Pharmaceuticals, Inc. (the “Company”) on Form 10-Q for the period ended June 30, 2025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8155"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109"/>
        <w:gridCol w:w="109"/>
        <w:gridCol w:w="109"/>
        <w:gridCol w:w="109"/>
        <w:gridCol w:w="109"/>
        <w:gridCol w:w="109"/>
        <w:gridCol w:w="109"/>
        <w:gridCol w:w="109"/>
        <w:gridCol w:w="109"/>
        <w:gridCol w:w="827"/>
        <w:gridCol w:w="827"/>
        <w:gridCol w:w="827"/>
        <w:gridCol w:w="827"/>
        <w:gridCol w:w="827"/>
        <w:gridCol w:w="1175"/>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76099</Words>
  <Characters>428418</Characters>
  <CharactersWithSpaces>502365</CharactersWithSpaces>
  <Paragraphs>3258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amendmentdatedmay12025to</dc:title>
</cp:coreProperties>
</file>