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both"/>
        <w:ind w:left="320" w:right="340" w:hanging="245"/>
        <w:spacing w:after="0" w:line="184" w:lineRule="auto"/>
        <w:tabs>
          <w:tab w:leader="none" w:pos="3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-244475</wp:posOffset>
            </wp:positionV>
            <wp:extent cx="111125" cy="158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9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5255895</wp:posOffset>
            </wp:positionH>
            <wp:positionV relativeFrom="paragraph">
              <wp:posOffset>-586740</wp:posOffset>
            </wp:positionV>
            <wp:extent cx="8255" cy="5873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8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-594995</wp:posOffset>
            </wp:positionV>
            <wp:extent cx="8255" cy="5956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-570865</wp:posOffset>
            </wp:positionV>
            <wp:extent cx="1270635" cy="548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54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-1675765</wp:posOffset>
            </wp:positionH>
            <wp:positionV relativeFrom="paragraph">
              <wp:posOffset>32385</wp:posOffset>
            </wp:positionV>
            <wp:extent cx="6972300" cy="1691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691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480"/>
            <w:col w:w="8440"/>
          </w:cols>
          <w:pgMar w:left="460" w:top="214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Horowitz Limited Partnership VIII</w:t>
        </w:r>
      </w:hyperlink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5030 CAMPUS DRIVE, SUITE 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52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1751" w:val="left"/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NEWPORT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92660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BEACH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8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10/20/2020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1,434,790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1,434,790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10/20/2020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245,966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1,680,756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10/20/2020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71,427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1,752,183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10/20/2020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168,750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1,920,933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Adam 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10/20/2020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43,151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43,151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Horowitz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Adam 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10/20/2020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7,396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50,547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Horowitz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Adam 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10/20/2020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15,625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66,172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Horowitz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1,434,790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10/20/2020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18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1,434,790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1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245,966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10/20/2020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1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245,966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C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71,427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10/20/2020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1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71,427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43,151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Adam 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10/20/2020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1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43,151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Horowitz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7,396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Adam 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10/20/2020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16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7,396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Horowitz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-7039610</wp:posOffset>
            </wp:positionV>
            <wp:extent cx="7035800" cy="71945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719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Trust</w:t>
      </w:r>
      <w:r>
        <w:rPr>
          <w:rFonts w:ascii="Times New Roman" w:cs="Times New Roman" w:eastAsia="Times New Roman" w:hAnsi="Times New Roman"/>
          <w:sz w:val="20"/>
          <w:szCs w:val="20"/>
          <w:color w:val="008000"/>
          <w:vertAlign w:val="superscript"/>
        </w:rPr>
        <w:t>(2)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160" w:hanging="2"/>
        <w:spacing w:after="0" w:line="243" w:lineRule="auto"/>
        <w:tabs>
          <w:tab w:leader="none" w:pos="16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Immediately prior to the closing of the Issuer's initial public offering, each share of Series A Preferred Stock, Series B Preferred Stock, and Series C Preferred Stock (collectively, the "Preferred Stock") automatically converted into shares of the Issuer's common stock, par value $0.0001 per share, on a one-for-one basis. The shares of Preferred Stock had no expiration date.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Adam S. Horowitz Revocable Trust, of which Adam S. Horowitz is Trustee. Adam S. Horowitz is affiliated with Horowitz Limited Partnership VIII.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Jason Tester, as Chief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-5080</wp:posOffset>
            </wp:positionV>
            <wp:extent cx="1017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Financial Officer of Horowitz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-11430</wp:posOffset>
            </wp:positionV>
            <wp:extent cx="12338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Management, Inc., the managing 10/20/2020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-11430</wp:posOffset>
            </wp:positionV>
            <wp:extent cx="18681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partner of Horowitz Limited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-11430</wp:posOffset>
            </wp:positionV>
            <wp:extent cx="117221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Partnership VIII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-11430</wp:posOffset>
            </wp:positionV>
            <wp:extent cx="67373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562"/>
        <w:spacing w:after="0"/>
        <w:tabs>
          <w:tab w:leader="none" w:pos="87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2" w:right="2739" w:hanging="2"/>
        <w:spacing w:after="0" w:line="355" w:lineRule="auto"/>
        <w:tabs>
          <w:tab w:leader="none" w:pos="134" w:val="left"/>
        </w:tabs>
        <w:numPr>
          <w:ilvl w:val="0"/>
          <w:numId w:val="4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2"/>
      </w:cols>
      <w:pgMar w:left="498" w:top="12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827839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2020-10-20T19:02:23Z</dcterms:created>
  <dcterms:modified xsi:type="dcterms:W3CDTF">2020-10-20T19:02:23Z</dcterms:modified>
</cp:coreProperties>
</file>