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828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286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Wahl Bryan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00"/>
        <w:spacing w:after="0" w:line="384"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92618</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Tarsus Pharmaceuticals,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240" w:type="dxa"/>
            <w:vAlign w:val="bottom"/>
            <w:tcBorders>
              <w:top w:val="single" w:sz="8" w:color="0000EE"/>
            </w:tcBorders>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03/15/2024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12,038</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45,387</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4,436</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30.6</w:t>
            </w:r>
          </w:p>
        </w:tc>
        <w:tc>
          <w:tcPr>
            <w:tcW w:w="130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40,951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4,790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4,790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9,580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(6)</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7,248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7,248</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21,745</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1,383 shares acquired under the Issuer's Employee Stock Purchase Plan on December 31, 2023.</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9, 2022, under the Tarsus Pharmaceuticals, Inc. 2020 Stock Plan. 25% of the RSUs will vest on March 15th of each of 2023, 2024, 2025, and 2026, subject to the Reporting Person's continuous service.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8, 2023, under the Tarsus Pharmaceuticals, Inc. 2020 Stock Plan. 25% of the RSUs will vest on March 15th of each of 2024, 2025, 2026 and 2027,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Jeffrey Farrow, Attorney-in- </w:t>
      </w:r>
      <w:r>
        <w:rPr>
          <w:rFonts w:ascii="Times New Roman" w:cs="Times New Roman" w:eastAsia="Times New Roman" w:hAnsi="Times New Roman"/>
          <w:sz w:val="33"/>
          <w:szCs w:val="33"/>
          <w:color w:val="0000FF"/>
          <w:vertAlign w:val="subscript"/>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1401"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2024-03-19T18:07:59Z</dcterms:created>
  <dcterms:modified xsi:type="dcterms:W3CDTF">2024-03-19T18:07:59Z</dcterms:modified>
</cp:coreProperties>
</file>