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As filed with the Securities and Exchange Commission on September 25, 2020.</w:t>
      </w:r>
    </w:p>
    <w:p>
      <w:pPr>
        <w:spacing w:after="0" w:line="6" w:lineRule="exact"/>
        <w:rPr>
          <w:sz w:val="24"/>
          <w:szCs w:val="24"/>
          <w:color w:val="auto"/>
        </w:rPr>
      </w:pPr>
    </w:p>
    <w:p>
      <w:pPr>
        <w:ind w:left="9100"/>
        <w:spacing w:after="0"/>
        <w:rPr>
          <w:sz w:val="20"/>
          <w:szCs w:val="20"/>
          <w:color w:val="auto"/>
        </w:rPr>
      </w:pPr>
      <w:r>
        <w:rPr>
          <w:rFonts w:ascii="Times New Roman" w:cs="Times New Roman" w:eastAsia="Times New Roman" w:hAnsi="Times New Roman"/>
          <w:sz w:val="14"/>
          <w:szCs w:val="14"/>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2868295</wp:posOffset>
            </wp:positionH>
            <wp:positionV relativeFrom="paragraph">
              <wp:posOffset>90805</wp:posOffset>
            </wp:positionV>
            <wp:extent cx="140589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spacing w:after="0" w:line="148"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2868295</wp:posOffset>
            </wp:positionH>
            <wp:positionV relativeFrom="paragraph">
              <wp:posOffset>99060</wp:posOffset>
            </wp:positionV>
            <wp:extent cx="140589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spacing w:after="0" w:line="147"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5"/>
          <w:szCs w:val="25"/>
          <w:b w:val="1"/>
          <w:bCs w:val="1"/>
          <w:color w:val="auto"/>
        </w:rPr>
        <w:t>FORM S-1</w:t>
      </w:r>
    </w:p>
    <w:p>
      <w:pPr>
        <w:spacing w:after="0" w:line="44"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5"/>
          <w:szCs w:val="25"/>
          <w:b w:val="1"/>
          <w:bCs w:val="1"/>
          <w:color w:val="auto"/>
        </w:rPr>
        <w:t>REGISTRATION STATEMENT</w:t>
      </w:r>
    </w:p>
    <w:p>
      <w:pPr>
        <w:spacing w:after="0" w:line="6"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i w:val="1"/>
          <w:iCs w:val="1"/>
          <w:color w:val="auto"/>
        </w:rPr>
        <w:t>Under</w:t>
      </w:r>
    </w:p>
    <w:p>
      <w:pPr>
        <w:spacing w:after="0" w:line="7"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2868295</wp:posOffset>
            </wp:positionH>
            <wp:positionV relativeFrom="paragraph">
              <wp:posOffset>100330</wp:posOffset>
            </wp:positionV>
            <wp:extent cx="14058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spacing w:after="0" w:line="144"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32"/>
          <w:szCs w:val="32"/>
          <w:b w:val="1"/>
          <w:bCs w:val="1"/>
          <w:color w:val="auto"/>
        </w:rPr>
        <w:t>TARSUS PHARMACEUTICALS, INC.</w:t>
      </w:r>
    </w:p>
    <w:p>
      <w:pPr>
        <w:spacing w:after="0" w:line="37"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2868295</wp:posOffset>
            </wp:positionH>
            <wp:positionV relativeFrom="paragraph">
              <wp:posOffset>90805</wp:posOffset>
            </wp:positionV>
            <wp:extent cx="14058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spacing w:after="0" w:line="180" w:lineRule="exact"/>
        <w:rPr>
          <w:sz w:val="24"/>
          <w:szCs w:val="24"/>
          <w:color w:val="auto"/>
        </w:rPr>
      </w:pPr>
    </w:p>
    <w:tbl>
      <w:tblPr>
        <w:tblLayout w:type="fixed"/>
        <w:tblInd w:w="1040" w:type="dxa"/>
        <w:tblCellMar>
          <w:top w:w="0" w:type="dxa"/>
          <w:left w:w="0" w:type="dxa"/>
          <w:bottom w:w="0" w:type="dxa"/>
          <w:right w:w="0" w:type="dxa"/>
        </w:tblCellMar>
      </w:tblPr>
      <w:tr>
        <w:trPr>
          <w:trHeight w:val="161"/>
        </w:trPr>
        <w:tc>
          <w:tcPr>
            <w:tcW w:w="2840" w:type="dxa"/>
            <w:vAlign w:val="bottom"/>
          </w:tcPr>
          <w:p>
            <w:pPr>
              <w:jc w:val="center"/>
              <w:ind w:right="868"/>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3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2836</w:t>
            </w:r>
          </w:p>
        </w:tc>
        <w:tc>
          <w:tcPr>
            <w:tcW w:w="2420" w:type="dxa"/>
            <w:vAlign w:val="bottom"/>
          </w:tcPr>
          <w:p>
            <w:pPr>
              <w:jc w:val="center"/>
              <w:ind w:left="928"/>
              <w:spacing w:after="0"/>
              <w:rPr>
                <w:sz w:val="20"/>
                <w:szCs w:val="20"/>
                <w:color w:val="auto"/>
              </w:rPr>
            </w:pPr>
            <w:r>
              <w:rPr>
                <w:rFonts w:ascii="Times New Roman" w:cs="Times New Roman" w:eastAsia="Times New Roman" w:hAnsi="Times New Roman"/>
                <w:sz w:val="14"/>
                <w:szCs w:val="14"/>
                <w:b w:val="1"/>
                <w:bCs w:val="1"/>
                <w:color w:val="auto"/>
              </w:rPr>
              <w:t>81-4717861</w:t>
            </w:r>
          </w:p>
        </w:tc>
      </w:tr>
      <w:tr>
        <w:trPr>
          <w:trHeight w:val="148"/>
        </w:trPr>
        <w:tc>
          <w:tcPr>
            <w:tcW w:w="2840" w:type="dxa"/>
            <w:vAlign w:val="bottom"/>
          </w:tcPr>
          <w:p>
            <w:pPr>
              <w:jc w:val="center"/>
              <w:ind w:right="888"/>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(Primary Standard Industrial</w:t>
            </w:r>
          </w:p>
        </w:tc>
        <w:tc>
          <w:tcPr>
            <w:tcW w:w="2420" w:type="dxa"/>
            <w:vAlign w:val="bottom"/>
          </w:tcPr>
          <w:p>
            <w:pPr>
              <w:jc w:val="center"/>
              <w:ind w:left="928"/>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840" w:type="dxa"/>
            <w:vAlign w:val="bottom"/>
          </w:tcPr>
          <w:p>
            <w:pPr>
              <w:jc w:val="center"/>
              <w:ind w:right="888"/>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Classification Code Number)</w:t>
            </w:r>
          </w:p>
        </w:tc>
        <w:tc>
          <w:tcPr>
            <w:tcW w:w="2420" w:type="dxa"/>
            <w:vAlign w:val="bottom"/>
          </w:tcPr>
          <w:p>
            <w:pPr>
              <w:jc w:val="center"/>
              <w:ind w:left="928"/>
              <w:spacing w:after="0"/>
              <w:rPr>
                <w:sz w:val="20"/>
                <w:szCs w:val="20"/>
                <w:color w:val="auto"/>
              </w:rPr>
            </w:pPr>
            <w:r>
              <w:rPr>
                <w:rFonts w:ascii="Times New Roman" w:cs="Times New Roman" w:eastAsia="Times New Roman" w:hAnsi="Times New Roman"/>
                <w:sz w:val="14"/>
                <w:szCs w:val="14"/>
                <w:b w:val="1"/>
                <w:bCs w:val="1"/>
                <w:color w:val="auto"/>
              </w:rPr>
              <w:t>Identification Number)</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2868295</wp:posOffset>
            </wp:positionH>
            <wp:positionV relativeFrom="paragraph">
              <wp:posOffset>92075</wp:posOffset>
            </wp:positionV>
            <wp:extent cx="14058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05890" cy="8890"/>
                    </a:xfrm>
                    <a:prstGeom prst="rect">
                      <a:avLst/>
                    </a:prstGeom>
                    <a:noFill/>
                  </pic:spPr>
                </pic:pic>
              </a:graphicData>
            </a:graphic>
          </wp:anchor>
        </w:drawing>
      </w:r>
    </w:p>
    <w:p>
      <w:pPr>
        <w:spacing w:after="0" w:line="14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15440 Laguna Canyon Road, Suite 160</w:t>
      </w:r>
    </w:p>
    <w:p>
      <w:pPr>
        <w:jc w:val="center"/>
        <w:ind w:right="-99"/>
        <w:spacing w:after="0" w:line="229" w:lineRule="auto"/>
        <w:rPr>
          <w:sz w:val="20"/>
          <w:szCs w:val="20"/>
          <w:color w:val="auto"/>
        </w:rPr>
      </w:pPr>
      <w:r>
        <w:rPr>
          <w:rFonts w:ascii="Times New Roman" w:cs="Times New Roman" w:eastAsia="Times New Roman" w:hAnsi="Times New Roman"/>
          <w:sz w:val="14"/>
          <w:szCs w:val="14"/>
          <w:b w:val="1"/>
          <w:bCs w:val="1"/>
          <w:color w:val="auto"/>
        </w:rPr>
        <w:t>Irvine, California 92618</w:t>
      </w:r>
    </w:p>
    <w:p>
      <w:pPr>
        <w:jc w:val="center"/>
        <w:ind w:right="-99"/>
        <w:spacing w:after="0" w:line="221" w:lineRule="auto"/>
        <w:rPr>
          <w:sz w:val="20"/>
          <w:szCs w:val="20"/>
          <w:color w:val="auto"/>
        </w:rPr>
      </w:pPr>
      <w:r>
        <w:rPr>
          <w:rFonts w:ascii="Times New Roman" w:cs="Times New Roman" w:eastAsia="Times New Roman" w:hAnsi="Times New Roman"/>
          <w:sz w:val="14"/>
          <w:szCs w:val="14"/>
          <w:b w:val="1"/>
          <w:bCs w:val="1"/>
          <w:color w:val="auto"/>
        </w:rPr>
        <w:t>(949) 409-9820</w:t>
      </w:r>
    </w:p>
    <w:p>
      <w:pPr>
        <w:spacing w:after="0" w:line="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2868295</wp:posOffset>
            </wp:positionH>
            <wp:positionV relativeFrom="paragraph">
              <wp:posOffset>90805</wp:posOffset>
            </wp:positionV>
            <wp:extent cx="14058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spacing w:after="0" w:line="152"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Bobak Azamian, M.D., Ph.D.</w:t>
      </w:r>
    </w:p>
    <w:p>
      <w:pPr>
        <w:jc w:val="center"/>
        <w:ind w:right="-99"/>
        <w:spacing w:after="0" w:line="229" w:lineRule="auto"/>
        <w:rPr>
          <w:sz w:val="20"/>
          <w:szCs w:val="20"/>
          <w:color w:val="auto"/>
        </w:rPr>
      </w:pPr>
      <w:r>
        <w:rPr>
          <w:rFonts w:ascii="Times New Roman" w:cs="Times New Roman" w:eastAsia="Times New Roman" w:hAnsi="Times New Roman"/>
          <w:sz w:val="14"/>
          <w:szCs w:val="14"/>
          <w:b w:val="1"/>
          <w:bCs w:val="1"/>
          <w:color w:val="auto"/>
        </w:rPr>
        <w:t>President and Chief Executive Officer</w:t>
      </w:r>
    </w:p>
    <w:p>
      <w:pPr>
        <w:jc w:val="center"/>
        <w:ind w:right="-99"/>
        <w:spacing w:after="0" w:line="221" w:lineRule="auto"/>
        <w:rPr>
          <w:sz w:val="20"/>
          <w:szCs w:val="20"/>
          <w:color w:val="auto"/>
        </w:rPr>
      </w:pPr>
      <w:r>
        <w:rPr>
          <w:rFonts w:ascii="Times New Roman" w:cs="Times New Roman" w:eastAsia="Times New Roman" w:hAnsi="Times New Roman"/>
          <w:sz w:val="14"/>
          <w:szCs w:val="14"/>
          <w:b w:val="1"/>
          <w:bCs w:val="1"/>
          <w:color w:val="auto"/>
        </w:rPr>
        <w:t>Tarsus Pharmaceuticals, Inc.</w:t>
      </w:r>
    </w:p>
    <w:p>
      <w:pPr>
        <w:jc w:val="center"/>
        <w:ind w:right="-99"/>
        <w:spacing w:after="0" w:line="222" w:lineRule="auto"/>
        <w:rPr>
          <w:sz w:val="20"/>
          <w:szCs w:val="20"/>
          <w:color w:val="auto"/>
        </w:rPr>
      </w:pPr>
      <w:r>
        <w:rPr>
          <w:rFonts w:ascii="Times New Roman" w:cs="Times New Roman" w:eastAsia="Times New Roman" w:hAnsi="Times New Roman"/>
          <w:sz w:val="14"/>
          <w:szCs w:val="14"/>
          <w:b w:val="1"/>
          <w:bCs w:val="1"/>
          <w:color w:val="auto"/>
        </w:rPr>
        <w:t>15440 Laguna Canyon Road, Suite 160</w:t>
      </w:r>
    </w:p>
    <w:p>
      <w:pPr>
        <w:jc w:val="center"/>
        <w:ind w:right="-99"/>
        <w:spacing w:after="0" w:line="221" w:lineRule="auto"/>
        <w:rPr>
          <w:sz w:val="20"/>
          <w:szCs w:val="20"/>
          <w:color w:val="auto"/>
        </w:rPr>
      </w:pPr>
      <w:r>
        <w:rPr>
          <w:rFonts w:ascii="Times New Roman" w:cs="Times New Roman" w:eastAsia="Times New Roman" w:hAnsi="Times New Roman"/>
          <w:sz w:val="14"/>
          <w:szCs w:val="14"/>
          <w:b w:val="1"/>
          <w:bCs w:val="1"/>
          <w:color w:val="auto"/>
        </w:rPr>
        <w:t>Irvine, California 92618</w:t>
      </w:r>
    </w:p>
    <w:p>
      <w:pPr>
        <w:jc w:val="center"/>
        <w:ind w:right="-99"/>
        <w:spacing w:after="0" w:line="222" w:lineRule="auto"/>
        <w:rPr>
          <w:sz w:val="20"/>
          <w:szCs w:val="20"/>
          <w:color w:val="auto"/>
        </w:rPr>
      </w:pPr>
      <w:r>
        <w:rPr>
          <w:rFonts w:ascii="Times New Roman" w:cs="Times New Roman" w:eastAsia="Times New Roman" w:hAnsi="Times New Roman"/>
          <w:sz w:val="14"/>
          <w:szCs w:val="14"/>
          <w:b w:val="1"/>
          <w:bCs w:val="1"/>
          <w:color w:val="auto"/>
        </w:rPr>
        <w:t>(949) 409-9820</w:t>
      </w:r>
    </w:p>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2868295</wp:posOffset>
            </wp:positionH>
            <wp:positionV relativeFrom="paragraph">
              <wp:posOffset>90805</wp:posOffset>
            </wp:positionV>
            <wp:extent cx="14058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05890" cy="8890"/>
                    </a:xfrm>
                    <a:prstGeom prst="rect">
                      <a:avLst/>
                    </a:prstGeom>
                    <a:noFill/>
                  </pic:spPr>
                </pic:pic>
              </a:graphicData>
            </a:graphic>
          </wp:anchor>
        </w:drawing>
      </w:r>
    </w:p>
    <w:p>
      <w:pPr>
        <w:spacing w:after="0" w:line="150" w:lineRule="exact"/>
        <w:rPr>
          <w:sz w:val="24"/>
          <w:szCs w:val="24"/>
          <w:color w:val="auto"/>
        </w:rPr>
      </w:pPr>
    </w:p>
    <w:tbl>
      <w:tblPr>
        <w:tblLayout w:type="fixed"/>
        <w:tblInd w:w="780" w:type="dxa"/>
        <w:tblCellMar>
          <w:top w:w="0" w:type="dxa"/>
          <w:left w:w="0" w:type="dxa"/>
          <w:bottom w:w="0" w:type="dxa"/>
          <w:right w:w="0" w:type="dxa"/>
        </w:tblCellMar>
      </w:tblPr>
      <w:tr>
        <w:trPr>
          <w:trHeight w:val="191"/>
        </w:trPr>
        <w:tc>
          <w:tcPr>
            <w:tcW w:w="3240" w:type="dxa"/>
            <w:vAlign w:val="bottom"/>
          </w:tcPr>
          <w:p>
            <w:pPr>
              <w:spacing w:after="0"/>
              <w:rPr>
                <w:sz w:val="16"/>
                <w:szCs w:val="16"/>
                <w:color w:val="auto"/>
              </w:rPr>
            </w:pPr>
          </w:p>
        </w:tc>
        <w:tc>
          <w:tcPr>
            <w:tcW w:w="3560" w:type="dxa"/>
            <w:vAlign w:val="bottom"/>
          </w:tcPr>
          <w:p>
            <w:pPr>
              <w:ind w:left="1300"/>
              <w:spacing w:after="0"/>
              <w:rPr>
                <w:sz w:val="20"/>
                <w:szCs w:val="20"/>
                <w:color w:val="auto"/>
              </w:rPr>
            </w:pPr>
            <w:r>
              <w:rPr>
                <w:rFonts w:ascii="Times New Roman" w:cs="Times New Roman" w:eastAsia="Times New Roman" w:hAnsi="Times New Roman"/>
                <w:sz w:val="14"/>
                <w:szCs w:val="14"/>
                <w:b w:val="1"/>
                <w:bCs w:val="1"/>
                <w:i w:val="1"/>
                <w:iCs w:val="1"/>
                <w:color w:val="auto"/>
              </w:rPr>
              <w:t>Copies to:</w:t>
            </w:r>
          </w:p>
        </w:tc>
        <w:tc>
          <w:tcPr>
            <w:tcW w:w="2640" w:type="dxa"/>
            <w:vAlign w:val="bottom"/>
          </w:tcPr>
          <w:p>
            <w:pPr>
              <w:spacing w:after="0"/>
              <w:rPr>
                <w:sz w:val="16"/>
                <w:szCs w:val="16"/>
                <w:color w:val="auto"/>
              </w:rPr>
            </w:pPr>
          </w:p>
        </w:tc>
      </w:tr>
      <w:tr>
        <w:trPr>
          <w:trHeight w:val="149"/>
        </w:trPr>
        <w:tc>
          <w:tcPr>
            <w:tcW w:w="3240" w:type="dxa"/>
            <w:vAlign w:val="bottom"/>
          </w:tcPr>
          <w:p>
            <w:pPr>
              <w:jc w:val="center"/>
              <w:ind w:right="748"/>
              <w:spacing w:after="0" w:line="149" w:lineRule="exact"/>
              <w:rPr>
                <w:sz w:val="20"/>
                <w:szCs w:val="20"/>
                <w:color w:val="auto"/>
              </w:rPr>
            </w:pPr>
            <w:r>
              <w:rPr>
                <w:rFonts w:ascii="Times New Roman" w:cs="Times New Roman" w:eastAsia="Times New Roman" w:hAnsi="Times New Roman"/>
                <w:sz w:val="14"/>
                <w:szCs w:val="14"/>
                <w:b w:val="1"/>
                <w:bCs w:val="1"/>
                <w:color w:val="auto"/>
              </w:rPr>
              <w:t>Ilan Lovinsky</w:t>
            </w:r>
          </w:p>
        </w:tc>
        <w:tc>
          <w:tcPr>
            <w:tcW w:w="3560" w:type="dxa"/>
            <w:vAlign w:val="bottom"/>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Leo M. Greenstein</w:t>
            </w:r>
          </w:p>
        </w:tc>
        <w:tc>
          <w:tcPr>
            <w:tcW w:w="2640" w:type="dxa"/>
            <w:vAlign w:val="bottom"/>
          </w:tcPr>
          <w:p>
            <w:pPr>
              <w:jc w:val="center"/>
              <w:ind w:left="868"/>
              <w:spacing w:after="0" w:line="149" w:lineRule="exact"/>
              <w:rPr>
                <w:sz w:val="20"/>
                <w:szCs w:val="20"/>
                <w:color w:val="auto"/>
              </w:rPr>
            </w:pPr>
            <w:r>
              <w:rPr>
                <w:rFonts w:ascii="Times New Roman" w:cs="Times New Roman" w:eastAsia="Times New Roman" w:hAnsi="Times New Roman"/>
                <w:sz w:val="14"/>
                <w:szCs w:val="14"/>
                <w:b w:val="1"/>
                <w:bCs w:val="1"/>
                <w:color w:val="auto"/>
              </w:rPr>
              <w:t>Ilir Mujalovic</w:t>
            </w:r>
          </w:p>
        </w:tc>
      </w:tr>
      <w:tr>
        <w:trPr>
          <w:trHeight w:val="148"/>
        </w:trPr>
        <w:tc>
          <w:tcPr>
            <w:tcW w:w="3240" w:type="dxa"/>
            <w:vAlign w:val="bottom"/>
          </w:tcPr>
          <w:p>
            <w:pPr>
              <w:jc w:val="center"/>
              <w:ind w:right="748"/>
              <w:spacing w:after="0" w:line="149" w:lineRule="exact"/>
              <w:rPr>
                <w:sz w:val="20"/>
                <w:szCs w:val="20"/>
                <w:color w:val="auto"/>
              </w:rPr>
            </w:pPr>
            <w:r>
              <w:rPr>
                <w:rFonts w:ascii="Times New Roman" w:cs="Times New Roman" w:eastAsia="Times New Roman" w:hAnsi="Times New Roman"/>
                <w:sz w:val="14"/>
                <w:szCs w:val="14"/>
                <w:b w:val="1"/>
                <w:bCs w:val="1"/>
                <w:color w:val="auto"/>
              </w:rPr>
              <w:t>Jeffrey R. Vetter</w:t>
            </w:r>
          </w:p>
        </w:tc>
        <w:tc>
          <w:tcPr>
            <w:tcW w:w="3560" w:type="dxa"/>
            <w:vAlign w:val="bottom"/>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Chief Financial Officer</w:t>
            </w:r>
          </w:p>
        </w:tc>
        <w:tc>
          <w:tcPr>
            <w:tcW w:w="2640" w:type="dxa"/>
            <w:vAlign w:val="bottom"/>
          </w:tcPr>
          <w:p>
            <w:pPr>
              <w:jc w:val="center"/>
              <w:ind w:left="868"/>
              <w:spacing w:after="0" w:line="149" w:lineRule="exact"/>
              <w:rPr>
                <w:sz w:val="20"/>
                <w:szCs w:val="20"/>
                <w:color w:val="auto"/>
              </w:rPr>
            </w:pPr>
            <w:r>
              <w:rPr>
                <w:rFonts w:ascii="Times New Roman" w:cs="Times New Roman" w:eastAsia="Times New Roman" w:hAnsi="Times New Roman"/>
                <w:sz w:val="14"/>
                <w:szCs w:val="14"/>
                <w:b w:val="1"/>
                <w:bCs w:val="1"/>
                <w:color w:val="auto"/>
              </w:rPr>
              <w:t>Ana Aur</w:t>
            </w:r>
          </w:p>
        </w:tc>
      </w:tr>
      <w:tr>
        <w:trPr>
          <w:trHeight w:val="148"/>
        </w:trPr>
        <w:tc>
          <w:tcPr>
            <w:tcW w:w="3240" w:type="dxa"/>
            <w:vAlign w:val="bottom"/>
          </w:tcPr>
          <w:p>
            <w:pPr>
              <w:jc w:val="center"/>
              <w:ind w:right="748"/>
              <w:spacing w:after="0" w:line="149" w:lineRule="exact"/>
              <w:rPr>
                <w:sz w:val="20"/>
                <w:szCs w:val="20"/>
                <w:color w:val="auto"/>
              </w:rPr>
            </w:pPr>
            <w:r>
              <w:rPr>
                <w:rFonts w:ascii="Times New Roman" w:cs="Times New Roman" w:eastAsia="Times New Roman" w:hAnsi="Times New Roman"/>
                <w:sz w:val="14"/>
                <w:szCs w:val="14"/>
                <w:b w:val="1"/>
                <w:bCs w:val="1"/>
                <w:color w:val="auto"/>
              </w:rPr>
              <w:t>Ryan J. Gunderson</w:t>
            </w:r>
          </w:p>
        </w:tc>
        <w:tc>
          <w:tcPr>
            <w:tcW w:w="3560" w:type="dxa"/>
            <w:vAlign w:val="bottom"/>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Tarsus Pharmaceuticals, Inc.</w:t>
            </w:r>
          </w:p>
        </w:tc>
        <w:tc>
          <w:tcPr>
            <w:tcW w:w="2640" w:type="dxa"/>
            <w:vAlign w:val="bottom"/>
          </w:tcPr>
          <w:p>
            <w:pPr>
              <w:jc w:val="center"/>
              <w:ind w:left="868"/>
              <w:spacing w:after="0" w:line="149" w:lineRule="exact"/>
              <w:rPr>
                <w:sz w:val="20"/>
                <w:szCs w:val="20"/>
                <w:color w:val="auto"/>
              </w:rPr>
            </w:pPr>
            <w:r>
              <w:rPr>
                <w:rFonts w:ascii="Times New Roman" w:cs="Times New Roman" w:eastAsia="Times New Roman" w:hAnsi="Times New Roman"/>
                <w:sz w:val="14"/>
                <w:szCs w:val="14"/>
                <w:b w:val="1"/>
                <w:bCs w:val="1"/>
                <w:color w:val="auto"/>
              </w:rPr>
              <w:t>Shearman &amp; Sterling LLP</w:t>
            </w:r>
          </w:p>
        </w:tc>
      </w:tr>
      <w:tr>
        <w:trPr>
          <w:trHeight w:val="149"/>
        </w:trPr>
        <w:tc>
          <w:tcPr>
            <w:tcW w:w="3240" w:type="dxa"/>
            <w:vAlign w:val="bottom"/>
          </w:tcPr>
          <w:p>
            <w:pPr>
              <w:jc w:val="center"/>
              <w:ind w:right="748"/>
              <w:spacing w:after="0" w:line="149" w:lineRule="exact"/>
              <w:rPr>
                <w:sz w:val="20"/>
                <w:szCs w:val="20"/>
                <w:color w:val="auto"/>
              </w:rPr>
            </w:pPr>
            <w:r>
              <w:rPr>
                <w:rFonts w:ascii="Times New Roman" w:cs="Times New Roman" w:eastAsia="Times New Roman" w:hAnsi="Times New Roman"/>
                <w:sz w:val="14"/>
                <w:szCs w:val="14"/>
                <w:b w:val="1"/>
                <w:bCs w:val="1"/>
                <w:color w:val="auto"/>
              </w:rPr>
              <w:t>Gunderson Dettmer Stough Villeneuve</w:t>
            </w:r>
          </w:p>
        </w:tc>
        <w:tc>
          <w:tcPr>
            <w:tcW w:w="3560" w:type="dxa"/>
            <w:vAlign w:val="bottom"/>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15440 Laguna Canyon Road</w:t>
            </w:r>
          </w:p>
        </w:tc>
        <w:tc>
          <w:tcPr>
            <w:tcW w:w="2640" w:type="dxa"/>
            <w:vAlign w:val="bottom"/>
          </w:tcPr>
          <w:p>
            <w:pPr>
              <w:jc w:val="center"/>
              <w:ind w:left="868"/>
              <w:spacing w:after="0" w:line="149" w:lineRule="exact"/>
              <w:rPr>
                <w:sz w:val="20"/>
                <w:szCs w:val="20"/>
                <w:color w:val="auto"/>
              </w:rPr>
            </w:pPr>
            <w:r>
              <w:rPr>
                <w:rFonts w:ascii="Times New Roman" w:cs="Times New Roman" w:eastAsia="Times New Roman" w:hAnsi="Times New Roman"/>
                <w:sz w:val="14"/>
                <w:szCs w:val="14"/>
                <w:b w:val="1"/>
                <w:bCs w:val="1"/>
                <w:color w:val="auto"/>
              </w:rPr>
              <w:t>599 Lexington Avenue</w:t>
            </w:r>
          </w:p>
        </w:tc>
      </w:tr>
      <w:tr>
        <w:trPr>
          <w:trHeight w:val="148"/>
        </w:trPr>
        <w:tc>
          <w:tcPr>
            <w:tcW w:w="3240" w:type="dxa"/>
            <w:vAlign w:val="bottom"/>
          </w:tcPr>
          <w:p>
            <w:pPr>
              <w:jc w:val="center"/>
              <w:ind w:right="768"/>
              <w:spacing w:after="0" w:line="149" w:lineRule="exact"/>
              <w:rPr>
                <w:sz w:val="20"/>
                <w:szCs w:val="20"/>
                <w:color w:val="auto"/>
              </w:rPr>
            </w:pPr>
            <w:r>
              <w:rPr>
                <w:rFonts w:ascii="Times New Roman" w:cs="Times New Roman" w:eastAsia="Times New Roman" w:hAnsi="Times New Roman"/>
                <w:sz w:val="14"/>
                <w:szCs w:val="14"/>
                <w:b w:val="1"/>
                <w:bCs w:val="1"/>
                <w:color w:val="auto"/>
              </w:rPr>
              <w:t>Franklin &amp; Hachigian, LLP</w:t>
            </w:r>
          </w:p>
        </w:tc>
        <w:tc>
          <w:tcPr>
            <w:tcW w:w="3560" w:type="dxa"/>
            <w:vAlign w:val="bottom"/>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Irvine, California 92618</w:t>
            </w:r>
          </w:p>
        </w:tc>
        <w:tc>
          <w:tcPr>
            <w:tcW w:w="2640" w:type="dxa"/>
            <w:vAlign w:val="bottom"/>
          </w:tcPr>
          <w:p>
            <w:pPr>
              <w:jc w:val="center"/>
              <w:ind w:left="868"/>
              <w:spacing w:after="0" w:line="149" w:lineRule="exact"/>
              <w:rPr>
                <w:sz w:val="20"/>
                <w:szCs w:val="20"/>
                <w:color w:val="auto"/>
              </w:rPr>
            </w:pPr>
            <w:r>
              <w:rPr>
                <w:rFonts w:ascii="Times New Roman" w:cs="Times New Roman" w:eastAsia="Times New Roman" w:hAnsi="Times New Roman"/>
                <w:sz w:val="14"/>
                <w:szCs w:val="14"/>
                <w:b w:val="1"/>
                <w:bCs w:val="1"/>
                <w:color w:val="auto"/>
              </w:rPr>
              <w:t>New York, New York 10022</w:t>
            </w:r>
          </w:p>
        </w:tc>
      </w:tr>
      <w:tr>
        <w:trPr>
          <w:trHeight w:val="149"/>
        </w:trPr>
        <w:tc>
          <w:tcPr>
            <w:tcW w:w="3240" w:type="dxa"/>
            <w:vAlign w:val="bottom"/>
          </w:tcPr>
          <w:p>
            <w:pPr>
              <w:jc w:val="center"/>
              <w:ind w:right="748"/>
              <w:spacing w:after="0" w:line="149" w:lineRule="exact"/>
              <w:rPr>
                <w:sz w:val="20"/>
                <w:szCs w:val="20"/>
                <w:color w:val="auto"/>
              </w:rPr>
            </w:pPr>
            <w:r>
              <w:rPr>
                <w:rFonts w:ascii="Times New Roman" w:cs="Times New Roman" w:eastAsia="Times New Roman" w:hAnsi="Times New Roman"/>
                <w:sz w:val="14"/>
                <w:szCs w:val="14"/>
                <w:b w:val="1"/>
                <w:bCs w:val="1"/>
                <w:color w:val="auto"/>
              </w:rPr>
              <w:t>3570 Carmel Mountain Road, Suite 200</w:t>
            </w:r>
          </w:p>
        </w:tc>
        <w:tc>
          <w:tcPr>
            <w:tcW w:w="3560" w:type="dxa"/>
            <w:vAlign w:val="bottom"/>
          </w:tcPr>
          <w:p>
            <w:pPr>
              <w:jc w:val="center"/>
              <w:ind w:right="68"/>
              <w:spacing w:after="0" w:line="149" w:lineRule="exact"/>
              <w:rPr>
                <w:sz w:val="20"/>
                <w:szCs w:val="20"/>
                <w:color w:val="auto"/>
              </w:rPr>
            </w:pPr>
            <w:r>
              <w:rPr>
                <w:rFonts w:ascii="Times New Roman" w:cs="Times New Roman" w:eastAsia="Times New Roman" w:hAnsi="Times New Roman"/>
                <w:sz w:val="14"/>
                <w:szCs w:val="14"/>
                <w:b w:val="1"/>
                <w:bCs w:val="1"/>
                <w:color w:val="auto"/>
              </w:rPr>
              <w:t>(949) 409-9820</w:t>
            </w:r>
          </w:p>
        </w:tc>
        <w:tc>
          <w:tcPr>
            <w:tcW w:w="2640" w:type="dxa"/>
            <w:vAlign w:val="bottom"/>
          </w:tcPr>
          <w:p>
            <w:pPr>
              <w:jc w:val="center"/>
              <w:ind w:left="868"/>
              <w:spacing w:after="0" w:line="149" w:lineRule="exact"/>
              <w:rPr>
                <w:sz w:val="20"/>
                <w:szCs w:val="20"/>
                <w:color w:val="auto"/>
              </w:rPr>
            </w:pPr>
            <w:r>
              <w:rPr>
                <w:rFonts w:ascii="Times New Roman" w:cs="Times New Roman" w:eastAsia="Times New Roman" w:hAnsi="Times New Roman"/>
                <w:sz w:val="14"/>
                <w:szCs w:val="14"/>
                <w:b w:val="1"/>
                <w:bCs w:val="1"/>
                <w:color w:val="auto"/>
              </w:rPr>
              <w:t>(212) 848-4000</w:t>
            </w:r>
          </w:p>
        </w:tc>
      </w:tr>
      <w:tr>
        <w:trPr>
          <w:trHeight w:val="148"/>
        </w:trPr>
        <w:tc>
          <w:tcPr>
            <w:tcW w:w="3240" w:type="dxa"/>
            <w:vAlign w:val="bottom"/>
          </w:tcPr>
          <w:p>
            <w:pPr>
              <w:jc w:val="center"/>
              <w:ind w:right="768"/>
              <w:spacing w:after="0" w:line="149" w:lineRule="exact"/>
              <w:rPr>
                <w:sz w:val="20"/>
                <w:szCs w:val="20"/>
                <w:color w:val="auto"/>
              </w:rPr>
            </w:pPr>
            <w:r>
              <w:rPr>
                <w:rFonts w:ascii="Times New Roman" w:cs="Times New Roman" w:eastAsia="Times New Roman" w:hAnsi="Times New Roman"/>
                <w:sz w:val="14"/>
                <w:szCs w:val="14"/>
                <w:b w:val="1"/>
                <w:bCs w:val="1"/>
                <w:color w:val="auto"/>
              </w:rPr>
              <w:t>San Diego, California 92130</w:t>
            </w:r>
          </w:p>
        </w:tc>
        <w:tc>
          <w:tcPr>
            <w:tcW w:w="3560" w:type="dxa"/>
            <w:vAlign w:val="bottom"/>
          </w:tcPr>
          <w:p>
            <w:pPr>
              <w:spacing w:after="0"/>
              <w:rPr>
                <w:sz w:val="12"/>
                <w:szCs w:val="12"/>
                <w:color w:val="auto"/>
              </w:rPr>
            </w:pPr>
          </w:p>
        </w:tc>
        <w:tc>
          <w:tcPr>
            <w:tcW w:w="2640" w:type="dxa"/>
            <w:vAlign w:val="bottom"/>
          </w:tcPr>
          <w:p>
            <w:pPr>
              <w:spacing w:after="0"/>
              <w:rPr>
                <w:sz w:val="12"/>
                <w:szCs w:val="12"/>
                <w:color w:val="auto"/>
              </w:rPr>
            </w:pPr>
          </w:p>
        </w:tc>
      </w:tr>
      <w:tr>
        <w:trPr>
          <w:trHeight w:val="190"/>
        </w:trPr>
        <w:tc>
          <w:tcPr>
            <w:tcW w:w="3240" w:type="dxa"/>
            <w:vAlign w:val="bottom"/>
          </w:tcPr>
          <w:p>
            <w:pPr>
              <w:jc w:val="center"/>
              <w:ind w:right="748"/>
              <w:spacing w:after="0"/>
              <w:rPr>
                <w:sz w:val="20"/>
                <w:szCs w:val="20"/>
                <w:color w:val="auto"/>
              </w:rPr>
            </w:pPr>
            <w:r>
              <w:rPr>
                <w:rFonts w:ascii="Times New Roman" w:cs="Times New Roman" w:eastAsia="Times New Roman" w:hAnsi="Times New Roman"/>
                <w:sz w:val="14"/>
                <w:szCs w:val="14"/>
                <w:b w:val="1"/>
                <w:bCs w:val="1"/>
                <w:color w:val="auto"/>
              </w:rPr>
              <w:t>(858) 436-8000</w:t>
            </w:r>
          </w:p>
        </w:tc>
        <w:tc>
          <w:tcPr>
            <w:tcW w:w="3560" w:type="dxa"/>
            <w:vAlign w:val="bottom"/>
          </w:tcPr>
          <w:p>
            <w:pPr>
              <w:spacing w:after="0"/>
              <w:rPr>
                <w:sz w:val="16"/>
                <w:szCs w:val="16"/>
                <w:color w:val="auto"/>
              </w:rPr>
            </w:pPr>
          </w:p>
        </w:tc>
        <w:tc>
          <w:tcPr>
            <w:tcW w:w="264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2868295</wp:posOffset>
            </wp:positionH>
            <wp:positionV relativeFrom="paragraph">
              <wp:posOffset>92075</wp:posOffset>
            </wp:positionV>
            <wp:extent cx="14058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05890" cy="8890"/>
                    </a:xfrm>
                    <a:prstGeom prst="rect">
                      <a:avLst/>
                    </a:prstGeom>
                    <a:noFill/>
                  </pic:spPr>
                </pic:pic>
              </a:graphicData>
            </a:graphic>
          </wp:anchor>
        </w:drawing>
      </w:r>
    </w:p>
    <w:p>
      <w:pPr>
        <w:spacing w:after="0" w:line="141" w:lineRule="exact"/>
        <w:rPr>
          <w:sz w:val="24"/>
          <w:szCs w:val="24"/>
          <w:color w:val="auto"/>
        </w:rPr>
      </w:pPr>
    </w:p>
    <w:p>
      <w:pPr>
        <w:ind w:left="1000"/>
        <w:spacing w:after="0"/>
        <w:rPr>
          <w:sz w:val="20"/>
          <w:szCs w:val="20"/>
          <w:color w:val="auto"/>
        </w:rPr>
      </w:pPr>
      <w:r>
        <w:rPr>
          <w:rFonts w:ascii="Times New Roman" w:cs="Times New Roman" w:eastAsia="Times New Roman" w:hAnsi="Times New Roman"/>
          <w:sz w:val="14"/>
          <w:szCs w:val="14"/>
          <w:b w:val="1"/>
          <w:bCs w:val="1"/>
          <w:color w:val="auto"/>
        </w:rPr>
        <w:t xml:space="preserve">Approximate date of commencement of proposed sale to the public: </w:t>
      </w:r>
      <w:r>
        <w:rPr>
          <w:rFonts w:ascii="Times New Roman" w:cs="Times New Roman" w:eastAsia="Times New Roman" w:hAnsi="Times New Roman"/>
          <w:sz w:val="14"/>
          <w:szCs w:val="14"/>
          <w:color w:val="auto"/>
        </w:rPr>
        <w:t>As soon as practicable after the effective date of this registration statement.</w:t>
      </w:r>
    </w:p>
    <w:p>
      <w:pPr>
        <w:spacing w:after="0" w:line="30" w:lineRule="exact"/>
        <w:rPr>
          <w:sz w:val="24"/>
          <w:szCs w:val="24"/>
          <w:color w:val="auto"/>
        </w:rPr>
      </w:pPr>
    </w:p>
    <w:p>
      <w:pPr>
        <w:ind w:left="120" w:right="500" w:firstLine="881"/>
        <w:spacing w:after="0" w:line="182" w:lineRule="exact"/>
        <w:rPr>
          <w:sz w:val="20"/>
          <w:szCs w:val="20"/>
          <w:color w:val="auto"/>
        </w:rPr>
      </w:pPr>
      <w:r>
        <w:rPr>
          <w:rFonts w:ascii="Times New Roman" w:cs="Times New Roman" w:eastAsia="Times New Roman" w:hAnsi="Times New Roman"/>
          <w:sz w:val="14"/>
          <w:szCs w:val="14"/>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4"/>
          <w:szCs w:val="14"/>
          <w:color w:val="auto"/>
        </w:rPr>
        <w:t>☐</w:t>
      </w:r>
    </w:p>
    <w:p>
      <w:pPr>
        <w:spacing w:after="0" w:line="1" w:lineRule="exact"/>
        <w:rPr>
          <w:sz w:val="24"/>
          <w:szCs w:val="24"/>
          <w:color w:val="auto"/>
        </w:rPr>
      </w:pPr>
    </w:p>
    <w:p>
      <w:pPr>
        <w:ind w:left="120" w:right="180" w:firstLine="881"/>
        <w:spacing w:after="0" w:line="182" w:lineRule="exact"/>
        <w:rPr>
          <w:sz w:val="20"/>
          <w:szCs w:val="20"/>
          <w:color w:val="auto"/>
        </w:rPr>
      </w:pPr>
      <w:r>
        <w:rPr>
          <w:rFonts w:ascii="Times New Roman" w:cs="Times New Roman" w:eastAsia="Times New Roman" w:hAnsi="Times New Roman"/>
          <w:sz w:val="14"/>
          <w:szCs w:val="14"/>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 w:lineRule="exact"/>
        <w:rPr>
          <w:sz w:val="24"/>
          <w:szCs w:val="24"/>
          <w:color w:val="auto"/>
        </w:rPr>
      </w:pPr>
    </w:p>
    <w:p>
      <w:pPr>
        <w:ind w:left="120" w:right="340" w:firstLine="881"/>
        <w:spacing w:after="0" w:line="176" w:lineRule="exact"/>
        <w:rPr>
          <w:sz w:val="20"/>
          <w:szCs w:val="20"/>
          <w:color w:val="auto"/>
        </w:rPr>
      </w:pPr>
      <w:r>
        <w:rPr>
          <w:rFonts w:ascii="Times New Roman" w:cs="Times New Roman" w:eastAsia="Times New Roman" w:hAnsi="Times New Roman"/>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 w:lineRule="exact"/>
        <w:rPr>
          <w:sz w:val="24"/>
          <w:szCs w:val="24"/>
          <w:color w:val="auto"/>
        </w:rPr>
      </w:pPr>
    </w:p>
    <w:p>
      <w:pPr>
        <w:ind w:left="120" w:right="340" w:firstLine="881"/>
        <w:spacing w:after="0" w:line="182" w:lineRule="exact"/>
        <w:rPr>
          <w:sz w:val="20"/>
          <w:szCs w:val="20"/>
          <w:color w:val="auto"/>
        </w:rPr>
      </w:pPr>
      <w:r>
        <w:rPr>
          <w:rFonts w:ascii="Times New Roman" w:cs="Times New Roman" w:eastAsia="Times New Roman" w:hAnsi="Times New Roman"/>
          <w:sz w:val="14"/>
          <w:szCs w:val="14"/>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 w:lineRule="exact"/>
        <w:rPr>
          <w:sz w:val="24"/>
          <w:szCs w:val="24"/>
          <w:color w:val="auto"/>
        </w:rPr>
      </w:pPr>
    </w:p>
    <w:p>
      <w:pPr>
        <w:ind w:left="120" w:right="500" w:firstLine="881"/>
        <w:spacing w:after="0" w:line="250"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120" w:type="dxa"/>
        <w:tblCellMar>
          <w:top w:w="0" w:type="dxa"/>
          <w:left w:w="0" w:type="dxa"/>
          <w:bottom w:w="0" w:type="dxa"/>
          <w:right w:w="0" w:type="dxa"/>
        </w:tblCellMar>
      </w:tblPr>
      <w:tr>
        <w:trPr>
          <w:trHeight w:val="220"/>
        </w:trPr>
        <w:tc>
          <w:tcPr>
            <w:tcW w:w="148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3840" w:type="dxa"/>
            <w:vAlign w:val="bottom"/>
          </w:tcPr>
          <w:p>
            <w:pPr>
              <w:ind w:left="200"/>
              <w:spacing w:after="0" w:line="141" w:lineRule="exact"/>
              <w:rPr>
                <w:sz w:val="20"/>
                <w:szCs w:val="20"/>
                <w:color w:val="auto"/>
              </w:rPr>
            </w:pPr>
            <w:r>
              <w:rPr>
                <w:rFonts w:ascii="MS PGothic" w:cs="MS PGothic" w:eastAsia="MS PGothic" w:hAnsi="MS PGothic"/>
                <w:sz w:val="14"/>
                <w:szCs w:val="14"/>
                <w:color w:val="auto"/>
              </w:rPr>
              <w:t>☐</w:t>
            </w:r>
          </w:p>
        </w:tc>
        <w:tc>
          <w:tcPr>
            <w:tcW w:w="5280" w:type="dxa"/>
            <w:vAlign w:val="bottom"/>
          </w:tcPr>
          <w:p>
            <w:pPr>
              <w:ind w:left="3500"/>
              <w:spacing w:after="0"/>
              <w:rPr>
                <w:sz w:val="20"/>
                <w:szCs w:val="20"/>
                <w:color w:val="auto"/>
              </w:rPr>
            </w:pPr>
            <w:r>
              <w:rPr>
                <w:rFonts w:ascii="Times New Roman" w:cs="Times New Roman" w:eastAsia="Times New Roman" w:hAnsi="Times New Roman"/>
                <w:sz w:val="14"/>
                <w:szCs w:val="14"/>
                <w:color w:val="auto"/>
              </w:rPr>
              <w:t>Accelerated filer</w:t>
            </w:r>
          </w:p>
        </w:tc>
        <w:tc>
          <w:tcPr>
            <w:tcW w:w="320" w:type="dxa"/>
            <w:vAlign w:val="bottom"/>
          </w:tcPr>
          <w:p>
            <w:pPr>
              <w:ind w:left="20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26"/>
        </w:trPr>
        <w:tc>
          <w:tcPr>
            <w:tcW w:w="148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3840" w:type="dxa"/>
            <w:vAlign w:val="bottom"/>
          </w:tcPr>
          <w:p>
            <w:pPr>
              <w:ind w:left="200"/>
              <w:spacing w:after="0" w:line="141" w:lineRule="exact"/>
              <w:rPr>
                <w:sz w:val="20"/>
                <w:szCs w:val="20"/>
                <w:color w:val="auto"/>
              </w:rPr>
            </w:pPr>
            <w:r>
              <w:rPr>
                <w:rFonts w:ascii="MS PGothic" w:cs="MS PGothic" w:eastAsia="MS PGothic" w:hAnsi="MS PGothic"/>
                <w:sz w:val="14"/>
                <w:szCs w:val="14"/>
                <w:color w:val="auto"/>
              </w:rPr>
              <w:t>☒</w:t>
            </w:r>
          </w:p>
        </w:tc>
        <w:tc>
          <w:tcPr>
            <w:tcW w:w="5280" w:type="dxa"/>
            <w:vAlign w:val="bottom"/>
          </w:tcPr>
          <w:p>
            <w:pPr>
              <w:ind w:left="350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320" w:type="dxa"/>
            <w:vAlign w:val="bottom"/>
          </w:tcPr>
          <w:p>
            <w:pPr>
              <w:ind w:left="20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30"/>
        </w:trPr>
        <w:tc>
          <w:tcPr>
            <w:tcW w:w="148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5280" w:type="dxa"/>
            <w:vAlign w:val="bottom"/>
          </w:tcPr>
          <w:p>
            <w:pPr>
              <w:ind w:left="3500"/>
              <w:spacing w:after="0"/>
              <w:rPr>
                <w:sz w:val="20"/>
                <w:szCs w:val="20"/>
                <w:color w:val="auto"/>
              </w:rPr>
            </w:pPr>
            <w:r>
              <w:rPr>
                <w:rFonts w:ascii="Times New Roman" w:cs="Times New Roman" w:eastAsia="Times New Roman" w:hAnsi="Times New Roman"/>
                <w:sz w:val="14"/>
                <w:szCs w:val="14"/>
                <w:color w:val="auto"/>
              </w:rPr>
              <w:t>Emerging growth company</w:t>
            </w:r>
          </w:p>
        </w:tc>
        <w:tc>
          <w:tcPr>
            <w:tcW w:w="320" w:type="dxa"/>
            <w:vAlign w:val="bottom"/>
          </w:tcPr>
          <w:p>
            <w:pPr>
              <w:ind w:left="200"/>
              <w:spacing w:after="0" w:line="141" w:lineRule="exact"/>
              <w:rPr>
                <w:sz w:val="20"/>
                <w:szCs w:val="20"/>
                <w:color w:val="auto"/>
              </w:rPr>
            </w:pPr>
            <w:r>
              <w:rPr>
                <w:rFonts w:ascii="MS PGothic" w:cs="MS PGothic" w:eastAsia="MS PGothic" w:hAnsi="MS PGothic"/>
                <w:sz w:val="14"/>
                <w:szCs w:val="14"/>
                <w:color w:val="auto"/>
                <w:w w:val="71"/>
              </w:rPr>
              <w:t>☒</w:t>
            </w:r>
          </w:p>
        </w:tc>
      </w:tr>
    </w:tbl>
    <w:p>
      <w:pPr>
        <w:ind w:left="120" w:right="140" w:firstLine="881"/>
        <w:spacing w:after="0" w:line="176"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2868295</wp:posOffset>
            </wp:positionH>
            <wp:positionV relativeFrom="paragraph">
              <wp:posOffset>83820</wp:posOffset>
            </wp:positionV>
            <wp:extent cx="140589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spacing w:after="0" w:line="14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CALCULATION OF REGISTRATION FEE</w:t>
      </w:r>
    </w:p>
    <w:p>
      <w:pPr>
        <w:spacing w:after="0" w:line="33" w:lineRule="exact"/>
        <w:rPr>
          <w:sz w:val="24"/>
          <w:szCs w:val="24"/>
          <w:color w:val="auto"/>
        </w:rPr>
      </w:pPr>
    </w:p>
    <w:tbl>
      <w:tblPr>
        <w:tblLayout w:type="fixed"/>
        <w:tblInd w:w="120" w:type="dxa"/>
        <w:tblCellMar>
          <w:top w:w="0" w:type="dxa"/>
          <w:left w:w="0" w:type="dxa"/>
          <w:bottom w:w="0" w:type="dxa"/>
          <w:right w:w="0" w:type="dxa"/>
        </w:tblCellMar>
      </w:tblPr>
      <w:tr>
        <w:trPr>
          <w:trHeight w:val="40"/>
        </w:trPr>
        <w:tc>
          <w:tcPr>
            <w:tcW w:w="300" w:type="dxa"/>
            <w:vAlign w:val="bottom"/>
            <w:tcBorders>
              <w:top w:val="single" w:sz="8" w:color="auto"/>
              <w:bottom w:val="single" w:sz="8" w:color="auto"/>
            </w:tcBorders>
          </w:tcPr>
          <w:p>
            <w:pPr>
              <w:spacing w:after="0"/>
              <w:rPr>
                <w:sz w:val="3"/>
                <w:szCs w:val="3"/>
                <w:color w:val="auto"/>
              </w:rPr>
            </w:pPr>
          </w:p>
        </w:tc>
        <w:tc>
          <w:tcPr>
            <w:tcW w:w="7640" w:type="dxa"/>
            <w:vAlign w:val="bottom"/>
            <w:tcBorders>
              <w:top w:val="single" w:sz="8" w:color="auto"/>
              <w:bottom w:val="single" w:sz="8" w:color="auto"/>
            </w:tcBorders>
          </w:tcPr>
          <w:p>
            <w:pPr>
              <w:spacing w:after="0"/>
              <w:rPr>
                <w:sz w:val="3"/>
                <w:szCs w:val="3"/>
                <w:color w:val="auto"/>
              </w:rPr>
            </w:pPr>
          </w:p>
        </w:tc>
        <w:tc>
          <w:tcPr>
            <w:tcW w:w="1540" w:type="dxa"/>
            <w:vAlign w:val="bottom"/>
            <w:tcBorders>
              <w:top w:val="single" w:sz="8" w:color="auto"/>
              <w:bottom w:val="single" w:sz="8" w:color="auto"/>
            </w:tcBorders>
          </w:tcPr>
          <w:p>
            <w:pPr>
              <w:spacing w:after="0"/>
              <w:rPr>
                <w:sz w:val="3"/>
                <w:szCs w:val="3"/>
                <w:color w:val="auto"/>
              </w:rPr>
            </w:pPr>
          </w:p>
        </w:tc>
        <w:tc>
          <w:tcPr>
            <w:tcW w:w="154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04"/>
        </w:trPr>
        <w:tc>
          <w:tcPr>
            <w:tcW w:w="300" w:type="dxa"/>
            <w:vAlign w:val="bottom"/>
          </w:tcPr>
          <w:p>
            <w:pPr>
              <w:spacing w:after="0"/>
              <w:rPr>
                <w:sz w:val="9"/>
                <w:szCs w:val="9"/>
                <w:color w:val="auto"/>
              </w:rPr>
            </w:pPr>
          </w:p>
        </w:tc>
        <w:tc>
          <w:tcPr>
            <w:tcW w:w="7640" w:type="dxa"/>
            <w:vAlign w:val="bottom"/>
            <w:tcBorders>
              <w:right w:val="single" w:sz="8" w:color="auto"/>
            </w:tcBorders>
            <w:vMerge w:val="restart"/>
          </w:tcPr>
          <w:p>
            <w:pPr>
              <w:jc w:val="center"/>
              <w:ind w:right="248"/>
              <w:spacing w:after="0"/>
              <w:rPr>
                <w:sz w:val="20"/>
                <w:szCs w:val="20"/>
                <w:color w:val="auto"/>
              </w:rPr>
            </w:pPr>
            <w:r>
              <w:rPr>
                <w:rFonts w:ascii="Times New Roman" w:cs="Times New Roman" w:eastAsia="Times New Roman" w:hAnsi="Times New Roman"/>
                <w:sz w:val="14"/>
                <w:szCs w:val="14"/>
                <w:b w:val="1"/>
                <w:bCs w:val="1"/>
                <w:color w:val="auto"/>
              </w:rPr>
              <w:t>Title of Each Class of</w:t>
            </w:r>
          </w:p>
        </w:tc>
        <w:tc>
          <w:tcPr>
            <w:tcW w:w="1540" w:type="dxa"/>
            <w:vAlign w:val="bottom"/>
            <w:tcBorders>
              <w:right w:val="single" w:sz="8" w:color="auto"/>
            </w:tcBorders>
          </w:tcPr>
          <w:p>
            <w:pPr>
              <w:jc w:val="center"/>
              <w:spacing w:after="0" w:line="105" w:lineRule="exact"/>
              <w:rPr>
                <w:sz w:val="20"/>
                <w:szCs w:val="20"/>
                <w:color w:val="auto"/>
              </w:rPr>
            </w:pPr>
            <w:r>
              <w:rPr>
                <w:rFonts w:ascii="Times New Roman" w:cs="Times New Roman" w:eastAsia="Times New Roman" w:hAnsi="Times New Roman"/>
                <w:sz w:val="12"/>
                <w:szCs w:val="12"/>
                <w:b w:val="1"/>
                <w:bCs w:val="1"/>
                <w:color w:val="auto"/>
              </w:rPr>
              <w:t>Proposed Maximum</w:t>
            </w:r>
          </w:p>
        </w:tc>
        <w:tc>
          <w:tcPr>
            <w:tcW w:w="1540" w:type="dxa"/>
            <w:vAlign w:val="bottom"/>
            <w:vMerge w:val="restart"/>
          </w:tcPr>
          <w:p>
            <w:pPr>
              <w:jc w:val="center"/>
              <w:ind w:left="128"/>
              <w:spacing w:after="0"/>
              <w:rPr>
                <w:sz w:val="20"/>
                <w:szCs w:val="20"/>
                <w:color w:val="auto"/>
              </w:rPr>
            </w:pPr>
            <w:r>
              <w:rPr>
                <w:rFonts w:ascii="Times New Roman" w:cs="Times New Roman" w:eastAsia="Times New Roman" w:hAnsi="Times New Roman"/>
                <w:sz w:val="14"/>
                <w:szCs w:val="14"/>
                <w:b w:val="1"/>
                <w:bCs w:val="1"/>
                <w:color w:val="auto"/>
              </w:rPr>
              <w:t>Amount of</w:t>
            </w:r>
          </w:p>
        </w:tc>
        <w:tc>
          <w:tcPr>
            <w:tcW w:w="0" w:type="dxa"/>
            <w:vAlign w:val="bottom"/>
          </w:tcPr>
          <w:p>
            <w:pPr>
              <w:spacing w:after="0"/>
              <w:rPr>
                <w:sz w:val="1"/>
                <w:szCs w:val="1"/>
                <w:color w:val="auto"/>
              </w:rPr>
            </w:pPr>
          </w:p>
        </w:tc>
      </w:tr>
      <w:tr>
        <w:trPr>
          <w:trHeight w:val="149"/>
        </w:trPr>
        <w:tc>
          <w:tcPr>
            <w:tcW w:w="300" w:type="dxa"/>
            <w:vAlign w:val="bottom"/>
          </w:tcPr>
          <w:p>
            <w:pPr>
              <w:spacing w:after="0"/>
              <w:rPr>
                <w:sz w:val="12"/>
                <w:szCs w:val="12"/>
                <w:color w:val="auto"/>
              </w:rPr>
            </w:pPr>
          </w:p>
        </w:tc>
        <w:tc>
          <w:tcPr>
            <w:tcW w:w="7640" w:type="dxa"/>
            <w:vAlign w:val="bottom"/>
            <w:tcBorders>
              <w:right w:val="single" w:sz="8" w:color="auto"/>
            </w:tcBorders>
            <w:vMerge w:val="continue"/>
          </w:tcPr>
          <w:p>
            <w:pPr>
              <w:spacing w:after="0"/>
              <w:rPr>
                <w:sz w:val="12"/>
                <w:szCs w:val="12"/>
                <w:color w:val="auto"/>
              </w:rPr>
            </w:pPr>
          </w:p>
        </w:tc>
        <w:tc>
          <w:tcPr>
            <w:tcW w:w="154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Aggregate</w:t>
            </w:r>
          </w:p>
        </w:tc>
        <w:tc>
          <w:tcPr>
            <w:tcW w:w="15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300" w:type="dxa"/>
            <w:vAlign w:val="bottom"/>
            <w:tcBorders>
              <w:bottom w:val="single" w:sz="8" w:color="auto"/>
            </w:tcBorders>
          </w:tcPr>
          <w:p>
            <w:pPr>
              <w:spacing w:after="0"/>
              <w:rPr>
                <w:sz w:val="16"/>
                <w:szCs w:val="16"/>
                <w:color w:val="auto"/>
              </w:rPr>
            </w:pPr>
          </w:p>
        </w:tc>
        <w:tc>
          <w:tcPr>
            <w:tcW w:w="7640" w:type="dxa"/>
            <w:vAlign w:val="bottom"/>
            <w:tcBorders>
              <w:bottom w:val="single" w:sz="8" w:color="auto"/>
              <w:right w:val="single" w:sz="8" w:color="auto"/>
            </w:tcBorders>
          </w:tcPr>
          <w:p>
            <w:pPr>
              <w:jc w:val="center"/>
              <w:ind w:right="248"/>
              <w:spacing w:after="0"/>
              <w:rPr>
                <w:sz w:val="20"/>
                <w:szCs w:val="20"/>
                <w:color w:val="auto"/>
              </w:rPr>
            </w:pPr>
            <w:r>
              <w:rPr>
                <w:rFonts w:ascii="Times New Roman" w:cs="Times New Roman" w:eastAsia="Times New Roman" w:hAnsi="Times New Roman"/>
                <w:sz w:val="14"/>
                <w:szCs w:val="14"/>
                <w:b w:val="1"/>
                <w:bCs w:val="1"/>
                <w:color w:val="auto"/>
              </w:rPr>
              <w:t>Securities to be Registered</w:t>
            </w: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 xml:space="preserve">Offering Price </w:t>
            </w:r>
            <w:r>
              <w:rPr>
                <w:rFonts w:ascii="Times New Roman" w:cs="Times New Roman" w:eastAsia="Times New Roman" w:hAnsi="Times New Roman"/>
                <w:sz w:val="12"/>
                <w:szCs w:val="12"/>
                <w:b w:val="1"/>
                <w:bCs w:val="1"/>
                <w:color w:val="auto"/>
              </w:rPr>
              <w:t>(1)(2)</w:t>
            </w:r>
          </w:p>
        </w:tc>
        <w:tc>
          <w:tcPr>
            <w:tcW w:w="1540" w:type="dxa"/>
            <w:vAlign w:val="bottom"/>
            <w:tcBorders>
              <w:bottom w:val="single" w:sz="8" w:color="auto"/>
            </w:tcBorders>
          </w:tcPr>
          <w:p>
            <w:pPr>
              <w:jc w:val="center"/>
              <w:ind w:left="128"/>
              <w:spacing w:after="0"/>
              <w:rPr>
                <w:sz w:val="20"/>
                <w:szCs w:val="20"/>
                <w:color w:val="auto"/>
              </w:rPr>
            </w:pPr>
            <w:r>
              <w:rPr>
                <w:rFonts w:ascii="Times New Roman" w:cs="Times New Roman" w:eastAsia="Times New Roman" w:hAnsi="Times New Roman"/>
                <w:sz w:val="14"/>
                <w:szCs w:val="14"/>
                <w:b w:val="1"/>
                <w:bCs w:val="1"/>
                <w:color w:val="auto"/>
              </w:rPr>
              <w:t xml:space="preserve">Registration Fee </w:t>
            </w:r>
            <w:r>
              <w:rPr>
                <w:rFonts w:ascii="Times New Roman" w:cs="Times New Roman" w:eastAsia="Times New Roman" w:hAnsi="Times New Roman"/>
                <w:sz w:val="12"/>
                <w:szCs w:val="12"/>
                <w:b w:val="1"/>
                <w:bCs w:val="1"/>
                <w:color w:val="auto"/>
              </w:rPr>
              <w:t>(3)</w:t>
            </w:r>
          </w:p>
        </w:tc>
        <w:tc>
          <w:tcPr>
            <w:tcW w:w="0" w:type="dxa"/>
            <w:vAlign w:val="bottom"/>
          </w:tcPr>
          <w:p>
            <w:pPr>
              <w:spacing w:after="0"/>
              <w:rPr>
                <w:sz w:val="1"/>
                <w:szCs w:val="1"/>
                <w:color w:val="auto"/>
              </w:rPr>
            </w:pPr>
          </w:p>
        </w:tc>
      </w:tr>
      <w:tr>
        <w:trPr>
          <w:trHeight w:val="142"/>
        </w:trPr>
        <w:tc>
          <w:tcPr>
            <w:tcW w:w="7940" w:type="dxa"/>
            <w:vAlign w:val="bottom"/>
            <w:tcBorders>
              <w:bottom w:val="single" w:sz="8" w:color="auto"/>
              <w:right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color w:val="auto"/>
              </w:rPr>
              <w:t>Common Stock, $0.0001 par value per share</w:t>
            </w:r>
          </w:p>
        </w:tc>
        <w:tc>
          <w:tcPr>
            <w:tcW w:w="1540" w:type="dxa"/>
            <w:vAlign w:val="bottom"/>
            <w:tcBorders>
              <w:bottom w:val="single" w:sz="8" w:color="auto"/>
              <w:right w:val="single" w:sz="8" w:color="auto"/>
            </w:tcBorders>
          </w:tcPr>
          <w:p>
            <w:pPr>
              <w:jc w:val="center"/>
              <w:ind w:left="11"/>
              <w:spacing w:after="0" w:line="142" w:lineRule="exact"/>
              <w:rPr>
                <w:sz w:val="20"/>
                <w:szCs w:val="20"/>
                <w:color w:val="auto"/>
              </w:rPr>
            </w:pPr>
            <w:r>
              <w:rPr>
                <w:rFonts w:ascii="Times New Roman" w:cs="Times New Roman" w:eastAsia="Times New Roman" w:hAnsi="Times New Roman"/>
                <w:sz w:val="14"/>
                <w:szCs w:val="14"/>
                <w:color w:val="auto"/>
              </w:rPr>
              <w:t>$86,250,000.00</w:t>
            </w:r>
          </w:p>
        </w:tc>
        <w:tc>
          <w:tcPr>
            <w:tcW w:w="1540" w:type="dxa"/>
            <w:vAlign w:val="bottom"/>
            <w:tcBorders>
              <w:bottom w:val="single" w:sz="8" w:color="auto"/>
            </w:tcBorders>
          </w:tcPr>
          <w:p>
            <w:pPr>
              <w:jc w:val="center"/>
              <w:ind w:left="148"/>
              <w:spacing w:after="0" w:line="142" w:lineRule="exact"/>
              <w:rPr>
                <w:sz w:val="20"/>
                <w:szCs w:val="20"/>
                <w:color w:val="auto"/>
              </w:rPr>
            </w:pPr>
            <w:r>
              <w:rPr>
                <w:rFonts w:ascii="Times New Roman" w:cs="Times New Roman" w:eastAsia="Times New Roman" w:hAnsi="Times New Roman"/>
                <w:sz w:val="14"/>
                <w:szCs w:val="14"/>
                <w:color w:val="auto"/>
              </w:rPr>
              <w:t>$11,195.25</w:t>
            </w:r>
          </w:p>
        </w:tc>
        <w:tc>
          <w:tcPr>
            <w:tcW w:w="0" w:type="dxa"/>
            <w:vAlign w:val="bottom"/>
          </w:tcPr>
          <w:p>
            <w:pPr>
              <w:spacing w:after="0"/>
              <w:rPr>
                <w:sz w:val="1"/>
                <w:szCs w:val="1"/>
                <w:color w:val="auto"/>
              </w:rPr>
            </w:pPr>
          </w:p>
        </w:tc>
      </w:tr>
      <w:tr>
        <w:trPr>
          <w:trHeight w:val="20"/>
        </w:trPr>
        <w:tc>
          <w:tcPr>
            <w:tcW w:w="300" w:type="dxa"/>
            <w:vAlign w:val="bottom"/>
            <w:tcBorders>
              <w:bottom w:val="single" w:sz="8" w:color="auto"/>
            </w:tcBorders>
          </w:tcPr>
          <w:p>
            <w:pPr>
              <w:spacing w:after="0" w:line="20" w:lineRule="exact"/>
              <w:rPr>
                <w:sz w:val="1"/>
                <w:szCs w:val="1"/>
                <w:color w:val="auto"/>
              </w:rPr>
            </w:pPr>
          </w:p>
        </w:tc>
        <w:tc>
          <w:tcPr>
            <w:tcW w:w="76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300" w:type="dxa"/>
            <w:vAlign w:val="bottom"/>
          </w:tcPr>
          <w:p>
            <w:pPr>
              <w:spacing w:after="0"/>
              <w:rPr>
                <w:sz w:val="20"/>
                <w:szCs w:val="20"/>
                <w:color w:val="auto"/>
              </w:rPr>
            </w:pPr>
            <w:r>
              <w:rPr>
                <w:rFonts w:ascii="Times New Roman" w:cs="Times New Roman" w:eastAsia="Times New Roman" w:hAnsi="Times New Roman"/>
                <w:sz w:val="14"/>
                <w:szCs w:val="14"/>
                <w:color w:val="auto"/>
              </w:rPr>
              <w:t>(1)</w:t>
            </w:r>
          </w:p>
        </w:tc>
        <w:tc>
          <w:tcPr>
            <w:tcW w:w="76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Estimated pursuant to Rule 457(o) under the Securities Act of 1933, as amended.</w:t>
            </w:r>
          </w:p>
        </w:tc>
        <w:tc>
          <w:tcPr>
            <w:tcW w:w="154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00" w:type="dxa"/>
            <w:vAlign w:val="bottom"/>
          </w:tcPr>
          <w:p>
            <w:pPr>
              <w:spacing w:after="0"/>
              <w:rPr>
                <w:sz w:val="20"/>
                <w:szCs w:val="20"/>
                <w:color w:val="auto"/>
              </w:rPr>
            </w:pPr>
            <w:r>
              <w:rPr>
                <w:rFonts w:ascii="Times New Roman" w:cs="Times New Roman" w:eastAsia="Times New Roman" w:hAnsi="Times New Roman"/>
                <w:sz w:val="14"/>
                <w:szCs w:val="14"/>
                <w:color w:val="auto"/>
              </w:rPr>
              <w:t>(2)</w:t>
            </w:r>
          </w:p>
        </w:tc>
        <w:tc>
          <w:tcPr>
            <w:tcW w:w="76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Includes the aggregate offering price of additional shares that the underwriters have the option to purchase.</w:t>
            </w:r>
          </w:p>
        </w:tc>
        <w:tc>
          <w:tcPr>
            <w:tcW w:w="15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00" w:type="dxa"/>
            <w:vAlign w:val="bottom"/>
          </w:tcPr>
          <w:p>
            <w:pPr>
              <w:spacing w:after="0"/>
              <w:rPr>
                <w:sz w:val="20"/>
                <w:szCs w:val="20"/>
                <w:color w:val="auto"/>
              </w:rPr>
            </w:pPr>
            <w:r>
              <w:rPr>
                <w:rFonts w:ascii="Times New Roman" w:cs="Times New Roman" w:eastAsia="Times New Roman" w:hAnsi="Times New Roman"/>
                <w:sz w:val="14"/>
                <w:szCs w:val="14"/>
                <w:color w:val="auto"/>
              </w:rPr>
              <w:t>(3)</w:t>
            </w:r>
          </w:p>
        </w:tc>
        <w:tc>
          <w:tcPr>
            <w:tcW w:w="76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Calculated pursuant to Rule 457(o) based on an estimate of the proposed maximum aggregate offering price.</w:t>
            </w:r>
          </w:p>
        </w:tc>
        <w:tc>
          <w:tcPr>
            <w:tcW w:w="15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2868295</wp:posOffset>
            </wp:positionH>
            <wp:positionV relativeFrom="paragraph">
              <wp:posOffset>83185</wp:posOffset>
            </wp:positionV>
            <wp:extent cx="14058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05890" cy="8890"/>
                    </a:xfrm>
                    <a:prstGeom prst="rect">
                      <a:avLst/>
                    </a:prstGeom>
                    <a:noFill/>
                  </pic:spPr>
                </pic:pic>
              </a:graphicData>
            </a:graphic>
          </wp:anchor>
        </w:drawing>
      </w:r>
    </w:p>
    <w:p>
      <w:pPr>
        <w:spacing w:after="0" w:line="141" w:lineRule="exact"/>
        <w:rPr>
          <w:sz w:val="24"/>
          <w:szCs w:val="24"/>
          <w:color w:val="auto"/>
        </w:rPr>
      </w:pPr>
    </w:p>
    <w:p>
      <w:pPr>
        <w:jc w:val="both"/>
        <w:ind w:left="120" w:right="20" w:firstLine="881"/>
        <w:spacing w:after="0" w:line="243" w:lineRule="auto"/>
        <w:rPr>
          <w:sz w:val="20"/>
          <w:szCs w:val="20"/>
          <w:color w:val="auto"/>
        </w:rPr>
      </w:pPr>
      <w:r>
        <w:rPr>
          <w:rFonts w:ascii="Times New Roman" w:cs="Times New Roman" w:eastAsia="Times New Roman" w:hAnsi="Times New Roman"/>
          <w:sz w:val="14"/>
          <w:szCs w:val="14"/>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Commission, acting pursuant to said Section 8(a), may determine.</w:t>
      </w:r>
    </w:p>
    <w:p>
      <w:pPr>
        <w:sectPr>
          <w:pgSz w:w="11900" w:h="16838" w:orient="portrait"/>
          <w:cols w:equalWidth="0" w:num="1">
            <w:col w:w="11140"/>
          </w:cols>
          <w:pgMar w:left="320" w:top="226" w:right="439" w:bottom="1440" w:gutter="0" w:footer="0" w:header="0"/>
        </w:sectPr>
      </w:pPr>
    </w:p>
    <w:bookmarkStart w:id="1" w:name="page2"/>
    <w:bookmarkEnd w:id="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both"/>
        <w:ind w:left="120" w:right="200"/>
        <w:spacing w:after="0" w:line="268" w:lineRule="auto"/>
        <w:rPr>
          <w:sz w:val="20"/>
          <w:szCs w:val="20"/>
          <w:color w:val="auto"/>
        </w:rPr>
      </w:pPr>
      <w:r>
        <w:rPr>
          <w:rFonts w:ascii="Times New Roman" w:cs="Times New Roman" w:eastAsia="Times New Roman" w:hAnsi="Times New Roman"/>
          <w:sz w:val="18"/>
          <w:szCs w:val="18"/>
          <w:b w:val="1"/>
          <w:bCs w:val="1"/>
          <w:color w:val="FF4338"/>
        </w:rPr>
        <w:t>The information in this prospectus is not complete and may be changed. We may not sell these securities until the registration statement filed with the Securities and Exchange Commission is effective. This prospectus is not an offer to sell these securities and it is not soliciting an offer to buy these securities in any state where the offer or sale is not permitted.</w:t>
      </w:r>
    </w:p>
    <w:p>
      <w:pPr>
        <w:spacing w:after="0" w:line="10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FF4338"/>
        </w:rPr>
        <w:t>Subject to Completion</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FF4338"/>
        </w:rPr>
        <w:t>Preliminary Prospectus dated September 25, 2020</w:t>
      </w:r>
    </w:p>
    <w:p>
      <w:pPr>
        <w:spacing w:after="0" w:line="9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u w:val="single" w:color="auto"/>
          <w:color w:val="auto"/>
        </w:rPr>
        <w:t>PROSPECTUS</w:t>
      </w:r>
    </w:p>
    <w:p>
      <w:pPr>
        <w:spacing w:after="0" w:line="26"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32"/>
          <w:szCs w:val="32"/>
          <w:b w:val="1"/>
          <w:b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2670810</wp:posOffset>
            </wp:positionH>
            <wp:positionV relativeFrom="paragraph">
              <wp:posOffset>155575</wp:posOffset>
            </wp:positionV>
            <wp:extent cx="1808480" cy="3943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808480" cy="394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43"/>
          <w:szCs w:val="43"/>
          <w:b w:val="1"/>
          <w:bCs w:val="1"/>
          <w:color w:val="auto"/>
        </w:rPr>
        <w:t>Tarsus Pharmaceuticals, Inc.</w:t>
      </w:r>
    </w:p>
    <w:p>
      <w:pPr>
        <w:spacing w:after="0" w:line="13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5"/>
          <w:szCs w:val="25"/>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178435</wp:posOffset>
            </wp:positionV>
            <wp:extent cx="147447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140"/>
          </w:cols>
          <w:pgMar w:left="320" w:top="455" w:right="439" w:bottom="1440" w:gutter="0" w:footer="0" w:header="0"/>
        </w:sectPr>
      </w:pPr>
    </w:p>
    <w:p>
      <w:pPr>
        <w:spacing w:after="0" w:line="385"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This is Tarsus Pharmaceuticals, Inc.’s initial public offering. We are selling</w:t>
      </w:r>
    </w:p>
    <w:p>
      <w:pPr>
        <w:spacing w:after="0" w:line="20" w:lineRule="exact"/>
        <w:rPr>
          <w:sz w:val="20"/>
          <w:szCs w:val="20"/>
          <w:color w:val="auto"/>
        </w:rPr>
      </w:pPr>
      <w:r>
        <w:rPr>
          <w:sz w:val="20"/>
          <w:szCs w:val="20"/>
          <w:color w:val="auto"/>
        </w:rPr>
        <w:br w:type="column"/>
      </w: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of our common stock.</w:t>
      </w:r>
    </w:p>
    <w:p>
      <w:pPr>
        <w:spacing w:after="0" w:line="117" w:lineRule="exact"/>
        <w:rPr>
          <w:sz w:val="20"/>
          <w:szCs w:val="20"/>
          <w:color w:val="auto"/>
        </w:rPr>
      </w:pPr>
    </w:p>
    <w:p>
      <w:pPr>
        <w:sectPr>
          <w:pgSz w:w="11900" w:h="16838" w:orient="portrait"/>
          <w:cols w:equalWidth="0" w:num="2">
            <w:col w:w="6400" w:space="620"/>
            <w:col w:w="4120"/>
          </w:cols>
          <w:pgMar w:left="320" w:top="455" w:right="439" w:bottom="1440" w:gutter="0" w:footer="0" w:header="0"/>
          <w:type w:val="continuous"/>
        </w:sectPr>
      </w:pPr>
    </w:p>
    <w:p>
      <w:pPr>
        <w:ind w:left="1000"/>
        <w:spacing w:after="0"/>
        <w:tabs>
          <w:tab w:leader="none" w:pos="5280" w:val="left"/>
          <w:tab w:leader="none" w:pos="6260" w:val="left"/>
        </w:tabs>
        <w:rPr>
          <w:sz w:val="20"/>
          <w:szCs w:val="20"/>
          <w:color w:val="auto"/>
        </w:rPr>
      </w:pPr>
      <w:r>
        <w:rPr>
          <w:rFonts w:ascii="Times New Roman" w:cs="Times New Roman" w:eastAsia="Times New Roman" w:hAnsi="Times New Roman"/>
          <w:sz w:val="18"/>
          <w:szCs w:val="18"/>
          <w:color w:val="auto"/>
        </w:rPr>
        <w:t>We expect the public offering price to be between $</w:t>
      </w:r>
      <w:r>
        <w:rPr>
          <w:sz w:val="20"/>
          <w:szCs w:val="20"/>
          <w:color w:val="auto"/>
        </w:rPr>
        <w:tab/>
      </w:r>
      <w:r>
        <w:rPr>
          <w:rFonts w:ascii="Times New Roman" w:cs="Times New Roman" w:eastAsia="Times New Roman" w:hAnsi="Times New Roman"/>
          <w:sz w:val="18"/>
          <w:szCs w:val="18"/>
          <w:color w:val="auto"/>
        </w:rPr>
        <w:t>and $</w:t>
      </w:r>
      <w:r>
        <w:rPr>
          <w:sz w:val="20"/>
          <w:szCs w:val="20"/>
          <w:color w:val="auto"/>
        </w:rPr>
        <w:tab/>
      </w:r>
      <w:r>
        <w:rPr>
          <w:rFonts w:ascii="Times New Roman" w:cs="Times New Roman" w:eastAsia="Times New Roman" w:hAnsi="Times New Roman"/>
          <w:sz w:val="17"/>
          <w:szCs w:val="17"/>
          <w:color w:val="auto"/>
        </w:rPr>
        <w:t>per share. Currently, no public market exists for the shares of our</w:t>
      </w:r>
    </w:p>
    <w:p>
      <w:pPr>
        <w:sectPr>
          <w:pgSz w:w="11900" w:h="16838" w:orient="portrait"/>
          <w:cols w:equalWidth="0" w:num="1">
            <w:col w:w="11140"/>
          </w:cols>
          <w:pgMar w:left="320" w:top="455" w:right="439" w:bottom="1440" w:gutter="0" w:footer="0" w:header="0"/>
          <w:type w:val="continuous"/>
        </w:sectPr>
      </w:pP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common stock. We have applied to list our common stock on the Nasdaq Global Market under the symbol “TARS.”</w:t>
      </w:r>
    </w:p>
    <w:p>
      <w:pPr>
        <w:spacing w:after="0" w:line="86" w:lineRule="exact"/>
        <w:rPr>
          <w:sz w:val="20"/>
          <w:szCs w:val="20"/>
          <w:color w:val="auto"/>
        </w:rPr>
      </w:pPr>
    </w:p>
    <w:p>
      <w:pPr>
        <w:ind w:left="120" w:right="80" w:firstLine="881"/>
        <w:spacing w:after="0" w:line="246" w:lineRule="auto"/>
        <w:rPr>
          <w:sz w:val="20"/>
          <w:szCs w:val="20"/>
          <w:color w:val="auto"/>
        </w:rPr>
      </w:pPr>
      <w:r>
        <w:rPr>
          <w:rFonts w:ascii="Times New Roman" w:cs="Times New Roman" w:eastAsia="Times New Roman" w:hAnsi="Times New Roman"/>
          <w:sz w:val="22"/>
          <w:szCs w:val="22"/>
          <w:b w:val="1"/>
          <w:bCs w:val="1"/>
          <w:color w:val="auto"/>
        </w:rPr>
        <w:t>We are an emerging growth company as defined under the U.S. federal securities laws and, as such, may elect to comply with certain reduced public company reporting requirements for this and future filings. See “Prospectus Summary—Implications of Being an Emerging Growth Company.”</w:t>
      </w:r>
    </w:p>
    <w:p>
      <w:pPr>
        <w:spacing w:after="0" w:line="59" w:lineRule="exact"/>
        <w:rPr>
          <w:sz w:val="20"/>
          <w:szCs w:val="20"/>
          <w:color w:val="auto"/>
        </w:rPr>
      </w:pPr>
    </w:p>
    <w:p>
      <w:pPr>
        <w:ind w:left="120" w:right="360" w:firstLine="881"/>
        <w:spacing w:after="0" w:line="262"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Investing in the common stock involves risks that are described in the “</w:t>
      </w:r>
      <w:hyperlink w:anchor="page19">
        <w:r>
          <w:rPr>
            <w:rFonts w:ascii="Times New Roman" w:cs="Times New Roman" w:eastAsia="Times New Roman" w:hAnsi="Times New Roman"/>
            <w:sz w:val="22"/>
            <w:szCs w:val="22"/>
            <w:b w:val="1"/>
            <w:bCs w:val="1"/>
            <w:u w:val="single" w:color="auto"/>
            <w:color w:val="0000EE"/>
          </w:rPr>
          <w:t>Risk Factors</w:t>
        </w:r>
      </w:hyperlink>
      <w:r>
        <w:rPr>
          <w:rFonts w:ascii="Times New Roman" w:cs="Times New Roman" w:eastAsia="Times New Roman" w:hAnsi="Times New Roman"/>
          <w:sz w:val="22"/>
          <w:szCs w:val="22"/>
          <w:b w:val="1"/>
          <w:bCs w:val="1"/>
          <w:color w:val="auto"/>
        </w:rPr>
        <w:t>” section beginning on page 16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123825</wp:posOffset>
            </wp:positionV>
            <wp:extent cx="147447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25"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494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0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6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0"/>
        </w:trPr>
        <w:tc>
          <w:tcPr>
            <w:tcW w:w="49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Public offering price</w:t>
            </w:r>
          </w:p>
        </w:tc>
        <w:tc>
          <w:tcPr>
            <w:tcW w:w="17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ind w:right="315"/>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Underwriting discounts and commissions </w:t>
            </w:r>
            <w:r>
              <w:rPr>
                <w:rFonts w:ascii="Times New Roman" w:cs="Times New Roman" w:eastAsia="Times New Roman" w:hAnsi="Times New Roman"/>
                <w:sz w:val="15"/>
                <w:szCs w:val="15"/>
                <w:color w:val="auto"/>
              </w:rPr>
              <w:t>(1)</w:t>
            </w:r>
          </w:p>
        </w:tc>
        <w:tc>
          <w:tcPr>
            <w:tcW w:w="2340" w:type="dxa"/>
            <w:vAlign w:val="bottom"/>
            <w:gridSpan w:val="2"/>
          </w:tcPr>
          <w:p>
            <w:pPr>
              <w:ind w:left="174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8"/>
                <w:szCs w:val="18"/>
                <w:color w:val="auto"/>
              </w:rPr>
            </w:pPr>
          </w:p>
        </w:tc>
        <w:tc>
          <w:tcPr>
            <w:tcW w:w="500" w:type="dxa"/>
            <w:vAlign w:val="bottom"/>
          </w:tcPr>
          <w:p>
            <w:pPr>
              <w:jc w:val="right"/>
              <w:ind w:right="315"/>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Pr>
          <w:p>
            <w:pPr>
              <w:spacing w:after="0"/>
              <w:rPr>
                <w:sz w:val="18"/>
                <w:szCs w:val="18"/>
                <w:color w:val="auto"/>
              </w:rPr>
            </w:pPr>
          </w:p>
        </w:tc>
      </w:tr>
      <w:tr>
        <w:trPr>
          <w:trHeight w:val="216"/>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before expenses, to us</w:t>
            </w:r>
          </w:p>
        </w:tc>
        <w:tc>
          <w:tcPr>
            <w:tcW w:w="2340" w:type="dxa"/>
            <w:vAlign w:val="bottom"/>
            <w:gridSpan w:val="2"/>
            <w:shd w:val="clear" w:color="auto" w:fill="CCEEFF"/>
          </w:tcPr>
          <w:p>
            <w:pPr>
              <w:ind w:left="174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15"/>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shd w:val="clear" w:color="auto" w:fill="CCEEFF"/>
          </w:tcPr>
          <w:p>
            <w:pPr>
              <w:spacing w:after="0"/>
              <w:rPr>
                <w:sz w:val="18"/>
                <w:szCs w:val="18"/>
                <w:color w:val="auto"/>
              </w:rPr>
            </w:pPr>
          </w:p>
        </w:tc>
      </w:tr>
    </w:tbl>
    <w:p>
      <w:pPr>
        <w:spacing w:after="0" w:line="99" w:lineRule="exact"/>
        <w:rPr>
          <w:sz w:val="20"/>
          <w:szCs w:val="20"/>
          <w:color w:val="auto"/>
        </w:rPr>
      </w:pPr>
    </w:p>
    <w:p>
      <w:pPr>
        <w:ind w:left="1720" w:right="2300" w:hanging="281"/>
        <w:spacing w:after="0" w:line="261" w:lineRule="auto"/>
        <w:tabs>
          <w:tab w:leader="none" w:pos="1707"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refer you to “Underwriting” beginning on page 201 of this prospectus for additional information regarding underwriting compensation.</w:t>
      </w:r>
    </w:p>
    <w:p>
      <w:pPr>
        <w:spacing w:after="0" w:line="73" w:lineRule="exact"/>
        <w:rPr>
          <w:sz w:val="20"/>
          <w:szCs w:val="20"/>
          <w:color w:val="auto"/>
        </w:rPr>
      </w:pPr>
    </w:p>
    <w:p>
      <w:pPr>
        <w:ind w:left="120" w:right="500" w:firstLine="881"/>
        <w:spacing w:after="0" w:line="282" w:lineRule="auto"/>
        <w:rPr>
          <w:sz w:val="20"/>
          <w:szCs w:val="20"/>
          <w:color w:val="auto"/>
        </w:rPr>
      </w:pPr>
      <w:r>
        <w:rPr>
          <w:rFonts w:ascii="Times New Roman" w:cs="Times New Roman" w:eastAsia="Times New Roman" w:hAnsi="Times New Roman"/>
          <w:sz w:val="18"/>
          <w:szCs w:val="18"/>
          <w:color w:val="auto"/>
        </w:rPr>
        <w:t>The underwriters may also exercise their option to purchase up to an additional shares of common stock from us, at the public offering price, less the underwriting discounts and commissions, for 30 days after the date of this prospectus.</w:t>
      </w:r>
    </w:p>
    <w:p>
      <w:pPr>
        <w:spacing w:after="0" w:line="50" w:lineRule="exact"/>
        <w:rPr>
          <w:sz w:val="20"/>
          <w:szCs w:val="20"/>
          <w:color w:val="auto"/>
        </w:rPr>
      </w:pPr>
    </w:p>
    <w:p>
      <w:pPr>
        <w:ind w:left="120" w:right="700" w:firstLine="881"/>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51" w:lineRule="exact"/>
        <w:rPr>
          <w:sz w:val="20"/>
          <w:szCs w:val="20"/>
          <w:color w:val="auto"/>
        </w:rPr>
      </w:pPr>
    </w:p>
    <w:tbl>
      <w:tblPr>
        <w:tblLayout w:type="fixed"/>
        <w:tblInd w:w="1000" w:type="dxa"/>
        <w:tblCellMar>
          <w:top w:w="0" w:type="dxa"/>
          <w:left w:w="0" w:type="dxa"/>
          <w:bottom w:w="0" w:type="dxa"/>
          <w:right w:w="0" w:type="dxa"/>
        </w:tblCellMar>
      </w:tblPr>
      <w:tr>
        <w:trPr>
          <w:trHeight w:val="234"/>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The shares of common stock will be ready for delivery on or about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2020.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145415</wp:posOffset>
            </wp:positionV>
            <wp:extent cx="147447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47" w:lineRule="exact"/>
        <w:rPr>
          <w:sz w:val="20"/>
          <w:szCs w:val="20"/>
          <w:color w:val="auto"/>
        </w:rPr>
      </w:pPr>
    </w:p>
    <w:tbl>
      <w:tblPr>
        <w:tblLayout w:type="fixed"/>
        <w:tblInd w:w="120" w:type="dxa"/>
        <w:tblCellMar>
          <w:top w:w="0" w:type="dxa"/>
          <w:left w:w="0" w:type="dxa"/>
          <w:bottom w:w="0" w:type="dxa"/>
          <w:right w:w="0" w:type="dxa"/>
        </w:tblCellMar>
      </w:tblPr>
      <w:tr>
        <w:trPr>
          <w:trHeight w:val="383"/>
        </w:trPr>
        <w:tc>
          <w:tcPr>
            <w:tcW w:w="1920" w:type="dxa"/>
            <w:vAlign w:val="bottom"/>
          </w:tcPr>
          <w:p>
            <w:pPr>
              <w:spacing w:after="0"/>
              <w:rPr>
                <w:sz w:val="20"/>
                <w:szCs w:val="20"/>
                <w:color w:val="auto"/>
              </w:rPr>
            </w:pPr>
            <w:r>
              <w:rPr>
                <w:rFonts w:ascii="Times New Roman" w:cs="Times New Roman" w:eastAsia="Times New Roman" w:hAnsi="Times New Roman"/>
                <w:sz w:val="29"/>
                <w:szCs w:val="29"/>
                <w:b w:val="1"/>
                <w:bCs w:val="1"/>
                <w:color w:val="auto"/>
                <w:w w:val="98"/>
              </w:rPr>
              <w:t>BofA Securities</w:t>
            </w:r>
          </w:p>
        </w:tc>
        <w:tc>
          <w:tcPr>
            <w:tcW w:w="2420" w:type="dxa"/>
            <w:vAlign w:val="bottom"/>
          </w:tcPr>
          <w:p>
            <w:pPr>
              <w:spacing w:after="0"/>
              <w:rPr>
                <w:sz w:val="24"/>
                <w:szCs w:val="24"/>
                <w:color w:val="auto"/>
              </w:rPr>
            </w:pPr>
          </w:p>
        </w:tc>
        <w:tc>
          <w:tcPr>
            <w:tcW w:w="2320" w:type="dxa"/>
            <w:vAlign w:val="bottom"/>
          </w:tcPr>
          <w:p>
            <w:pPr>
              <w:ind w:left="540"/>
              <w:spacing w:after="0"/>
              <w:rPr>
                <w:sz w:val="20"/>
                <w:szCs w:val="20"/>
                <w:color w:val="auto"/>
              </w:rPr>
            </w:pPr>
            <w:r>
              <w:rPr>
                <w:rFonts w:ascii="Times New Roman" w:cs="Times New Roman" w:eastAsia="Times New Roman" w:hAnsi="Times New Roman"/>
                <w:sz w:val="29"/>
                <w:szCs w:val="29"/>
                <w:b w:val="1"/>
                <w:bCs w:val="1"/>
                <w:color w:val="auto"/>
              </w:rPr>
              <w:t>Jefferies</w:t>
            </w:r>
          </w:p>
        </w:tc>
        <w:tc>
          <w:tcPr>
            <w:tcW w:w="4360" w:type="dxa"/>
            <w:vAlign w:val="bottom"/>
          </w:tcPr>
          <w:p>
            <w:pPr>
              <w:jc w:val="right"/>
              <w:spacing w:after="0"/>
              <w:rPr>
                <w:sz w:val="20"/>
                <w:szCs w:val="20"/>
                <w:color w:val="auto"/>
              </w:rPr>
            </w:pPr>
            <w:r>
              <w:rPr>
                <w:rFonts w:ascii="Times New Roman" w:cs="Times New Roman" w:eastAsia="Times New Roman" w:hAnsi="Times New Roman"/>
                <w:sz w:val="29"/>
                <w:szCs w:val="29"/>
                <w:b w:val="1"/>
                <w:bCs w:val="1"/>
                <w:color w:val="auto"/>
              </w:rPr>
              <w:t>Raymond James</w:t>
            </w:r>
          </w:p>
        </w:tc>
      </w:tr>
      <w:tr>
        <w:trPr>
          <w:trHeight w:val="420"/>
        </w:trPr>
        <w:tc>
          <w:tcPr>
            <w:tcW w:w="1920" w:type="dxa"/>
            <w:vAlign w:val="bottom"/>
          </w:tcPr>
          <w:p>
            <w:pPr>
              <w:spacing w:after="0"/>
              <w:rPr>
                <w:sz w:val="24"/>
                <w:szCs w:val="24"/>
                <w:color w:val="auto"/>
              </w:rPr>
            </w:pPr>
          </w:p>
        </w:tc>
        <w:tc>
          <w:tcPr>
            <w:tcW w:w="4740" w:type="dxa"/>
            <w:vAlign w:val="bottom"/>
            <w:gridSpan w:val="2"/>
          </w:tcPr>
          <w:p>
            <w:pPr>
              <w:ind w:left="20"/>
              <w:spacing w:after="0"/>
              <w:rPr>
                <w:sz w:val="20"/>
                <w:szCs w:val="20"/>
                <w:color w:val="auto"/>
              </w:rPr>
            </w:pPr>
            <w:r>
              <w:rPr>
                <w:rFonts w:ascii="Times New Roman" w:cs="Times New Roman" w:eastAsia="Times New Roman" w:hAnsi="Times New Roman"/>
                <w:sz w:val="25"/>
                <w:szCs w:val="25"/>
                <w:b w:val="1"/>
                <w:bCs w:val="1"/>
                <w:color w:val="auto"/>
              </w:rPr>
              <w:t>LifeSci Capital</w:t>
            </w:r>
          </w:p>
        </w:tc>
        <w:tc>
          <w:tcPr>
            <w:tcW w:w="4360" w:type="dxa"/>
            <w:vAlign w:val="bottom"/>
          </w:tcPr>
          <w:p>
            <w:pPr>
              <w:jc w:val="right"/>
              <w:ind w:right="1400"/>
              <w:spacing w:after="0"/>
              <w:rPr>
                <w:sz w:val="20"/>
                <w:szCs w:val="20"/>
                <w:color w:val="auto"/>
              </w:rPr>
            </w:pPr>
            <w:r>
              <w:rPr>
                <w:rFonts w:ascii="Times New Roman" w:cs="Times New Roman" w:eastAsia="Times New Roman" w:hAnsi="Times New Roman"/>
                <w:sz w:val="25"/>
                <w:szCs w:val="25"/>
                <w:b w:val="1"/>
                <w:bCs w:val="1"/>
                <w:color w:val="auto"/>
              </w:rPr>
              <w:t>Ladenburg Thalmann</w:t>
            </w:r>
          </w:p>
        </w:tc>
      </w:tr>
      <w:tr>
        <w:trPr>
          <w:trHeight w:val="221"/>
        </w:trPr>
        <w:tc>
          <w:tcPr>
            <w:tcW w:w="192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2320" w:type="dxa"/>
            <w:vAlign w:val="bottom"/>
            <w:tcBorders>
              <w:bottom w:val="single" w:sz="8" w:color="auto"/>
            </w:tcBorders>
          </w:tcPr>
          <w:p>
            <w:pPr>
              <w:spacing w:after="0"/>
              <w:rPr>
                <w:sz w:val="19"/>
                <w:szCs w:val="19"/>
                <w:color w:val="auto"/>
              </w:rPr>
            </w:pPr>
          </w:p>
        </w:tc>
        <w:tc>
          <w:tcPr>
            <w:tcW w:w="4360" w:type="dxa"/>
            <w:vAlign w:val="bottom"/>
          </w:tcPr>
          <w:p>
            <w:pPr>
              <w:spacing w:after="0"/>
              <w:rPr>
                <w:sz w:val="19"/>
                <w:szCs w:val="19"/>
                <w:color w:val="auto"/>
              </w:rPr>
            </w:pPr>
          </w:p>
        </w:tc>
      </w:tr>
      <w:tr>
        <w:trPr>
          <w:trHeight w:val="318"/>
        </w:trPr>
        <w:tc>
          <w:tcPr>
            <w:tcW w:w="1920" w:type="dxa"/>
            <w:vAlign w:val="bottom"/>
          </w:tcPr>
          <w:p>
            <w:pPr>
              <w:spacing w:after="0"/>
              <w:rPr>
                <w:sz w:val="24"/>
                <w:szCs w:val="24"/>
                <w:color w:val="auto"/>
              </w:rPr>
            </w:pPr>
          </w:p>
        </w:tc>
        <w:tc>
          <w:tcPr>
            <w:tcW w:w="4740" w:type="dxa"/>
            <w:vAlign w:val="bottom"/>
            <w:gridSpan w:val="2"/>
          </w:tcPr>
          <w:p>
            <w:pPr>
              <w:ind w:left="1820"/>
              <w:spacing w:after="0"/>
              <w:rPr>
                <w:sz w:val="20"/>
                <w:szCs w:val="20"/>
                <w:color w:val="auto"/>
              </w:rPr>
            </w:pPr>
            <w:r>
              <w:rPr>
                <w:rFonts w:ascii="Times New Roman" w:cs="Times New Roman" w:eastAsia="Times New Roman" w:hAnsi="Times New Roman"/>
                <w:sz w:val="18"/>
                <w:szCs w:val="18"/>
                <w:color w:val="auto"/>
              </w:rPr>
              <w:t>The date of this prospectus is</w:t>
            </w:r>
          </w:p>
        </w:tc>
        <w:tc>
          <w:tcPr>
            <w:tcW w:w="4360" w:type="dxa"/>
            <w:vAlign w:val="bottom"/>
          </w:tcPr>
          <w:p>
            <w:pPr>
              <w:jc w:val="right"/>
              <w:ind w:right="3620"/>
              <w:spacing w:after="0"/>
              <w:rPr>
                <w:sz w:val="20"/>
                <w:szCs w:val="20"/>
                <w:color w:val="auto"/>
              </w:rPr>
            </w:pPr>
            <w:r>
              <w:rPr>
                <w:rFonts w:ascii="Times New Roman" w:cs="Times New Roman" w:eastAsia="Times New Roman" w:hAnsi="Times New Roman"/>
                <w:sz w:val="18"/>
                <w:szCs w:val="18"/>
                <w:color w:val="auto"/>
              </w:rPr>
              <w:t>, 2020.</w:t>
            </w:r>
          </w:p>
        </w:tc>
      </w:tr>
    </w:tbl>
    <w:p>
      <w:pPr>
        <w:sectPr>
          <w:pgSz w:w="11900" w:h="16838" w:orient="portrait"/>
          <w:cols w:equalWidth="0" w:num="1">
            <w:col w:w="11140"/>
          </w:cols>
          <w:pgMar w:left="320" w:top="455" w:right="439" w:bottom="1440" w:gutter="0" w:footer="0" w:header="0"/>
          <w:type w:val="continuous"/>
        </w:sectPr>
      </w:pPr>
    </w:p>
    <w:bookmarkStart w:id="2" w:name="page3"/>
    <w:bookmarkEnd w:id="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8"/>
        </w:trPr>
        <w:tc>
          <w:tcPr>
            <w:tcW w:w="9980" w:type="dxa"/>
            <w:vAlign w:val="bottom"/>
          </w:tcPr>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tc>
        <w:tc>
          <w:tcPr>
            <w:tcW w:w="1100" w:type="dxa"/>
            <w:vAlign w:val="bottom"/>
          </w:tcPr>
          <w:p>
            <w:pPr>
              <w:spacing w:after="0"/>
              <w:rPr>
                <w:sz w:val="20"/>
                <w:szCs w:val="20"/>
                <w:color w:val="auto"/>
              </w:rPr>
            </w:pPr>
          </w:p>
        </w:tc>
      </w:tr>
      <w:tr>
        <w:trPr>
          <w:trHeight w:val="513"/>
        </w:trPr>
        <w:tc>
          <w:tcPr>
            <w:tcW w:w="9980" w:type="dxa"/>
            <w:vAlign w:val="bottom"/>
          </w:tcPr>
          <w:p>
            <w:pPr>
              <w:ind w:left="46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100" w:type="dxa"/>
            <w:vAlign w:val="bottom"/>
          </w:tcPr>
          <w:p>
            <w:pPr>
              <w:spacing w:after="0"/>
              <w:rPr>
                <w:sz w:val="24"/>
                <w:szCs w:val="24"/>
                <w:color w:val="auto"/>
              </w:rPr>
            </w:pPr>
          </w:p>
        </w:tc>
      </w:tr>
      <w:tr>
        <w:trPr>
          <w:trHeight w:val="441"/>
        </w:trPr>
        <w:tc>
          <w:tcPr>
            <w:tcW w:w="9980" w:type="dxa"/>
            <w:vAlign w:val="bottom"/>
          </w:tcPr>
          <w:p>
            <w:pPr>
              <w:ind w:left="120"/>
              <w:spacing w:after="0"/>
              <w:rPr>
                <w:rFonts w:ascii="Times New Roman" w:cs="Times New Roman" w:eastAsia="Times New Roman" w:hAnsi="Times New Roman"/>
                <w:sz w:val="18"/>
                <w:szCs w:val="18"/>
                <w:b w:val="1"/>
                <w:bCs w:val="1"/>
                <w:u w:val="single" w:color="auto"/>
                <w:color w:val="0000EE"/>
              </w:rPr>
            </w:pPr>
            <w:hyperlink w:anchor="page4">
              <w:r>
                <w:rPr>
                  <w:rFonts w:ascii="Times New Roman" w:cs="Times New Roman" w:eastAsia="Times New Roman" w:hAnsi="Times New Roman"/>
                  <w:sz w:val="18"/>
                  <w:szCs w:val="18"/>
                  <w:b w:val="1"/>
                  <w:bCs w:val="1"/>
                  <w:u w:val="single" w:color="auto"/>
                  <w:color w:val="0000EE"/>
                </w:rPr>
                <w:t>PROSPECTUS SUMMARY</w:t>
              </w:r>
            </w:hyperlink>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9980" w:type="dxa"/>
            <w:vAlign w:val="bottom"/>
          </w:tcPr>
          <w:p>
            <w:pPr>
              <w:ind w:left="120"/>
              <w:spacing w:after="0"/>
              <w:rPr>
                <w:rFonts w:ascii="Times New Roman" w:cs="Times New Roman" w:eastAsia="Times New Roman" w:hAnsi="Times New Roman"/>
                <w:sz w:val="18"/>
                <w:szCs w:val="18"/>
                <w:u w:val="single" w:color="auto"/>
                <w:color w:val="0000EE"/>
              </w:rPr>
            </w:pPr>
            <w:hyperlink w:anchor="page19">
              <w:r>
                <w:rPr>
                  <w:rFonts w:ascii="Times New Roman" w:cs="Times New Roman" w:eastAsia="Times New Roman" w:hAnsi="Times New Roman"/>
                  <w:sz w:val="18"/>
                  <w:szCs w:val="18"/>
                  <w:u w:val="single" w:color="auto"/>
                  <w:color w:val="0000EE"/>
                </w:rPr>
                <w:t>RISK FACTORS</w:t>
              </w:r>
            </w:hyperlink>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9980" w:type="dxa"/>
            <w:vAlign w:val="bottom"/>
          </w:tcPr>
          <w:p>
            <w:pPr>
              <w:ind w:left="120"/>
              <w:spacing w:after="0"/>
              <w:rPr>
                <w:rFonts w:ascii="Times New Roman" w:cs="Times New Roman" w:eastAsia="Times New Roman" w:hAnsi="Times New Roman"/>
                <w:sz w:val="18"/>
                <w:szCs w:val="18"/>
                <w:u w:val="single" w:color="auto"/>
                <w:color w:val="0000EE"/>
              </w:rPr>
            </w:pPr>
            <w:hyperlink w:anchor="page89">
              <w:r>
                <w:rPr>
                  <w:rFonts w:ascii="Times New Roman" w:cs="Times New Roman" w:eastAsia="Times New Roman" w:hAnsi="Times New Roman"/>
                  <w:sz w:val="18"/>
                  <w:szCs w:val="18"/>
                  <w:u w:val="single" w:color="auto"/>
                  <w:color w:val="0000EE"/>
                </w:rPr>
                <w:t>SPECIAL NOTE REGARDING FORWARD-LOOKING STATEMENTS</w:t>
              </w:r>
            </w:hyperlink>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16"/>
        </w:trPr>
        <w:tc>
          <w:tcPr>
            <w:tcW w:w="9980" w:type="dxa"/>
            <w:vAlign w:val="bottom"/>
          </w:tcPr>
          <w:p>
            <w:pPr>
              <w:ind w:left="120"/>
              <w:spacing w:after="0"/>
              <w:rPr>
                <w:rFonts w:ascii="Times New Roman" w:cs="Times New Roman" w:eastAsia="Times New Roman" w:hAnsi="Times New Roman"/>
                <w:sz w:val="18"/>
                <w:szCs w:val="18"/>
                <w:u w:val="single" w:color="auto"/>
                <w:color w:val="0000EE"/>
              </w:rPr>
            </w:pPr>
            <w:hyperlink w:anchor="page91">
              <w:r>
                <w:rPr>
                  <w:rFonts w:ascii="Times New Roman" w:cs="Times New Roman" w:eastAsia="Times New Roman" w:hAnsi="Times New Roman"/>
                  <w:sz w:val="18"/>
                  <w:szCs w:val="18"/>
                  <w:u w:val="single" w:color="auto"/>
                  <w:color w:val="0000EE"/>
                </w:rPr>
                <w:t>MARKET, INDUSTRY AND OTHER DATA</w:t>
              </w:r>
            </w:hyperlink>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16"/>
        </w:trPr>
        <w:tc>
          <w:tcPr>
            <w:tcW w:w="9980" w:type="dxa"/>
            <w:vAlign w:val="bottom"/>
          </w:tcPr>
          <w:p>
            <w:pPr>
              <w:ind w:left="120"/>
              <w:spacing w:after="0"/>
              <w:rPr>
                <w:rFonts w:ascii="Times New Roman" w:cs="Times New Roman" w:eastAsia="Times New Roman" w:hAnsi="Times New Roman"/>
                <w:sz w:val="18"/>
                <w:szCs w:val="18"/>
                <w:u w:val="single" w:color="auto"/>
                <w:color w:val="0000EE"/>
              </w:rPr>
            </w:pPr>
            <w:hyperlink w:anchor="page92">
              <w:r>
                <w:rPr>
                  <w:rFonts w:ascii="Times New Roman" w:cs="Times New Roman" w:eastAsia="Times New Roman" w:hAnsi="Times New Roman"/>
                  <w:sz w:val="18"/>
                  <w:szCs w:val="18"/>
                  <w:u w:val="single" w:color="auto"/>
                  <w:color w:val="0000EE"/>
                </w:rPr>
                <w:t>USE OF PROCEEDS</w:t>
              </w:r>
            </w:hyperlink>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16"/>
        </w:trPr>
        <w:tc>
          <w:tcPr>
            <w:tcW w:w="9980" w:type="dxa"/>
            <w:vAlign w:val="bottom"/>
          </w:tcPr>
          <w:p>
            <w:pPr>
              <w:ind w:left="120"/>
              <w:spacing w:after="0"/>
              <w:rPr>
                <w:rFonts w:ascii="Times New Roman" w:cs="Times New Roman" w:eastAsia="Times New Roman" w:hAnsi="Times New Roman"/>
                <w:sz w:val="18"/>
                <w:szCs w:val="18"/>
                <w:u w:val="single" w:color="auto"/>
                <w:color w:val="0000EE"/>
              </w:rPr>
            </w:pPr>
            <w:hyperlink w:anchor="page94">
              <w:r>
                <w:rPr>
                  <w:rFonts w:ascii="Times New Roman" w:cs="Times New Roman" w:eastAsia="Times New Roman" w:hAnsi="Times New Roman"/>
                  <w:sz w:val="18"/>
                  <w:szCs w:val="18"/>
                  <w:u w:val="single" w:color="auto"/>
                  <w:color w:val="0000EE"/>
                </w:rPr>
                <w:t>DIVIDEND POLICY</w:t>
              </w:r>
            </w:hyperlink>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216"/>
        </w:trPr>
        <w:tc>
          <w:tcPr>
            <w:tcW w:w="9980" w:type="dxa"/>
            <w:vAlign w:val="bottom"/>
          </w:tcPr>
          <w:p>
            <w:pPr>
              <w:ind w:left="120"/>
              <w:spacing w:after="0"/>
              <w:rPr>
                <w:rFonts w:ascii="Times New Roman" w:cs="Times New Roman" w:eastAsia="Times New Roman" w:hAnsi="Times New Roman"/>
                <w:sz w:val="18"/>
                <w:szCs w:val="18"/>
                <w:u w:val="single" w:color="auto"/>
                <w:color w:val="0000EE"/>
              </w:rPr>
            </w:pPr>
            <w:hyperlink w:anchor="page95">
              <w:r>
                <w:rPr>
                  <w:rFonts w:ascii="Times New Roman" w:cs="Times New Roman" w:eastAsia="Times New Roman" w:hAnsi="Times New Roman"/>
                  <w:sz w:val="18"/>
                  <w:szCs w:val="18"/>
                  <w:u w:val="single" w:color="auto"/>
                  <w:color w:val="0000EE"/>
                </w:rPr>
                <w:t>CAPITALIZATION</w:t>
              </w:r>
            </w:hyperlink>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216"/>
        </w:trPr>
        <w:tc>
          <w:tcPr>
            <w:tcW w:w="9980" w:type="dxa"/>
            <w:vAlign w:val="bottom"/>
          </w:tcPr>
          <w:p>
            <w:pPr>
              <w:ind w:left="120"/>
              <w:spacing w:after="0"/>
              <w:rPr>
                <w:rFonts w:ascii="Times New Roman" w:cs="Times New Roman" w:eastAsia="Times New Roman" w:hAnsi="Times New Roman"/>
                <w:sz w:val="18"/>
                <w:szCs w:val="18"/>
                <w:u w:val="single" w:color="auto"/>
                <w:color w:val="0000EE"/>
              </w:rPr>
            </w:pPr>
            <w:hyperlink w:anchor="page97">
              <w:r>
                <w:rPr>
                  <w:rFonts w:ascii="Times New Roman" w:cs="Times New Roman" w:eastAsia="Times New Roman" w:hAnsi="Times New Roman"/>
                  <w:sz w:val="18"/>
                  <w:szCs w:val="18"/>
                  <w:u w:val="single" w:color="auto"/>
                  <w:color w:val="0000EE"/>
                </w:rPr>
                <w:t>DILUTION</w:t>
              </w:r>
            </w:hyperlink>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216"/>
        </w:trPr>
        <w:tc>
          <w:tcPr>
            <w:tcW w:w="9980" w:type="dxa"/>
            <w:vAlign w:val="bottom"/>
          </w:tcPr>
          <w:p>
            <w:pPr>
              <w:ind w:left="120"/>
              <w:spacing w:after="0"/>
              <w:rPr>
                <w:rFonts w:ascii="Times New Roman" w:cs="Times New Roman" w:eastAsia="Times New Roman" w:hAnsi="Times New Roman"/>
                <w:sz w:val="18"/>
                <w:szCs w:val="18"/>
                <w:u w:val="single" w:color="auto"/>
                <w:color w:val="0000EE"/>
              </w:rPr>
            </w:pPr>
            <w:hyperlink w:anchor="page100">
              <w:r>
                <w:rPr>
                  <w:rFonts w:ascii="Times New Roman" w:cs="Times New Roman" w:eastAsia="Times New Roman" w:hAnsi="Times New Roman"/>
                  <w:sz w:val="18"/>
                  <w:szCs w:val="18"/>
                  <w:u w:val="single" w:color="auto"/>
                  <w:color w:val="0000EE"/>
                </w:rPr>
                <w:t>SELECTED FINANCIAL DATA</w:t>
              </w:r>
            </w:hyperlink>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216"/>
        </w:trPr>
        <w:tc>
          <w:tcPr>
            <w:tcW w:w="9980" w:type="dxa"/>
            <w:vAlign w:val="bottom"/>
          </w:tcPr>
          <w:p>
            <w:pPr>
              <w:ind w:left="120"/>
              <w:spacing w:after="0"/>
              <w:rPr>
                <w:rFonts w:ascii="Times New Roman" w:cs="Times New Roman" w:eastAsia="Times New Roman" w:hAnsi="Times New Roman"/>
                <w:sz w:val="18"/>
                <w:szCs w:val="18"/>
                <w:u w:val="single" w:color="auto"/>
                <w:color w:val="0000EE"/>
              </w:rPr>
            </w:pPr>
            <w:hyperlink w:anchor="page102">
              <w:r>
                <w:rPr>
                  <w:rFonts w:ascii="Times New Roman" w:cs="Times New Roman" w:eastAsia="Times New Roman" w:hAnsi="Times New Roman"/>
                  <w:sz w:val="18"/>
                  <w:szCs w:val="18"/>
                  <w:u w:val="single" w:color="auto"/>
                  <w:color w:val="0000EE"/>
                </w:rPr>
                <w:t>MANAGEMENT’S DISCUSSION AND ANALYSIS OF FINANCIAL CONDITION AND RESULTS OF OPERATIONS</w:t>
              </w:r>
            </w:hyperlink>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216"/>
        </w:trPr>
        <w:tc>
          <w:tcPr>
            <w:tcW w:w="9980" w:type="dxa"/>
            <w:vAlign w:val="bottom"/>
          </w:tcPr>
          <w:p>
            <w:pPr>
              <w:ind w:left="120"/>
              <w:spacing w:after="0"/>
              <w:rPr>
                <w:rFonts w:ascii="Times New Roman" w:cs="Times New Roman" w:eastAsia="Times New Roman" w:hAnsi="Times New Roman"/>
                <w:sz w:val="18"/>
                <w:szCs w:val="18"/>
                <w:u w:val="single" w:color="auto"/>
                <w:color w:val="0000EE"/>
              </w:rPr>
            </w:pPr>
            <w:hyperlink w:anchor="page117">
              <w:r>
                <w:rPr>
                  <w:rFonts w:ascii="Times New Roman" w:cs="Times New Roman" w:eastAsia="Times New Roman" w:hAnsi="Times New Roman"/>
                  <w:sz w:val="18"/>
                  <w:szCs w:val="18"/>
                  <w:u w:val="single" w:color="auto"/>
                  <w:color w:val="0000EE"/>
                </w:rPr>
                <w:t>BUSINESS</w:t>
              </w:r>
            </w:hyperlink>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r>
      <w:tr>
        <w:trPr>
          <w:trHeight w:val="216"/>
        </w:trPr>
        <w:tc>
          <w:tcPr>
            <w:tcW w:w="9980" w:type="dxa"/>
            <w:vAlign w:val="bottom"/>
          </w:tcPr>
          <w:p>
            <w:pPr>
              <w:ind w:left="120"/>
              <w:spacing w:after="0"/>
              <w:rPr>
                <w:rFonts w:ascii="Times New Roman" w:cs="Times New Roman" w:eastAsia="Times New Roman" w:hAnsi="Times New Roman"/>
                <w:sz w:val="18"/>
                <w:szCs w:val="18"/>
                <w:u w:val="single" w:color="auto"/>
                <w:color w:val="0000EE"/>
              </w:rPr>
            </w:pPr>
            <w:hyperlink w:anchor="page168">
              <w:r>
                <w:rPr>
                  <w:rFonts w:ascii="Times New Roman" w:cs="Times New Roman" w:eastAsia="Times New Roman" w:hAnsi="Times New Roman"/>
                  <w:sz w:val="18"/>
                  <w:szCs w:val="18"/>
                  <w:u w:val="single" w:color="auto"/>
                  <w:color w:val="0000EE"/>
                </w:rPr>
                <w:t>MANAGEMENT</w:t>
              </w:r>
            </w:hyperlink>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r>
      <w:tr>
        <w:trPr>
          <w:trHeight w:val="216"/>
        </w:trPr>
        <w:tc>
          <w:tcPr>
            <w:tcW w:w="9980" w:type="dxa"/>
            <w:vAlign w:val="bottom"/>
          </w:tcPr>
          <w:p>
            <w:pPr>
              <w:ind w:left="120"/>
              <w:spacing w:after="0"/>
              <w:rPr>
                <w:rFonts w:ascii="Times New Roman" w:cs="Times New Roman" w:eastAsia="Times New Roman" w:hAnsi="Times New Roman"/>
                <w:sz w:val="18"/>
                <w:szCs w:val="18"/>
                <w:u w:val="single" w:color="auto"/>
                <w:color w:val="0000EE"/>
              </w:rPr>
            </w:pPr>
            <w:hyperlink w:anchor="page176">
              <w:r>
                <w:rPr>
                  <w:rFonts w:ascii="Times New Roman" w:cs="Times New Roman" w:eastAsia="Times New Roman" w:hAnsi="Times New Roman"/>
                  <w:sz w:val="18"/>
                  <w:szCs w:val="18"/>
                  <w:u w:val="single" w:color="auto"/>
                  <w:color w:val="0000EE"/>
                </w:rPr>
                <w:t>EXECUTIVE COMPENSATION</w:t>
              </w:r>
            </w:hyperlink>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w:t>
            </w:r>
          </w:p>
        </w:tc>
      </w:tr>
      <w:tr>
        <w:trPr>
          <w:trHeight w:val="216"/>
        </w:trPr>
        <w:tc>
          <w:tcPr>
            <w:tcW w:w="9980" w:type="dxa"/>
            <w:vAlign w:val="bottom"/>
          </w:tcPr>
          <w:p>
            <w:pPr>
              <w:ind w:left="120"/>
              <w:spacing w:after="0"/>
              <w:rPr>
                <w:rFonts w:ascii="Times New Roman" w:cs="Times New Roman" w:eastAsia="Times New Roman" w:hAnsi="Times New Roman"/>
                <w:sz w:val="18"/>
                <w:szCs w:val="18"/>
                <w:u w:val="single" w:color="auto"/>
                <w:color w:val="0000EE"/>
              </w:rPr>
            </w:pPr>
            <w:hyperlink w:anchor="page184">
              <w:r>
                <w:rPr>
                  <w:rFonts w:ascii="Times New Roman" w:cs="Times New Roman" w:eastAsia="Times New Roman" w:hAnsi="Times New Roman"/>
                  <w:sz w:val="18"/>
                  <w:szCs w:val="18"/>
                  <w:u w:val="single" w:color="auto"/>
                  <w:color w:val="0000EE"/>
                </w:rPr>
                <w:t>CERTAIN RELATIONSHIPS AND RELATED PARTY TRANSACTIONS</w:t>
              </w:r>
            </w:hyperlink>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w:t>
            </w:r>
          </w:p>
        </w:tc>
      </w:tr>
      <w:tr>
        <w:trPr>
          <w:trHeight w:val="216"/>
        </w:trPr>
        <w:tc>
          <w:tcPr>
            <w:tcW w:w="9980" w:type="dxa"/>
            <w:vAlign w:val="bottom"/>
          </w:tcPr>
          <w:p>
            <w:pPr>
              <w:ind w:left="120"/>
              <w:spacing w:after="0"/>
              <w:rPr>
                <w:rFonts w:ascii="Times New Roman" w:cs="Times New Roman" w:eastAsia="Times New Roman" w:hAnsi="Times New Roman"/>
                <w:sz w:val="18"/>
                <w:szCs w:val="18"/>
                <w:u w:val="single" w:color="auto"/>
                <w:color w:val="0000EE"/>
              </w:rPr>
            </w:pPr>
            <w:hyperlink w:anchor="page189">
              <w:r>
                <w:rPr>
                  <w:rFonts w:ascii="Times New Roman" w:cs="Times New Roman" w:eastAsia="Times New Roman" w:hAnsi="Times New Roman"/>
                  <w:sz w:val="18"/>
                  <w:szCs w:val="18"/>
                  <w:u w:val="single" w:color="auto"/>
                  <w:color w:val="0000EE"/>
                </w:rPr>
                <w:t>PRINCIPAL STOCKHOLDERS</w:t>
              </w:r>
            </w:hyperlink>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r>
      <w:tr>
        <w:trPr>
          <w:trHeight w:val="216"/>
        </w:trPr>
        <w:tc>
          <w:tcPr>
            <w:tcW w:w="9980" w:type="dxa"/>
            <w:vAlign w:val="bottom"/>
          </w:tcPr>
          <w:p>
            <w:pPr>
              <w:ind w:left="120"/>
              <w:spacing w:after="0"/>
              <w:rPr>
                <w:rFonts w:ascii="Times New Roman" w:cs="Times New Roman" w:eastAsia="Times New Roman" w:hAnsi="Times New Roman"/>
                <w:sz w:val="18"/>
                <w:szCs w:val="18"/>
                <w:u w:val="single" w:color="auto"/>
                <w:color w:val="0000EE"/>
              </w:rPr>
            </w:pPr>
            <w:hyperlink w:anchor="page192">
              <w:r>
                <w:rPr>
                  <w:rFonts w:ascii="Times New Roman" w:cs="Times New Roman" w:eastAsia="Times New Roman" w:hAnsi="Times New Roman"/>
                  <w:sz w:val="18"/>
                  <w:szCs w:val="18"/>
                  <w:u w:val="single" w:color="auto"/>
                  <w:color w:val="0000EE"/>
                </w:rPr>
                <w:t>DESCRIPTION OF CAPITAL STOCK</w:t>
              </w:r>
            </w:hyperlink>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w:t>
            </w:r>
          </w:p>
        </w:tc>
      </w:tr>
      <w:tr>
        <w:trPr>
          <w:trHeight w:val="216"/>
        </w:trPr>
        <w:tc>
          <w:tcPr>
            <w:tcW w:w="9980" w:type="dxa"/>
            <w:vAlign w:val="bottom"/>
          </w:tcPr>
          <w:p>
            <w:pPr>
              <w:ind w:left="120"/>
              <w:spacing w:after="0"/>
              <w:rPr>
                <w:rFonts w:ascii="Times New Roman" w:cs="Times New Roman" w:eastAsia="Times New Roman" w:hAnsi="Times New Roman"/>
                <w:sz w:val="18"/>
                <w:szCs w:val="18"/>
                <w:u w:val="single" w:color="auto"/>
                <w:color w:val="0000EE"/>
              </w:rPr>
            </w:pPr>
            <w:hyperlink w:anchor="page197">
              <w:r>
                <w:rPr>
                  <w:rFonts w:ascii="Times New Roman" w:cs="Times New Roman" w:eastAsia="Times New Roman" w:hAnsi="Times New Roman"/>
                  <w:sz w:val="18"/>
                  <w:szCs w:val="18"/>
                  <w:u w:val="single" w:color="auto"/>
                  <w:color w:val="0000EE"/>
                </w:rPr>
                <w:t>SHARES ELIGIBLE FOR FUTURE SALE</w:t>
              </w:r>
            </w:hyperlink>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w:t>
            </w:r>
          </w:p>
        </w:tc>
      </w:tr>
      <w:tr>
        <w:trPr>
          <w:trHeight w:val="216"/>
        </w:trPr>
        <w:tc>
          <w:tcPr>
            <w:tcW w:w="9980" w:type="dxa"/>
            <w:vAlign w:val="bottom"/>
          </w:tcPr>
          <w:p>
            <w:pPr>
              <w:ind w:left="120"/>
              <w:spacing w:after="0"/>
              <w:rPr>
                <w:rFonts w:ascii="Times New Roman" w:cs="Times New Roman" w:eastAsia="Times New Roman" w:hAnsi="Times New Roman"/>
                <w:sz w:val="18"/>
                <w:szCs w:val="18"/>
                <w:u w:val="single" w:color="auto"/>
                <w:color w:val="0000EE"/>
              </w:rPr>
            </w:pPr>
            <w:hyperlink w:anchor="page200">
              <w:r>
                <w:rPr>
                  <w:rFonts w:ascii="Times New Roman" w:cs="Times New Roman" w:eastAsia="Times New Roman" w:hAnsi="Times New Roman"/>
                  <w:sz w:val="18"/>
                  <w:szCs w:val="18"/>
                  <w:u w:val="single" w:color="auto"/>
                  <w:color w:val="0000EE"/>
                </w:rPr>
                <w:t>MATERIAL U.S. FEDERAL INCOME TAX CONSEQUENCES FOR NON-U.S. HOLDERS OF OUR COMMON STOCK</w:t>
              </w:r>
            </w:hyperlink>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w:t>
            </w:r>
          </w:p>
        </w:tc>
      </w:tr>
      <w:tr>
        <w:trPr>
          <w:trHeight w:val="216"/>
        </w:trPr>
        <w:tc>
          <w:tcPr>
            <w:tcW w:w="9980" w:type="dxa"/>
            <w:vAlign w:val="bottom"/>
          </w:tcPr>
          <w:p>
            <w:pPr>
              <w:ind w:left="120"/>
              <w:spacing w:after="0"/>
              <w:rPr>
                <w:rFonts w:ascii="Times New Roman" w:cs="Times New Roman" w:eastAsia="Times New Roman" w:hAnsi="Times New Roman"/>
                <w:sz w:val="18"/>
                <w:szCs w:val="18"/>
                <w:u w:val="single" w:color="auto"/>
                <w:color w:val="0000EE"/>
              </w:rPr>
            </w:pPr>
            <w:hyperlink w:anchor="page204">
              <w:r>
                <w:rPr>
                  <w:rFonts w:ascii="Times New Roman" w:cs="Times New Roman" w:eastAsia="Times New Roman" w:hAnsi="Times New Roman"/>
                  <w:sz w:val="18"/>
                  <w:szCs w:val="18"/>
                  <w:u w:val="single" w:color="auto"/>
                  <w:color w:val="0000EE"/>
                </w:rPr>
                <w:t>UNDERWRITING</w:t>
              </w:r>
            </w:hyperlink>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w:t>
            </w:r>
          </w:p>
        </w:tc>
      </w:tr>
      <w:tr>
        <w:trPr>
          <w:trHeight w:val="216"/>
        </w:trPr>
        <w:tc>
          <w:tcPr>
            <w:tcW w:w="9980" w:type="dxa"/>
            <w:vAlign w:val="bottom"/>
          </w:tcPr>
          <w:p>
            <w:pPr>
              <w:ind w:left="120"/>
              <w:spacing w:after="0"/>
              <w:rPr>
                <w:rFonts w:ascii="Times New Roman" w:cs="Times New Roman" w:eastAsia="Times New Roman" w:hAnsi="Times New Roman"/>
                <w:sz w:val="18"/>
                <w:szCs w:val="18"/>
                <w:u w:val="single" w:color="auto"/>
                <w:color w:val="0000EE"/>
              </w:rPr>
            </w:pPr>
            <w:hyperlink w:anchor="page212">
              <w:r>
                <w:rPr>
                  <w:rFonts w:ascii="Times New Roman" w:cs="Times New Roman" w:eastAsia="Times New Roman" w:hAnsi="Times New Roman"/>
                  <w:sz w:val="18"/>
                  <w:szCs w:val="18"/>
                  <w:u w:val="single" w:color="auto"/>
                  <w:color w:val="0000EE"/>
                </w:rPr>
                <w:t>LEGAL MATTERS</w:t>
              </w:r>
            </w:hyperlink>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w:t>
            </w:r>
          </w:p>
        </w:tc>
      </w:tr>
      <w:tr>
        <w:trPr>
          <w:trHeight w:val="216"/>
        </w:trPr>
        <w:tc>
          <w:tcPr>
            <w:tcW w:w="9980" w:type="dxa"/>
            <w:vAlign w:val="bottom"/>
          </w:tcPr>
          <w:p>
            <w:pPr>
              <w:ind w:left="120"/>
              <w:spacing w:after="0"/>
              <w:rPr>
                <w:rFonts w:ascii="Times New Roman" w:cs="Times New Roman" w:eastAsia="Times New Roman" w:hAnsi="Times New Roman"/>
                <w:sz w:val="18"/>
                <w:szCs w:val="18"/>
                <w:u w:val="single" w:color="auto"/>
                <w:color w:val="0000EE"/>
              </w:rPr>
            </w:pPr>
            <w:hyperlink w:anchor="page212">
              <w:r>
                <w:rPr>
                  <w:rFonts w:ascii="Times New Roman" w:cs="Times New Roman" w:eastAsia="Times New Roman" w:hAnsi="Times New Roman"/>
                  <w:sz w:val="18"/>
                  <w:szCs w:val="18"/>
                  <w:u w:val="single" w:color="auto"/>
                  <w:color w:val="0000EE"/>
                </w:rPr>
                <w:t>EXPERTS</w:t>
              </w:r>
            </w:hyperlink>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w:t>
            </w:r>
          </w:p>
        </w:tc>
      </w:tr>
      <w:tr>
        <w:trPr>
          <w:trHeight w:val="216"/>
        </w:trPr>
        <w:tc>
          <w:tcPr>
            <w:tcW w:w="9980" w:type="dxa"/>
            <w:vAlign w:val="bottom"/>
          </w:tcPr>
          <w:p>
            <w:pPr>
              <w:ind w:left="120"/>
              <w:spacing w:after="0"/>
              <w:rPr>
                <w:rFonts w:ascii="Times New Roman" w:cs="Times New Roman" w:eastAsia="Times New Roman" w:hAnsi="Times New Roman"/>
                <w:sz w:val="18"/>
                <w:szCs w:val="18"/>
                <w:u w:val="single" w:color="auto"/>
                <w:color w:val="0000EE"/>
              </w:rPr>
            </w:pPr>
            <w:hyperlink w:anchor="page212">
              <w:r>
                <w:rPr>
                  <w:rFonts w:ascii="Times New Roman" w:cs="Times New Roman" w:eastAsia="Times New Roman" w:hAnsi="Times New Roman"/>
                  <w:sz w:val="18"/>
                  <w:szCs w:val="18"/>
                  <w:u w:val="single" w:color="auto"/>
                  <w:color w:val="0000EE"/>
                </w:rPr>
                <w:t>WHERE YOU CAN FIND ADDITIONAL INFORMATION</w:t>
              </w:r>
            </w:hyperlink>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w:t>
            </w:r>
          </w:p>
        </w:tc>
      </w:tr>
      <w:tr>
        <w:trPr>
          <w:trHeight w:val="234"/>
        </w:trPr>
        <w:tc>
          <w:tcPr>
            <w:tcW w:w="9980" w:type="dxa"/>
            <w:vAlign w:val="bottom"/>
          </w:tcPr>
          <w:p>
            <w:pPr>
              <w:ind w:left="120"/>
              <w:spacing w:after="0"/>
              <w:rPr>
                <w:rFonts w:ascii="Times New Roman" w:cs="Times New Roman" w:eastAsia="Times New Roman" w:hAnsi="Times New Roman"/>
                <w:sz w:val="18"/>
                <w:szCs w:val="18"/>
                <w:u w:val="single" w:color="auto"/>
                <w:color w:val="0000EE"/>
              </w:rPr>
            </w:pPr>
            <w:hyperlink w:anchor="page213">
              <w:r>
                <w:rPr>
                  <w:rFonts w:ascii="Times New Roman" w:cs="Times New Roman" w:eastAsia="Times New Roman" w:hAnsi="Times New Roman"/>
                  <w:sz w:val="18"/>
                  <w:szCs w:val="18"/>
                  <w:u w:val="single" w:color="auto"/>
                  <w:color w:val="0000EE"/>
                </w:rPr>
                <w:t>INDEX TO FINANCIAL STATEMENTS</w:t>
              </w:r>
            </w:hyperlink>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F-1</w:t>
            </w:r>
          </w:p>
        </w:tc>
      </w:tr>
    </w:tbl>
    <w:p>
      <w:pPr>
        <w:spacing w:after="0" w:line="198" w:lineRule="exact"/>
        <w:rPr>
          <w:sz w:val="20"/>
          <w:szCs w:val="20"/>
          <w:color w:val="auto"/>
        </w:rPr>
      </w:pPr>
    </w:p>
    <w:p>
      <w:pPr>
        <w:ind w:left="120" w:firstLine="881"/>
        <w:spacing w:after="0" w:line="255" w:lineRule="auto"/>
        <w:rPr>
          <w:sz w:val="20"/>
          <w:szCs w:val="20"/>
          <w:color w:val="auto"/>
        </w:rPr>
      </w:pPr>
      <w:r>
        <w:rPr>
          <w:rFonts w:ascii="Times New Roman" w:cs="Times New Roman" w:eastAsia="Times New Roman" w:hAnsi="Times New Roman"/>
          <w:sz w:val="18"/>
          <w:szCs w:val="18"/>
          <w:color w:val="auto"/>
        </w:rPr>
        <w:t>Neither we nor the underwriters have authorized anyone to provide any information or to make any representations other than those contained in this prospectus, any amendment or supplement to this prospectus or in any free writing prospectuses prepared by or on behalf of us or to which we have referred you. We and the underwriters take no responsibility for and can provide no assurance as to the reliability of, any other information that others may give you. This prospectus is an offer to sell only the shares offered hereby, but only under circumstances and in jurisdictions where it is lawful to do so. The information contained in this prospectus or in any applicable free writing prospectus is current only as of its date, regardless of its time of delivery or any sale of shares of our common stock. Our business, financial condition, results of operations and prospects may have changed since that date.</w:t>
      </w:r>
    </w:p>
    <w:p>
      <w:pPr>
        <w:spacing w:after="0" w:line="189" w:lineRule="exact"/>
        <w:rPr>
          <w:sz w:val="20"/>
          <w:szCs w:val="20"/>
          <w:color w:val="auto"/>
        </w:rPr>
      </w:pPr>
    </w:p>
    <w:p>
      <w:pPr>
        <w:ind w:left="120" w:firstLine="881"/>
        <w:spacing w:after="0" w:line="261" w:lineRule="auto"/>
        <w:rPr>
          <w:sz w:val="20"/>
          <w:szCs w:val="20"/>
          <w:color w:val="auto"/>
        </w:rPr>
      </w:pPr>
      <w:r>
        <w:rPr>
          <w:rFonts w:ascii="Times New Roman" w:cs="Times New Roman" w:eastAsia="Times New Roman" w:hAnsi="Times New Roman"/>
          <w:sz w:val="18"/>
          <w:szCs w:val="18"/>
          <w:color w:val="auto"/>
        </w:rPr>
        <w:t>Neither we nor the underwriters have done anything that would permit this offering or possession or distribution of this prospectus or any free writing prospectus we may provide to you in connection with this offering in any jurisdiction where action for that purpose is required, other than in the United States. You are required to inform yourselves about and to observe any restrictions relating to this offering and the distribution of this prospectus and any such free writing prospectus outside of the United States.</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100"/>
          </w:cols>
          <w:pgMar w:left="320" w:top="455" w:right="479" w:bottom="1440" w:gutter="0" w:footer="0" w:header="0"/>
        </w:sectPr>
      </w:pPr>
    </w:p>
    <w:bookmarkStart w:id="3" w:name="page4"/>
    <w:bookmarkEnd w:id="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46761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98970" cy="467614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227" w:lineRule="exact"/>
        <w:rPr>
          <w:sz w:val="20"/>
          <w:szCs w:val="20"/>
          <w:color w:val="auto"/>
        </w:rPr>
      </w:pPr>
    </w:p>
    <w:p>
      <w:pPr>
        <w:ind w:left="300" w:firstLine="852"/>
        <w:spacing w:after="0" w:line="257" w:lineRule="auto"/>
        <w:rPr>
          <w:sz w:val="20"/>
          <w:szCs w:val="20"/>
          <w:color w:val="auto"/>
        </w:rPr>
      </w:pPr>
      <w:r>
        <w:rPr>
          <w:rFonts w:ascii="Times New Roman" w:cs="Times New Roman" w:eastAsia="Times New Roman" w:hAnsi="Times New Roman"/>
          <w:sz w:val="18"/>
          <w:szCs w:val="18"/>
          <w:i w:val="1"/>
          <w:iCs w:val="1"/>
          <w:color w:val="auto"/>
        </w:rPr>
        <w:t>This summary highlights selected information contained elsewhere in this prospectus and is qualified in its entirety by the more detailed information and financial statements included elsewhere in this prospectus. It does not contain all of the information that may be important to you and your investment decision. You should carefully read this entire prospectus, including the sections titled “Risk Factors,” “Business,” “Management’s Discussion and Analysis of Financial Condition and Results of Operations” and our financial statements and related notes included elsewhere in this prospectus before making an investment decision. In this prospectus, unless context requires otherwise, references to “we,” “us,” “our,” “Tarsus,” or “the Company” refer to Tarsus Pharmaceuticals, Inc.</w:t>
      </w:r>
    </w:p>
    <w:p>
      <w:pPr>
        <w:spacing w:after="0" w:line="180"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left="300" w:firstLine="852"/>
        <w:spacing w:after="0" w:line="252" w:lineRule="auto"/>
        <w:rPr>
          <w:sz w:val="20"/>
          <w:szCs w:val="20"/>
          <w:color w:val="auto"/>
        </w:rPr>
      </w:pPr>
      <w:r>
        <w:rPr>
          <w:rFonts w:ascii="Times New Roman" w:cs="Times New Roman" w:eastAsia="Times New Roman" w:hAnsi="Times New Roman"/>
          <w:sz w:val="18"/>
          <w:szCs w:val="18"/>
          <w:color w:val="auto"/>
        </w:rPr>
        <w:t>We are a late clinical-stage biopharmaceutical company focused on the development and commercialization of therapeutic candidates to address large market opportunities initially in ophthalmic conditions where there are limited treatment alternatives. Our lead product candidate, TP-03, is a novel therapeutic in Phase 2b/3 that is being developed for the treatment of blepharitis caused by the infestation of Demodex mites, which is referred to as Demodex blepharitis. Blepharitis (“Blephar” is a reference to eyelid and “itis” is a reference to inflammation) is a condition characterized by inflammation of the eyelid margin, redness and ocular irritation, including a specific type of eyelash dandruff called collarettes in Demodex blepharitis. The healthy interaction of the eyelid and the surface of the eyeball is crucial to ocular health. Poorly controlled and progressive blepharitis can lead to worsening of corneal damage over time and, in extreme cases, blindness. According to published studies, there are an estimated 20 million patients in the United States who suffer from blepharitis, with approximately 45%, or approximately nine million, of cases caused by Demodex infestation. To date, we have completed four Phase 2 trials for TP-03 in Demodex blepharitis, all of which met their primary, secondary and/or exploratory endpoints, as applicable, and during which TP-03 was well tolerated. We have commenced our Phase 2b/3 trial, Saturn-1, in September 2020, and intend to commence our Phase 3 trial, Saturn-2, in 2021, both with primary and secondary endpoints consistent with those of our Europa and Io Phase 2 trials. If successful, we expect these trials to support the submission of a new drug application, or NDA, to the Food and Drug Administration, or the FDA, for TP-03 for the treatment of Demodex blepharitis. Furthermore, we intend to pursue marketing authorizations in jurisdictions outside the United States, including Europe and Japan. We believe that, if approved, TP-03 has the potential to be the first FDA-approved therapeutic and become the standard of care for the treatment of Demodex blepharitis.</w:t>
      </w:r>
    </w:p>
    <w:p>
      <w:pPr>
        <w:spacing w:after="0" w:line="196" w:lineRule="exact"/>
        <w:rPr>
          <w:sz w:val="20"/>
          <w:szCs w:val="20"/>
          <w:color w:val="auto"/>
        </w:rPr>
      </w:pPr>
    </w:p>
    <w:p>
      <w:pPr>
        <w:ind w:left="300" w:right="20" w:firstLine="852"/>
        <w:spacing w:after="0" w:line="258" w:lineRule="auto"/>
        <w:rPr>
          <w:sz w:val="20"/>
          <w:szCs w:val="20"/>
          <w:color w:val="auto"/>
        </w:rPr>
      </w:pPr>
      <w:r>
        <w:rPr>
          <w:rFonts w:ascii="Times New Roman" w:cs="Times New Roman" w:eastAsia="Times New Roman" w:hAnsi="Times New Roman"/>
          <w:sz w:val="18"/>
          <w:szCs w:val="18"/>
          <w:color w:val="auto"/>
        </w:rPr>
        <w:t>Our current therapeutic strategy is focused on the clinical development of, for the first time in human medicine, the novel drug, lotilaner, which is designed to paralyze and eradicate mites and other parasites through the inhibition of parasite-specific g-aminobutyric acid-gated chloride channels, or GABA-Cl channels. We are advancing our pipeline to address a number of diseases across therapeutic categories including eye care, dermatology and other diseases with high, unmet needs. These diseases include Demodex blepharitis, Meibomian Gland Disease, or MGD, rosacea, Lyme disease and malaria.</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- 1 -</w:t>
      </w:r>
    </w:p>
    <w:p>
      <w:pPr>
        <w:sectPr>
          <w:pgSz w:w="11900" w:h="16838" w:orient="portrait"/>
          <w:cols w:equalWidth="0" w:num="1">
            <w:col w:w="10940"/>
          </w:cols>
          <w:pgMar w:left="320" w:top="455" w:right="639" w:bottom="1440" w:gutter="0" w:footer="0" w:header="0"/>
        </w:sectPr>
      </w:pPr>
    </w:p>
    <w:bookmarkStart w:id="4" w:name="page5"/>
    <w:bookmarkEnd w:id="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8331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98970" cy="583311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The following pipeline chart presents our wholly-owned product candidates and clinical development status: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720" w:hanging="422"/>
        <w:spacing w:after="0"/>
        <w:tabs>
          <w:tab w:leader="none" w:pos="7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Anticipated milestones are subject to the impact of the ongoing COVID-19 pandemic on our business and those of our partners.</w:t>
      </w:r>
    </w:p>
    <w:p>
      <w:pPr>
        <w:spacing w:after="0" w:line="4" w:lineRule="exact"/>
        <w:rPr>
          <w:sz w:val="20"/>
          <w:szCs w:val="20"/>
          <w:color w:val="auto"/>
        </w:rPr>
      </w:pPr>
    </w:p>
    <w:p>
      <w:pPr>
        <w:ind w:left="720" w:right="540" w:hanging="422"/>
        <w:spacing w:after="0" w:line="221" w:lineRule="auto"/>
        <w:tabs>
          <w:tab w:leader="none" w:pos="7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intend to rely on preclinical studies and clinical safety assessments from the Demodex blepharitis program. We have not conducted and do not intend to conduct any preclinical studies with TP-03 for the treatment of MGD in order to advance to Phase 2a.</w:t>
      </w:r>
    </w:p>
    <w:p>
      <w:pPr>
        <w:ind w:left="720" w:hanging="422"/>
        <w:spacing w:after="0" w:line="221" w:lineRule="auto"/>
        <w:tabs>
          <w:tab w:leader="none" w:pos="7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We intend to leverage all preclinical, Phase 2 and Phase 3 data from the TP-03 Demodex blepharitis program. We intend to conduct </w:t>
      </w:r>
      <w:r>
        <w:rPr>
          <w:rFonts w:ascii="Times New Roman" w:cs="Times New Roman" w:eastAsia="Times New Roman" w:hAnsi="Times New Roman"/>
          <w:sz w:val="14"/>
          <w:szCs w:val="14"/>
          <w:i w:val="1"/>
          <w:iCs w:val="1"/>
          <w:color w:val="auto"/>
        </w:rPr>
        <w:t>in vitro</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i w:val="1"/>
          <w:iCs w:val="1"/>
          <w:color w:val="auto"/>
        </w:rPr>
        <w:t>in vivo</w:t>
      </w:r>
      <w:r>
        <w:rPr>
          <w:rFonts w:ascii="Times New Roman" w:cs="Times New Roman" w:eastAsia="Times New Roman" w:hAnsi="Times New Roman"/>
          <w:sz w:val="14"/>
          <w:szCs w:val="14"/>
          <w:color w:val="auto"/>
        </w:rPr>
        <w:t xml:space="preserve"> bioequivalence studies</w:t>
      </w:r>
    </w:p>
    <w:p>
      <w:pPr>
        <w:ind w:left="720"/>
        <w:spacing w:after="0" w:line="221" w:lineRule="auto"/>
        <w:rPr>
          <w:sz w:val="20"/>
          <w:szCs w:val="20"/>
          <w:color w:val="auto"/>
        </w:rPr>
      </w:pPr>
      <w:r>
        <w:rPr>
          <w:rFonts w:ascii="Times New Roman" w:cs="Times New Roman" w:eastAsia="Times New Roman" w:hAnsi="Times New Roman"/>
          <w:sz w:val="14"/>
          <w:szCs w:val="14"/>
          <w:color w:val="auto"/>
        </w:rPr>
        <w:t>with our preservative-free formulation to compare it to the current preserved formulation of TP-03 in Demodex blepharitis after NDA submission and file a supplement.</w:t>
      </w:r>
    </w:p>
    <w:p>
      <w:pPr>
        <w:spacing w:after="0" w:line="1" w:lineRule="exact"/>
        <w:rPr>
          <w:sz w:val="20"/>
          <w:szCs w:val="20"/>
          <w:color w:val="auto"/>
        </w:rPr>
      </w:pPr>
    </w:p>
    <w:p>
      <w:pPr>
        <w:ind w:left="720" w:right="120" w:hanging="422"/>
        <w:spacing w:after="0" w:line="221" w:lineRule="auto"/>
        <w:tabs>
          <w:tab w:leader="none" w:pos="7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intend to leverage systemic preclinical data from our TP-03 program and augment with additional dermal preclinical studies to select formulation in order to advance to Phase 1/2, which we intend to conduct outside the United States. We may need to address this approach with the FDA if we were to conduct a clinical trial in the United States. We have not conducted any preclinical studies in rosacea with TP-04 to date.</w:t>
      </w:r>
    </w:p>
    <w:p>
      <w:pPr>
        <w:spacing w:after="0" w:line="1" w:lineRule="exact"/>
        <w:rPr>
          <w:sz w:val="20"/>
          <w:szCs w:val="20"/>
          <w:color w:val="auto"/>
        </w:rPr>
      </w:pPr>
    </w:p>
    <w:p>
      <w:pPr>
        <w:ind w:left="720" w:right="60" w:hanging="422"/>
        <w:spacing w:after="0" w:line="226" w:lineRule="auto"/>
        <w:tabs>
          <w:tab w:leader="none" w:pos="7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relation to Lyme disease and malaria, we intend to leverage oral systemic preclinical data from our TP-03 program as well as third-party oral systemic preclinical studies for Lyme disease or community malaria reduction, respectively (and will not conduct our own preclinical studies for Lyme disease and malaria). The formulations used in preclinical studies use the common approach of a gavage that is scaled as appropriate for use in animals. However, human administration, while continuing to be oral, will take the form of a tablet or capsule. Subject to FDA feedback from our planned pre-IND meeting, we intend to conduct Phase 1/2 trials in these indications based on these preclinical studies. In relation to malaria, we may conduct our Phase 1/2 trial outside the United States. While we plan to discuss this approach for Lyme disease in a planned pre-IND meeting with the FDA, the FDA may reject our use of data from these preclinical studies and require us to conduct additional preclinical studies before advancing to clinical trials, which may delay our expected timelines for approval and increase costs.</w:t>
      </w:r>
    </w:p>
    <w:p>
      <w:pPr>
        <w:spacing w:after="0" w:line="1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Blepharitis: A Significant, Underserved and Underdiagnosed Market</w:t>
      </w:r>
    </w:p>
    <w:p>
      <w:pPr>
        <w:spacing w:after="0" w:line="229" w:lineRule="exact"/>
        <w:rPr>
          <w:sz w:val="20"/>
          <w:szCs w:val="20"/>
          <w:color w:val="auto"/>
        </w:rPr>
      </w:pPr>
    </w:p>
    <w:p>
      <w:pPr>
        <w:ind w:left="300" w:firstLine="852"/>
        <w:spacing w:after="0" w:line="253" w:lineRule="auto"/>
        <w:rPr>
          <w:sz w:val="20"/>
          <w:szCs w:val="20"/>
          <w:color w:val="auto"/>
        </w:rPr>
      </w:pPr>
      <w:r>
        <w:rPr>
          <w:rFonts w:ascii="Times New Roman" w:cs="Times New Roman" w:eastAsia="Times New Roman" w:hAnsi="Times New Roman"/>
          <w:sz w:val="18"/>
          <w:szCs w:val="18"/>
          <w:color w:val="auto"/>
        </w:rPr>
        <w:t>Blepharitis is a common, chronic ophthalmic condition characterized by inflammation of the eyelid margin, redness and ocular irritation. It is also a progressive disease that often manifests with more severe symptoms if left untreated, such as blurring of vision, missing eyelashes, corneal damage and, in extreme cases, blindness. According to published studies, an estimated 20 million patients suffer from blepharitis in the United States, and there is growing recognition within the ophthalmic community about Demodex mites as an underlying cause of blepharitis. Demodex mites are the most common ectoparasite found on humans. Demodex mites potentially cause approximately 45%, or approximately nine million, of blepharitis cases in the United States and we believe that the number of Demodex blepharitis patients in the United States may be higher. In addition, there is growing awareness among eye care professionals, or ECPs, of a specific type of debris found at the base of the eyelashes, known as collarettes, or cylindrical dandruff, which are highly correlated with Demodex infestation. Collarettes are composed of partially digested epithelial cells, mite waste products and eggs among other things and can be easily diagnosed by ECPs with a standard eye examination. Demodex blepharitis increases progressively with aging, which is the main risk factor for the condition. These aging patients commonly present to the offices of ECPs for other ophthalmic conditions besides blepharitis, such as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- 2 -</w:t>
      </w:r>
    </w:p>
    <w:p>
      <w:pPr>
        <w:sectPr>
          <w:pgSz w:w="11900" w:h="16838" w:orient="portrait"/>
          <w:cols w:equalWidth="0" w:num="1">
            <w:col w:w="10940"/>
          </w:cols>
          <w:pgMar w:left="320" w:top="455" w:right="639" w:bottom="1440" w:gutter="0" w:footer="0" w:header="0"/>
        </w:sectPr>
      </w:pPr>
    </w:p>
    <w:bookmarkStart w:id="5" w:name="page6"/>
    <w:bookmarkEnd w:id="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42646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98970" cy="426466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spacing w:after="0" w:line="282" w:lineRule="auto"/>
        <w:rPr>
          <w:sz w:val="20"/>
          <w:szCs w:val="20"/>
          <w:color w:val="auto"/>
        </w:rPr>
      </w:pPr>
      <w:r>
        <w:rPr>
          <w:rFonts w:ascii="Times New Roman" w:cs="Times New Roman" w:eastAsia="Times New Roman" w:hAnsi="Times New Roman"/>
          <w:sz w:val="18"/>
          <w:szCs w:val="18"/>
          <w:color w:val="auto"/>
        </w:rPr>
        <w:t>cataract surgery and contact lens discomfort. Accordingly, we believe that there is significant opportunity to increase the diagnosis rate of Demodex blepharitis through ECP and patient education that encourages examination of the condition in standard practice.</w:t>
      </w:r>
    </w:p>
    <w:p>
      <w:pPr>
        <w:spacing w:after="0" w:line="162" w:lineRule="exact"/>
        <w:rPr>
          <w:sz w:val="20"/>
          <w:szCs w:val="20"/>
          <w:color w:val="auto"/>
        </w:rPr>
      </w:pPr>
    </w:p>
    <w:p>
      <w:pPr>
        <w:ind w:left="300" w:right="60" w:firstLine="852"/>
        <w:spacing w:after="0" w:line="255" w:lineRule="auto"/>
        <w:rPr>
          <w:sz w:val="20"/>
          <w:szCs w:val="20"/>
          <w:color w:val="auto"/>
        </w:rPr>
      </w:pPr>
      <w:r>
        <w:rPr>
          <w:rFonts w:ascii="Times New Roman" w:cs="Times New Roman" w:eastAsia="Times New Roman" w:hAnsi="Times New Roman"/>
          <w:sz w:val="18"/>
          <w:szCs w:val="18"/>
          <w:color w:val="auto"/>
        </w:rPr>
        <w:t>Despite the high prevalence of patients with Demodex blepharitis and growing awareness of the condition amongst ECPs, there are no FDA-approved therapeutics for the treatment of blepharitis or for Demodex blepharitis. Although we believe blepharitis and Demodex blepharitis are significantly underdiagnosed conditions, with limited treatment alternatives, there are already an estimated 2.1 million annual blepharitis diagnoses in the United States, with blepharitis classified per the International Classification of Diseases, Tenth Revision, Clinical Modification, or ICD-10-CM. Demodex blepharitis is currently treated with a variety of over the counter remedies such as tea tree oil, lid wipes and artificial tears, as well as off-label prescription products, which often show sub-optimal efficacy, are poorly tolerated and lead to significant irritation and dissatisfaction for patients, and do not eradicate the Demodex mites.</w:t>
      </w:r>
    </w:p>
    <w:p>
      <w:pPr>
        <w:spacing w:after="0" w:line="189" w:lineRule="exact"/>
        <w:rPr>
          <w:sz w:val="20"/>
          <w:szCs w:val="20"/>
          <w:color w:val="auto"/>
        </w:rPr>
      </w:pPr>
    </w:p>
    <w:p>
      <w:pPr>
        <w:ind w:left="300" w:right="20" w:firstLine="852"/>
        <w:spacing w:after="0" w:line="258" w:lineRule="auto"/>
        <w:rPr>
          <w:sz w:val="20"/>
          <w:szCs w:val="20"/>
          <w:color w:val="auto"/>
        </w:rPr>
      </w:pPr>
      <w:r>
        <w:rPr>
          <w:rFonts w:ascii="Times New Roman" w:cs="Times New Roman" w:eastAsia="Times New Roman" w:hAnsi="Times New Roman"/>
          <w:sz w:val="18"/>
          <w:szCs w:val="18"/>
          <w:color w:val="auto"/>
        </w:rPr>
        <w:t>Further, patients continue to have underlying risk of Demodex infestation, so there could be a recurrence based on the presence of Demodex mites in the skin even after eradication of Demodex mites from the eyelid. Our Phase 2 data from the Mars and Jupiter clinical trials followed patients to one year after treatment and showed meaningful recurrence of Demodex blepharitis within six to nine months, which increased considerably one year after treatment. We believe this data suggests TP-03, if approved, may be used on a chronic, intermittent basis in Demodex blepharitis.</w:t>
      </w:r>
    </w:p>
    <w:p>
      <w:pPr>
        <w:spacing w:after="0" w:line="183" w:lineRule="exact"/>
        <w:rPr>
          <w:sz w:val="20"/>
          <w:szCs w:val="20"/>
          <w:color w:val="auto"/>
        </w:rPr>
      </w:pPr>
    </w:p>
    <w:p>
      <w:pPr>
        <w:ind w:left="300" w:right="80" w:firstLine="852"/>
        <w:spacing w:after="0" w:line="256" w:lineRule="auto"/>
        <w:rPr>
          <w:sz w:val="20"/>
          <w:szCs w:val="20"/>
          <w:color w:val="auto"/>
        </w:rPr>
      </w:pPr>
      <w:r>
        <w:rPr>
          <w:rFonts w:ascii="Times New Roman" w:cs="Times New Roman" w:eastAsia="Times New Roman" w:hAnsi="Times New Roman"/>
          <w:sz w:val="18"/>
          <w:szCs w:val="18"/>
          <w:color w:val="auto"/>
        </w:rPr>
        <w:t>We have conducted market research studies that, although based on a small sample size and conducted internally, lead us to believe the blepharitis market has the potential to be analogous to other ophthalmic markets that grew significantly once there was a product to address the large, latent demand for an effective therapy, such as dry eye. Blepharitis already has 2.1 million diagnoses per year with blepharitis classified per the ICD-10-CM, despite no approved therapies to help with market awareness, but we believe there is potential for significant market expansion. We believe there is a significant opportunity to increase the diagnosis rate of Demodex blepharitis and build a significant new market with the approval of a safe and effective therapeutic alternative that addresses the underlying cause of the condition.</w:t>
      </w:r>
    </w:p>
    <w:p>
      <w:pPr>
        <w:spacing w:after="0" w:line="18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Our Approach: TP-03</w:t>
      </w:r>
    </w:p>
    <w:p>
      <w:pPr>
        <w:spacing w:after="0" w:line="229" w:lineRule="exact"/>
        <w:rPr>
          <w:sz w:val="20"/>
          <w:szCs w:val="20"/>
          <w:color w:val="auto"/>
        </w:rPr>
      </w:pPr>
    </w:p>
    <w:p>
      <w:pPr>
        <w:ind w:left="300" w:right="220" w:firstLine="852"/>
        <w:spacing w:after="0" w:line="266" w:lineRule="auto"/>
        <w:rPr>
          <w:sz w:val="20"/>
          <w:szCs w:val="20"/>
          <w:color w:val="auto"/>
        </w:rPr>
      </w:pPr>
      <w:r>
        <w:rPr>
          <w:rFonts w:ascii="Times New Roman" w:cs="Times New Roman" w:eastAsia="Times New Roman" w:hAnsi="Times New Roman"/>
          <w:sz w:val="18"/>
          <w:szCs w:val="18"/>
          <w:color w:val="auto"/>
        </w:rPr>
        <w:t>We are developing TP-03, formulated as an eye drop, which we believe, if approved, has the potential to become the standard of care for Demodex blepharitis. TP-03 is a novel therapeutic based on the drug, lotilaner, which is designed to paralyze and eradicate mites and other parasites through the inhibition of parasite-specific GABA-Cl channels.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- 3 -</w:t>
      </w:r>
    </w:p>
    <w:p>
      <w:pPr>
        <w:sectPr>
          <w:pgSz w:w="11900" w:h="16838" w:orient="portrait"/>
          <w:cols w:equalWidth="0" w:num="1">
            <w:col w:w="10940"/>
          </w:cols>
          <w:pgMar w:left="320" w:top="455" w:right="639" w:bottom="1440" w:gutter="0" w:footer="0" w:header="0"/>
        </w:sectPr>
      </w:pPr>
    </w:p>
    <w:bookmarkStart w:id="6" w:name="page7"/>
    <w:bookmarkEnd w:id="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9448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98970" cy="594487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The following figure provides the characteristics of TP-03 in the Saturn-1 Phase 2b/3 clinical trial: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300" w:firstLine="852"/>
        <w:spacing w:after="0" w:line="252" w:lineRule="auto"/>
        <w:rPr>
          <w:sz w:val="20"/>
          <w:szCs w:val="20"/>
          <w:color w:val="auto"/>
        </w:rPr>
      </w:pPr>
      <w:r>
        <w:rPr>
          <w:rFonts w:ascii="Times New Roman" w:cs="Times New Roman" w:eastAsia="Times New Roman" w:hAnsi="Times New Roman"/>
          <w:sz w:val="18"/>
          <w:szCs w:val="18"/>
          <w:color w:val="auto"/>
        </w:rPr>
        <w:t xml:space="preserve">We have completed four Phase 2 clinical trials to date, along with one additional </w:t>
      </w:r>
      <w:r>
        <w:rPr>
          <w:rFonts w:ascii="Times New Roman" w:cs="Times New Roman" w:eastAsia="Times New Roman" w:hAnsi="Times New Roman"/>
          <w:sz w:val="18"/>
          <w:szCs w:val="18"/>
          <w:i w:val="1"/>
          <w:iCs w:val="1"/>
          <w:color w:val="auto"/>
        </w:rPr>
        <w:t>ex vivo</w:t>
      </w:r>
      <w:r>
        <w:rPr>
          <w:rFonts w:ascii="Times New Roman" w:cs="Times New Roman" w:eastAsia="Times New Roman" w:hAnsi="Times New Roman"/>
          <w:sz w:val="18"/>
          <w:szCs w:val="18"/>
          <w:color w:val="auto"/>
        </w:rPr>
        <w:t xml:space="preserve"> study. Key efficacy endpoints for our Mars and Jupiter clinical trials included collarette grade and mite density and key efficacy endpoints for our Io and Europa clinical trials included collarette cure rate based on collarette grade, which we refer to herein as collarette cure rate, and mite eradication rate. TP-03 met its primary, secondary and/or exploratory endpoints, as applicable, in such trials. TP-03 was generally well tolerated throughout these trials. The Phase 2a Mars trial was a smaller single arm trial evaluating the safety and efficacy of TP-03 with a 28-day twice per day, or BID, dosing regimen, with exploratory endpoints including collarette grade and mite density. We utilized the data from the exploratory endpoints to determine collarette cure rate, defined as 10 or fewer collarettes, and mite eradication rate, defined as zero mites per lash. Both collarette cure and mite eradication rates were assessed at 28 days, which were 86% and 57%, respectively. The Phase 2b Jupiter trial was a larger randomized, controlled double-blind trial with mite density and collarette grade as primary and secondary endpoints, respectively. Similarly to the Mars trial, we utilized the collarette grade and mite density data to determine collarette cure and mite eradication rates, which were both defined consistently with those used in the Mars trial. The efficacy observed in the Jupiter trial appeared consistent with the Mars trial, with a collarette cure rate of 88%, and mite eradication rate of 66%. We subsequently conducted the Io Phase 2a and Europa Phase 2b trials to evaluate the safety and efficacy of TP-03 formulation for the treatment of Demodex blepharitis. The design of the Io trial took into account feedback from the FDA, and accordingly we defined collarette cure rate as a more stringent standard of two or fewer collarettes on the eyelid, with a treatment duration of 42 days. In the Io trial, we utilized for the first time in clinical trials the formulation of TP-03 that is expected to support our NDA submission for Demodex blepharitis. The change in formulation consisted of replacing laurolkonium chloride, or LAK, with sorbate as the preservative as well as adding a chelating agent. The key differences between the Io and Europa trials, were that Io was a smaller single-arm trial, while Europa was a slightly larger randomized vehicle-controlled trial. The endpoints achieved in Io and Europa were consistent across both trials, with a collarette cure rate of 72% and 80%, respectively, and a mite eradication rate of 78% and 73%, respectively. The achievement of primary, secondary and/or exploratory endpoints, as applicable, in such trials, and safety results across our comprehensive Phase 2 program provided us with the basis to design and initiate our pivotal Phase 2b/3 and Phase 3 clinical trials for TP-03 for the treatment of Demodex blepharitis.</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- 4 -</w:t>
      </w:r>
    </w:p>
    <w:p>
      <w:pPr>
        <w:sectPr>
          <w:pgSz w:w="11900" w:h="16838" w:orient="portrait"/>
          <w:cols w:equalWidth="0" w:num="1">
            <w:col w:w="10940"/>
          </w:cols>
          <w:pgMar w:left="320" w:top="455" w:right="639" w:bottom="1440" w:gutter="0" w:footer="0" w:header="0"/>
        </w:sectPr>
      </w:pPr>
    </w:p>
    <w:bookmarkStart w:id="7" w:name="page8"/>
    <w:bookmarkEnd w:id="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7163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98970" cy="671639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The following figure provides a summary of our completed and planned clinical investigations evaluating TP-03 for Demodex</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blepharitis: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ind w:left="720" w:right="80" w:hanging="422"/>
        <w:spacing w:after="0" w:line="229" w:lineRule="auto"/>
        <w:tabs>
          <w:tab w:leader="none" w:pos="7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Mars and Jupiter trials used collarette grade as an endpoint, which has been translated into a collarette cure (defined as £10 collarettes). This is different from the collarette cure (defined as £2 collarettes) endpoint used in Io, Europa, Saturn-1 and the planned Saturn-2 trials. The Mars and Jupiter trials also used mite density as an endpoint, which is different from mite eradication. Mite density is translated into mite eradication, which is defined as zero mites per lash consistently throughout trials.</w:t>
      </w:r>
    </w:p>
    <w:p>
      <w:pPr>
        <w:ind w:left="720" w:hanging="422"/>
        <w:spacing w:after="0" w:line="222" w:lineRule="auto"/>
        <w:tabs>
          <w:tab w:leader="none" w:pos="7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Primary endpoint in Io, Europa, Saturn-1 and intended in Saturn-2 is collarette cure based on collarette grade.</w:t>
      </w:r>
    </w:p>
    <w:p>
      <w:pPr>
        <w:ind w:left="720" w:hanging="422"/>
        <w:spacing w:after="0" w:line="221" w:lineRule="auto"/>
        <w:tabs>
          <w:tab w:leader="none" w:pos="7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connection with our IND application, a no-objection letter was received from the FDA regarding the trial design of the Saturn-1 trial.</w:t>
      </w:r>
    </w:p>
    <w:p>
      <w:pPr>
        <w:spacing w:after="0" w:line="1" w:lineRule="exact"/>
        <w:rPr>
          <w:sz w:val="20"/>
          <w:szCs w:val="20"/>
          <w:color w:val="auto"/>
        </w:rPr>
      </w:pPr>
    </w:p>
    <w:p>
      <w:pPr>
        <w:ind w:left="720" w:right="340" w:hanging="422"/>
        <w:spacing w:after="0" w:line="239" w:lineRule="auto"/>
        <w:tabs>
          <w:tab w:leader="none" w:pos="72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Saturn-2 design is highly comparable to that of Saturn-1 with respect to which the FDA raised no-objection and we expect to update the IND protocol prior to commencing Saturn-2.</w:t>
      </w:r>
    </w:p>
    <w:p>
      <w:pPr>
        <w:spacing w:after="0" w:line="181" w:lineRule="exact"/>
        <w:rPr>
          <w:sz w:val="20"/>
          <w:szCs w:val="20"/>
          <w:color w:val="auto"/>
        </w:rPr>
      </w:pPr>
    </w:p>
    <w:p>
      <w:pPr>
        <w:ind w:left="300" w:firstLine="852"/>
        <w:spacing w:after="0" w:line="254" w:lineRule="auto"/>
        <w:rPr>
          <w:sz w:val="20"/>
          <w:szCs w:val="20"/>
          <w:color w:val="auto"/>
        </w:rPr>
      </w:pPr>
      <w:r>
        <w:rPr>
          <w:rFonts w:ascii="Times New Roman" w:cs="Times New Roman" w:eastAsia="Times New Roman" w:hAnsi="Times New Roman"/>
          <w:sz w:val="18"/>
          <w:szCs w:val="18"/>
          <w:color w:val="auto"/>
        </w:rPr>
        <w:t>We plan to evaluate TP-03 in two pivotal registration trials, referred to as Saturn-1 and Saturn-2. Saturn-1 is a Phase 2b/3, randomized, controlled, double-blind trial to evaluate the safety and efficacy of TP-03 that is expected to enroll at least 350 Demodex blepharitis patients in multiple centers in the United States. We commenced Saturn-1 in September 2020 and top-line data is expected in 2021, subject to the impact of the ongoing COVID-19 pandemic. Saturn-2, our confirmatory Phase 3 randomized, controlled, double-blind trial, has a highly comparable design to that of Saturn-1 and is also expected to enroll approximately 350 Demodex blepharitis patients. Enrollment of Saturn-2 is expected to begin in 2021, subject to the impact of the ongoing COVID-19 pandemic. In connection with our IND application, we have received a “no-objection” letter from the FDA regarding the trial design for Saturn-1. The trial design for Saturn-2 is highly comparable to that of Saturn-1 and we expect to update the IND protocol prior to commencing Saturn-2. We expect these trials to support the potential submission of an NDA for TP-03 for the treatment of Demodex blepharitis.</w:t>
      </w:r>
    </w:p>
    <w:p>
      <w:pPr>
        <w:spacing w:after="0" w:line="188" w:lineRule="exact"/>
        <w:rPr>
          <w:sz w:val="20"/>
          <w:szCs w:val="20"/>
          <w:color w:val="auto"/>
        </w:rPr>
      </w:pPr>
    </w:p>
    <w:p>
      <w:pPr>
        <w:jc w:val="both"/>
        <w:ind w:left="300" w:right="60" w:firstLine="852"/>
        <w:spacing w:after="0" w:line="266" w:lineRule="auto"/>
        <w:rPr>
          <w:sz w:val="20"/>
          <w:szCs w:val="20"/>
          <w:color w:val="auto"/>
        </w:rPr>
      </w:pPr>
      <w:r>
        <w:rPr>
          <w:rFonts w:ascii="Times New Roman" w:cs="Times New Roman" w:eastAsia="Times New Roman" w:hAnsi="Times New Roman"/>
          <w:sz w:val="18"/>
          <w:szCs w:val="18"/>
          <w:color w:val="auto"/>
        </w:rPr>
        <w:t>We also intend to explore the therapeutic potential of TP-03 for a second ophthalmic condition, MGD, commonly characterized in part by a widespread clogging of the meibomian glands that can result in tear film deficiency, and is one of the leading causes of dry eye disease. There are no FDA-approved therapeutics for</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- 5 -</w:t>
      </w:r>
    </w:p>
    <w:p>
      <w:pPr>
        <w:sectPr>
          <w:pgSz w:w="11900" w:h="16838" w:orient="portrait"/>
          <w:cols w:equalWidth="0" w:num="1">
            <w:col w:w="10920"/>
          </w:cols>
          <w:pgMar w:left="320" w:top="455" w:right="659" w:bottom="1440" w:gutter="0" w:footer="0" w:header="0"/>
        </w:sectPr>
      </w:pPr>
    </w:p>
    <w:bookmarkStart w:id="8" w:name="page9"/>
    <w:bookmarkEnd w:id="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92772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98970" cy="592772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spacing w:after="0" w:line="261" w:lineRule="auto"/>
        <w:rPr>
          <w:sz w:val="20"/>
          <w:szCs w:val="20"/>
          <w:color w:val="auto"/>
        </w:rPr>
      </w:pPr>
      <w:r>
        <w:rPr>
          <w:rFonts w:ascii="Times New Roman" w:cs="Times New Roman" w:eastAsia="Times New Roman" w:hAnsi="Times New Roman"/>
          <w:sz w:val="18"/>
          <w:szCs w:val="18"/>
          <w:color w:val="auto"/>
        </w:rPr>
        <w:t xml:space="preserve">MGD. In the United States, MGD prevalence has been found to be approximately two-thirds of the estimated 34 million dry eye patient population. One species of Demodex mite, </w:t>
      </w:r>
      <w:r>
        <w:rPr>
          <w:rFonts w:ascii="Times New Roman" w:cs="Times New Roman" w:eastAsia="Times New Roman" w:hAnsi="Times New Roman"/>
          <w:sz w:val="18"/>
          <w:szCs w:val="18"/>
          <w:i w:val="1"/>
          <w:iCs w:val="1"/>
          <w:color w:val="auto"/>
        </w:rPr>
        <w:t>Demodex brevis</w:t>
      </w:r>
      <w:r>
        <w:rPr>
          <w:rFonts w:ascii="Times New Roman" w:cs="Times New Roman" w:eastAsia="Times New Roman" w:hAnsi="Times New Roman"/>
          <w:sz w:val="18"/>
          <w:szCs w:val="18"/>
          <w:color w:val="auto"/>
        </w:rPr>
        <w:t xml:space="preserve">, is known to infest the meibomian gland, and clinical signs of MGD have been shown to be correlated with infestation of </w:t>
      </w:r>
      <w:r>
        <w:rPr>
          <w:rFonts w:ascii="Times New Roman" w:cs="Times New Roman" w:eastAsia="Times New Roman" w:hAnsi="Times New Roman"/>
          <w:sz w:val="18"/>
          <w:szCs w:val="18"/>
          <w:i w:val="1"/>
          <w:iCs w:val="1"/>
          <w:color w:val="auto"/>
        </w:rPr>
        <w:t>Demodex brevis</w:t>
      </w:r>
      <w:r>
        <w:rPr>
          <w:rFonts w:ascii="Times New Roman" w:cs="Times New Roman" w:eastAsia="Times New Roman" w:hAnsi="Times New Roman"/>
          <w:sz w:val="18"/>
          <w:szCs w:val="18"/>
          <w:color w:val="auto"/>
        </w:rPr>
        <w:t xml:space="preserve">. While dry eye is a multi-factorial disease, TP-03 is designed to relieve some of the key elements of MGD by virtue of causing the death of the </w:t>
      </w:r>
      <w:r>
        <w:rPr>
          <w:rFonts w:ascii="Times New Roman" w:cs="Times New Roman" w:eastAsia="Times New Roman" w:hAnsi="Times New Roman"/>
          <w:sz w:val="18"/>
          <w:szCs w:val="18"/>
          <w:i w:val="1"/>
          <w:iCs w:val="1"/>
          <w:color w:val="auto"/>
        </w:rPr>
        <w:t>Demodex brevis</w:t>
      </w:r>
      <w:r>
        <w:rPr>
          <w:rFonts w:ascii="Times New Roman" w:cs="Times New Roman" w:eastAsia="Times New Roman" w:hAnsi="Times New Roman"/>
          <w:sz w:val="18"/>
          <w:szCs w:val="18"/>
          <w:color w:val="auto"/>
        </w:rPr>
        <w:t xml:space="preserve"> mites.</w:t>
      </w:r>
    </w:p>
    <w:p>
      <w:pPr>
        <w:spacing w:after="0" w:line="180" w:lineRule="exact"/>
        <w:rPr>
          <w:sz w:val="20"/>
          <w:szCs w:val="20"/>
          <w:color w:val="auto"/>
        </w:rPr>
      </w:pPr>
    </w:p>
    <w:p>
      <w:pPr>
        <w:jc w:val="both"/>
        <w:ind w:left="300" w:right="120" w:firstLine="852"/>
        <w:spacing w:after="0" w:line="266" w:lineRule="auto"/>
        <w:rPr>
          <w:sz w:val="20"/>
          <w:szCs w:val="20"/>
          <w:color w:val="auto"/>
        </w:rPr>
      </w:pPr>
      <w:r>
        <w:rPr>
          <w:rFonts w:ascii="Times New Roman" w:cs="Times New Roman" w:eastAsia="Times New Roman" w:hAnsi="Times New Roman"/>
          <w:sz w:val="18"/>
          <w:szCs w:val="18"/>
          <w:color w:val="auto"/>
        </w:rPr>
        <w:t>Beyond TP-03, we are developing additional clinical-stage product candidates focused on expanding into other therapeutic categories, including dermatology and other diseases with high, unmet needs. These include TP-04 for the potential treatment of rosacea as well as TP-05 for potential Lyme prophylaxis and community malaria reduction.</w:t>
      </w:r>
    </w:p>
    <w:p>
      <w:pPr>
        <w:spacing w:after="0" w:line="176" w:lineRule="exact"/>
        <w:rPr>
          <w:sz w:val="20"/>
          <w:szCs w:val="20"/>
          <w:color w:val="auto"/>
        </w:rPr>
      </w:pPr>
    </w:p>
    <w:p>
      <w:pPr>
        <w:ind w:left="300" w:right="80" w:firstLine="852"/>
        <w:spacing w:after="0" w:line="258" w:lineRule="auto"/>
        <w:rPr>
          <w:sz w:val="20"/>
          <w:szCs w:val="20"/>
          <w:color w:val="auto"/>
        </w:rPr>
      </w:pPr>
      <w:r>
        <w:rPr>
          <w:rFonts w:ascii="Times New Roman" w:cs="Times New Roman" w:eastAsia="Times New Roman" w:hAnsi="Times New Roman"/>
          <w:sz w:val="18"/>
          <w:szCs w:val="18"/>
          <w:color w:val="auto"/>
        </w:rPr>
        <w:t>Rosacea is a chronic skin disease characterized by facial redness, inflammatory lesions, burning and stinging, which can flare up in response to certain triggers such as sun exposure or emotional stress. According to the U.S. National Rosacea Society, approximately 16 million people in the United States are affected by rosacea and a study estimates rosacea prevalence can represent up to 5.4% of the global population. We intend to develop TP-04 as a topical formulation, and we plan to initiate a Phase 1/2 trial of TP-04 outside the United States, for the treatment of rosacea in 2021. In anticipation of such trial, we intend to initiate preclinical studies in 2020 to select Phase 1/2 formulation for TP-04.</w:t>
      </w:r>
    </w:p>
    <w:p>
      <w:pPr>
        <w:spacing w:after="0" w:line="183" w:lineRule="exact"/>
        <w:rPr>
          <w:sz w:val="20"/>
          <w:szCs w:val="20"/>
          <w:color w:val="auto"/>
        </w:rPr>
      </w:pPr>
    </w:p>
    <w:p>
      <w:pPr>
        <w:ind w:left="300" w:right="20" w:firstLine="852"/>
        <w:spacing w:after="0" w:line="254" w:lineRule="auto"/>
        <w:rPr>
          <w:sz w:val="20"/>
          <w:szCs w:val="20"/>
          <w:color w:val="auto"/>
        </w:rPr>
      </w:pPr>
      <w:r>
        <w:rPr>
          <w:rFonts w:ascii="Times New Roman" w:cs="Times New Roman" w:eastAsia="Times New Roman" w:hAnsi="Times New Roman"/>
          <w:sz w:val="18"/>
          <w:szCs w:val="18"/>
          <w:color w:val="auto"/>
        </w:rPr>
        <w:t>Lyme disease is the most common vector-borne disease in the United States, caused by infection of Borrelia bacteria following bite by a tick vector. Estimates of annual cases of Lyme disease in the United States range from approximately 300,000 to 400,000. Malaria is one of the world’s highest unmet public health needs, with approximately 228 million cases and more than 400,000 deaths caused by malaria worldwide. We are developing TP-05 as an oral formulation that is designed as a prophylactic drug against Lyme disease to eradicate the tick before it can transmit the Borrelia bacteria. Further, we believe TP-05 also has the potential to significantly reduce malaria transmission through reducing the lifespan of mosquitos that transmit malaria. This may in turn provide herd protection against the spread of malaria. TP-05 is not intended to treat the disease, but to limit its transmission. We plan to obtain FDA feedback in a pre-IND meeting and submit an IND and initiate a Phase 1/2 trial of TP-05 for Lyme disease in 2021. For malaria, we may conduct the Phase 1/2 trial outside of the United States.</w:t>
      </w:r>
    </w:p>
    <w:p>
      <w:pPr>
        <w:spacing w:after="0" w:line="18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Our Team</w:t>
      </w:r>
    </w:p>
    <w:p>
      <w:pPr>
        <w:spacing w:after="0" w:line="229" w:lineRule="exact"/>
        <w:rPr>
          <w:sz w:val="20"/>
          <w:szCs w:val="20"/>
          <w:color w:val="auto"/>
        </w:rPr>
      </w:pPr>
    </w:p>
    <w:p>
      <w:pPr>
        <w:ind w:left="300" w:right="80" w:firstLine="852"/>
        <w:spacing w:after="0" w:line="255" w:lineRule="auto"/>
        <w:rPr>
          <w:sz w:val="20"/>
          <w:szCs w:val="20"/>
          <w:color w:val="auto"/>
        </w:rPr>
      </w:pPr>
      <w:r>
        <w:rPr>
          <w:rFonts w:ascii="Times New Roman" w:cs="Times New Roman" w:eastAsia="Times New Roman" w:hAnsi="Times New Roman"/>
          <w:sz w:val="18"/>
          <w:szCs w:val="18"/>
          <w:color w:val="auto"/>
        </w:rPr>
        <w:t>We have assembled a team with extensive experience developing and commercializing leading ophthalmic products and therapies. Members of our management team and board of directors have founded and led several biopharmaceutical companies including those in the ophthalmic care space, such as Oyster Point Pharma, Inc., or Oyster Point Pharma (NASDAQ: OYST), and Oculeve Inc., or Oculeve, and have been pivotal in the development and commercialization of various leading ophthalmic products, including the dry eye therapy, Restasis. We intend to leverage this expertise and experience to rapidly pursue the development of TP-03 and any other future product candidates that we may identify and develop. We are supported by healthcare dedicated financial investors, which include Aperture Venture Partners, Flying L Ventures, Horowitz Limited Partnership, Frazier Life Sciences, Visionary Ventures and Vivo Capital.</w:t>
      </w:r>
    </w:p>
    <w:p>
      <w:pPr>
        <w:spacing w:after="0" w:line="18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Our Strengths and Differentiation</w:t>
      </w:r>
    </w:p>
    <w:p>
      <w:pPr>
        <w:spacing w:after="0" w:line="22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We believe our company and our product candidates have the following key distinguishing characteristics:</w:t>
      </w:r>
    </w:p>
    <w:p>
      <w:pPr>
        <w:spacing w:after="0" w:line="248" w:lineRule="exact"/>
        <w:rPr>
          <w:sz w:val="20"/>
          <w:szCs w:val="20"/>
          <w:color w:val="auto"/>
        </w:rPr>
      </w:pPr>
    </w:p>
    <w:p>
      <w:pPr>
        <w:ind w:left="1540" w:right="220" w:hanging="297"/>
        <w:spacing w:after="0" w:line="268" w:lineRule="auto"/>
        <w:tabs>
          <w:tab w:leader="none" w:pos="15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TP-03 is currently in Phase 2b/3 and has met various endpoints for efficacy in Phase 2 trials. </w:t>
      </w:r>
      <w:r>
        <w:rPr>
          <w:rFonts w:ascii="Times New Roman" w:cs="Times New Roman" w:eastAsia="Times New Roman" w:hAnsi="Times New Roman"/>
          <w:sz w:val="18"/>
          <w:szCs w:val="18"/>
          <w:color w:val="auto"/>
        </w:rPr>
        <w:t>We have observed TP-03’s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clinical results across our four Phase 2 clinical trials – Mars, Jupiter, Io and Europa – in which treatment with TP-03 resulted in the achievement of primary, secondary and/</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6" w:lineRule="exact"/>
        <w:rPr>
          <w:rFonts w:ascii="Times New Roman" w:cs="Times New Roman" w:eastAsia="Times New Roman" w:hAnsi="Times New Roman"/>
          <w:sz w:val="18"/>
          <w:szCs w:val="18"/>
          <w:color w:val="auto"/>
        </w:rPr>
      </w:pPr>
    </w:p>
    <w:p>
      <w:pPr>
        <w:ind w:left="5580" w:hanging="106"/>
        <w:spacing w:after="0"/>
        <w:tabs>
          <w:tab w:leader="none" w:pos="558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6 -</w:t>
      </w:r>
    </w:p>
    <w:p>
      <w:pPr>
        <w:sectPr>
          <w:pgSz w:w="11900" w:h="16838" w:orient="portrait"/>
          <w:cols w:equalWidth="0" w:num="1">
            <w:col w:w="10920"/>
          </w:cols>
          <w:pgMar w:left="320" w:top="455" w:right="659" w:bottom="1440" w:gutter="0" w:footer="0" w:header="0"/>
        </w:sectPr>
      </w:pPr>
    </w:p>
    <w:bookmarkStart w:id="9" w:name="page10"/>
    <w:bookmarkEnd w:id="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5676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98970" cy="556768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560" w:right="40"/>
        <w:spacing w:after="0" w:line="253" w:lineRule="auto"/>
        <w:rPr>
          <w:sz w:val="20"/>
          <w:szCs w:val="20"/>
          <w:color w:val="auto"/>
        </w:rPr>
      </w:pPr>
      <w:r>
        <w:rPr>
          <w:rFonts w:ascii="Times New Roman" w:cs="Times New Roman" w:eastAsia="Times New Roman" w:hAnsi="Times New Roman"/>
          <w:sz w:val="18"/>
          <w:szCs w:val="18"/>
          <w:color w:val="auto"/>
        </w:rPr>
        <w:t>or exploratory endpoints, as applicable, in such trials, and we observed that TP-03 was well tolerated. Our Phase 2b/3 trial, Saturn-1, and our Phase 3 trial, Saturn-2, are utilizing or are expected to utilize trial designs that are comparable in many respects to those of the Phase 2 Io and Europa trials. The trial designs for Saturn-1 and Saturn-2 are, however, expected to be more stringent than those for Io and Europa. Saturn-1 is expected to enroll at least 350 patients and Saturn-2 is expected to enroll approximately 350 patients, which is substantially more patients compared to a maximum of 54 patients in the Europa trial, have a longer safety protocol (Saturn-1 only, which will follow subjects to safety for one year as opposed to 42 days) and enroll patients in multiple locations in the United States (as opposed to one location in Mexico). In connection with our IND application, we have received a “no-objection” letter from the FDA regarding the trial design for Saturn-1. The trial design for Saturn-2 is highly comparable to that of Saturn-1 and we expect to update the IND protocol prior to commencing Saturn-2. We commenced Saturn-1 in September 2020.</w:t>
      </w:r>
    </w:p>
    <w:p>
      <w:pPr>
        <w:spacing w:after="0" w:line="217" w:lineRule="exact"/>
        <w:rPr>
          <w:sz w:val="20"/>
          <w:szCs w:val="20"/>
          <w:color w:val="auto"/>
        </w:rPr>
      </w:pPr>
    </w:p>
    <w:p>
      <w:pPr>
        <w:ind w:left="1540" w:hanging="297"/>
        <w:spacing w:after="0" w:line="255" w:lineRule="auto"/>
        <w:tabs>
          <w:tab w:leader="none" w:pos="15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Large, underserved and underdiagnosed blepharitis market with a significant opportunity for growth. </w:t>
      </w:r>
      <w:r>
        <w:rPr>
          <w:rFonts w:ascii="Times New Roman" w:cs="Times New Roman" w:eastAsia="Times New Roman" w:hAnsi="Times New Roman"/>
          <w:sz w:val="18"/>
          <w:szCs w:val="18"/>
          <w:color w:val="auto"/>
        </w:rPr>
        <w:t>Although we believe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blepharitis and Demodex blepharitis are significantly underdiagnosed conditions, with limited treatment alternatives, there are already an estimated 2.1 million annual blepharitis diagnoses in the United States with blepharitis classified per ICD-10-CM. However, we believe the market opportunity may be substantially larger. According to published studies, there are an estimated 20 million patients in the United States that suffer from blepharitis with approximately 45%, or approximately nine million, of cases caused by Demodex infestation and we believe the number of Demodex blepharitis cases may be higher. We believe the blepharitis market may be analogous to other ophthalmic markets where diagnoses grew significantly once there was a product to address the large, latent demand for an effective therapy.</w:t>
      </w:r>
    </w:p>
    <w:p>
      <w:pPr>
        <w:spacing w:after="0" w:line="211" w:lineRule="exact"/>
        <w:rPr>
          <w:rFonts w:ascii="Times New Roman" w:cs="Times New Roman" w:eastAsia="Times New Roman" w:hAnsi="Times New Roman"/>
          <w:sz w:val="18"/>
          <w:szCs w:val="18"/>
          <w:color w:val="auto"/>
        </w:rPr>
      </w:pPr>
    </w:p>
    <w:p>
      <w:pPr>
        <w:ind w:left="1540" w:right="100" w:hanging="297"/>
        <w:spacing w:after="0" w:line="262" w:lineRule="auto"/>
        <w:tabs>
          <w:tab w:leader="none" w:pos="15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Novel chemistry developed for the first time in human medicine. </w:t>
      </w:r>
      <w:r>
        <w:rPr>
          <w:rFonts w:ascii="Times New Roman" w:cs="Times New Roman" w:eastAsia="Times New Roman" w:hAnsi="Times New Roman"/>
          <w:sz w:val="18"/>
          <w:szCs w:val="18"/>
          <w:color w:val="auto"/>
        </w:rPr>
        <w:t>Our current therapeutic strategy is focused on the clinical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development of, for the first time in human medicine, the novel drug, lotilaner, which is designed to paralyze and eradicate mites and other parasites through the inhibition of parasite-specific GABA-Cl channels. Our pipeline aims to address a number of diseases across therapeutic categories including eye care, dermatology and other diseases with high, unmet needs.</w:t>
      </w:r>
    </w:p>
    <w:p>
      <w:pPr>
        <w:spacing w:after="0" w:line="203" w:lineRule="exact"/>
        <w:rPr>
          <w:rFonts w:ascii="Times New Roman" w:cs="Times New Roman" w:eastAsia="Times New Roman" w:hAnsi="Times New Roman"/>
          <w:sz w:val="18"/>
          <w:szCs w:val="18"/>
          <w:color w:val="auto"/>
        </w:rPr>
      </w:pPr>
    </w:p>
    <w:p>
      <w:pPr>
        <w:ind w:left="1540" w:right="200" w:hanging="297"/>
        <w:spacing w:after="0" w:line="256" w:lineRule="auto"/>
        <w:tabs>
          <w:tab w:leader="none" w:pos="15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Additional opportunities beyond Demodex blepharitis. </w:t>
      </w:r>
      <w:r>
        <w:rPr>
          <w:rFonts w:ascii="Times New Roman" w:cs="Times New Roman" w:eastAsia="Times New Roman" w:hAnsi="Times New Roman"/>
          <w:sz w:val="18"/>
          <w:szCs w:val="18"/>
          <w:color w:val="auto"/>
        </w:rPr>
        <w:t>Like blepharitis, MGD may also be caused by Demodex infestation,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we intend to explore the therapeutic potential for TP-03 in this indication. In the United States, MGD prevalence has been found to be approximately two-thirds of that of the estimated 34 million dry eye patient population. Further, we are developing TP-04 for the potential treatment of rosacea, a condition that affects approximately 16 million patients per year in the United States and TP-05 for potential prophylaxis of Lyme and community malaria reduction. Annual estimates of Lyme disease in the United States range from approximately 300,000 to 400,000. Malaria is one of the world’s highest unmet public health needs, with approximately 228 million cases and more than 400,000 deaths due to malaria globally in 2018 alone.</w:t>
      </w:r>
    </w:p>
    <w:p>
      <w:pPr>
        <w:spacing w:after="0" w:line="209" w:lineRule="exact"/>
        <w:rPr>
          <w:rFonts w:ascii="Times New Roman" w:cs="Times New Roman" w:eastAsia="Times New Roman" w:hAnsi="Times New Roman"/>
          <w:sz w:val="18"/>
          <w:szCs w:val="18"/>
          <w:color w:val="auto"/>
        </w:rPr>
      </w:pPr>
    </w:p>
    <w:p>
      <w:pPr>
        <w:ind w:left="1540" w:right="100" w:hanging="297"/>
        <w:spacing w:after="0" w:line="259" w:lineRule="auto"/>
        <w:tabs>
          <w:tab w:leader="none" w:pos="15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Experienced management team and board of directors supported by high quality investor base. </w:t>
      </w:r>
      <w:r>
        <w:rPr>
          <w:rFonts w:ascii="Times New Roman" w:cs="Times New Roman" w:eastAsia="Times New Roman" w:hAnsi="Times New Roman"/>
          <w:sz w:val="18"/>
          <w:szCs w:val="18"/>
          <w:color w:val="auto"/>
        </w:rPr>
        <w:t>We have built a leadership</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team with significant experience in developing and commercializing therapeutic products for ophthalmic conditions. Our management team and board of directors have founded and led several companies in the ophthalmic care space, including Oyster Point Pharma and Oculeve, and have been pivotal in the development and commercialization of various leading ophthalmic products, including the dry eye therapy, Restasis.</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15" w:lineRule="exact"/>
        <w:rPr>
          <w:rFonts w:ascii="Times New Roman" w:cs="Times New Roman" w:eastAsia="Times New Roman" w:hAnsi="Times New Roman"/>
          <w:sz w:val="18"/>
          <w:szCs w:val="18"/>
          <w:color w:val="auto"/>
        </w:rPr>
      </w:pPr>
    </w:p>
    <w:p>
      <w:pPr>
        <w:ind w:left="5580" w:hanging="106"/>
        <w:spacing w:after="0"/>
        <w:tabs>
          <w:tab w:leader="none" w:pos="558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7 -</w:t>
      </w:r>
    </w:p>
    <w:p>
      <w:pPr>
        <w:sectPr>
          <w:pgSz w:w="11900" w:h="16838" w:orient="portrait"/>
          <w:cols w:equalWidth="0" w:num="1">
            <w:col w:w="10920"/>
          </w:cols>
          <w:pgMar w:left="320" w:top="455" w:right="659" w:bottom="1440" w:gutter="0" w:footer="0" w:header="0"/>
        </w:sectPr>
      </w:pPr>
    </w:p>
    <w:bookmarkStart w:id="10" w:name="page11"/>
    <w:bookmarkEnd w:id="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4249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98970" cy="642493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Our Strategy</w:t>
      </w:r>
    </w:p>
    <w:p>
      <w:pPr>
        <w:spacing w:after="0" w:line="229" w:lineRule="exact"/>
        <w:rPr>
          <w:sz w:val="20"/>
          <w:szCs w:val="20"/>
          <w:color w:val="auto"/>
        </w:rPr>
      </w:pPr>
    </w:p>
    <w:p>
      <w:pPr>
        <w:ind w:left="300" w:right="300" w:firstLine="852"/>
        <w:spacing w:after="0" w:line="266" w:lineRule="auto"/>
        <w:rPr>
          <w:sz w:val="20"/>
          <w:szCs w:val="20"/>
          <w:color w:val="auto"/>
        </w:rPr>
      </w:pPr>
      <w:r>
        <w:rPr>
          <w:rFonts w:ascii="Times New Roman" w:cs="Times New Roman" w:eastAsia="Times New Roman" w:hAnsi="Times New Roman"/>
          <w:sz w:val="18"/>
          <w:szCs w:val="18"/>
          <w:color w:val="auto"/>
        </w:rPr>
        <w:t>Our goal is to transform the treatment of Demodex blepharitis with a first ever FDA approved pharmaceutical therapeutic, and to develop our pipeline of innovative therapies that target certain parasite-mediated diseases with large market opportunities. We intend to achieve these goals by pursuing the following key strategic objectives:</w:t>
      </w:r>
    </w:p>
    <w:p>
      <w:pPr>
        <w:spacing w:after="0" w:line="199" w:lineRule="exact"/>
        <w:rPr>
          <w:sz w:val="20"/>
          <w:szCs w:val="20"/>
          <w:color w:val="auto"/>
        </w:rPr>
      </w:pPr>
    </w:p>
    <w:p>
      <w:pPr>
        <w:ind w:left="1540" w:right="40" w:hanging="297"/>
        <w:spacing w:after="0" w:line="257" w:lineRule="auto"/>
        <w:tabs>
          <w:tab w:leader="none" w:pos="15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Advance TP-03 through clinical development and eventual approval for the treatment of Demodex blepharitis. </w:t>
      </w:r>
      <w:r>
        <w:rPr>
          <w:rFonts w:ascii="Times New Roman" w:cs="Times New Roman" w:eastAsia="Times New Roman" w:hAnsi="Times New Roman"/>
          <w:sz w:val="18"/>
          <w:szCs w:val="18"/>
          <w:color w:val="auto"/>
        </w:rPr>
        <w:t>We have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observed in multiple Phase 2 trials across 147 patients that TP-03 results in the achievement of clinical endpoints, which are generally the same clinical endpoints that will be utilized in our pivotal Phase 2b/3 and Phase 3 trials. We have commenced our first pivotal trial, Saturn-1, a Phase 2b/3 trial, in September 2020, and we expect top-line data in 2021, subject to the impact of the ongoing COVID-19 pandemic. Enrollment of our second pivotal trial, Saturn-2, which will be a Phase 3 trial, is expected to begin in 2021, subject to the impact of the ongoing COVID-19 pandemic.</w:t>
      </w:r>
    </w:p>
    <w:p>
      <w:pPr>
        <w:spacing w:after="0" w:line="209" w:lineRule="exact"/>
        <w:rPr>
          <w:rFonts w:ascii="Times New Roman" w:cs="Times New Roman" w:eastAsia="Times New Roman" w:hAnsi="Times New Roman"/>
          <w:sz w:val="18"/>
          <w:szCs w:val="18"/>
          <w:color w:val="auto"/>
        </w:rPr>
      </w:pPr>
    </w:p>
    <w:p>
      <w:pPr>
        <w:ind w:left="1540" w:hanging="297"/>
        <w:spacing w:after="0" w:line="262" w:lineRule="auto"/>
        <w:tabs>
          <w:tab w:leader="none" w:pos="15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Educate ECPs and establish our own specialty sales organization to commercialize TP-03 in the United States. </w:t>
      </w:r>
      <w:r>
        <w:rPr>
          <w:rFonts w:ascii="Times New Roman" w:cs="Times New Roman" w:eastAsia="Times New Roman" w:hAnsi="Times New Roman"/>
          <w:sz w:val="18"/>
          <w:szCs w:val="18"/>
          <w:color w:val="auto"/>
        </w:rPr>
        <w:t>If approved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the FDA for Demodex blepharitis, we intend to commercialize TP-03 by developing our own sales organization targeting a subset of the approximately 25,000 prescribing ECPs in the United States. Throughout our commercialization efforts, we intend to educate ECPs on Demodex blepharitis and how to diagnose it with a standard eye examination.</w:t>
      </w:r>
    </w:p>
    <w:p>
      <w:pPr>
        <w:spacing w:after="0" w:line="203" w:lineRule="exact"/>
        <w:rPr>
          <w:rFonts w:ascii="Times New Roman" w:cs="Times New Roman" w:eastAsia="Times New Roman" w:hAnsi="Times New Roman"/>
          <w:sz w:val="18"/>
          <w:szCs w:val="18"/>
          <w:color w:val="auto"/>
        </w:rPr>
      </w:pPr>
    </w:p>
    <w:p>
      <w:pPr>
        <w:ind w:left="1540" w:right="340" w:hanging="297"/>
        <w:spacing w:after="0" w:line="286" w:lineRule="auto"/>
        <w:tabs>
          <w:tab w:leader="none" w:pos="15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Expand the label of TP-03 for other indications, including MGD. </w:t>
      </w:r>
      <w:r>
        <w:rPr>
          <w:rFonts w:ascii="Times New Roman" w:cs="Times New Roman" w:eastAsia="Times New Roman" w:hAnsi="Times New Roman"/>
          <w:sz w:val="18"/>
          <w:szCs w:val="18"/>
          <w:color w:val="auto"/>
        </w:rPr>
        <w:t>Like blepharitis, MGD may also be caused by Demodex</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infestation, and we intend to explore the clinical potential for TP-03 in the indication.</w:t>
      </w:r>
    </w:p>
    <w:p>
      <w:pPr>
        <w:spacing w:after="0" w:line="181" w:lineRule="exact"/>
        <w:rPr>
          <w:rFonts w:ascii="Times New Roman" w:cs="Times New Roman" w:eastAsia="Times New Roman" w:hAnsi="Times New Roman"/>
          <w:sz w:val="18"/>
          <w:szCs w:val="18"/>
          <w:color w:val="auto"/>
        </w:rPr>
      </w:pPr>
    </w:p>
    <w:p>
      <w:pPr>
        <w:ind w:left="1540" w:right="60" w:hanging="297"/>
        <w:spacing w:after="0" w:line="256" w:lineRule="auto"/>
        <w:tabs>
          <w:tab w:leader="none" w:pos="15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Develop our pipeline, bringing novel products utilizing lotilaner to unmet needs across human medicine, including rosacea, Lyme disease and malaria</w:t>
      </w:r>
      <w:r>
        <w:rPr>
          <w:rFonts w:ascii="Times New Roman" w:cs="Times New Roman" w:eastAsia="Times New Roman" w:hAnsi="Times New Roman"/>
          <w:sz w:val="18"/>
          <w:szCs w:val="18"/>
          <w:color w:val="auto"/>
        </w:rPr>
        <w:t>. We plan to expand our pipeline of novel, differentiated product candidates that target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parasites to treat or prevent important diseases. The mechanism of lotilaner coupled with our insights into disease where it can demonstrate clinical benefit, provides an opportunity to expand into new indications for treatment or prevention. By utilizing new formulations of lotilaner, we intend to develop a topical formulation designed to treat rosacea, and oral formulations for the prophylaxis of Lyme and community malaria reduction. We intend to expand into Phase 1/2 clinical trials for these indications in 2021.</w:t>
      </w:r>
    </w:p>
    <w:p>
      <w:pPr>
        <w:spacing w:after="0" w:line="209" w:lineRule="exact"/>
        <w:rPr>
          <w:rFonts w:ascii="Times New Roman" w:cs="Times New Roman" w:eastAsia="Times New Roman" w:hAnsi="Times New Roman"/>
          <w:sz w:val="18"/>
          <w:szCs w:val="18"/>
          <w:color w:val="auto"/>
        </w:rPr>
      </w:pPr>
    </w:p>
    <w:p>
      <w:pPr>
        <w:ind w:left="1540" w:right="180" w:hanging="297"/>
        <w:spacing w:after="0" w:line="256" w:lineRule="auto"/>
        <w:tabs>
          <w:tab w:leader="none" w:pos="15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Evaluate and selectively enter into strategic collaborations to maximize the potential of our pipeline and the scope of our eye care product offerings. </w:t>
      </w:r>
      <w:r>
        <w:rPr>
          <w:rFonts w:ascii="Times New Roman" w:cs="Times New Roman" w:eastAsia="Times New Roman" w:hAnsi="Times New Roman"/>
          <w:sz w:val="18"/>
          <w:szCs w:val="18"/>
          <w:color w:val="auto"/>
        </w:rPr>
        <w:t>We have retained our rights globally to all of our indications for use in humans, including, our lead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product candidate, TP-03, for the potential treatment of Demodex blepharitis and MGD, TP-04 for the potential treatment of rosacea and TP-05 for potential prophylaxis of Lyme and community malaria reduction. We are dependent on licenses from Elanco Tiergesundheit AG, or Elanco, for the development and commercialization of these products. Given the potential to treat patients worldwide we may opportunistically enter into strategic collaborations around certain product candidates, disease or geographic regions.</w:t>
      </w:r>
    </w:p>
    <w:p>
      <w:pPr>
        <w:spacing w:after="0" w:line="18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229" w:lineRule="exact"/>
        <w:rPr>
          <w:sz w:val="20"/>
          <w:szCs w:val="20"/>
          <w:color w:val="auto"/>
        </w:rPr>
      </w:pPr>
    </w:p>
    <w:p>
      <w:pPr>
        <w:ind w:left="300" w:right="160" w:firstLine="852"/>
        <w:spacing w:after="0" w:line="282" w:lineRule="auto"/>
        <w:rPr>
          <w:sz w:val="20"/>
          <w:szCs w:val="20"/>
          <w:color w:val="auto"/>
        </w:rPr>
      </w:pPr>
      <w:r>
        <w:rPr>
          <w:rFonts w:ascii="Times New Roman" w:cs="Times New Roman" w:eastAsia="Times New Roman" w:hAnsi="Times New Roman"/>
          <w:sz w:val="18"/>
          <w:szCs w:val="18"/>
          <w:color w:val="auto"/>
        </w:rPr>
        <w:t>Our ability to execute our business strategy is subject to numerous risks, as more fully described in the section entitled “Risk Factors” immediately following this prospectus summary. These risks include, among others:</w:t>
      </w:r>
    </w:p>
    <w:p>
      <w:pPr>
        <w:spacing w:after="0" w:line="185" w:lineRule="exact"/>
        <w:rPr>
          <w:sz w:val="20"/>
          <w:szCs w:val="20"/>
          <w:color w:val="auto"/>
        </w:rPr>
      </w:pPr>
    </w:p>
    <w:p>
      <w:pPr>
        <w:ind w:left="1540" w:right="20" w:hanging="297"/>
        <w:spacing w:after="0" w:line="286" w:lineRule="auto"/>
        <w:tabs>
          <w:tab w:leader="none" w:pos="154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We are a late clinical-stage biopharmaceutical company with limited operating history. We have incurred significant losses and negative cash flows from operations since our inception</w:t>
      </w:r>
    </w:p>
    <w:p>
      <w:pPr>
        <w:spacing w:after="0" w:line="200" w:lineRule="exact"/>
        <w:rPr>
          <w:rFonts w:ascii="Times New Roman" w:cs="Times New Roman" w:eastAsia="Times New Roman" w:hAnsi="Times New Roman"/>
          <w:sz w:val="18"/>
          <w:szCs w:val="18"/>
          <w:b w:val="1"/>
          <w:bCs w:val="1"/>
          <w:color w:val="auto"/>
        </w:rPr>
      </w:pPr>
    </w:p>
    <w:p>
      <w:pPr>
        <w:spacing w:after="0" w:line="390" w:lineRule="exact"/>
        <w:rPr>
          <w:rFonts w:ascii="Times New Roman" w:cs="Times New Roman" w:eastAsia="Times New Roman" w:hAnsi="Times New Roman"/>
          <w:sz w:val="18"/>
          <w:szCs w:val="18"/>
          <w:b w:val="1"/>
          <w:bCs w:val="1"/>
          <w:color w:val="auto"/>
        </w:rPr>
      </w:pPr>
    </w:p>
    <w:p>
      <w:pPr>
        <w:ind w:left="5580" w:hanging="106"/>
        <w:spacing w:after="0"/>
        <w:tabs>
          <w:tab w:leader="none" w:pos="558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8 -</w:t>
      </w:r>
    </w:p>
    <w:p>
      <w:pPr>
        <w:sectPr>
          <w:pgSz w:w="11900" w:h="16838" w:orient="portrait"/>
          <w:cols w:equalWidth="0" w:num="1">
            <w:col w:w="10940"/>
          </w:cols>
          <w:pgMar w:left="320" w:top="455" w:right="639" w:bottom="1440" w:gutter="0" w:footer="0" w:header="0"/>
        </w:sectPr>
      </w:pPr>
    </w:p>
    <w:bookmarkStart w:id="11" w:name="page12"/>
    <w:bookmarkEnd w:id="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94487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98970" cy="594487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and anticipate that we will continue to incur significant expenses and losses for the foreseeable future.</w:t>
      </w:r>
    </w:p>
    <w:p>
      <w:pPr>
        <w:spacing w:after="0" w:line="252" w:lineRule="exact"/>
        <w:rPr>
          <w:sz w:val="20"/>
          <w:szCs w:val="20"/>
          <w:color w:val="auto"/>
        </w:rPr>
      </w:pPr>
    </w:p>
    <w:p>
      <w:pPr>
        <w:ind w:left="1540" w:hanging="297"/>
        <w:spacing w:after="0" w:line="262" w:lineRule="auto"/>
        <w:tabs>
          <w:tab w:leader="none" w:pos="154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Even if this offering is successful, we will need to obtain substantial additional funding to complete the development and any commercialization of our product candidates, if approved. If we are unable to raise this necessary capital when needed, we would be forced to delay, reduce or eliminate our product development programs, commercialization efforts or other operations.</w:t>
      </w:r>
    </w:p>
    <w:p>
      <w:pPr>
        <w:spacing w:after="0" w:line="203" w:lineRule="exact"/>
        <w:rPr>
          <w:rFonts w:ascii="Times New Roman" w:cs="Times New Roman" w:eastAsia="Times New Roman" w:hAnsi="Times New Roman"/>
          <w:sz w:val="18"/>
          <w:szCs w:val="18"/>
          <w:b w:val="1"/>
          <w:bCs w:val="1"/>
          <w:color w:val="auto"/>
        </w:rPr>
      </w:pPr>
    </w:p>
    <w:p>
      <w:pPr>
        <w:ind w:left="1540" w:hanging="297"/>
        <w:spacing w:after="0"/>
        <w:tabs>
          <w:tab w:leader="none" w:pos="154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We are heavily dependent on the success of our lead product candidate, TP-03 for the treatment of Demodex blepharitis.</w:t>
      </w:r>
    </w:p>
    <w:p>
      <w:pPr>
        <w:spacing w:after="0" w:line="252" w:lineRule="exact"/>
        <w:rPr>
          <w:rFonts w:ascii="Times New Roman" w:cs="Times New Roman" w:eastAsia="Times New Roman" w:hAnsi="Times New Roman"/>
          <w:sz w:val="18"/>
          <w:szCs w:val="18"/>
          <w:b w:val="1"/>
          <w:bCs w:val="1"/>
          <w:color w:val="auto"/>
        </w:rPr>
      </w:pPr>
    </w:p>
    <w:p>
      <w:pPr>
        <w:ind w:left="1540" w:right="140" w:hanging="297"/>
        <w:spacing w:after="0" w:line="268" w:lineRule="auto"/>
        <w:tabs>
          <w:tab w:leader="none" w:pos="154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The COVID-19 pandemic, which began in late 2019 and has spread worldwide, may affect our ability to initiate and complete preclinical studies and clinical trials, disrupt regulatory activities, disrupt our manufacturing and supply chain or have other adverse effects on our business and operations.</w:t>
      </w:r>
    </w:p>
    <w:p>
      <w:pPr>
        <w:spacing w:after="0" w:line="197" w:lineRule="exact"/>
        <w:rPr>
          <w:rFonts w:ascii="Times New Roman" w:cs="Times New Roman" w:eastAsia="Times New Roman" w:hAnsi="Times New Roman"/>
          <w:sz w:val="18"/>
          <w:szCs w:val="18"/>
          <w:b w:val="1"/>
          <w:bCs w:val="1"/>
          <w:color w:val="auto"/>
        </w:rPr>
      </w:pPr>
    </w:p>
    <w:p>
      <w:pPr>
        <w:ind w:left="1540" w:right="60" w:hanging="297"/>
        <w:spacing w:after="0" w:line="257" w:lineRule="auto"/>
        <w:tabs>
          <w:tab w:leader="none" w:pos="154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Even if TP-03 or any other product candidate that we develop receives marketing approval, we may not be successful in educating ECPs and the market about the need for treatments specifically for Demodex blepharitis and or other diseases or conditions targeted by our product candidates, and TP-03 or other product candidates that we may develop may fail to achieve market acceptance by ECPs, other healthcare providers and patients, or adequate formulary coverage, pricing or reimbursement by third-party payors and others in the medical community, and the market opportunity for these products may be smaller than we estimate.</w:t>
      </w:r>
    </w:p>
    <w:p>
      <w:pPr>
        <w:spacing w:after="0" w:line="209" w:lineRule="exact"/>
        <w:rPr>
          <w:rFonts w:ascii="Times New Roman" w:cs="Times New Roman" w:eastAsia="Times New Roman" w:hAnsi="Times New Roman"/>
          <w:sz w:val="18"/>
          <w:szCs w:val="18"/>
          <w:b w:val="1"/>
          <w:bCs w:val="1"/>
          <w:color w:val="auto"/>
        </w:rPr>
      </w:pPr>
    </w:p>
    <w:p>
      <w:pPr>
        <w:ind w:left="1540" w:right="20" w:hanging="297"/>
        <w:spacing w:after="0" w:line="268" w:lineRule="auto"/>
        <w:tabs>
          <w:tab w:leader="none" w:pos="154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We are dependent on intellectual property we license from Elanco for the development and commercialization of our products, including our lead product candidate, TP-03 for the potential treatment of Demodex blepharitis and MGD, TP-04 for the potential treatment of rosacea and TP-05 for potential Lyme prophylaxis and community malaria reduction.</w:t>
      </w:r>
    </w:p>
    <w:p>
      <w:pPr>
        <w:spacing w:after="0" w:line="197" w:lineRule="exact"/>
        <w:rPr>
          <w:rFonts w:ascii="Times New Roman" w:cs="Times New Roman" w:eastAsia="Times New Roman" w:hAnsi="Times New Roman"/>
          <w:sz w:val="18"/>
          <w:szCs w:val="18"/>
          <w:b w:val="1"/>
          <w:bCs w:val="1"/>
          <w:color w:val="auto"/>
        </w:rPr>
      </w:pPr>
    </w:p>
    <w:p>
      <w:pPr>
        <w:ind w:left="1540" w:right="220" w:hanging="297"/>
        <w:spacing w:after="0" w:line="291" w:lineRule="auto"/>
        <w:tabs>
          <w:tab w:leader="none" w:pos="1540" w:val="left"/>
        </w:tabs>
        <w:numPr>
          <w:ilvl w:val="0"/>
          <w:numId w:val="1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We will need to develop and expand our company in terms of operations and employees, which we expect to include our development, regulatory and operational capabilities and potentially implement sales, marketing and distribution capabilities and, as a result, we may encounter difficulties in managing our growth, which could disrupt our operations.</w:t>
      </w:r>
    </w:p>
    <w:p>
      <w:pPr>
        <w:spacing w:after="0" w:line="179" w:lineRule="exact"/>
        <w:rPr>
          <w:rFonts w:ascii="Times New Roman" w:cs="Times New Roman" w:eastAsia="Times New Roman" w:hAnsi="Times New Roman"/>
          <w:sz w:val="17"/>
          <w:szCs w:val="17"/>
          <w:b w:val="1"/>
          <w:bCs w:val="1"/>
          <w:color w:val="auto"/>
        </w:rPr>
      </w:pPr>
    </w:p>
    <w:p>
      <w:pPr>
        <w:ind w:left="1540" w:right="100" w:hanging="297"/>
        <w:spacing w:after="0" w:line="262" w:lineRule="auto"/>
        <w:tabs>
          <w:tab w:leader="none" w:pos="154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The sizes of the market opportunity for our product candidates, particularly TP-03 for the treatment of Demodex blepharitis and MGD, have not been established with precision and may be smaller than we estimate, possibly materially. If our estimates of the sizes overestimate these markets, our sales growth may be adversely affected. We may also not be able to grow the markets for our product candidates as intended or at all.</w:t>
      </w:r>
    </w:p>
    <w:p>
      <w:pPr>
        <w:spacing w:after="0" w:line="203" w:lineRule="exact"/>
        <w:rPr>
          <w:rFonts w:ascii="Times New Roman" w:cs="Times New Roman" w:eastAsia="Times New Roman" w:hAnsi="Times New Roman"/>
          <w:sz w:val="18"/>
          <w:szCs w:val="18"/>
          <w:b w:val="1"/>
          <w:bCs w:val="1"/>
          <w:color w:val="auto"/>
        </w:rPr>
      </w:pPr>
    </w:p>
    <w:p>
      <w:pPr>
        <w:ind w:left="1540" w:right="20" w:hanging="297"/>
        <w:spacing w:after="0" w:line="286" w:lineRule="auto"/>
        <w:tabs>
          <w:tab w:leader="none" w:pos="154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Clinical drug development involves a lengthy and expensive process with uncertain timelines and uncertain outcomes, and results of earlier studies and trials may not be predictive of future results.</w:t>
      </w:r>
    </w:p>
    <w:p>
      <w:pPr>
        <w:spacing w:after="0" w:line="181" w:lineRule="exact"/>
        <w:rPr>
          <w:rFonts w:ascii="Times New Roman" w:cs="Times New Roman" w:eastAsia="Times New Roman" w:hAnsi="Times New Roman"/>
          <w:sz w:val="18"/>
          <w:szCs w:val="18"/>
          <w:b w:val="1"/>
          <w:bCs w:val="1"/>
          <w:color w:val="auto"/>
        </w:rPr>
      </w:pPr>
    </w:p>
    <w:p>
      <w:pPr>
        <w:ind w:left="1540" w:hanging="297"/>
        <w:spacing w:after="0" w:line="317" w:lineRule="auto"/>
        <w:tabs>
          <w:tab w:leader="none" w:pos="1540" w:val="left"/>
        </w:tabs>
        <w:numPr>
          <w:ilvl w:val="0"/>
          <w:numId w:val="1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Any termination or suspension of, or delays in the commencement or completion of, our planned clinical trials could result in increased costs to us, delay or limit our ability to generate revenue and adversely affect our commercial prospects.</w:t>
      </w:r>
    </w:p>
    <w:p>
      <w:pPr>
        <w:spacing w:after="0" w:line="158" w:lineRule="exact"/>
        <w:rPr>
          <w:rFonts w:ascii="Times New Roman" w:cs="Times New Roman" w:eastAsia="Times New Roman" w:hAnsi="Times New Roman"/>
          <w:sz w:val="17"/>
          <w:szCs w:val="17"/>
          <w:b w:val="1"/>
          <w:bCs w:val="1"/>
          <w:color w:val="auto"/>
        </w:rPr>
      </w:pPr>
    </w:p>
    <w:p>
      <w:pPr>
        <w:ind w:left="1540" w:hanging="297"/>
        <w:spacing w:after="0"/>
        <w:tabs>
          <w:tab w:leader="none" w:pos="154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We rely on third parties to conduct our clinical trials and perform some of our research and preclinical studies.</w:t>
      </w:r>
    </w:p>
    <w:p>
      <w:pPr>
        <w:spacing w:after="0" w:line="200" w:lineRule="exact"/>
        <w:rPr>
          <w:rFonts w:ascii="Times New Roman" w:cs="Times New Roman" w:eastAsia="Times New Roman" w:hAnsi="Times New Roman"/>
          <w:sz w:val="18"/>
          <w:szCs w:val="18"/>
          <w:b w:val="1"/>
          <w:bCs w:val="1"/>
          <w:color w:val="auto"/>
        </w:rPr>
      </w:pPr>
    </w:p>
    <w:p>
      <w:pPr>
        <w:spacing w:after="0" w:line="200" w:lineRule="exact"/>
        <w:rPr>
          <w:rFonts w:ascii="Times New Roman" w:cs="Times New Roman" w:eastAsia="Times New Roman" w:hAnsi="Times New Roman"/>
          <w:sz w:val="18"/>
          <w:szCs w:val="18"/>
          <w:b w:val="1"/>
          <w:bCs w:val="1"/>
          <w:color w:val="auto"/>
        </w:rPr>
      </w:pPr>
    </w:p>
    <w:p>
      <w:pPr>
        <w:spacing w:after="0" w:line="261" w:lineRule="exact"/>
        <w:rPr>
          <w:rFonts w:ascii="Times New Roman" w:cs="Times New Roman" w:eastAsia="Times New Roman" w:hAnsi="Times New Roman"/>
          <w:sz w:val="18"/>
          <w:szCs w:val="18"/>
          <w:b w:val="1"/>
          <w:bCs w:val="1"/>
          <w:color w:val="auto"/>
        </w:rPr>
      </w:pPr>
    </w:p>
    <w:p>
      <w:pPr>
        <w:ind w:left="5580" w:hanging="106"/>
        <w:spacing w:after="0"/>
        <w:tabs>
          <w:tab w:leader="none" w:pos="558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9 -</w:t>
      </w:r>
    </w:p>
    <w:p>
      <w:pPr>
        <w:sectPr>
          <w:pgSz w:w="11900" w:h="16838" w:orient="portrait"/>
          <w:cols w:equalWidth="0" w:num="1">
            <w:col w:w="10920"/>
          </w:cols>
          <w:pgMar w:left="320" w:top="455" w:right="659" w:bottom="1440" w:gutter="0" w:footer="0" w:header="0"/>
        </w:sectPr>
      </w:pPr>
    </w:p>
    <w:bookmarkStart w:id="12" w:name="page13"/>
    <w:bookmarkEnd w:id="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1163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98970" cy="611632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1540" w:hanging="297"/>
        <w:spacing w:after="0" w:line="291" w:lineRule="auto"/>
        <w:tabs>
          <w:tab w:leader="none" w:pos="1540" w:val="left"/>
        </w:tabs>
        <w:numPr>
          <w:ilvl w:val="0"/>
          <w:numId w:val="1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If we are unable to obtain and maintain sufficient intellectual property protection for our product candidates, or if the scope of the intellectual property protection is not sufficiently broad, our competitors could develop and commercialize products similar or identical to ours, and our ability to successfully commercialize our products may be adversely affected.</w:t>
      </w:r>
    </w:p>
    <w:p>
      <w:pPr>
        <w:spacing w:after="0" w:line="179" w:lineRule="exact"/>
        <w:rPr>
          <w:rFonts w:ascii="Times New Roman" w:cs="Times New Roman" w:eastAsia="Times New Roman" w:hAnsi="Times New Roman"/>
          <w:sz w:val="17"/>
          <w:szCs w:val="17"/>
          <w:b w:val="1"/>
          <w:bCs w:val="1"/>
          <w:color w:val="auto"/>
        </w:rPr>
      </w:pPr>
    </w:p>
    <w:p>
      <w:pPr>
        <w:ind w:left="1540" w:right="180" w:hanging="297"/>
        <w:spacing w:after="0" w:line="286" w:lineRule="auto"/>
        <w:tabs>
          <w:tab w:leader="none" w:pos="154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Patent terms may be inadequate to protect our competitive position on our product candidates and preclinical programs for an adequate amount of time.</w:t>
      </w:r>
    </w:p>
    <w:p>
      <w:pPr>
        <w:spacing w:after="0" w:line="181" w:lineRule="exact"/>
        <w:rPr>
          <w:rFonts w:ascii="Times New Roman" w:cs="Times New Roman" w:eastAsia="Times New Roman" w:hAnsi="Times New Roman"/>
          <w:sz w:val="18"/>
          <w:szCs w:val="18"/>
          <w:b w:val="1"/>
          <w:bCs w:val="1"/>
          <w:color w:val="auto"/>
        </w:rPr>
      </w:pPr>
    </w:p>
    <w:p>
      <w:pPr>
        <w:ind w:left="1540" w:right="60" w:hanging="297"/>
        <w:spacing w:after="0" w:line="286" w:lineRule="auto"/>
        <w:tabs>
          <w:tab w:leader="none" w:pos="154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The concentration of our stock ownership will likely limit your ability to influence corporate matters, including the ability to influence the outcome of director elections and other matters requiring stockholder approval.</w:t>
      </w:r>
    </w:p>
    <w:p>
      <w:pPr>
        <w:spacing w:after="0" w:line="15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2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We were incorporated under the laws of the State of Delaware in November 2016. Our principal executive offices are located at 15440</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Laguna Canyon Road, Suite 160, Irvine, California 92618. Our telephone number is (949) 409-9820. Our website address is www.tarsusrx.com.</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Information contained on the website is not incorporated by reference into this prospectus.</w:t>
      </w:r>
    </w:p>
    <w:p>
      <w:pPr>
        <w:spacing w:after="0" w:line="20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We have included our website address in this prospectus solely as an inactive textual reference.</w:t>
      </w:r>
    </w:p>
    <w:p>
      <w:pPr>
        <w:spacing w:after="0" w:line="225" w:lineRule="exact"/>
        <w:rPr>
          <w:sz w:val="20"/>
          <w:szCs w:val="20"/>
          <w:color w:val="auto"/>
        </w:rPr>
      </w:pPr>
    </w:p>
    <w:p>
      <w:pPr>
        <w:ind w:left="300" w:right="100" w:firstLine="852"/>
        <w:spacing w:after="0" w:line="255" w:lineRule="auto"/>
        <w:rPr>
          <w:sz w:val="20"/>
          <w:szCs w:val="20"/>
          <w:color w:val="auto"/>
        </w:rPr>
      </w:pPr>
      <w:r>
        <w:rPr>
          <w:rFonts w:ascii="Times New Roman" w:cs="Times New Roman" w:eastAsia="Times New Roman" w:hAnsi="Times New Roman"/>
          <w:sz w:val="18"/>
          <w:szCs w:val="18"/>
          <w:color w:val="auto"/>
        </w:rPr>
        <w:t xml:space="preserve">Tarsus Pharmaceuticals, Tarsus, and Tarsus Pharmaceuticals, Inc., our logo and other registered or common law trade names, trademarks or service markets of Tarsus appearing in this prospectus are the property of Tarsus. This prospectus contains additional trade names, trademarks and service marks of other companies that are the property of their respective owners. We do not intend our use or display of other companies’ trade names, trademarks or service marks to imply a relationship with, or endorsement or sponsorship of us by, these other companies. Solely for convenience, our trade names, trademarks and service marks referred to in this prospectus appear without the </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5"/>
          <w:szCs w:val="15"/>
          <w:color w:val="auto"/>
        </w:rPr>
        <w:t>SM</w:t>
      </w:r>
      <w:r>
        <w:rPr>
          <w:rFonts w:ascii="Times New Roman" w:cs="Times New Roman" w:eastAsia="Times New Roman" w:hAnsi="Times New Roman"/>
          <w:sz w:val="18"/>
          <w:szCs w:val="18"/>
          <w:color w:val="auto"/>
        </w:rPr>
        <w:t xml:space="preserve"> symbols, but such references are not intended to indicate, in any way, that we will not assert, to the fullest extent under applicable law, our rights or the right of the applicable licensor to these trade names, trademarks and service marks.</w:t>
      </w:r>
    </w:p>
    <w:p>
      <w:pPr>
        <w:spacing w:after="0" w:line="18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Implications of Being an Emerging Growth Company</w:t>
      </w:r>
    </w:p>
    <w:p>
      <w:pPr>
        <w:spacing w:after="0" w:line="229" w:lineRule="exact"/>
        <w:rPr>
          <w:sz w:val="20"/>
          <w:szCs w:val="20"/>
          <w:color w:val="auto"/>
        </w:rPr>
      </w:pPr>
    </w:p>
    <w:p>
      <w:pPr>
        <w:ind w:left="300" w:right="160" w:firstLine="852"/>
        <w:spacing w:after="0" w:line="261" w:lineRule="auto"/>
        <w:rPr>
          <w:sz w:val="20"/>
          <w:szCs w:val="20"/>
          <w:color w:val="auto"/>
        </w:rPr>
      </w:pPr>
      <w:r>
        <w:rPr>
          <w:rFonts w:ascii="Times New Roman" w:cs="Times New Roman" w:eastAsia="Times New Roman" w:hAnsi="Times New Roman"/>
          <w:sz w:val="18"/>
          <w:szCs w:val="18"/>
          <w:color w:val="auto"/>
        </w:rPr>
        <w:t>We are an “emerging growth company” as defined in the Jumpstart Our Business Startups Act of 2012, as amended, or the JOBS Act. We will remain an emerging growth company until the earliest to occur of: (i) the last day of the fiscal year in which we have more than</w:t>
      </w:r>
    </w:p>
    <w:p>
      <w:pPr>
        <w:ind w:left="300" w:right="120"/>
        <w:spacing w:after="0" w:line="252" w:lineRule="auto"/>
        <w:rPr>
          <w:sz w:val="20"/>
          <w:szCs w:val="20"/>
          <w:color w:val="auto"/>
        </w:rPr>
      </w:pPr>
      <w:r>
        <w:rPr>
          <w:rFonts w:ascii="Times New Roman" w:cs="Times New Roman" w:eastAsia="Times New Roman" w:hAnsi="Times New Roman"/>
          <w:sz w:val="18"/>
          <w:szCs w:val="18"/>
          <w:color w:val="auto"/>
        </w:rPr>
        <w:t>$1.07 billion in annual gross revenue; (ii) the date we qualify as a “large accelerated filer” as defined in Rule 12b-2 under the Exchange Act, with at least $700 million of equity securities held by non-affiliates; (iii) the issuance, in any three-year period, by us of more than $1.0 billion in non-convertible debt securities; or (iv) the last day of the fiscal year ending after the fifth anniversary of our initial public offering. As a result of this status, we have taken advantage of certain exemptions from various reporting requirements in this prospectus that are applicable to other publicly-traded entities that are not emerging growth companies and may elect to take advantage of other exemptions from reporting requirements in our future filings with the SEC. In particular, in this prospectus, these exemptions include:</w:t>
      </w:r>
    </w:p>
    <w:p>
      <w:pPr>
        <w:spacing w:after="0" w:line="217" w:lineRule="exact"/>
        <w:rPr>
          <w:sz w:val="20"/>
          <w:szCs w:val="20"/>
          <w:color w:val="auto"/>
        </w:rPr>
      </w:pPr>
    </w:p>
    <w:p>
      <w:pPr>
        <w:ind w:left="1540" w:right="60" w:hanging="297"/>
        <w:spacing w:after="0" w:line="282" w:lineRule="auto"/>
        <w:tabs>
          <w:tab w:leader="none" w:pos="15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option to present only two years of audited financial statements and only two years of Management’s Discussion and Analysis of Financial Condition and Results of Operations;</w:t>
      </w:r>
    </w:p>
    <w:p>
      <w:pPr>
        <w:spacing w:after="0" w:line="188" w:lineRule="exact"/>
        <w:rPr>
          <w:rFonts w:ascii="Times New Roman" w:cs="Times New Roman" w:eastAsia="Times New Roman" w:hAnsi="Times New Roman"/>
          <w:sz w:val="18"/>
          <w:szCs w:val="18"/>
          <w:color w:val="auto"/>
        </w:rPr>
      </w:pPr>
    </w:p>
    <w:p>
      <w:pPr>
        <w:ind w:left="1540" w:right="260" w:hanging="297"/>
        <w:spacing w:after="0" w:line="282" w:lineRule="auto"/>
        <w:tabs>
          <w:tab w:leader="none" w:pos="15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being required to comply with the auditor attestation requirements of Section 404(b) of the Sarbanes-Oxley Act of 2002, as amended, or the Sarbanes Oxley Act;</w:t>
      </w:r>
    </w:p>
    <w:p>
      <w:pPr>
        <w:spacing w:after="0" w:line="200" w:lineRule="exact"/>
        <w:rPr>
          <w:rFonts w:ascii="Times New Roman" w:cs="Times New Roman" w:eastAsia="Times New Roman" w:hAnsi="Times New Roman"/>
          <w:sz w:val="18"/>
          <w:szCs w:val="18"/>
          <w:color w:val="auto"/>
        </w:rPr>
      </w:pPr>
    </w:p>
    <w:p>
      <w:pPr>
        <w:spacing w:after="0" w:line="393" w:lineRule="exact"/>
        <w:rPr>
          <w:rFonts w:ascii="Times New Roman" w:cs="Times New Roman" w:eastAsia="Times New Roman" w:hAnsi="Times New Roman"/>
          <w:sz w:val="18"/>
          <w:szCs w:val="18"/>
          <w:color w:val="auto"/>
        </w:rPr>
      </w:pPr>
    </w:p>
    <w:p>
      <w:pPr>
        <w:ind w:left="5540" w:hanging="111"/>
        <w:spacing w:after="0"/>
        <w:tabs>
          <w:tab w:leader="none" w:pos="554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10 -</w:t>
      </w:r>
    </w:p>
    <w:p>
      <w:pPr>
        <w:sectPr>
          <w:pgSz w:w="11900" w:h="16838" w:orient="portrait"/>
          <w:cols w:equalWidth="0" w:num="1">
            <w:col w:w="10940"/>
          </w:cols>
          <w:pgMar w:left="320" w:top="455" w:right="639" w:bottom="1440" w:gutter="0" w:footer="0" w:header="0"/>
        </w:sectPr>
      </w:pPr>
    </w:p>
    <w:bookmarkStart w:id="13" w:name="page14"/>
    <w:bookmarkEnd w:id="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29102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98970" cy="291020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540" w:right="660" w:hanging="297"/>
        <w:spacing w:after="0" w:line="282" w:lineRule="auto"/>
        <w:tabs>
          <w:tab w:leader="none" w:pos="15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being required to submit certain executive compensation matters to stockholder advisory votes, such as “say-on-pay,” “say-on-frequency,” and “say-on-golden parachutes;” and</w:t>
      </w:r>
    </w:p>
    <w:p>
      <w:pPr>
        <w:spacing w:after="0" w:line="188" w:lineRule="exact"/>
        <w:rPr>
          <w:rFonts w:ascii="Times New Roman" w:cs="Times New Roman" w:eastAsia="Times New Roman" w:hAnsi="Times New Roman"/>
          <w:sz w:val="18"/>
          <w:szCs w:val="18"/>
          <w:color w:val="auto"/>
        </w:rPr>
      </w:pPr>
    </w:p>
    <w:p>
      <w:pPr>
        <w:ind w:left="1540" w:right="940" w:hanging="297"/>
        <w:spacing w:after="0" w:line="266" w:lineRule="auto"/>
        <w:tabs>
          <w:tab w:leader="none" w:pos="15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being required to disclose certain executive compensation-related items such as the correlation between executive compensation and performance and comparisons of the chief executive officer’s compensation to median employee compensation.</w:t>
      </w:r>
    </w:p>
    <w:p>
      <w:pPr>
        <w:spacing w:after="0" w:line="176" w:lineRule="exact"/>
        <w:rPr>
          <w:sz w:val="20"/>
          <w:szCs w:val="20"/>
          <w:color w:val="auto"/>
        </w:rPr>
      </w:pPr>
    </w:p>
    <w:p>
      <w:pPr>
        <w:ind w:left="300" w:right="40" w:firstLine="852"/>
        <w:spacing w:after="0" w:line="282" w:lineRule="auto"/>
        <w:rPr>
          <w:sz w:val="20"/>
          <w:szCs w:val="20"/>
          <w:color w:val="auto"/>
        </w:rPr>
      </w:pPr>
      <w:r>
        <w:rPr>
          <w:rFonts w:ascii="Times New Roman" w:cs="Times New Roman" w:eastAsia="Times New Roman" w:hAnsi="Times New Roman"/>
          <w:sz w:val="18"/>
          <w:szCs w:val="18"/>
          <w:color w:val="auto"/>
        </w:rPr>
        <w:t>As a result, we do not know if some investors will find our common stock less attractive. The result may be a less active trading market for our common stock, and the price of our common stock may become more volatile.</w:t>
      </w:r>
    </w:p>
    <w:p>
      <w:pPr>
        <w:spacing w:after="0" w:line="162" w:lineRule="exact"/>
        <w:rPr>
          <w:sz w:val="20"/>
          <w:szCs w:val="20"/>
          <w:color w:val="auto"/>
        </w:rPr>
      </w:pPr>
    </w:p>
    <w:p>
      <w:pPr>
        <w:ind w:left="300" w:firstLine="852"/>
        <w:spacing w:after="0" w:line="254" w:lineRule="auto"/>
        <w:rPr>
          <w:sz w:val="20"/>
          <w:szCs w:val="20"/>
          <w:color w:val="auto"/>
        </w:rPr>
      </w:pPr>
      <w:r>
        <w:rPr>
          <w:rFonts w:ascii="Times New Roman" w:cs="Times New Roman" w:eastAsia="Times New Roman" w:hAnsi="Times New Roman"/>
          <w:sz w:val="18"/>
          <w:szCs w:val="18"/>
          <w:color w:val="auto"/>
        </w:rPr>
        <w:t>In addition, Section 107 of the JOBS Act provides that an emerging growth company can take advantage of an extended transition period for complying with new or revised accounting standards, delaying the adoption of these accounting standards until they would apply to private companies. We have irrevocably elected not to avail ourselves of this exemption and, as a result, upon completion of this offering, we will adopt new or revised accounting standards on the relevant dates on which adoption of such standards is required for other public companies that are not emerging growth companies. Even after we no longer qualify as an emerging growth company, we may qualify as a “smaller reporting company,” which would allow us to take advantage of many of the same exemptions from disclosure requirements including reduced disclosure obligations regarding executive compensation in this prospectus and our periodic reports and proxy statements, if either (i) the market value of our stock held by non-affiliates is less than $250 million or (ii) our annual revenue is less than $100 million during the most recently completed fiscal year and the market value of our stock held by non-affiliates is less than $700 million.</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40"/>
          </w:cols>
          <w:pgMar w:left="320" w:top="455" w:right="639" w:bottom="1440" w:gutter="0" w:footer="0" w:header="0"/>
        </w:sectPr>
      </w:pPr>
    </w:p>
    <w:bookmarkStart w:id="14" w:name="page15"/>
    <w:bookmarkEnd w:id="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81596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98970" cy="581596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tbl>
      <w:tblPr>
        <w:tblLayout w:type="fixed"/>
        <w:tblInd w:w="300" w:type="dxa"/>
        <w:tblCellMar>
          <w:top w:w="0" w:type="dxa"/>
          <w:left w:w="0" w:type="dxa"/>
          <w:bottom w:w="0" w:type="dxa"/>
          <w:right w:w="0" w:type="dxa"/>
        </w:tblCellMar>
      </w:tblPr>
      <w:tr>
        <w:trPr>
          <w:trHeight w:val="238"/>
        </w:trPr>
        <w:tc>
          <w:tcPr>
            <w:tcW w:w="40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48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THE OFFERING</w:t>
            </w:r>
          </w:p>
        </w:tc>
        <w:tc>
          <w:tcPr>
            <w:tcW w:w="680" w:type="dxa"/>
            <w:vAlign w:val="bottom"/>
          </w:tcPr>
          <w:p>
            <w:pPr>
              <w:spacing w:after="0"/>
              <w:rPr>
                <w:sz w:val="20"/>
                <w:szCs w:val="20"/>
                <w:color w:val="auto"/>
              </w:rPr>
            </w:pPr>
          </w:p>
        </w:tc>
      </w:tr>
      <w:tr>
        <w:trPr>
          <w:trHeight w:val="459"/>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Issuer</w:t>
            </w:r>
          </w:p>
        </w:tc>
        <w:tc>
          <w:tcPr>
            <w:tcW w:w="59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Tarsus Pharmaceuticals, Inc.</w:t>
            </w:r>
          </w:p>
        </w:tc>
        <w:tc>
          <w:tcPr>
            <w:tcW w:w="680" w:type="dxa"/>
            <w:vAlign w:val="bottom"/>
          </w:tcPr>
          <w:p>
            <w:pPr>
              <w:spacing w:after="0"/>
              <w:rPr>
                <w:sz w:val="24"/>
                <w:szCs w:val="24"/>
                <w:color w:val="auto"/>
              </w:rPr>
            </w:pPr>
          </w:p>
        </w:tc>
      </w:tr>
      <w:tr>
        <w:trPr>
          <w:trHeight w:val="473"/>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Shares of common stock offered by us</w:t>
            </w:r>
          </w:p>
        </w:tc>
        <w:tc>
          <w:tcPr>
            <w:tcW w:w="420" w:type="dxa"/>
            <w:vAlign w:val="bottom"/>
          </w:tcPr>
          <w:p>
            <w:pPr>
              <w:spacing w:after="0"/>
              <w:rPr>
                <w:sz w:val="24"/>
                <w:szCs w:val="24"/>
                <w:color w:val="auto"/>
              </w:rPr>
            </w:pPr>
          </w:p>
        </w:tc>
        <w:tc>
          <w:tcPr>
            <w:tcW w:w="1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shares</w:t>
            </w:r>
          </w:p>
        </w:tc>
        <w:tc>
          <w:tcPr>
            <w:tcW w:w="408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454"/>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w w:val="99"/>
              </w:rPr>
              <w:t>Shares of common stock to be outstanding immediately</w:t>
            </w:r>
          </w:p>
        </w:tc>
        <w:tc>
          <w:tcPr>
            <w:tcW w:w="420" w:type="dxa"/>
            <w:vAlign w:val="bottom"/>
          </w:tcPr>
          <w:p>
            <w:pPr>
              <w:spacing w:after="0"/>
              <w:rPr>
                <w:sz w:val="24"/>
                <w:szCs w:val="24"/>
                <w:color w:val="auto"/>
              </w:rPr>
            </w:pPr>
          </w:p>
        </w:tc>
        <w:tc>
          <w:tcPr>
            <w:tcW w:w="1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shares (or</w:t>
            </w:r>
          </w:p>
        </w:tc>
        <w:tc>
          <w:tcPr>
            <w:tcW w:w="47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shares if the underwriters exercise their option to purchase</w:t>
            </w:r>
          </w:p>
        </w:tc>
      </w:tr>
      <w:tr>
        <w:trPr>
          <w:trHeight w:val="234"/>
        </w:trPr>
        <w:tc>
          <w:tcPr>
            <w:tcW w:w="40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after this offering</w:t>
            </w:r>
          </w:p>
        </w:tc>
        <w:tc>
          <w:tcPr>
            <w:tcW w:w="1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additional shares in full)</w:t>
            </w:r>
          </w:p>
        </w:tc>
        <w:tc>
          <w:tcPr>
            <w:tcW w:w="408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454"/>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Underwriters’ option to purchase additional shares</w:t>
            </w:r>
          </w:p>
        </w:tc>
        <w:tc>
          <w:tcPr>
            <w:tcW w:w="65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We have granted the underwriters an option for a period of 30 days to purchase up to</w:t>
            </w:r>
          </w:p>
        </w:tc>
      </w:tr>
      <w:tr>
        <w:trPr>
          <w:trHeight w:val="216"/>
        </w:trPr>
        <w:tc>
          <w:tcPr>
            <w:tcW w:w="40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1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w w:val="99"/>
              </w:rPr>
              <w:t>additional shares of our common stock. The underwriters can exercise this option at</w:t>
            </w:r>
          </w:p>
        </w:tc>
      </w:tr>
      <w:tr>
        <w:trPr>
          <w:trHeight w:val="234"/>
        </w:trPr>
        <w:tc>
          <w:tcPr>
            <w:tcW w:w="4020" w:type="dxa"/>
            <w:vAlign w:val="bottom"/>
          </w:tcPr>
          <w:p>
            <w:pPr>
              <w:spacing w:after="0"/>
              <w:rPr>
                <w:sz w:val="20"/>
                <w:szCs w:val="20"/>
                <w:color w:val="auto"/>
              </w:rPr>
            </w:pPr>
          </w:p>
        </w:tc>
        <w:tc>
          <w:tcPr>
            <w:tcW w:w="59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any time within 30 days after the date of this prospectus.</w:t>
            </w:r>
          </w:p>
        </w:tc>
        <w:tc>
          <w:tcPr>
            <w:tcW w:w="680" w:type="dxa"/>
            <w:vAlign w:val="bottom"/>
          </w:tcPr>
          <w:p>
            <w:pPr>
              <w:spacing w:after="0"/>
              <w:rPr>
                <w:sz w:val="20"/>
                <w:szCs w:val="20"/>
                <w:color w:val="auto"/>
              </w:rPr>
            </w:pPr>
          </w:p>
        </w:tc>
      </w:tr>
      <w:tr>
        <w:trPr>
          <w:trHeight w:val="441"/>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Use of proceeds</w:t>
            </w:r>
          </w:p>
        </w:tc>
        <w:tc>
          <w:tcPr>
            <w:tcW w:w="59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We estimate that the net proceeds from this offering will be approximately $</w:t>
            </w:r>
          </w:p>
        </w:tc>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million,</w:t>
            </w:r>
          </w:p>
        </w:tc>
      </w:tr>
      <w:tr>
        <w:trPr>
          <w:trHeight w:val="216"/>
        </w:trPr>
        <w:tc>
          <w:tcPr>
            <w:tcW w:w="4020" w:type="dxa"/>
            <w:vAlign w:val="bottom"/>
          </w:tcPr>
          <w:p>
            <w:pPr>
              <w:spacing w:after="0"/>
              <w:rPr>
                <w:sz w:val="18"/>
                <w:szCs w:val="18"/>
                <w:color w:val="auto"/>
              </w:rPr>
            </w:pPr>
          </w:p>
        </w:tc>
        <w:tc>
          <w:tcPr>
            <w:tcW w:w="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or $</w:t>
            </w:r>
          </w:p>
        </w:tc>
        <w:tc>
          <w:tcPr>
            <w:tcW w:w="616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million if the underwriters exercise their option to purchase additional shares in</w:t>
            </w:r>
          </w:p>
        </w:tc>
      </w:tr>
      <w:tr>
        <w:trPr>
          <w:trHeight w:val="216"/>
        </w:trPr>
        <w:tc>
          <w:tcPr>
            <w:tcW w:w="4020" w:type="dxa"/>
            <w:vAlign w:val="bottom"/>
          </w:tcPr>
          <w:p>
            <w:pPr>
              <w:spacing w:after="0"/>
              <w:rPr>
                <w:sz w:val="18"/>
                <w:szCs w:val="18"/>
                <w:color w:val="auto"/>
              </w:rPr>
            </w:pPr>
          </w:p>
        </w:tc>
        <w:tc>
          <w:tcPr>
            <w:tcW w:w="65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full, after deducting estimated underwriting discounts and commissions and estimated</w:t>
            </w:r>
          </w:p>
        </w:tc>
      </w:tr>
      <w:tr>
        <w:trPr>
          <w:trHeight w:val="216"/>
        </w:trPr>
        <w:tc>
          <w:tcPr>
            <w:tcW w:w="4020" w:type="dxa"/>
            <w:vAlign w:val="bottom"/>
          </w:tcPr>
          <w:p>
            <w:pPr>
              <w:spacing w:after="0"/>
              <w:rPr>
                <w:sz w:val="18"/>
                <w:szCs w:val="18"/>
                <w:color w:val="auto"/>
              </w:rPr>
            </w:pPr>
          </w:p>
        </w:tc>
        <w:tc>
          <w:tcPr>
            <w:tcW w:w="59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offering expenses payable by us, assuming an initial public offering price of $</w:t>
            </w:r>
          </w:p>
        </w:tc>
        <w:tc>
          <w:tcPr>
            <w:tcW w:w="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per</w:t>
            </w:r>
          </w:p>
        </w:tc>
      </w:tr>
      <w:tr>
        <w:trPr>
          <w:trHeight w:val="216"/>
        </w:trPr>
        <w:tc>
          <w:tcPr>
            <w:tcW w:w="4020" w:type="dxa"/>
            <w:vAlign w:val="bottom"/>
          </w:tcPr>
          <w:p>
            <w:pPr>
              <w:spacing w:after="0"/>
              <w:rPr>
                <w:sz w:val="18"/>
                <w:szCs w:val="18"/>
                <w:color w:val="auto"/>
              </w:rPr>
            </w:pPr>
          </w:p>
        </w:tc>
        <w:tc>
          <w:tcPr>
            <w:tcW w:w="65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share, which is the midpoint of the estimated price range set forth on the cover page of this</w:t>
            </w:r>
          </w:p>
        </w:tc>
      </w:tr>
      <w:tr>
        <w:trPr>
          <w:trHeight w:val="234"/>
        </w:trPr>
        <w:tc>
          <w:tcPr>
            <w:tcW w:w="4020" w:type="dxa"/>
            <w:vAlign w:val="bottom"/>
          </w:tcPr>
          <w:p>
            <w:pPr>
              <w:spacing w:after="0"/>
              <w:rPr>
                <w:sz w:val="20"/>
                <w:szCs w:val="20"/>
                <w:color w:val="auto"/>
              </w:rPr>
            </w:pPr>
          </w:p>
        </w:tc>
        <w:tc>
          <w:tcPr>
            <w:tcW w:w="1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prospectus.</w:t>
            </w:r>
          </w:p>
        </w:tc>
        <w:tc>
          <w:tcPr>
            <w:tcW w:w="408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441"/>
        </w:trPr>
        <w:tc>
          <w:tcPr>
            <w:tcW w:w="4020" w:type="dxa"/>
            <w:vAlign w:val="bottom"/>
          </w:tcPr>
          <w:p>
            <w:pPr>
              <w:spacing w:after="0"/>
              <w:rPr>
                <w:sz w:val="24"/>
                <w:szCs w:val="24"/>
                <w:color w:val="auto"/>
              </w:rPr>
            </w:pPr>
          </w:p>
        </w:tc>
        <w:tc>
          <w:tcPr>
            <w:tcW w:w="65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We intend to use the net proceeds from this offering to complete the development and</w:t>
            </w:r>
          </w:p>
        </w:tc>
      </w:tr>
      <w:tr>
        <w:trPr>
          <w:trHeight w:val="216"/>
        </w:trPr>
        <w:tc>
          <w:tcPr>
            <w:tcW w:w="4020" w:type="dxa"/>
            <w:vAlign w:val="bottom"/>
          </w:tcPr>
          <w:p>
            <w:pPr>
              <w:spacing w:after="0"/>
              <w:rPr>
                <w:sz w:val="18"/>
                <w:szCs w:val="18"/>
                <w:color w:val="auto"/>
              </w:rPr>
            </w:pPr>
          </w:p>
        </w:tc>
        <w:tc>
          <w:tcPr>
            <w:tcW w:w="65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regulatory approval of TP-03 for the treatment Demodex blepharitis and the remaining</w:t>
            </w:r>
          </w:p>
        </w:tc>
      </w:tr>
      <w:tr>
        <w:trPr>
          <w:trHeight w:val="216"/>
        </w:trPr>
        <w:tc>
          <w:tcPr>
            <w:tcW w:w="4020" w:type="dxa"/>
            <w:vAlign w:val="bottom"/>
          </w:tcPr>
          <w:p>
            <w:pPr>
              <w:spacing w:after="0"/>
              <w:rPr>
                <w:sz w:val="18"/>
                <w:szCs w:val="18"/>
                <w:color w:val="auto"/>
              </w:rPr>
            </w:pPr>
          </w:p>
        </w:tc>
        <w:tc>
          <w:tcPr>
            <w:tcW w:w="65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proceeds to fund the development of our product pipeline, as well as for other general</w:t>
            </w:r>
          </w:p>
        </w:tc>
      </w:tr>
      <w:tr>
        <w:trPr>
          <w:trHeight w:val="234"/>
        </w:trPr>
        <w:tc>
          <w:tcPr>
            <w:tcW w:w="4020" w:type="dxa"/>
            <w:vAlign w:val="bottom"/>
          </w:tcPr>
          <w:p>
            <w:pPr>
              <w:spacing w:after="0"/>
              <w:rPr>
                <w:sz w:val="20"/>
                <w:szCs w:val="20"/>
                <w:color w:val="auto"/>
              </w:rPr>
            </w:pPr>
          </w:p>
        </w:tc>
        <w:tc>
          <w:tcPr>
            <w:tcW w:w="59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w w:val="99"/>
              </w:rPr>
              <w:t>corporate purposes. See “Use of Proceeds” on page 89 for additional information.</w:t>
            </w:r>
          </w:p>
        </w:tc>
        <w:tc>
          <w:tcPr>
            <w:tcW w:w="680" w:type="dxa"/>
            <w:vAlign w:val="bottom"/>
          </w:tcPr>
          <w:p>
            <w:pPr>
              <w:spacing w:after="0"/>
              <w:rPr>
                <w:sz w:val="20"/>
                <w:szCs w:val="20"/>
                <w:color w:val="auto"/>
              </w:rPr>
            </w:pPr>
          </w:p>
        </w:tc>
      </w:tr>
      <w:tr>
        <w:trPr>
          <w:trHeight w:val="441"/>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Risk Factors</w:t>
            </w:r>
          </w:p>
        </w:tc>
        <w:tc>
          <w:tcPr>
            <w:tcW w:w="65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See “Risk Factors” beginning on page 16 and the other information included in this</w:t>
            </w:r>
          </w:p>
        </w:tc>
      </w:tr>
      <w:tr>
        <w:trPr>
          <w:trHeight w:val="216"/>
        </w:trPr>
        <w:tc>
          <w:tcPr>
            <w:tcW w:w="4020" w:type="dxa"/>
            <w:vAlign w:val="bottom"/>
          </w:tcPr>
          <w:p>
            <w:pPr>
              <w:spacing w:after="0"/>
              <w:rPr>
                <w:sz w:val="18"/>
                <w:szCs w:val="18"/>
                <w:color w:val="auto"/>
              </w:rPr>
            </w:pPr>
          </w:p>
        </w:tc>
        <w:tc>
          <w:tcPr>
            <w:tcW w:w="65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prospectus for a discussion of factors you should consider carefully before deciding to</w:t>
            </w:r>
          </w:p>
        </w:tc>
      </w:tr>
      <w:tr>
        <w:trPr>
          <w:trHeight w:val="234"/>
        </w:trPr>
        <w:tc>
          <w:tcPr>
            <w:tcW w:w="4020" w:type="dxa"/>
            <w:vAlign w:val="bottom"/>
          </w:tcPr>
          <w:p>
            <w:pPr>
              <w:spacing w:after="0"/>
              <w:rPr>
                <w:sz w:val="20"/>
                <w:szCs w:val="20"/>
                <w:color w:val="auto"/>
              </w:rPr>
            </w:pPr>
          </w:p>
        </w:tc>
        <w:tc>
          <w:tcPr>
            <w:tcW w:w="59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invest in our common stock.</w:t>
            </w:r>
          </w:p>
        </w:tc>
        <w:tc>
          <w:tcPr>
            <w:tcW w:w="680" w:type="dxa"/>
            <w:vAlign w:val="bottom"/>
          </w:tcPr>
          <w:p>
            <w:pPr>
              <w:spacing w:after="0"/>
              <w:rPr>
                <w:sz w:val="20"/>
                <w:szCs w:val="20"/>
                <w:color w:val="auto"/>
              </w:rPr>
            </w:pPr>
          </w:p>
        </w:tc>
      </w:tr>
      <w:tr>
        <w:trPr>
          <w:trHeight w:val="441"/>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Nasdaq Global Market trading symbol</w:t>
            </w:r>
          </w:p>
        </w:tc>
        <w:tc>
          <w:tcPr>
            <w:tcW w:w="65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We have applied to list our common stock on the Nasdaq Global Market under the symbol</w:t>
            </w:r>
          </w:p>
        </w:tc>
      </w:tr>
      <w:tr>
        <w:trPr>
          <w:trHeight w:val="234"/>
        </w:trPr>
        <w:tc>
          <w:tcPr>
            <w:tcW w:w="4020" w:type="dxa"/>
            <w:vAlign w:val="bottom"/>
          </w:tcPr>
          <w:p>
            <w:pPr>
              <w:spacing w:after="0"/>
              <w:rPr>
                <w:sz w:val="20"/>
                <w:szCs w:val="20"/>
                <w:color w:val="auto"/>
              </w:rPr>
            </w:pPr>
          </w:p>
        </w:tc>
        <w:tc>
          <w:tcPr>
            <w:tcW w:w="1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“TARS”.</w:t>
            </w:r>
          </w:p>
        </w:tc>
        <w:tc>
          <w:tcPr>
            <w:tcW w:w="4080" w:type="dxa"/>
            <w:vAlign w:val="bottom"/>
          </w:tcPr>
          <w:p>
            <w:pPr>
              <w:spacing w:after="0"/>
              <w:rPr>
                <w:sz w:val="20"/>
                <w:szCs w:val="20"/>
                <w:color w:val="auto"/>
              </w:rPr>
            </w:pPr>
          </w:p>
        </w:tc>
        <w:tc>
          <w:tcPr>
            <w:tcW w:w="680" w:type="dxa"/>
            <w:vAlign w:val="bottom"/>
          </w:tcPr>
          <w:p>
            <w:pPr>
              <w:spacing w:after="0"/>
              <w:rPr>
                <w:sz w:val="20"/>
                <w:szCs w:val="20"/>
                <w:color w:val="auto"/>
              </w:rPr>
            </w:pPr>
          </w:p>
        </w:tc>
      </w:tr>
    </w:tbl>
    <w:p>
      <w:pPr>
        <w:spacing w:after="0" w:line="198" w:lineRule="exact"/>
        <w:rPr>
          <w:sz w:val="20"/>
          <w:szCs w:val="20"/>
          <w:color w:val="auto"/>
        </w:rPr>
      </w:pPr>
    </w:p>
    <w:p>
      <w:pPr>
        <w:jc w:val="both"/>
        <w:ind w:left="300" w:right="40" w:firstLine="852"/>
        <w:spacing w:after="0" w:line="261" w:lineRule="auto"/>
        <w:rPr>
          <w:sz w:val="20"/>
          <w:szCs w:val="20"/>
          <w:color w:val="auto"/>
        </w:rPr>
      </w:pPr>
      <w:r>
        <w:rPr>
          <w:rFonts w:ascii="Times New Roman" w:cs="Times New Roman" w:eastAsia="Times New Roman" w:hAnsi="Times New Roman"/>
          <w:sz w:val="18"/>
          <w:szCs w:val="18"/>
          <w:color w:val="auto"/>
        </w:rPr>
        <w:t>The number of shares of our common stock to be outstanding after this offering is based on 102,196,619 shares of our common stock outstanding as of June 30, 2020, assuming the conversion of all our outstanding shares of preferred stock, including 21,221,280 shares of Series C preferred stock issued in September 2020, into an aggregate of 82,498,619 shares of our common stock immediately prior to the completion of this offering, and excludes the following:</w:t>
      </w:r>
    </w:p>
    <w:p>
      <w:pPr>
        <w:spacing w:after="0" w:line="207" w:lineRule="exact"/>
        <w:rPr>
          <w:sz w:val="20"/>
          <w:szCs w:val="20"/>
          <w:color w:val="auto"/>
        </w:rPr>
      </w:pPr>
    </w:p>
    <w:p>
      <w:pPr>
        <w:ind w:left="1540" w:hanging="297"/>
        <w:spacing w:after="0" w:line="282" w:lineRule="auto"/>
        <w:tabs>
          <w:tab w:leader="none" w:pos="15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9,141,330 shares of common stock issuable upon the exercise of options outstanding as of June 30, 2020, with a weighted-average exercise price of $0.22 per share;</w:t>
      </w:r>
    </w:p>
    <w:p>
      <w:pPr>
        <w:spacing w:after="0" w:line="200" w:lineRule="exact"/>
        <w:rPr>
          <w:rFonts w:ascii="Times New Roman" w:cs="Times New Roman" w:eastAsia="Times New Roman" w:hAnsi="Times New Roman"/>
          <w:sz w:val="18"/>
          <w:szCs w:val="18"/>
          <w:color w:val="auto"/>
        </w:rPr>
      </w:pPr>
    </w:p>
    <w:p>
      <w:pPr>
        <w:spacing w:after="0" w:line="393" w:lineRule="exact"/>
        <w:rPr>
          <w:rFonts w:ascii="Times New Roman" w:cs="Times New Roman" w:eastAsia="Times New Roman" w:hAnsi="Times New Roman"/>
          <w:sz w:val="18"/>
          <w:szCs w:val="18"/>
          <w:color w:val="auto"/>
        </w:rPr>
      </w:pPr>
    </w:p>
    <w:p>
      <w:pPr>
        <w:ind w:left="5540" w:hanging="111"/>
        <w:spacing w:after="0"/>
        <w:tabs>
          <w:tab w:leader="none" w:pos="554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12 -</w:t>
      </w:r>
    </w:p>
    <w:p>
      <w:pPr>
        <w:sectPr>
          <w:pgSz w:w="11900" w:h="16838" w:orient="portrait"/>
          <w:cols w:equalWidth="0" w:num="1">
            <w:col w:w="10920"/>
          </w:cols>
          <w:pgMar w:left="320" w:top="455" w:right="659" w:bottom="1440" w:gutter="0" w:footer="0" w:header="0"/>
        </w:sectPr>
      </w:pPr>
    </w:p>
    <w:bookmarkStart w:id="15" w:name="page16"/>
    <w:bookmarkEnd w:id="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49676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998970" cy="496760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2080" w:hanging="837"/>
        <w:spacing w:after="0"/>
        <w:tabs>
          <w:tab w:leader="none" w:pos="2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common stock issuable upon the exercise of options granted after June 30, 2020, at a weighted-average exercise</w:t>
      </w:r>
    </w:p>
    <w:p>
      <w:pPr>
        <w:spacing w:after="0" w:line="27" w:lineRule="exact"/>
        <w:rPr>
          <w:sz w:val="20"/>
          <w:szCs w:val="20"/>
          <w:color w:val="auto"/>
        </w:rPr>
      </w:pPr>
    </w:p>
    <w:p>
      <w:pPr>
        <w:ind w:left="1540"/>
        <w:spacing w:after="0"/>
        <w:tabs>
          <w:tab w:leader="none" w:pos="2660" w:val="left"/>
        </w:tabs>
        <w:rPr>
          <w:sz w:val="20"/>
          <w:szCs w:val="20"/>
          <w:color w:val="auto"/>
        </w:rPr>
      </w:pPr>
      <w:r>
        <w:rPr>
          <w:rFonts w:ascii="Times New Roman" w:cs="Times New Roman" w:eastAsia="Times New Roman" w:hAnsi="Times New Roman"/>
          <w:sz w:val="18"/>
          <w:szCs w:val="18"/>
          <w:color w:val="auto"/>
        </w:rPr>
        <w:t>price of $</w:t>
      </w:r>
      <w:r>
        <w:rPr>
          <w:sz w:val="20"/>
          <w:szCs w:val="20"/>
          <w:color w:val="auto"/>
        </w:rPr>
        <w:tab/>
      </w:r>
      <w:r>
        <w:rPr>
          <w:rFonts w:ascii="Times New Roman" w:cs="Times New Roman" w:eastAsia="Times New Roman" w:hAnsi="Times New Roman"/>
          <w:sz w:val="17"/>
          <w:szCs w:val="17"/>
          <w:color w:val="auto"/>
        </w:rPr>
        <w:t>per share;</w:t>
      </w:r>
    </w:p>
    <w:p>
      <w:pPr>
        <w:spacing w:after="0" w:line="234" w:lineRule="exact"/>
        <w:rPr>
          <w:sz w:val="20"/>
          <w:szCs w:val="20"/>
          <w:color w:val="auto"/>
        </w:rPr>
      </w:pPr>
    </w:p>
    <w:p>
      <w:pPr>
        <w:ind w:left="1540" w:right="380" w:hanging="297"/>
        <w:spacing w:after="0" w:line="282" w:lineRule="auto"/>
        <w:tabs>
          <w:tab w:leader="none" w:pos="15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500,000 shares of common stock, legally issued upon the early exercise of certain stock options, which are subject to service conditions and the right of repurchase, that were outstanding as of June 30, 2020;</w:t>
      </w:r>
    </w:p>
    <w:p>
      <w:pPr>
        <w:spacing w:after="0" w:line="188" w:lineRule="exact"/>
        <w:rPr>
          <w:rFonts w:ascii="Times New Roman" w:cs="Times New Roman" w:eastAsia="Times New Roman" w:hAnsi="Times New Roman"/>
          <w:sz w:val="18"/>
          <w:szCs w:val="18"/>
          <w:color w:val="auto"/>
        </w:rPr>
      </w:pPr>
    </w:p>
    <w:p>
      <w:pPr>
        <w:jc w:val="both"/>
        <w:ind w:left="1540" w:right="200" w:hanging="297"/>
        <w:spacing w:after="0" w:line="266" w:lineRule="auto"/>
        <w:tabs>
          <w:tab w:leader="none" w:pos="15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8,533,485 shares of common stock reserved for future issuance under our 2016 Stock Plan, as amended, or the 2016 Plan, as of June 30, 2020, which shares will be added to the shares to be reserved under our 2020 Equity Incentive Plan, or the 2020 Plan, upon its effectiveness; and</w:t>
      </w:r>
    </w:p>
    <w:p>
      <w:pPr>
        <w:spacing w:after="0" w:line="202" w:lineRule="exact"/>
        <w:rPr>
          <w:rFonts w:ascii="Times New Roman" w:cs="Times New Roman" w:eastAsia="Times New Roman" w:hAnsi="Times New Roman"/>
          <w:sz w:val="18"/>
          <w:szCs w:val="18"/>
          <w:color w:val="auto"/>
        </w:rPr>
      </w:pPr>
    </w:p>
    <w:p>
      <w:pPr>
        <w:jc w:val="both"/>
        <w:ind w:left="1540" w:right="220" w:hanging="297"/>
        <w:spacing w:after="0" w:line="266" w:lineRule="auto"/>
        <w:tabs>
          <w:tab w:leader="none" w:pos="2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common stock reserved for future issuance under our 2020 Plan, which will become effective on the business day immediately prior to the date of effectiveness of the registration statement of which this prospectus forms a part, as well as any automatic increases in the number of shares of common stock reserved for future issuance under this plan; and</w:t>
      </w:r>
    </w:p>
    <w:p>
      <w:pPr>
        <w:spacing w:after="0" w:line="202" w:lineRule="exact"/>
        <w:rPr>
          <w:rFonts w:ascii="Times New Roman" w:cs="Times New Roman" w:eastAsia="Times New Roman" w:hAnsi="Times New Roman"/>
          <w:sz w:val="18"/>
          <w:szCs w:val="18"/>
          <w:color w:val="auto"/>
        </w:rPr>
      </w:pPr>
    </w:p>
    <w:p>
      <w:pPr>
        <w:ind w:left="1540" w:hanging="297"/>
        <w:spacing w:after="0" w:line="261" w:lineRule="auto"/>
        <w:tabs>
          <w:tab w:leader="none" w:pos="212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common stock reserved for issuance under our 2020 Employee Stock Purchase Plan, or the 2020 ESPP, which will become effective on the business day immediately prior to the date of effectiveness of the registration statement of which this prospectus forms a part, as well as any automatic increases in the number of shares of common stock reserved for future issuance under this plan.</w:t>
      </w:r>
    </w:p>
    <w:p>
      <w:pPr>
        <w:spacing w:after="0" w:line="18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Unless otherwise indicated, all information in this prospectus assumes:</w:t>
      </w:r>
    </w:p>
    <w:p>
      <w:pPr>
        <w:spacing w:after="0" w:line="252" w:lineRule="exact"/>
        <w:rPr>
          <w:sz w:val="20"/>
          <w:szCs w:val="20"/>
          <w:color w:val="auto"/>
        </w:rPr>
      </w:pPr>
    </w:p>
    <w:p>
      <w:pPr>
        <w:ind w:left="1240"/>
        <w:spacing w:after="0"/>
        <w:tabs>
          <w:tab w:leader="none" w:pos="1520" w:val="left"/>
          <w:tab w:leader="none" w:pos="2360" w:val="left"/>
          <w:tab w:leader="none" w:pos="3420" w:val="left"/>
          <w:tab w:leader="none" w:pos="8480" w:val="left"/>
        </w:tabs>
        <w:rPr>
          <w:sz w:val="20"/>
          <w:szCs w:val="20"/>
          <w:color w:val="auto"/>
        </w:rPr>
      </w:pPr>
      <w:r>
        <w:rPr>
          <w:rFonts w:ascii="Times New Roman" w:cs="Times New Roman" w:eastAsia="Times New Roman" w:hAnsi="Times New Roman"/>
          <w:sz w:val="18"/>
          <w:szCs w:val="18"/>
          <w:color w:val="auto"/>
        </w:rPr>
        <w:t>•</w:t>
        <w:tab/>
        <w:t>a</w:t>
      </w:r>
      <w:r>
        <w:rPr>
          <w:sz w:val="20"/>
          <w:szCs w:val="20"/>
          <w:color w:val="auto"/>
        </w:rPr>
        <w:tab/>
      </w:r>
      <w:r>
        <w:rPr>
          <w:rFonts w:ascii="Times New Roman" w:cs="Times New Roman" w:eastAsia="Times New Roman" w:hAnsi="Times New Roman"/>
          <w:sz w:val="18"/>
          <w:szCs w:val="18"/>
          <w:color w:val="auto"/>
        </w:rPr>
        <w:t>-for-</w:t>
      </w:r>
      <w:r>
        <w:rPr>
          <w:sz w:val="20"/>
          <w:szCs w:val="20"/>
          <w:color w:val="auto"/>
        </w:rPr>
        <w:tab/>
      </w:r>
      <w:r>
        <w:rPr>
          <w:rFonts w:ascii="Times New Roman" w:cs="Times New Roman" w:eastAsia="Times New Roman" w:hAnsi="Times New Roman"/>
          <w:sz w:val="18"/>
          <w:szCs w:val="18"/>
          <w:color w:val="auto"/>
        </w:rPr>
        <w:t>reverse stock split of our common stock to be effective on</w:t>
      </w:r>
      <w:r>
        <w:rPr>
          <w:sz w:val="20"/>
          <w:szCs w:val="20"/>
          <w:color w:val="auto"/>
        </w:rPr>
        <w:tab/>
      </w:r>
      <w:r>
        <w:rPr>
          <w:rFonts w:ascii="Times New Roman" w:cs="Times New Roman" w:eastAsia="Times New Roman" w:hAnsi="Times New Roman"/>
          <w:sz w:val="17"/>
          <w:szCs w:val="17"/>
          <w:color w:val="auto"/>
        </w:rPr>
        <w:t>, 2020;</w:t>
      </w:r>
    </w:p>
    <w:p>
      <w:pPr>
        <w:spacing w:after="0" w:line="252" w:lineRule="exact"/>
        <w:rPr>
          <w:sz w:val="20"/>
          <w:szCs w:val="20"/>
          <w:color w:val="auto"/>
        </w:rPr>
      </w:pPr>
    </w:p>
    <w:p>
      <w:pPr>
        <w:ind w:left="1540" w:right="120" w:hanging="297"/>
        <w:spacing w:after="0" w:line="266" w:lineRule="auto"/>
        <w:tabs>
          <w:tab w:leader="none" w:pos="15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conversion of all outstanding shares of our preferred stock, including 21,221,280 shares of Series C preferred stock issued in September 2020, into an aggregate of 82,498,619 shares of common stock immediately prior to and in connection with the completion of this offering;</w:t>
      </w:r>
    </w:p>
    <w:p>
      <w:pPr>
        <w:spacing w:after="0" w:line="202" w:lineRule="exact"/>
        <w:rPr>
          <w:rFonts w:ascii="Times New Roman" w:cs="Times New Roman" w:eastAsia="Times New Roman" w:hAnsi="Times New Roman"/>
          <w:sz w:val="18"/>
          <w:szCs w:val="18"/>
          <w:color w:val="auto"/>
        </w:rPr>
      </w:pPr>
    </w:p>
    <w:p>
      <w:pPr>
        <w:ind w:left="1540" w:right="40" w:hanging="297"/>
        <w:spacing w:after="0" w:line="282" w:lineRule="auto"/>
        <w:tabs>
          <w:tab w:leader="none" w:pos="15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filing and effectiveness of our amended and restated certificate of incorporation and the adoption of our amended and restated bylaws, each of which will occur immediately prior to the completion of this offering;</w:t>
      </w:r>
    </w:p>
    <w:p>
      <w:pPr>
        <w:spacing w:after="0" w:line="188" w:lineRule="exact"/>
        <w:rPr>
          <w:rFonts w:ascii="Times New Roman" w:cs="Times New Roman" w:eastAsia="Times New Roman" w:hAnsi="Times New Roman"/>
          <w:sz w:val="18"/>
          <w:szCs w:val="18"/>
          <w:color w:val="auto"/>
        </w:rPr>
      </w:pPr>
    </w:p>
    <w:p>
      <w:pPr>
        <w:ind w:left="1540" w:hanging="297"/>
        <w:spacing w:after="0"/>
        <w:tabs>
          <w:tab w:leader="none" w:pos="15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exercise of the underwriters’ option to purchase additional shares; and</w:t>
      </w:r>
    </w:p>
    <w:p>
      <w:pPr>
        <w:spacing w:after="0" w:line="252" w:lineRule="exact"/>
        <w:rPr>
          <w:rFonts w:ascii="Times New Roman" w:cs="Times New Roman" w:eastAsia="Times New Roman" w:hAnsi="Times New Roman"/>
          <w:sz w:val="18"/>
          <w:szCs w:val="18"/>
          <w:color w:val="auto"/>
        </w:rPr>
      </w:pPr>
    </w:p>
    <w:p>
      <w:pPr>
        <w:ind w:left="1540" w:hanging="297"/>
        <w:spacing w:after="0"/>
        <w:tabs>
          <w:tab w:leader="none" w:pos="15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exercise of the outstanding options described above after June 30, 2020.</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57" w:lineRule="exact"/>
        <w:rPr>
          <w:rFonts w:ascii="Times New Roman" w:cs="Times New Roman" w:eastAsia="Times New Roman" w:hAnsi="Times New Roman"/>
          <w:sz w:val="18"/>
          <w:szCs w:val="18"/>
          <w:color w:val="auto"/>
        </w:rPr>
      </w:pPr>
    </w:p>
    <w:p>
      <w:pPr>
        <w:ind w:left="5540" w:hanging="111"/>
        <w:spacing w:after="0"/>
        <w:tabs>
          <w:tab w:leader="none" w:pos="554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13 -</w:t>
      </w:r>
    </w:p>
    <w:p>
      <w:pPr>
        <w:sectPr>
          <w:pgSz w:w="11900" w:h="16838" w:orient="portrait"/>
          <w:cols w:equalWidth="0" w:num="1">
            <w:col w:w="10900"/>
          </w:cols>
          <w:pgMar w:left="320" w:top="455" w:right="679" w:bottom="1440" w:gutter="0" w:footer="0" w:header="0"/>
        </w:sectPr>
      </w:pPr>
    </w:p>
    <w:bookmarkStart w:id="16" w:name="page17"/>
    <w:bookmarkEnd w:id="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1849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998970" cy="618490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SUMMARY FINANCIAL DATA</w:t>
      </w:r>
    </w:p>
    <w:p>
      <w:pPr>
        <w:spacing w:after="0" w:line="229" w:lineRule="exact"/>
        <w:rPr>
          <w:sz w:val="20"/>
          <w:szCs w:val="20"/>
          <w:color w:val="auto"/>
        </w:rPr>
      </w:pPr>
    </w:p>
    <w:p>
      <w:pPr>
        <w:ind w:left="300" w:right="20" w:firstLine="852"/>
        <w:spacing w:after="0" w:line="253" w:lineRule="auto"/>
        <w:rPr>
          <w:sz w:val="20"/>
          <w:szCs w:val="20"/>
          <w:color w:val="auto"/>
        </w:rPr>
      </w:pPr>
      <w:r>
        <w:rPr>
          <w:rFonts w:ascii="Times New Roman" w:cs="Times New Roman" w:eastAsia="Times New Roman" w:hAnsi="Times New Roman"/>
          <w:sz w:val="18"/>
          <w:szCs w:val="18"/>
          <w:color w:val="auto"/>
        </w:rPr>
        <w:t>The summary statements of operations data for the years ended December 31, 2018 and 2019 are derived from our audited financial statements and related notes included elsewhere in this prospectus. We derived the statements of operations data for the six months ended June 30, 2019 and 2020 and the balance sheet data as of June 30, 2020 from the unaudited interim financial statements and related notes included elsewhere in this prospectus. The unaudited interim financial statements have been prepared in accordance with U.S. generally accepted accounting principles and, in the opinion of management, reflect all adjustments, which include only normal, recurring adjustments that are necessary to state fairly the unaudited interim financial statements. Our historical results are not necessarily indicative of results that may be expected in the future, and the results for the six months ended June 30, 2020, are not necessarily indicative of results that may be expected for the full year or any other period. You should read these summary financial data together with our financial statements and related notes appearing elsewhere in this prospectus and the information in the sections titled “Selected Financial Data” and “Management’s Discussion and Analysis of Financial Condition and Results of Operations.” The selected financial data in this section are not intended to replace our financial statements and the related notes and are qualified in their entirety by the financial statements and related notes included elsewhere in this prospectus.</w:t>
      </w:r>
    </w:p>
    <w:p>
      <w:pPr>
        <w:spacing w:after="0" w:line="212" w:lineRule="exact"/>
        <w:rPr>
          <w:sz w:val="20"/>
          <w:szCs w:val="20"/>
          <w:color w:val="auto"/>
        </w:rPr>
      </w:pPr>
    </w:p>
    <w:tbl>
      <w:tblPr>
        <w:tblLayout w:type="fixed"/>
        <w:tblInd w:w="30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7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60" w:type="dxa"/>
            <w:vAlign w:val="bottom"/>
            <w:gridSpan w:val="6"/>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40" w:type="dxa"/>
            <w:vAlign w:val="bottom"/>
            <w:gridSpan w:val="6"/>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22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14"/>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4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3"/>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47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(unaudited)</w:t>
            </w: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jc w:val="right"/>
              <w:ind w:right="13"/>
              <w:spacing w:after="0" w:line="118" w:lineRule="exact"/>
              <w:rPr>
                <w:sz w:val="20"/>
                <w:szCs w:val="20"/>
                <w:color w:val="auto"/>
              </w:rPr>
            </w:pPr>
            <w:r>
              <w:rPr>
                <w:rFonts w:ascii="Times New Roman" w:cs="Times New Roman" w:eastAsia="Times New Roman" w:hAnsi="Times New Roman"/>
                <w:sz w:val="13"/>
                <w:szCs w:val="13"/>
                <w:b w:val="1"/>
                <w:bCs w:val="1"/>
                <w:color w:val="auto"/>
              </w:rPr>
              <w:t>(unaudited)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7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20" w:type="dxa"/>
            <w:vAlign w:val="bottom"/>
            <w:gridSpan w:val="8"/>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data)</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Statement of Operations Data:</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901</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3,162</w:t>
            </w:r>
          </w:p>
        </w:tc>
        <w:tc>
          <w:tcPr>
            <w:tcW w:w="3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2,066</w:t>
            </w:r>
          </w:p>
        </w:tc>
        <w:tc>
          <w:tcPr>
            <w:tcW w:w="4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449</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1,136</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514</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0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1,350</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4,298</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2,580</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4800" w:type="dxa"/>
            <w:vAlign w:val="bottom"/>
            <w:gridSpan w:val="2"/>
          </w:tcPr>
          <w:p>
            <w:pPr>
              <w:spacing w:after="0" w:line="205" w:lineRule="exact"/>
              <w:rPr>
                <w:sz w:val="20"/>
                <w:szCs w:val="20"/>
                <w:color w:val="auto"/>
              </w:rPr>
            </w:pPr>
            <w:r>
              <w:rPr>
                <w:rFonts w:ascii="Times New Roman" w:cs="Times New Roman" w:eastAsia="Times New Roman" w:hAnsi="Times New Roman"/>
                <w:sz w:val="18"/>
                <w:szCs w:val="18"/>
                <w:color w:val="auto"/>
              </w:rPr>
              <w:t>Loss from operations before other income (expense) and</w:t>
            </w: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income taxes</w:t>
            </w: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(1,350)</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(4,298)</w:t>
            </w: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(2,580)</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(5,381)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3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Interest income (expense), net</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(40)</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5</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Loss on extinguishment of related party convertible notes</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(255)</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Change in fair value of derivative liabilities</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(76)</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income (expense)</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(371)</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5</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174</w:t>
            </w:r>
          </w:p>
        </w:tc>
        <w:tc>
          <w:tcPr>
            <w:tcW w:w="0" w:type="dxa"/>
            <w:vAlign w:val="bottom"/>
          </w:tcPr>
          <w:p>
            <w:pPr>
              <w:spacing w:after="0"/>
              <w:rPr>
                <w:sz w:val="1"/>
                <w:szCs w:val="1"/>
                <w:color w:val="auto"/>
              </w:rPr>
            </w:pPr>
          </w:p>
        </w:tc>
      </w:tr>
      <w:tr>
        <w:trPr>
          <w:trHeight w:val="20"/>
        </w:trPr>
        <w:tc>
          <w:tcPr>
            <w:tcW w:w="48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800" w:type="dxa"/>
            <w:vAlign w:val="bottom"/>
            <w:gridSpan w:val="2"/>
            <w:vMerge w:val="continue"/>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and comprehensive loss</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(1,319)</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(4,670)</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(2,576)</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(5,207)</w:t>
            </w:r>
          </w:p>
        </w:tc>
        <w:tc>
          <w:tcPr>
            <w:tcW w:w="0" w:type="dxa"/>
            <w:vAlign w:val="bottom"/>
          </w:tcPr>
          <w:p>
            <w:pPr>
              <w:spacing w:after="0"/>
              <w:rPr>
                <w:sz w:val="1"/>
                <w:szCs w:val="1"/>
                <w:color w:val="auto"/>
              </w:rPr>
            </w:pPr>
          </w:p>
        </w:tc>
      </w:tr>
      <w:tr>
        <w:trPr>
          <w:trHeight w:val="20"/>
        </w:trPr>
        <w:tc>
          <w:tcPr>
            <w:tcW w:w="48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Net loss per share attributable to common stockholders, basic</w:t>
            </w: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480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 xml:space="preserve">and diluted </w:t>
            </w:r>
            <w:r>
              <w:rPr>
                <w:rFonts w:ascii="Times New Roman" w:cs="Times New Roman" w:eastAsia="Times New Roman" w:hAnsi="Times New Roman"/>
                <w:sz w:val="15"/>
                <w:szCs w:val="15"/>
                <w:color w:val="auto"/>
              </w:rPr>
              <w:t>(1)</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(0.10)</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(0.26)</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(0.16)</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4780" w:type="dxa"/>
            <w:vAlign w:val="bottom"/>
            <w:shd w:val="clear" w:color="auto" w:fill="CCEEFF"/>
          </w:tcPr>
          <w:p>
            <w:pPr>
              <w:spacing w:after="0" w:line="192" w:lineRule="exact"/>
              <w:rPr>
                <w:sz w:val="20"/>
                <w:szCs w:val="20"/>
                <w:color w:val="auto"/>
              </w:rPr>
            </w:pPr>
            <w:r>
              <w:rPr>
                <w:rFonts w:ascii="Times New Roman" w:cs="Times New Roman" w:eastAsia="Times New Roman" w:hAnsi="Times New Roman"/>
                <w:sz w:val="18"/>
                <w:szCs w:val="18"/>
                <w:color w:val="auto"/>
              </w:rPr>
              <w:t>Weighted-average shares outstanding used in computing net</w:t>
            </w:r>
          </w:p>
        </w:tc>
        <w:tc>
          <w:tcPr>
            <w:tcW w:w="3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loss per share attributable to common stockholders, basic</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 xml:space="preserve">and diluted </w:t>
            </w:r>
            <w:r>
              <w:rPr>
                <w:rFonts w:ascii="Times New Roman" w:cs="Times New Roman" w:eastAsia="Times New Roman" w:hAnsi="Times New Roman"/>
                <w:sz w:val="15"/>
                <w:szCs w:val="15"/>
                <w:color w:val="auto"/>
              </w:rPr>
              <w:t>(1)</w:t>
            </w:r>
          </w:p>
        </w:tc>
        <w:tc>
          <w:tcPr>
            <w:tcW w:w="3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8"/>
              </w:rPr>
              <w:t>13,068,854</w:t>
            </w:r>
          </w:p>
        </w:tc>
        <w:tc>
          <w:tcPr>
            <w:tcW w:w="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w w:val="98"/>
              </w:rPr>
              <w:t>17,728,991</w:t>
            </w:r>
          </w:p>
        </w:tc>
        <w:tc>
          <w:tcPr>
            <w:tcW w:w="2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w w:val="98"/>
              </w:rPr>
              <w:t>16,580,269</w:t>
            </w:r>
          </w:p>
        </w:tc>
        <w:tc>
          <w:tcPr>
            <w:tcW w:w="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8"/>
              </w:rPr>
              <w:t>19,689,426</w:t>
            </w:r>
          </w:p>
        </w:tc>
        <w:tc>
          <w:tcPr>
            <w:tcW w:w="0" w:type="dxa"/>
            <w:vAlign w:val="bottom"/>
          </w:tcPr>
          <w:p>
            <w:pPr>
              <w:spacing w:after="0"/>
              <w:rPr>
                <w:sz w:val="1"/>
                <w:szCs w:val="1"/>
                <w:color w:val="auto"/>
              </w:rPr>
            </w:pPr>
          </w:p>
        </w:tc>
      </w:tr>
      <w:tr>
        <w:trPr>
          <w:trHeight w:val="20"/>
        </w:trPr>
        <w:tc>
          <w:tcPr>
            <w:tcW w:w="48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Pro forma net loss per share attributable to common</w:t>
            </w: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480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 xml:space="preserve">stockholders, basic and diluted (unaudited) </w:t>
            </w:r>
            <w:r>
              <w:rPr>
                <w:rFonts w:ascii="Times New Roman" w:cs="Times New Roman" w:eastAsia="Times New Roman" w:hAnsi="Times New Roman"/>
                <w:sz w:val="15"/>
                <w:szCs w:val="15"/>
                <w:color w:val="auto"/>
              </w:rPr>
              <w:t>(1)</w:t>
            </w: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300"/>
        <w:spacing w:after="0"/>
        <w:rPr>
          <w:sz w:val="20"/>
          <w:szCs w:val="20"/>
          <w:color w:val="auto"/>
        </w:rPr>
      </w:pPr>
      <w:r>
        <w:rPr>
          <w:rFonts w:ascii="Times New Roman" w:cs="Times New Roman" w:eastAsia="Times New Roman" w:hAnsi="Times New Roman"/>
          <w:sz w:val="18"/>
          <w:szCs w:val="18"/>
          <w:color w:val="auto"/>
        </w:rPr>
        <w:t>Weighted-average shares outstanding used in computing pro</w:t>
      </w:r>
    </w:p>
    <w:p>
      <w:pPr>
        <w:spacing w:after="0" w:line="2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forma net loss per share attributable to common</w:t>
      </w:r>
    </w:p>
    <w:p>
      <w:pPr>
        <w:spacing w:after="0" w:line="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 xml:space="preserve">stockholders, basic and diluted (unaudited) </w:t>
      </w:r>
      <w:r>
        <w:rPr>
          <w:rFonts w:ascii="Times New Roman" w:cs="Times New Roman" w:eastAsia="Times New Roman" w:hAnsi="Times New Roman"/>
          <w:sz w:val="15"/>
          <w:szCs w:val="15"/>
          <w:color w:val="auto"/>
        </w:rPr>
        <w:t>(1)</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940"/>
          </w:cols>
          <w:pgMar w:left="320" w:top="455" w:right="639" w:bottom="1440" w:gutter="0" w:footer="0" w:header="0"/>
        </w:sectPr>
      </w:pPr>
    </w:p>
    <w:bookmarkStart w:id="17" w:name="page18"/>
    <w:bookmarkEnd w:id="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1562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998970" cy="5156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720" w:right="420" w:hanging="422"/>
        <w:spacing w:after="0" w:line="261" w:lineRule="auto"/>
        <w:tabs>
          <w:tab w:leader="none" w:pos="7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calculation of our basic and diluted net loss per share attributable to common stockholders, unaudited basic and diluted pro forma net loss per share and weighted-average number of shares used in the computation of the per share amounts, see Note 6 and Note 7 to our financial statements included elsewhere in this prospectus.</w:t>
      </w:r>
    </w:p>
    <w:p>
      <w:pPr>
        <w:spacing w:after="0" w:line="16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The following table presents our balance sheet data as of June 30, 2020:</w:t>
      </w:r>
    </w:p>
    <w:p>
      <w:pPr>
        <w:spacing w:after="0" w:line="252" w:lineRule="exact"/>
        <w:rPr>
          <w:sz w:val="20"/>
          <w:szCs w:val="20"/>
          <w:color w:val="auto"/>
        </w:rPr>
      </w:pPr>
    </w:p>
    <w:p>
      <w:pPr>
        <w:ind w:left="1540" w:hanging="297"/>
        <w:spacing w:after="0"/>
        <w:tabs>
          <w:tab w:leader="none" w:pos="15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 actual basis;</w:t>
      </w:r>
    </w:p>
    <w:p>
      <w:pPr>
        <w:spacing w:after="0" w:line="252" w:lineRule="exact"/>
        <w:rPr>
          <w:rFonts w:ascii="Times New Roman" w:cs="Times New Roman" w:eastAsia="Times New Roman" w:hAnsi="Times New Roman"/>
          <w:sz w:val="18"/>
          <w:szCs w:val="18"/>
          <w:color w:val="auto"/>
        </w:rPr>
      </w:pPr>
    </w:p>
    <w:p>
      <w:pPr>
        <w:ind w:left="1540" w:right="100" w:hanging="297"/>
        <w:spacing w:after="0" w:line="261" w:lineRule="auto"/>
        <w:tabs>
          <w:tab w:leader="none" w:pos="15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 pro forma basis to give effect to: (i) the issuance of 21,221,280 shares of Series C preferred stock for gross cash proceeds of $40.0 million in September 2020; and (ii) the conversion of all of our outstanding shares of convertible preferred stock into an aggregate of 82,498,619 shares of our common stock, which includes our Series C preferred stock issued in September 2020, immediately prior to the completion of this offering; and</w:t>
      </w:r>
    </w:p>
    <w:p>
      <w:pPr>
        <w:spacing w:after="0" w:line="206" w:lineRule="exact"/>
        <w:rPr>
          <w:rFonts w:ascii="Times New Roman" w:cs="Times New Roman" w:eastAsia="Times New Roman" w:hAnsi="Times New Roman"/>
          <w:sz w:val="18"/>
          <w:szCs w:val="18"/>
          <w:color w:val="auto"/>
        </w:rPr>
      </w:pPr>
    </w:p>
    <w:p>
      <w:pPr>
        <w:ind w:left="1540" w:hanging="297"/>
        <w:spacing w:after="0"/>
        <w:tabs>
          <w:tab w:leader="none" w:pos="15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 pro forma as adjusted basis to give effect to: (i) the pro forma adjustments set forth above and (ii) our sale of</w:t>
      </w:r>
    </w:p>
    <w:p>
      <w:pPr>
        <w:spacing w:after="0" w:line="27" w:lineRule="exact"/>
        <w:rPr>
          <w:sz w:val="20"/>
          <w:szCs w:val="20"/>
          <w:color w:val="auto"/>
        </w:rPr>
      </w:pPr>
    </w:p>
    <w:p>
      <w:pPr>
        <w:ind w:left="1540" w:right="240"/>
        <w:spacing w:after="0" w:line="255" w:lineRule="auto"/>
        <w:rPr>
          <w:sz w:val="20"/>
          <w:szCs w:val="20"/>
          <w:color w:val="auto"/>
        </w:rPr>
      </w:pPr>
      <w:r>
        <w:rPr>
          <w:rFonts w:ascii="Times New Roman" w:cs="Times New Roman" w:eastAsia="Times New Roman" w:hAnsi="Times New Roman"/>
          <w:sz w:val="18"/>
          <w:szCs w:val="18"/>
          <w:color w:val="auto"/>
        </w:rPr>
        <w:t>shares of our common stock in this offering at an assumed initial public offering price of $ per share, which is the midpoint of the price range set forth on the cover page of this prospectus, after deducting estimated underwriting discounts and commissions and estimated offering expenses payable by us.</w:t>
      </w:r>
    </w:p>
    <w:p>
      <w:pPr>
        <w:spacing w:after="0" w:line="207" w:lineRule="exact"/>
        <w:rPr>
          <w:sz w:val="20"/>
          <w:szCs w:val="20"/>
          <w:color w:val="auto"/>
        </w:rPr>
      </w:pPr>
    </w:p>
    <w:tbl>
      <w:tblPr>
        <w:tblLayout w:type="fixed"/>
        <w:tblInd w:w="300" w:type="dxa"/>
        <w:tblCellMar>
          <w:top w:w="0" w:type="dxa"/>
          <w:left w:w="0" w:type="dxa"/>
          <w:bottom w:w="0" w:type="dxa"/>
          <w:right w:w="0" w:type="dxa"/>
        </w:tblCellMar>
      </w:tblPr>
      <w:tr>
        <w:trPr>
          <w:trHeight w:val="173"/>
        </w:trPr>
        <w:tc>
          <w:tcPr>
            <w:tcW w:w="3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0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2140" w:type="dxa"/>
            <w:vAlign w:val="bottom"/>
            <w:tcBorders>
              <w:bottom w:val="single" w:sz="8" w:color="auto"/>
            </w:tcBorders>
          </w:tcPr>
          <w:p>
            <w:pPr>
              <w:jc w:val="center"/>
              <w:ind w:left="8"/>
              <w:spacing w:after="0"/>
              <w:rPr>
                <w:sz w:val="20"/>
                <w:szCs w:val="20"/>
                <w:color w:val="auto"/>
              </w:rPr>
            </w:pPr>
            <w:r>
              <w:rPr>
                <w:rFonts w:ascii="Times New Roman" w:cs="Times New Roman" w:eastAsia="Times New Roman" w:hAnsi="Times New Roman"/>
                <w:sz w:val="14"/>
                <w:szCs w:val="14"/>
                <w:b w:val="1"/>
                <w:bCs w:val="1"/>
                <w:color w:val="auto"/>
              </w:rPr>
              <w:t>As of June 30, 2020 (unaudited)</w:t>
            </w:r>
          </w:p>
        </w:tc>
        <w:tc>
          <w:tcPr>
            <w:tcW w:w="960" w:type="dxa"/>
            <w:vAlign w:val="bottom"/>
            <w:tcBorders>
              <w:bottom w:val="single" w:sz="8" w:color="auto"/>
            </w:tcBorders>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40" w:type="dxa"/>
            <w:vAlign w:val="bottom"/>
            <w:vMerge w:val="restart"/>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2140" w:type="dxa"/>
            <w:vAlign w:val="bottom"/>
            <w:vMerge w:val="restart"/>
          </w:tcPr>
          <w:p>
            <w:pPr>
              <w:ind w:left="70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96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Pro Forma As</w:t>
            </w: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0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2140" w:type="dxa"/>
            <w:vAlign w:val="bottom"/>
            <w:vMerge w:val="continue"/>
          </w:tcPr>
          <w:p>
            <w:pPr>
              <w:spacing w:after="0"/>
              <w:rPr>
                <w:sz w:val="15"/>
                <w:szCs w:val="15"/>
                <w:color w:val="auto"/>
              </w:rPr>
            </w:pPr>
          </w:p>
        </w:tc>
        <w:tc>
          <w:tcPr>
            <w:tcW w:w="1700" w:type="dxa"/>
            <w:vAlign w:val="bottom"/>
            <w:gridSpan w:val="2"/>
          </w:tcPr>
          <w:p>
            <w:pPr>
              <w:jc w:val="center"/>
              <w:ind w:right="740"/>
              <w:spacing w:after="0"/>
              <w:rPr>
                <w:sz w:val="20"/>
                <w:szCs w:val="20"/>
                <w:color w:val="auto"/>
              </w:rPr>
            </w:pPr>
            <w:r>
              <w:rPr>
                <w:rFonts w:ascii="Times New Roman" w:cs="Times New Roman" w:eastAsia="Times New Roman" w:hAnsi="Times New Roman"/>
                <w:sz w:val="14"/>
                <w:szCs w:val="14"/>
                <w:b w:val="1"/>
                <w:bCs w:val="1"/>
                <w:color w:val="auto"/>
              </w:rPr>
              <w:t xml:space="preserve">Adjusted </w:t>
            </w:r>
            <w:r>
              <w:rPr>
                <w:rFonts w:ascii="Times New Roman" w:cs="Times New Roman" w:eastAsia="Times New Roman" w:hAnsi="Times New Roman"/>
                <w:sz w:val="12"/>
                <w:szCs w:val="12"/>
                <w:b w:val="1"/>
                <w:bCs w:val="1"/>
                <w:color w:val="auto"/>
              </w:rPr>
              <w:t>(1)</w:t>
            </w:r>
          </w:p>
        </w:tc>
        <w:tc>
          <w:tcPr>
            <w:tcW w:w="0" w:type="dxa"/>
            <w:vAlign w:val="bottom"/>
          </w:tcPr>
          <w:p>
            <w:pPr>
              <w:spacing w:after="0"/>
              <w:rPr>
                <w:sz w:val="1"/>
                <w:szCs w:val="1"/>
                <w:color w:val="auto"/>
              </w:rPr>
            </w:pPr>
          </w:p>
        </w:tc>
      </w:tr>
      <w:tr>
        <w:trPr>
          <w:trHeight w:val="142"/>
        </w:trPr>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14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960" w:type="dxa"/>
            <w:vAlign w:val="bottom"/>
            <w:tcBorders>
              <w:top w:val="single" w:sz="8" w:color="auto"/>
            </w:tcBorders>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Sheet Data</w:t>
            </w:r>
          </w:p>
        </w:tc>
        <w:tc>
          <w:tcPr>
            <w:tcW w:w="7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560" w:type="dxa"/>
            <w:vAlign w:val="bottom"/>
            <w:gridSpan w:val="2"/>
          </w:tcPr>
          <w:p>
            <w:pPr>
              <w:jc w:val="right"/>
              <w:ind w:right="128"/>
              <w:spacing w:after="0"/>
              <w:rPr>
                <w:sz w:val="20"/>
                <w:szCs w:val="20"/>
                <w:color w:val="auto"/>
              </w:rPr>
            </w:pPr>
            <w:r>
              <w:rPr>
                <w:rFonts w:ascii="Times New Roman" w:cs="Times New Roman" w:eastAsia="Times New Roman" w:hAnsi="Times New Roman"/>
                <w:sz w:val="18"/>
                <w:szCs w:val="18"/>
                <w:color w:val="auto"/>
              </w:rPr>
              <w:t>$ 53,135</w:t>
            </w:r>
          </w:p>
        </w:tc>
        <w:tc>
          <w:tcPr>
            <w:tcW w:w="2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Working capital </w:t>
            </w:r>
            <w:r>
              <w:rPr>
                <w:rFonts w:ascii="Times New Roman" w:cs="Times New Roman" w:eastAsia="Times New Roman" w:hAnsi="Times New Roman"/>
                <w:sz w:val="15"/>
                <w:szCs w:val="15"/>
                <w:color w:val="auto"/>
              </w:rPr>
              <w:t>(2)</w:t>
            </w:r>
          </w:p>
        </w:tc>
        <w:tc>
          <w:tcPr>
            <w:tcW w:w="1560" w:type="dxa"/>
            <w:vAlign w:val="bottom"/>
            <w:gridSpan w:val="2"/>
            <w:shd w:val="clear" w:color="auto" w:fill="CCEEFF"/>
          </w:tcPr>
          <w:p>
            <w:pPr>
              <w:jc w:val="right"/>
              <w:ind w:right="128"/>
              <w:spacing w:after="0"/>
              <w:rPr>
                <w:sz w:val="20"/>
                <w:szCs w:val="20"/>
                <w:color w:val="auto"/>
              </w:rPr>
            </w:pPr>
            <w:r>
              <w:rPr>
                <w:rFonts w:ascii="Times New Roman" w:cs="Times New Roman" w:eastAsia="Times New Roman" w:hAnsi="Times New Roman"/>
                <w:sz w:val="18"/>
                <w:szCs w:val="18"/>
                <w:color w:val="auto"/>
              </w:rPr>
              <w:t>51,631</w:t>
            </w:r>
          </w:p>
        </w:tc>
        <w:tc>
          <w:tcPr>
            <w:tcW w:w="214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560" w:type="dxa"/>
            <w:vAlign w:val="bottom"/>
            <w:gridSpan w:val="2"/>
          </w:tcPr>
          <w:p>
            <w:pPr>
              <w:jc w:val="right"/>
              <w:ind w:right="128"/>
              <w:spacing w:after="0"/>
              <w:rPr>
                <w:sz w:val="20"/>
                <w:szCs w:val="20"/>
                <w:color w:val="auto"/>
              </w:rPr>
            </w:pPr>
            <w:r>
              <w:rPr>
                <w:rFonts w:ascii="Times New Roman" w:cs="Times New Roman" w:eastAsia="Times New Roman" w:hAnsi="Times New Roman"/>
                <w:sz w:val="18"/>
                <w:szCs w:val="18"/>
                <w:color w:val="auto"/>
              </w:rPr>
              <w:t>56,239</w:t>
            </w:r>
          </w:p>
        </w:tc>
        <w:tc>
          <w:tcPr>
            <w:tcW w:w="2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Preferred stock</w:t>
            </w:r>
          </w:p>
        </w:tc>
        <w:tc>
          <w:tcPr>
            <w:tcW w:w="1560" w:type="dxa"/>
            <w:vAlign w:val="bottom"/>
            <w:gridSpan w:val="2"/>
            <w:shd w:val="clear" w:color="auto" w:fill="CCEEFF"/>
          </w:tcPr>
          <w:p>
            <w:pPr>
              <w:jc w:val="right"/>
              <w:ind w:right="128"/>
              <w:spacing w:after="0"/>
              <w:rPr>
                <w:sz w:val="20"/>
                <w:szCs w:val="20"/>
                <w:color w:val="auto"/>
              </w:rPr>
            </w:pPr>
            <w:r>
              <w:rPr>
                <w:rFonts w:ascii="Times New Roman" w:cs="Times New Roman" w:eastAsia="Times New Roman" w:hAnsi="Times New Roman"/>
                <w:sz w:val="18"/>
                <w:szCs w:val="18"/>
                <w:color w:val="auto"/>
              </w:rPr>
              <w:t>63,402</w:t>
            </w:r>
          </w:p>
        </w:tc>
        <w:tc>
          <w:tcPr>
            <w:tcW w:w="214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stockholders’ (deficit) equity</w:t>
            </w:r>
          </w:p>
        </w:tc>
        <w:tc>
          <w:tcPr>
            <w:tcW w:w="156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(11,035)</w:t>
            </w:r>
          </w:p>
        </w:tc>
        <w:tc>
          <w:tcPr>
            <w:tcW w:w="2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7"/>
        </w:trPr>
        <w:tc>
          <w:tcPr>
            <w:tcW w:w="30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gridSpan w:val="2"/>
          </w:tcPr>
          <w:p>
            <w:pPr>
              <w:spacing w:after="0"/>
              <w:rPr>
                <w:sz w:val="10"/>
                <w:szCs w:val="10"/>
                <w:color w:val="auto"/>
              </w:rPr>
            </w:pPr>
          </w:p>
        </w:tc>
        <w:tc>
          <w:tcPr>
            <w:tcW w:w="4060" w:type="dxa"/>
            <w:vAlign w:val="bottom"/>
          </w:tcPr>
          <w:p>
            <w:pPr>
              <w:spacing w:after="0"/>
              <w:rPr>
                <w:sz w:val="10"/>
                <w:szCs w:val="10"/>
                <w:color w:val="auto"/>
              </w:rPr>
            </w:pPr>
          </w:p>
        </w:tc>
        <w:tc>
          <w:tcPr>
            <w:tcW w:w="5400" w:type="dxa"/>
            <w:vAlign w:val="bottom"/>
            <w:gridSpan w:val="5"/>
            <w:vMerge w:val="restart"/>
          </w:tcPr>
          <w:p>
            <w:pPr>
              <w:ind w:left="300"/>
              <w:spacing w:after="0"/>
              <w:rPr>
                <w:sz w:val="20"/>
                <w:szCs w:val="20"/>
                <w:color w:val="auto"/>
              </w:rPr>
            </w:pPr>
            <w:r>
              <w:rPr>
                <w:rFonts w:ascii="Times New Roman" w:cs="Times New Roman" w:eastAsia="Times New Roman" w:hAnsi="Times New Roman"/>
                <w:sz w:val="14"/>
                <w:szCs w:val="14"/>
                <w:color w:val="auto"/>
              </w:rPr>
              <w:t>per share, the midpoint of the price range set forth on the cover of this prospectus, would</w:t>
            </w:r>
          </w:p>
        </w:tc>
        <w:tc>
          <w:tcPr>
            <w:tcW w:w="0" w:type="dxa"/>
            <w:vAlign w:val="bottom"/>
          </w:tcPr>
          <w:p>
            <w:pPr>
              <w:spacing w:after="0"/>
              <w:rPr>
                <w:sz w:val="1"/>
                <w:szCs w:val="1"/>
                <w:color w:val="auto"/>
              </w:rPr>
            </w:pPr>
          </w:p>
        </w:tc>
      </w:tr>
      <w:tr>
        <w:trPr>
          <w:trHeight w:val="162"/>
        </w:trPr>
        <w:tc>
          <w:tcPr>
            <w:tcW w:w="3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(1)</w:t>
            </w:r>
          </w:p>
        </w:tc>
        <w:tc>
          <w:tcPr>
            <w:tcW w:w="492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Each $1.00 increase (decrease) in the assumed initial public offering price of $</w:t>
            </w:r>
          </w:p>
        </w:tc>
        <w:tc>
          <w:tcPr>
            <w:tcW w:w="540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bl>
    <w:p>
      <w:pPr>
        <w:ind w:left="720"/>
        <w:spacing w:after="0" w:line="221" w:lineRule="auto"/>
        <w:rPr>
          <w:sz w:val="20"/>
          <w:szCs w:val="20"/>
          <w:color w:val="auto"/>
        </w:rPr>
      </w:pPr>
      <w:r>
        <w:rPr>
          <w:rFonts w:ascii="Times New Roman" w:cs="Times New Roman" w:eastAsia="Times New Roman" w:hAnsi="Times New Roman"/>
          <w:sz w:val="14"/>
          <w:szCs w:val="14"/>
          <w:color w:val="auto"/>
        </w:rPr>
        <w:t>increase (decrease) the pro forma as adjusted amount of each of cash, cash equivalents and marketable securities, working capital, total assets and total stockholders’ equity by</w:t>
      </w:r>
    </w:p>
    <w:p>
      <w:pPr>
        <w:ind w:left="720" w:right="60" w:hanging="3"/>
        <w:spacing w:after="0" w:line="221" w:lineRule="auto"/>
        <w:tabs>
          <w:tab w:leader="none" w:pos="1367"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million, assuming that the number of shares offered by us, as set forth on the cover of this prospectus, remains the same and after deducting estimated underwriting discounts and commissions and estimated offering expenses payable by us. We may also increase (decrease) the number of shares we are offering. Similarly, each increase (decrease) of 1.0 million in the number of shares offered by us in this offering would increase (decrease) the pro forma as adjusted amount of each of cash, cash equivalents and</w:t>
      </w:r>
    </w:p>
    <w:p>
      <w:pPr>
        <w:spacing w:after="0" w:line="1" w:lineRule="exact"/>
        <w:rPr>
          <w:sz w:val="20"/>
          <w:szCs w:val="20"/>
          <w:color w:val="auto"/>
        </w:rPr>
      </w:pPr>
    </w:p>
    <w:p>
      <w:pPr>
        <w:jc w:val="both"/>
        <w:ind w:left="720" w:right="100"/>
        <w:spacing w:after="0" w:line="233" w:lineRule="auto"/>
        <w:rPr>
          <w:sz w:val="20"/>
          <w:szCs w:val="20"/>
          <w:color w:val="auto"/>
        </w:rPr>
      </w:pPr>
      <w:r>
        <w:rPr>
          <w:rFonts w:ascii="Times New Roman" w:cs="Times New Roman" w:eastAsia="Times New Roman" w:hAnsi="Times New Roman"/>
          <w:sz w:val="14"/>
          <w:szCs w:val="14"/>
          <w:color w:val="auto"/>
        </w:rPr>
        <w:t>marketable securities, working capital, total assets and total stockholders’ equity by $ million, assuming the initial offering price remains the same and after deducting estimated underwriting discounts and commissions and estimated offering expenses payable by us. The pro forma as adjusted information is illustrative only and we will adjust this information based on the actual initial public offering price and other terms of this offering determined at pricing.</w:t>
      </w:r>
    </w:p>
    <w:p>
      <w:pPr>
        <w:spacing w:after="0" w:line="202" w:lineRule="exact"/>
        <w:rPr>
          <w:sz w:val="20"/>
          <w:szCs w:val="20"/>
          <w:color w:val="auto"/>
        </w:rPr>
      </w:pPr>
    </w:p>
    <w:p>
      <w:pPr>
        <w:ind w:left="720" w:right="260" w:hanging="422"/>
        <w:spacing w:after="0" w:line="264" w:lineRule="auto"/>
        <w:tabs>
          <w:tab w:leader="none" w:pos="7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We define working capital as current assets </w:t>
      </w:r>
      <w:r>
        <w:rPr>
          <w:rFonts w:ascii="Times New Roman" w:cs="Times New Roman" w:eastAsia="Times New Roman" w:hAnsi="Times New Roman"/>
          <w:sz w:val="14"/>
          <w:szCs w:val="14"/>
          <w:i w:val="1"/>
          <w:iCs w:val="1"/>
          <w:color w:val="auto"/>
        </w:rPr>
        <w:t>less</w:t>
      </w:r>
      <w:r>
        <w:rPr>
          <w:rFonts w:ascii="Times New Roman" w:cs="Times New Roman" w:eastAsia="Times New Roman" w:hAnsi="Times New Roman"/>
          <w:sz w:val="14"/>
          <w:szCs w:val="14"/>
          <w:color w:val="auto"/>
        </w:rPr>
        <w:t xml:space="preserve"> current liabilities. See our unaudited financial statements and related notes appearing at the end of this prospectus for further details regarding our current assets and current liabilities.</w:t>
      </w: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10" w:lineRule="exact"/>
        <w:rPr>
          <w:rFonts w:ascii="Times New Roman" w:cs="Times New Roman" w:eastAsia="Times New Roman" w:hAnsi="Times New Roman"/>
          <w:sz w:val="14"/>
          <w:szCs w:val="14"/>
          <w:color w:val="auto"/>
        </w:rPr>
      </w:pPr>
    </w:p>
    <w:p>
      <w:pPr>
        <w:ind w:left="5540" w:hanging="111"/>
        <w:spacing w:after="0"/>
        <w:tabs>
          <w:tab w:leader="none" w:pos="554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15 -</w:t>
      </w:r>
    </w:p>
    <w:p>
      <w:pPr>
        <w:sectPr>
          <w:pgSz w:w="11900" w:h="16838" w:orient="portrait"/>
          <w:cols w:equalWidth="0" w:num="1">
            <w:col w:w="10920"/>
          </w:cols>
          <w:pgMar w:left="320" w:top="455" w:right="659" w:bottom="1440" w:gutter="0" w:footer="0" w:header="0"/>
        </w:sectPr>
      </w:pPr>
    </w:p>
    <w:bookmarkStart w:id="18" w:name="page19"/>
    <w:bookmarkEnd w:id="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ind w:left="120" w:right="40" w:firstLine="881"/>
        <w:spacing w:after="0" w:line="256" w:lineRule="auto"/>
        <w:rPr>
          <w:sz w:val="20"/>
          <w:szCs w:val="20"/>
          <w:color w:val="auto"/>
        </w:rPr>
      </w:pPr>
      <w:r>
        <w:rPr>
          <w:rFonts w:ascii="Times New Roman" w:cs="Times New Roman" w:eastAsia="Times New Roman" w:hAnsi="Times New Roman"/>
          <w:sz w:val="18"/>
          <w:szCs w:val="18"/>
          <w:i w:val="1"/>
          <w:iCs w:val="1"/>
          <w:color w:val="auto"/>
        </w:rPr>
        <w:t>Investing in our common stock is speculative and involves a high degree of risk. Before investing in our common stock, you should consider carefully the risks described below, together with the other information contained in this prospectus, including our financial statements and the related notes appearing at the end of this prospectus. If any of the following risks occur, our business, financial condition, results of operations and future growth prospects could be materially and adversely affected. In these circumstances, the market price of our common stock could decline, and you may lose all or part of your investment. This prospectus also contains forward-looking statements that involve risks and uncertainties. Our actual results could differ materially from those anticipated in the forward-looking statements as a result of a number of factors, including the risks described below. See “Special Note Regarding Forward-Looking Statements.”</w:t>
      </w:r>
    </w:p>
    <w:p>
      <w:pPr>
        <w:spacing w:after="0" w:line="18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our Financial Position and Need for Additional Capital</w:t>
      </w:r>
    </w:p>
    <w:p>
      <w:pPr>
        <w:spacing w:after="0" w:line="225" w:lineRule="exact"/>
        <w:rPr>
          <w:sz w:val="20"/>
          <w:szCs w:val="20"/>
          <w:color w:val="auto"/>
        </w:rPr>
      </w:pPr>
    </w:p>
    <w:p>
      <w:pPr>
        <w:ind w:left="120"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incurred significant losses and negative cash flows from operations since our inception and anticipate that we will continue to incur significant expenses and losses for the foreseeable future.</w:t>
      </w:r>
    </w:p>
    <w:p>
      <w:pPr>
        <w:spacing w:after="0" w:line="159" w:lineRule="exact"/>
        <w:rPr>
          <w:sz w:val="20"/>
          <w:szCs w:val="20"/>
          <w:color w:val="auto"/>
        </w:rPr>
      </w:pPr>
    </w:p>
    <w:p>
      <w:pPr>
        <w:ind w:left="120" w:firstLine="881"/>
        <w:spacing w:after="0" w:line="270" w:lineRule="auto"/>
        <w:rPr>
          <w:sz w:val="20"/>
          <w:szCs w:val="20"/>
          <w:color w:val="auto"/>
        </w:rPr>
      </w:pPr>
      <w:r>
        <w:rPr>
          <w:rFonts w:ascii="Times New Roman" w:cs="Times New Roman" w:eastAsia="Times New Roman" w:hAnsi="Times New Roman"/>
          <w:sz w:val="17"/>
          <w:szCs w:val="17"/>
          <w:color w:val="auto"/>
        </w:rPr>
        <w:t>We do not have any products approved for sale, we have not generated any revenue and have incurred net losses in each reporting period since our company’s formation in 2016. We have funded our operations primarily from the sale and issuance of redeemable convertible preferred stock and convertible promissory notes. For the years ended December 31, 2019 and 2018, our net losses were $4.7 million and $1.3 million, respectively. For the six months ended June 30, 2019 and 2020, our net losses were $2.6 million and $5.2 million, respectively. As of December 31, 2019 and June 30, 2020, we had an accumulated deficit of $6.0 million and $11.2 million, respectively. Additionally, the net losses we incur may fluctuate significantly from quarter to quarter such that a period-to-period comparison of our results of operations may not be a good indicator of our future performance. The size of our future net losses will depend, in part, on the rate of future growth of our expenses and our ability to generate revenue. We expect that it will be a few years, if ever, before we have a product candidate ready for commercialization. We expect to incur increasing levels of operating losses over the next several years and for the foreseeable future as we advance and commercialize, if approved, our product candidates. Our prior losses, combined with expected future losses, have had and will continue to have an adverse effect on our accumulated deficit and working capital.</w:t>
      </w:r>
    </w:p>
    <w:p>
      <w:pPr>
        <w:spacing w:after="0" w:line="177" w:lineRule="exact"/>
        <w:rPr>
          <w:sz w:val="20"/>
          <w:szCs w:val="20"/>
          <w:color w:val="auto"/>
        </w:rPr>
      </w:pPr>
    </w:p>
    <w:p>
      <w:pPr>
        <w:ind w:left="120" w:firstLine="881"/>
        <w:spacing w:after="0" w:line="282" w:lineRule="auto"/>
        <w:rPr>
          <w:sz w:val="20"/>
          <w:szCs w:val="20"/>
          <w:color w:val="auto"/>
        </w:rPr>
      </w:pPr>
      <w:r>
        <w:rPr>
          <w:rFonts w:ascii="Times New Roman" w:cs="Times New Roman" w:eastAsia="Times New Roman" w:hAnsi="Times New Roman"/>
          <w:sz w:val="18"/>
          <w:szCs w:val="18"/>
          <w:color w:val="auto"/>
        </w:rPr>
        <w:t>We expect to continue incurring significant expenses and increasing operating losses for the foreseeable future. We expect that our expenses will increase substantially if and as we:</w:t>
      </w:r>
    </w:p>
    <w:p>
      <w:pPr>
        <w:spacing w:after="0" w:line="189" w:lineRule="exact"/>
        <w:rPr>
          <w:sz w:val="20"/>
          <w:szCs w:val="20"/>
          <w:color w:val="auto"/>
        </w:rPr>
      </w:pPr>
    </w:p>
    <w:p>
      <w:pPr>
        <w:ind w:left="1420" w:hanging="319"/>
        <w:spacing w:after="0"/>
        <w:tabs>
          <w:tab w:leader="none" w:pos="14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prepare for and initiate additional preclinical, clinical and other studies for our product candidates;</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or add additional manufacturers or suppliers, some of which may require additional permits or other governmental approvals;</w:t>
      </w:r>
    </w:p>
    <w:p>
      <w:pPr>
        <w:spacing w:after="0" w:line="252" w:lineRule="exact"/>
        <w:rPr>
          <w:rFonts w:ascii="Times New Roman" w:cs="Times New Roman" w:eastAsia="Times New Roman" w:hAnsi="Times New Roman"/>
          <w:sz w:val="18"/>
          <w:szCs w:val="18"/>
          <w:color w:val="auto"/>
        </w:rPr>
      </w:pPr>
    </w:p>
    <w:p>
      <w:pPr>
        <w:ind w:left="1420" w:right="900" w:hanging="319"/>
        <w:spacing w:after="0" w:line="282" w:lineRule="auto"/>
        <w:tabs>
          <w:tab w:leader="none" w:pos="14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additional infrastructure to support our operations as a public company, including adding operational, financial and management information systems and personnel;</w:t>
      </w:r>
    </w:p>
    <w:p>
      <w:pPr>
        <w:spacing w:after="0" w:line="188" w:lineRule="exact"/>
        <w:rPr>
          <w:rFonts w:ascii="Times New Roman" w:cs="Times New Roman" w:eastAsia="Times New Roman" w:hAnsi="Times New Roman"/>
          <w:sz w:val="18"/>
          <w:szCs w:val="18"/>
          <w:color w:val="auto"/>
        </w:rPr>
      </w:pPr>
    </w:p>
    <w:p>
      <w:pPr>
        <w:ind w:left="1420" w:right="680" w:hanging="319"/>
        <w:spacing w:after="0" w:line="282" w:lineRule="auto"/>
        <w:tabs>
          <w:tab w:leader="none" w:pos="14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 our product development and planned future commercialization efforts, including through hiring additional clinical, regulatory, quality control and scientific personnel;</w:t>
      </w:r>
    </w:p>
    <w:p>
      <w:pPr>
        <w:spacing w:after="0" w:line="188"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marketing approvals and reimbursement for our product candidates;</w:t>
      </w:r>
    </w:p>
    <w:p>
      <w:pPr>
        <w:spacing w:after="0" w:line="252" w:lineRule="exact"/>
        <w:rPr>
          <w:rFonts w:ascii="Times New Roman" w:cs="Times New Roman" w:eastAsia="Times New Roman" w:hAnsi="Times New Roman"/>
          <w:sz w:val="18"/>
          <w:szCs w:val="18"/>
          <w:color w:val="auto"/>
        </w:rPr>
      </w:pPr>
    </w:p>
    <w:p>
      <w:pPr>
        <w:ind w:left="1420" w:right="580" w:hanging="319"/>
        <w:spacing w:after="0" w:line="282" w:lineRule="auto"/>
        <w:tabs>
          <w:tab w:leader="none" w:pos="14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sales, marketing, and distribution infrastructure to commercialize any products for which we may obtain marketing approval;</w:t>
      </w:r>
    </w:p>
    <w:p>
      <w:pPr>
        <w:spacing w:after="0" w:line="188"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to identify, assess, acquire or develop additional product candidates;</w:t>
      </w:r>
    </w:p>
    <w:p>
      <w:pPr>
        <w:spacing w:after="0" w:line="157" w:lineRule="exact"/>
        <w:rPr>
          <w:rFonts w:ascii="Times New Roman" w:cs="Times New Roman" w:eastAsia="Times New Roman" w:hAnsi="Times New Roman"/>
          <w:sz w:val="18"/>
          <w:szCs w:val="18"/>
          <w:color w:val="auto"/>
        </w:rPr>
      </w:pPr>
    </w:p>
    <w:p>
      <w:pPr>
        <w:ind w:left="5540" w:hanging="111"/>
        <w:spacing w:after="0"/>
        <w:tabs>
          <w:tab w:leader="none" w:pos="554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16 -</w:t>
      </w:r>
    </w:p>
    <w:p>
      <w:pPr>
        <w:sectPr>
          <w:pgSz w:w="11900" w:h="16838" w:orient="portrait"/>
          <w:cols w:equalWidth="0" w:num="1">
            <w:col w:w="11080"/>
          </w:cols>
          <w:pgMar w:left="320" w:top="455" w:right="499" w:bottom="1440" w:gutter="0" w:footer="0" w:header="0"/>
        </w:sectPr>
      </w:pPr>
    </w:p>
    <w:bookmarkStart w:id="19" w:name="page20"/>
    <w:bookmarkEnd w:id="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420" w:hanging="319"/>
        <w:spacing w:after="0"/>
        <w:tabs>
          <w:tab w:leader="none" w:pos="14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or in-license other product candidates and technologies;</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milestone or other payments in connection with the development or approval of our product candidates;</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protect, enforce and expand our intellectual property portfolio; and</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 any delays or encounter issues with any of the above.</w:t>
      </w:r>
    </w:p>
    <w:p>
      <w:pPr>
        <w:spacing w:after="0" w:line="225" w:lineRule="exact"/>
        <w:rPr>
          <w:sz w:val="20"/>
          <w:szCs w:val="20"/>
          <w:color w:val="auto"/>
        </w:rPr>
      </w:pPr>
    </w:p>
    <w:p>
      <w:pPr>
        <w:jc w:val="both"/>
        <w:ind w:left="120" w:right="420" w:firstLine="881"/>
        <w:spacing w:after="0" w:line="266" w:lineRule="auto"/>
        <w:rPr>
          <w:sz w:val="20"/>
          <w:szCs w:val="20"/>
          <w:color w:val="auto"/>
        </w:rPr>
      </w:pPr>
      <w:r>
        <w:rPr>
          <w:rFonts w:ascii="Times New Roman" w:cs="Times New Roman" w:eastAsia="Times New Roman" w:hAnsi="Times New Roman"/>
          <w:sz w:val="18"/>
          <w:szCs w:val="18"/>
          <w:color w:val="auto"/>
        </w:rPr>
        <w:t>Because of the numerous risks and uncertainties associated with biopharmaceutical product development, we are unable to accurately predict the timing or amount of increased expenses or when, or if, we will be able to achieve profitability. Our expenses could increase beyond our expectations if, among other things:</w:t>
      </w:r>
    </w:p>
    <w:p>
      <w:pPr>
        <w:spacing w:after="0" w:line="203" w:lineRule="exact"/>
        <w:rPr>
          <w:sz w:val="20"/>
          <w:szCs w:val="20"/>
          <w:color w:val="auto"/>
        </w:rPr>
      </w:pPr>
    </w:p>
    <w:p>
      <w:pPr>
        <w:ind w:left="1420" w:hanging="319"/>
        <w:spacing w:after="0"/>
        <w:tabs>
          <w:tab w:leader="none" w:pos="14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required by regulatory authorities to perform trials or studies in addition to, or different than, those that we currently expect;</w:t>
      </w:r>
    </w:p>
    <w:p>
      <w:pPr>
        <w:spacing w:after="0" w:line="252" w:lineRule="exact"/>
        <w:rPr>
          <w:rFonts w:ascii="Times New Roman" w:cs="Times New Roman" w:eastAsia="Times New Roman" w:hAnsi="Times New Roman"/>
          <w:sz w:val="18"/>
          <w:szCs w:val="18"/>
          <w:color w:val="auto"/>
        </w:rPr>
      </w:pPr>
    </w:p>
    <w:p>
      <w:pPr>
        <w:ind w:left="1420" w:right="60" w:hanging="319"/>
        <w:spacing w:after="0" w:line="282" w:lineRule="auto"/>
        <w:tabs>
          <w:tab w:leader="none" w:pos="14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any delays in establishing appropriate manufacturing arrangements for or completing the development of any of our product candidates; or</w:t>
      </w:r>
    </w:p>
    <w:p>
      <w:pPr>
        <w:spacing w:after="0" w:line="188"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any third-party challenges to our intellectual property or we need to defend against any intellectual property-related claim.</w:t>
      </w:r>
    </w:p>
    <w:p>
      <w:pPr>
        <w:spacing w:after="0" w:line="225" w:lineRule="exact"/>
        <w:rPr>
          <w:sz w:val="20"/>
          <w:szCs w:val="20"/>
          <w:color w:val="auto"/>
        </w:rPr>
      </w:pPr>
    </w:p>
    <w:p>
      <w:pPr>
        <w:ind w:left="120" w:right="100" w:firstLine="881"/>
        <w:spacing w:after="0" w:line="261" w:lineRule="auto"/>
        <w:rPr>
          <w:sz w:val="20"/>
          <w:szCs w:val="20"/>
          <w:color w:val="auto"/>
        </w:rPr>
      </w:pPr>
      <w:r>
        <w:rPr>
          <w:rFonts w:ascii="Times New Roman" w:cs="Times New Roman" w:eastAsia="Times New Roman" w:hAnsi="Times New Roman"/>
          <w:sz w:val="18"/>
          <w:szCs w:val="18"/>
          <w:color w:val="auto"/>
        </w:rPr>
        <w:t>Even if we obtain regulatory approval for and are successful in commercializing one or more of our product candidates, we expect to incur substantial additional research and development and other expenditures to develop and market additional product candidates or to expand the approved indications of any marketed product. We may encounter unforeseen expenses, difficulties, complications, delays and other unknown factors that may adversely affect our business.</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limited operating history may make it difficult for you to evaluate the success of our business to date and to assess our future viability.</w:t>
      </w:r>
    </w:p>
    <w:p>
      <w:pPr>
        <w:spacing w:after="0" w:line="229" w:lineRule="exact"/>
        <w:rPr>
          <w:sz w:val="20"/>
          <w:szCs w:val="20"/>
          <w:color w:val="auto"/>
        </w:rPr>
      </w:pPr>
    </w:p>
    <w:p>
      <w:pPr>
        <w:ind w:left="120" w:firstLine="881"/>
        <w:spacing w:after="0" w:line="253" w:lineRule="auto"/>
        <w:rPr>
          <w:sz w:val="20"/>
          <w:szCs w:val="20"/>
          <w:color w:val="auto"/>
        </w:rPr>
      </w:pPr>
      <w:r>
        <w:rPr>
          <w:rFonts w:ascii="Times New Roman" w:cs="Times New Roman" w:eastAsia="Times New Roman" w:hAnsi="Times New Roman"/>
          <w:sz w:val="18"/>
          <w:szCs w:val="18"/>
          <w:color w:val="auto"/>
        </w:rPr>
        <w:t>We commenced activities in 2016. Our limited operating history may make it difficult to evaluate the success of our business to date and to assess our future viability. Our operations to date have been limited to organizing our company, raising capital, identifying and developing product candidates, establishing licensing arrangements and/or acquiring necessary technology, undertaking research, preclinical studies and clinical trials of our product candidates, establishing arrangements for the manufacture of product candidates and longer-term planning for potential commercialization. Our prospects must be considered in light of the uncertainties, risks, expenses and difficulties frequently encountered by companies in their early stages of operations. We have limited experience in and have not yet demonstrated our ability to obtain marketing approvals, manufacture a commercial scale product or arrange for a third party to do so on our behalf, or conduct sales, marketing and distribution activities necessary for successful product commercialization. Consequently, any predictions you make about our future success or viability may not be as accurate as they could be if we had a longer operating history or a history of successfully developing, obtaining marketing approval for and commercializing products. In addition, as our business grows, we may encounter unforeseen expenses, difficulties, complications, delays and other known and unknown obstacles. We will need to transition at some point from a company with a research and development focus to a company capable of supporting commercial activities. We may not be successful in such a transition.</w:t>
      </w:r>
    </w:p>
    <w:p>
      <w:pPr>
        <w:spacing w:after="0" w:line="12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100"/>
          </w:cols>
          <w:pgMar w:left="320" w:top="455" w:right="479" w:bottom="1440" w:gutter="0" w:footer="0" w:header="0"/>
        </w:sectPr>
      </w:pPr>
    </w:p>
    <w:bookmarkStart w:id="20" w:name="page21"/>
    <w:bookmarkEnd w:id="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heavily dependent on the success of our lead product candidate, TP-03, for the treatment of Demodex blepharitis. If we are unable to successfully complete the clinical development program, obtain regulatory approval for, or commercialize, TP-03, or experience significant delays in doing so, our business will be materially harmed.</w:t>
      </w:r>
    </w:p>
    <w:p>
      <w:pPr>
        <w:spacing w:after="0" w:line="175" w:lineRule="exact"/>
        <w:rPr>
          <w:sz w:val="20"/>
          <w:szCs w:val="20"/>
          <w:color w:val="auto"/>
        </w:rPr>
      </w:pPr>
    </w:p>
    <w:p>
      <w:pPr>
        <w:ind w:left="120" w:firstLine="881"/>
        <w:spacing w:after="0" w:line="252" w:lineRule="auto"/>
        <w:rPr>
          <w:sz w:val="20"/>
          <w:szCs w:val="20"/>
          <w:color w:val="auto"/>
        </w:rPr>
      </w:pPr>
      <w:r>
        <w:rPr>
          <w:rFonts w:ascii="Times New Roman" w:cs="Times New Roman" w:eastAsia="Times New Roman" w:hAnsi="Times New Roman"/>
          <w:sz w:val="18"/>
          <w:szCs w:val="18"/>
          <w:color w:val="auto"/>
        </w:rPr>
        <w:t>We currently have no products that are approved for commercial sale and we have never had any products approved for sale or commercialized. To date, we have invested a substantial majority of our business efforts and financial resources to the preclinical and clinical development of TP-03 for the treatment of Demodex blepharitis. Our future success is dependent on our ability to successfully develop, obtain regulatory approval for, and commercialize TP-03 for the treatment of Demodex blepharitis, and we cannot accurately predict when or if TP-03 will be proven to be effective or safe in humans or whether it will receive regulatory approval. Before we can generate any revenue from sales of TP-03, we will be required to conduct additional clinical development, seek and obtain regulatory approval, secure adequate manufacturing supply to support commercial sales and build a commercial organization. We have not yet demonstrated our ability to complete pivotal clinical trials. Further, the commercial success of TP-03 will also depend on patent protection, successfully educating ECPs about Demodex blepharitis and related diagnosis, acceptance of TP-03 by patients, the medical community and third-party payors, TP-03’s ability to compete with other therapies, secure adequate healthcare coverage and reimbursement, and maintenance of an acceptable safety profile following approval, among other factors. If we do not achieve one or more of these factors in a timely manner or at all, we could experience significant delays or an inability to successfully commercialize TP-03, which would materially harm our business. If we were required to discontinue development of TP-03, or if TP-03 does not receive regulatory approval, fails to achieve significant market acceptance, or fails to receive adequate reimbursement, we would be delayed by many years in our ability to achieve profitability, if ever, and may not be able to generate sufficient revenue to continue our business.</w:t>
      </w:r>
    </w:p>
    <w:p>
      <w:pPr>
        <w:spacing w:after="0" w:line="193" w:lineRule="exact"/>
        <w:rPr>
          <w:sz w:val="20"/>
          <w:szCs w:val="20"/>
          <w:color w:val="auto"/>
        </w:rPr>
      </w:pPr>
    </w:p>
    <w:p>
      <w:pPr>
        <w:jc w:val="both"/>
        <w:ind w:left="120" w:right="1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Even if this offering is successful, we will need to obtain substantial additional funding to complete the development and any commercialization of our product candidates, if approved. If we are unable to raise this necessary capital when needed, we would be forced to delay, reduce or eliminate our product development programs, commercialization efforts or other operations.</w:t>
      </w:r>
    </w:p>
    <w:p>
      <w:pPr>
        <w:spacing w:after="0" w:line="175" w:lineRule="exact"/>
        <w:rPr>
          <w:sz w:val="20"/>
          <w:szCs w:val="20"/>
          <w:color w:val="auto"/>
        </w:rPr>
      </w:pPr>
    </w:p>
    <w:p>
      <w:pPr>
        <w:ind w:left="120" w:right="20" w:firstLine="881"/>
        <w:spacing w:after="0" w:line="256" w:lineRule="auto"/>
        <w:rPr>
          <w:sz w:val="20"/>
          <w:szCs w:val="20"/>
          <w:color w:val="auto"/>
        </w:rPr>
      </w:pPr>
      <w:r>
        <w:rPr>
          <w:rFonts w:ascii="Times New Roman" w:cs="Times New Roman" w:eastAsia="Times New Roman" w:hAnsi="Times New Roman"/>
          <w:sz w:val="18"/>
          <w:szCs w:val="18"/>
          <w:color w:val="auto"/>
        </w:rPr>
        <w:t>Since our inception, we have funded our operations through private placements of preferred stock and convertible promissory notes. Over the next few years, we expect our expenses to increase substantially and we will require a larger amount of capital to fund the development of our product candidates. As our product candidates enter and advance through preclinical studies and clinical trials, we will need substantial additional funds to expand our clinical, regulatory, quality and manufacturing capabilities. In addition, if we obtain marketing approval for any of our product candidates, we expect to incur significant commercialization expenses related to marketing, sales, manufacturing and distribution. Furthermore, upon the completion of this offering, we expect to incur additional costs associated with operating as a public company.</w:t>
      </w:r>
    </w:p>
    <w:p>
      <w:pPr>
        <w:spacing w:after="0" w:line="187" w:lineRule="exact"/>
        <w:rPr>
          <w:sz w:val="20"/>
          <w:szCs w:val="20"/>
          <w:color w:val="auto"/>
        </w:rPr>
      </w:pPr>
    </w:p>
    <w:p>
      <w:pPr>
        <w:ind w:left="120" w:right="40" w:firstLine="881"/>
        <w:spacing w:after="0" w:line="253" w:lineRule="auto"/>
        <w:rPr>
          <w:sz w:val="20"/>
          <w:szCs w:val="20"/>
          <w:color w:val="auto"/>
        </w:rPr>
      </w:pPr>
      <w:r>
        <w:rPr>
          <w:rFonts w:ascii="Times New Roman" w:cs="Times New Roman" w:eastAsia="Times New Roman" w:hAnsi="Times New Roman"/>
          <w:sz w:val="18"/>
          <w:szCs w:val="18"/>
          <w:color w:val="auto"/>
        </w:rPr>
        <w:t>As of June 30, 2020, we had $53.1 million in cash and cash equivalents. We raised an additional $40.0 million in gross cash proceeds from the sale of Series C preferred stock in September 2020. Based on our current business plans, we believe that our existing cash and cash equivalents will be sufficient to fund our anticipated level of operations through at least the next 12 months without the proceeds from this offering. With the expected net proceeds from this offering, we believe that our cash and cash equivalents will be sufficient to fund our operating expenses and capital expenditure requirements into 20 . Accordingly, the expected net proceeds from this offering will be insufficient for us to concurrently fund our product candidates through regulatory approval and commercialization. We will need to raise substantial additional capital to complete the development and commercialization of our product candidates through equity offerings, debt financings, marketing and distribution arrangements and other collaborations, strategic alliances and licensing arrangements or other sources. We may also need to raise additional funds earlier than currently anticipated if we choose to pursue additional indications for our product candidates, acquire new product candidates or otherwise expand our business more rapidly than we presently planned.</w:t>
      </w:r>
    </w:p>
    <w:p>
      <w:pPr>
        <w:spacing w:after="0" w:line="1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120"/>
          </w:cols>
          <w:pgMar w:left="320" w:top="455" w:right="459" w:bottom="1440" w:gutter="0" w:footer="0" w:header="0"/>
        </w:sectPr>
      </w:pPr>
    </w:p>
    <w:bookmarkStart w:id="21" w:name="page22"/>
    <w:bookmarkEnd w:id="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80" w:firstLine="881"/>
        <w:spacing w:after="0" w:line="266" w:lineRule="auto"/>
        <w:rPr>
          <w:sz w:val="20"/>
          <w:szCs w:val="20"/>
          <w:color w:val="auto"/>
        </w:rPr>
      </w:pPr>
      <w:r>
        <w:rPr>
          <w:rFonts w:ascii="Times New Roman" w:cs="Times New Roman" w:eastAsia="Times New Roman" w:hAnsi="Times New Roman"/>
          <w:sz w:val="18"/>
          <w:szCs w:val="18"/>
          <w:color w:val="auto"/>
        </w:rPr>
        <w:t>We have based these estimates on assumptions that may prove to be incorrect or require adjustment because of our ongoing business decisions, and we could utilize our available capital resources sooner than we currently expect. Our future capital requirements will depend on many factors, including:</w:t>
      </w:r>
    </w:p>
    <w:p>
      <w:pPr>
        <w:spacing w:after="0" w:line="203" w:lineRule="exact"/>
        <w:rPr>
          <w:sz w:val="20"/>
          <w:szCs w:val="20"/>
          <w:color w:val="auto"/>
        </w:rPr>
      </w:pPr>
    </w:p>
    <w:p>
      <w:pPr>
        <w:ind w:left="1420" w:right="180" w:hanging="319"/>
        <w:spacing w:after="0" w:line="282" w:lineRule="auto"/>
        <w:tabs>
          <w:tab w:leader="none" w:pos="14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rate of progress, costs and results of our drug discovery, preclinical development activities, laboratory testing and clinical trials for our product candidates;</w:t>
      </w:r>
    </w:p>
    <w:p>
      <w:pPr>
        <w:spacing w:after="0" w:line="188"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scope of clinical programs we decide to pursue;</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and costs of manufacturing development and commercial manufacturing activities and our ability to scale them up;</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acquire or in-license other product candidates and technologies;</w:t>
      </w:r>
    </w:p>
    <w:p>
      <w:pPr>
        <w:spacing w:after="0" w:line="252" w:lineRule="exact"/>
        <w:rPr>
          <w:rFonts w:ascii="Times New Roman" w:cs="Times New Roman" w:eastAsia="Times New Roman" w:hAnsi="Times New Roman"/>
          <w:sz w:val="18"/>
          <w:szCs w:val="18"/>
          <w:color w:val="auto"/>
        </w:rPr>
      </w:pPr>
    </w:p>
    <w:p>
      <w:pPr>
        <w:ind w:left="1420" w:right="100" w:hanging="319"/>
        <w:spacing w:after="0" w:line="266" w:lineRule="auto"/>
        <w:tabs>
          <w:tab w:leader="none" w:pos="14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timing and outcome of regulatory review of our product candidates, including the potential for regulatory authorities to require that we conduct more studies and trials than those that we currently expect to conduct and the costs of post-marketing studies or risk evaluation and mitigation strategies that could be required by regulatory authorities;</w:t>
      </w:r>
    </w:p>
    <w:p>
      <w:pPr>
        <w:spacing w:after="0" w:line="20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changes in the regulatory environment and enforcement rules;</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timing of establishing sales and marketing capabilities, if any of our product candidates receive marketing approval;</w:t>
      </w:r>
    </w:p>
    <w:p>
      <w:pPr>
        <w:spacing w:after="0" w:line="252" w:lineRule="exact"/>
        <w:rPr>
          <w:rFonts w:ascii="Times New Roman" w:cs="Times New Roman" w:eastAsia="Times New Roman" w:hAnsi="Times New Roman"/>
          <w:sz w:val="18"/>
          <w:szCs w:val="18"/>
          <w:color w:val="auto"/>
        </w:rPr>
      </w:pPr>
    </w:p>
    <w:p>
      <w:pPr>
        <w:ind w:left="1420" w:right="520" w:hanging="319"/>
        <w:spacing w:after="0" w:line="282" w:lineRule="auto"/>
        <w:tabs>
          <w:tab w:leader="none" w:pos="14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preparing, filing and prosecuting patent applications, maintaining and enforcing our intellectual property rights and defending intellectual property-related claims;</w:t>
      </w:r>
    </w:p>
    <w:p>
      <w:pPr>
        <w:spacing w:after="0" w:line="188"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collaborations on favorable terms, if at all;</w:t>
      </w:r>
    </w:p>
    <w:p>
      <w:pPr>
        <w:spacing w:after="0" w:line="252" w:lineRule="exact"/>
        <w:rPr>
          <w:rFonts w:ascii="Times New Roman" w:cs="Times New Roman" w:eastAsia="Times New Roman" w:hAnsi="Times New Roman"/>
          <w:sz w:val="18"/>
          <w:szCs w:val="18"/>
          <w:color w:val="auto"/>
        </w:rPr>
      </w:pPr>
    </w:p>
    <w:p>
      <w:pPr>
        <w:ind w:left="1420" w:right="20" w:hanging="319"/>
        <w:spacing w:after="0" w:line="282" w:lineRule="auto"/>
        <w:tabs>
          <w:tab w:leader="none" w:pos="14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efforts to enhance operational systems and our ability to attract, hire and retain qualified personnel, including personnel to support the development of our product candidates;</w:t>
      </w:r>
    </w:p>
    <w:p>
      <w:pPr>
        <w:spacing w:after="0" w:line="188"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changes in pharmaceutical pricing and reimbursement infrastructure;</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being a public company; and</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associated with commercializing our product candidates, if they receive marketing approval.</w:t>
      </w:r>
    </w:p>
    <w:p>
      <w:pPr>
        <w:spacing w:after="0" w:line="225" w:lineRule="exact"/>
        <w:rPr>
          <w:sz w:val="20"/>
          <w:szCs w:val="20"/>
          <w:color w:val="auto"/>
        </w:rPr>
      </w:pPr>
    </w:p>
    <w:p>
      <w:pPr>
        <w:ind w:left="120" w:firstLine="881"/>
        <w:spacing w:after="0" w:line="253" w:lineRule="auto"/>
        <w:rPr>
          <w:sz w:val="20"/>
          <w:szCs w:val="20"/>
          <w:color w:val="auto"/>
        </w:rPr>
      </w:pPr>
      <w:r>
        <w:rPr>
          <w:rFonts w:ascii="Times New Roman" w:cs="Times New Roman" w:eastAsia="Times New Roman" w:hAnsi="Times New Roman"/>
          <w:sz w:val="18"/>
          <w:szCs w:val="18"/>
          <w:color w:val="auto"/>
        </w:rPr>
        <w:t>Identifying potential product candidates and conducting preclinical studies and clinical trials is a time consuming, expensive and uncertain process that takes years to complete, and we may never generate the necessary data or results required to obtain marketing approval. In addition, our product candidates, if approved, may not achieve adequate product sales or commercial success. We do not expect to have any products commercially available for sale for many years, if at all. Accordingly, we will need to obtain substantial additional funding in connection with our continuing operations. Adequate additional financing may not be available to us on acceptable terms, or at all, and may be impacted by the economic climate and market conditions. For example, market volatility resulting from the COVID-19 pandemic or any other future infectious diseases, epidemics or pandemics could also adversely impact our ability to access capital as and when needed. If we are unable to raise capital when needed or on attractive terms, we would be forced to delay, limit, reduce or eliminate our research and development programs or future commercialization efforts or grant rights to develop and market product candidates that we would otherwise prefer to develop and market ourselves. In addition, attempting to secure additional financing may divert the time and attention of management from day-to-day</w:t>
      </w:r>
    </w:p>
    <w:p>
      <w:pPr>
        <w:spacing w:after="0" w:line="1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100"/>
          </w:cols>
          <w:pgMar w:left="320" w:top="455" w:right="479" w:bottom="1440" w:gutter="0" w:footer="0" w:header="0"/>
        </w:sectPr>
      </w:pPr>
    </w:p>
    <w:bookmarkStart w:id="22" w:name="page23"/>
    <w:bookmarkEnd w:id="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60"/>
        <w:spacing w:after="0" w:line="282" w:lineRule="auto"/>
        <w:rPr>
          <w:sz w:val="20"/>
          <w:szCs w:val="20"/>
          <w:color w:val="auto"/>
        </w:rPr>
      </w:pPr>
      <w:r>
        <w:rPr>
          <w:rFonts w:ascii="Times New Roman" w:cs="Times New Roman" w:eastAsia="Times New Roman" w:hAnsi="Times New Roman"/>
          <w:sz w:val="18"/>
          <w:szCs w:val="18"/>
          <w:color w:val="auto"/>
        </w:rPr>
        <w:t>activities and distract from our research and development efforts. Alternatively, we may seek additional capital due to favorable market conditions or strategic considerations, even if we believe we have sufficient funds for our current or future operating plans.</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currently generate no revenues from sales of any products and may never generate revenue or be profitable.</w:t>
      </w:r>
    </w:p>
    <w:p>
      <w:pPr>
        <w:spacing w:after="0" w:line="229" w:lineRule="exact"/>
        <w:rPr>
          <w:sz w:val="20"/>
          <w:szCs w:val="20"/>
          <w:color w:val="auto"/>
        </w:rPr>
      </w:pPr>
    </w:p>
    <w:p>
      <w:pPr>
        <w:jc w:val="both"/>
        <w:ind w:left="120" w:right="180" w:firstLine="881"/>
        <w:spacing w:after="0" w:line="289" w:lineRule="auto"/>
        <w:rPr>
          <w:sz w:val="20"/>
          <w:szCs w:val="20"/>
          <w:color w:val="auto"/>
        </w:rPr>
      </w:pPr>
      <w:r>
        <w:rPr>
          <w:rFonts w:ascii="Times New Roman" w:cs="Times New Roman" w:eastAsia="Times New Roman" w:hAnsi="Times New Roman"/>
          <w:sz w:val="17"/>
          <w:szCs w:val="17"/>
          <w:color w:val="auto"/>
        </w:rPr>
        <w:t>We have no products approved for commercial sale and do not anticipate generating any revenue unless and until either TP-03 or another product candidate receives the regulatory approvals necessary for commercialization in one or more jurisdictions. Our ability to generate revenue and achieve profitability depends significantly on our ability, or any future collaborator’s ability, to achieve a number of challenging objectives, including:</w:t>
      </w:r>
    </w:p>
    <w:p>
      <w:pPr>
        <w:spacing w:after="0" w:line="185" w:lineRule="exact"/>
        <w:rPr>
          <w:sz w:val="20"/>
          <w:szCs w:val="20"/>
          <w:color w:val="auto"/>
        </w:rPr>
      </w:pPr>
    </w:p>
    <w:p>
      <w:pPr>
        <w:ind w:left="1420" w:right="680" w:hanging="319"/>
        <w:spacing w:after="0" w:line="312" w:lineRule="auto"/>
        <w:tabs>
          <w:tab w:leader="none" w:pos="142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successful and timely completion of preclinical and clinical development of our product candidates, including the clinical development of TP-03 for the treatment of Demodex blepharitis or other indications and any other future product candidates;</w:t>
      </w:r>
    </w:p>
    <w:p>
      <w:pPr>
        <w:spacing w:after="0" w:line="166" w:lineRule="exact"/>
        <w:rPr>
          <w:rFonts w:ascii="Times New Roman" w:cs="Times New Roman" w:eastAsia="Times New Roman" w:hAnsi="Times New Roman"/>
          <w:sz w:val="17"/>
          <w:szCs w:val="17"/>
          <w:color w:val="auto"/>
        </w:rPr>
      </w:pPr>
    </w:p>
    <w:p>
      <w:pPr>
        <w:ind w:left="1420" w:right="880" w:hanging="319"/>
        <w:spacing w:after="0" w:line="282" w:lineRule="auto"/>
        <w:tabs>
          <w:tab w:leader="none" w:pos="14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and maintaining relationships with contract research organizations, or CROs, and clinical sites for the clinical development, both in the United States and internationally, of our product candidates;</w:t>
      </w:r>
    </w:p>
    <w:p>
      <w:pPr>
        <w:spacing w:after="0" w:line="188" w:lineRule="exact"/>
        <w:rPr>
          <w:rFonts w:ascii="Times New Roman" w:cs="Times New Roman" w:eastAsia="Times New Roman" w:hAnsi="Times New Roman"/>
          <w:sz w:val="18"/>
          <w:szCs w:val="18"/>
          <w:color w:val="auto"/>
        </w:rPr>
      </w:pPr>
    </w:p>
    <w:p>
      <w:pPr>
        <w:ind w:left="1420" w:right="140" w:hanging="319"/>
        <w:spacing w:after="0" w:line="282" w:lineRule="auto"/>
        <w:tabs>
          <w:tab w:leader="none" w:pos="14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timely receipt of regulatory approvals from applicable regulatory authorities for TP-03 or any other product candidates for which we successfully complete clinical development;</w:t>
      </w:r>
    </w:p>
    <w:p>
      <w:pPr>
        <w:spacing w:after="0" w:line="188"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any required post-marketing approval commitments to applicable regulatory authorities;</w:t>
      </w:r>
    </w:p>
    <w:p>
      <w:pPr>
        <w:spacing w:after="0" w:line="252" w:lineRule="exact"/>
        <w:rPr>
          <w:rFonts w:ascii="Times New Roman" w:cs="Times New Roman" w:eastAsia="Times New Roman" w:hAnsi="Times New Roman"/>
          <w:sz w:val="18"/>
          <w:szCs w:val="18"/>
          <w:color w:val="auto"/>
        </w:rPr>
      </w:pPr>
    </w:p>
    <w:p>
      <w:pPr>
        <w:jc w:val="both"/>
        <w:ind w:left="1420" w:hanging="319"/>
        <w:spacing w:after="0" w:line="266" w:lineRule="auto"/>
        <w:tabs>
          <w:tab w:leader="none" w:pos="14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and maintaining commercially viable supply and manufacturing relationships with third parties that can provide adequate, in both amount and quality, products and services to support clinical development and meet the market demand for product candidates that we develop, if approved;</w:t>
      </w:r>
    </w:p>
    <w:p>
      <w:pPr>
        <w:spacing w:after="0" w:line="202" w:lineRule="exact"/>
        <w:rPr>
          <w:rFonts w:ascii="Times New Roman" w:cs="Times New Roman" w:eastAsia="Times New Roman" w:hAnsi="Times New Roman"/>
          <w:sz w:val="18"/>
          <w:szCs w:val="18"/>
          <w:color w:val="auto"/>
        </w:rPr>
      </w:pPr>
    </w:p>
    <w:p>
      <w:pPr>
        <w:ind w:left="1420" w:right="120" w:hanging="319"/>
        <w:spacing w:after="0" w:line="266" w:lineRule="auto"/>
        <w:tabs>
          <w:tab w:leader="none" w:pos="14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 IND prior to commencing clinical trials in the United States for a particular indication, such as TP-04 for the potential treatment of rosacea (although for TP-04 we first intend to conduct a Phase 1/2 trial outside the United States and thus do not plan to submit an IND prior to this trial) and TP-05 for potential Lyme prophylaxis and community malaria reduction;</w:t>
      </w:r>
    </w:p>
    <w:p>
      <w:pPr>
        <w:spacing w:after="0" w:line="202" w:lineRule="exact"/>
        <w:rPr>
          <w:rFonts w:ascii="Times New Roman" w:cs="Times New Roman" w:eastAsia="Times New Roman" w:hAnsi="Times New Roman"/>
          <w:sz w:val="18"/>
          <w:szCs w:val="18"/>
          <w:color w:val="auto"/>
        </w:rPr>
      </w:pPr>
    </w:p>
    <w:p>
      <w:pPr>
        <w:ind w:left="1420" w:right="100" w:hanging="319"/>
        <w:spacing w:after="0" w:line="282" w:lineRule="auto"/>
        <w:tabs>
          <w:tab w:leader="none" w:pos="14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commercial launch following any regulatory approval, including the development of a commercial infrastructure, whether in-house or with one or more collaborators;</w:t>
      </w:r>
    </w:p>
    <w:p>
      <w:pPr>
        <w:spacing w:after="0" w:line="188"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continued acceptable safety and efficacy profile both prior to and following any marketing approval of our product candidates;</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educating ECPs about Demodex blepharitis and related diagnosis;</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 acceptance of TP-03 and any of our other product candidates by patients, the medical community and third-party payors;</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assessing and developing new product candidates;</w:t>
      </w:r>
    </w:p>
    <w:p>
      <w:pPr>
        <w:spacing w:after="0" w:line="252" w:lineRule="exact"/>
        <w:rPr>
          <w:rFonts w:ascii="Times New Roman" w:cs="Times New Roman" w:eastAsia="Times New Roman" w:hAnsi="Times New Roman"/>
          <w:sz w:val="18"/>
          <w:szCs w:val="18"/>
          <w:color w:val="auto"/>
        </w:rPr>
      </w:pPr>
    </w:p>
    <w:p>
      <w:pPr>
        <w:ind w:left="1420" w:right="220" w:hanging="319"/>
        <w:spacing w:after="0" w:line="282" w:lineRule="auto"/>
        <w:tabs>
          <w:tab w:leader="none" w:pos="14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maintaining and expanding patent protection, trade secret protection and regulatory exclusivity, both in the United States and internationally;</w:t>
      </w:r>
    </w:p>
    <w:p>
      <w:pPr>
        <w:spacing w:after="0" w:line="188"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protecting our rights in our intellectual property portfolio;</w:t>
      </w:r>
    </w:p>
    <w:p>
      <w:pPr>
        <w:spacing w:after="0" w:line="157" w:lineRule="exact"/>
        <w:rPr>
          <w:rFonts w:ascii="Times New Roman" w:cs="Times New Roman" w:eastAsia="Times New Roman" w:hAnsi="Times New Roman"/>
          <w:sz w:val="18"/>
          <w:szCs w:val="18"/>
          <w:color w:val="auto"/>
        </w:rPr>
      </w:pPr>
    </w:p>
    <w:p>
      <w:pPr>
        <w:ind w:left="5540" w:hanging="111"/>
        <w:spacing w:after="0"/>
        <w:tabs>
          <w:tab w:leader="none" w:pos="554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20 -</w:t>
      </w:r>
    </w:p>
    <w:p>
      <w:pPr>
        <w:sectPr>
          <w:pgSz w:w="11900" w:h="16838" w:orient="portrait"/>
          <w:cols w:equalWidth="0" w:num="1">
            <w:col w:w="11100"/>
          </w:cols>
          <w:pgMar w:left="320" w:top="455" w:right="479" w:bottom="1440" w:gutter="0" w:footer="0" w:header="0"/>
        </w:sectPr>
      </w:pPr>
    </w:p>
    <w:bookmarkStart w:id="23" w:name="page24"/>
    <w:bookmarkEnd w:id="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420" w:hanging="319"/>
        <w:spacing w:after="0"/>
        <w:tabs>
          <w:tab w:leader="none" w:pos="14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defending against third-party interference or infringement claims, if any;</w:t>
      </w:r>
    </w:p>
    <w:p>
      <w:pPr>
        <w:spacing w:after="0" w:line="252" w:lineRule="exact"/>
        <w:rPr>
          <w:rFonts w:ascii="Times New Roman" w:cs="Times New Roman" w:eastAsia="Times New Roman" w:hAnsi="Times New Roman"/>
          <w:sz w:val="18"/>
          <w:szCs w:val="18"/>
          <w:color w:val="auto"/>
        </w:rPr>
      </w:pPr>
    </w:p>
    <w:p>
      <w:pPr>
        <w:ind w:left="1420" w:right="640" w:hanging="319"/>
        <w:spacing w:after="0" w:line="282" w:lineRule="auto"/>
        <w:tabs>
          <w:tab w:leader="none" w:pos="14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favorable terms in any collaboration, licensing or other arrangements that may be necessary or desirable to develop, manufacture or commercialize our existing or acquired product candidates;</w:t>
      </w:r>
    </w:p>
    <w:p>
      <w:pPr>
        <w:spacing w:after="0" w:line="188" w:lineRule="exact"/>
        <w:rPr>
          <w:rFonts w:ascii="Times New Roman" w:cs="Times New Roman" w:eastAsia="Times New Roman" w:hAnsi="Times New Roman"/>
          <w:sz w:val="18"/>
          <w:szCs w:val="18"/>
          <w:color w:val="auto"/>
        </w:rPr>
      </w:pPr>
    </w:p>
    <w:p>
      <w:pPr>
        <w:ind w:left="1420" w:right="480" w:hanging="319"/>
        <w:spacing w:after="0" w:line="282" w:lineRule="auto"/>
        <w:tabs>
          <w:tab w:leader="none" w:pos="14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coverage and adequate reimbursement for customers and patients from government and third-party payors for product candidates that we develop;</w:t>
      </w:r>
    </w:p>
    <w:p>
      <w:pPr>
        <w:spacing w:after="0" w:line="188"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addressing any competing therapies and technological and market developments; and</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attracting, hiring and retaining qualified personnel.</w:t>
      </w:r>
    </w:p>
    <w:p>
      <w:pPr>
        <w:spacing w:after="0" w:line="225" w:lineRule="exact"/>
        <w:rPr>
          <w:sz w:val="20"/>
          <w:szCs w:val="20"/>
          <w:color w:val="auto"/>
        </w:rPr>
      </w:pPr>
    </w:p>
    <w:p>
      <w:pPr>
        <w:ind w:left="120" w:right="160" w:firstLine="881"/>
        <w:spacing w:after="0" w:line="256" w:lineRule="auto"/>
        <w:rPr>
          <w:sz w:val="20"/>
          <w:szCs w:val="20"/>
          <w:color w:val="auto"/>
        </w:rPr>
      </w:pPr>
      <w:r>
        <w:rPr>
          <w:rFonts w:ascii="Times New Roman" w:cs="Times New Roman" w:eastAsia="Times New Roman" w:hAnsi="Times New Roman"/>
          <w:sz w:val="18"/>
          <w:szCs w:val="18"/>
          <w:color w:val="auto"/>
        </w:rPr>
        <w:t>We may never be successful in achieving our objectives and, even if we do, may never generate revenue that is significant or large enough to achieve profitability. If we do achieve profitability, we may not be able to sustain or increase profitability on a quarterly or annual basis and we will continue to incur substantial research and development and other expenditures to develop and market additional product candidates. In addition, as a young business, we may encounter unforeseen expenses, difficulties, complications, delays and other known and unknown challenges. Our failure to become and remain profitable would decrease the value of our company and could impair our ability to maintain or further our research and development efforts, raise additional necessary capital, grow our business, retain key employees and continue our operations.</w:t>
      </w:r>
    </w:p>
    <w:p>
      <w:pPr>
        <w:spacing w:after="0" w:line="183" w:lineRule="exact"/>
        <w:rPr>
          <w:sz w:val="20"/>
          <w:szCs w:val="20"/>
          <w:color w:val="auto"/>
        </w:rPr>
      </w:pPr>
    </w:p>
    <w:p>
      <w:pPr>
        <w:ind w:left="120" w:right="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The COVID-19 pandemic, which began in late 2019 and has spread worldwide, may affect our ability to initiate and complete preclinical studies and clinical trials, disrupt regulatory activities, disrupt our manufacturing and supply chain or have other adverse effects on our business and operations. In addition, this pandemic has caused substantial disruption in the financial markets and may adversely impact economies worldwide, both of which could result in adverse effects on our business and operations.</w:t>
      </w:r>
    </w:p>
    <w:p>
      <w:pPr>
        <w:spacing w:after="0" w:line="180" w:lineRule="exact"/>
        <w:rPr>
          <w:sz w:val="20"/>
          <w:szCs w:val="20"/>
          <w:color w:val="auto"/>
        </w:rPr>
      </w:pPr>
    </w:p>
    <w:p>
      <w:pPr>
        <w:ind w:left="120" w:right="100" w:firstLine="881"/>
        <w:spacing w:after="0" w:line="256" w:lineRule="auto"/>
        <w:rPr>
          <w:sz w:val="20"/>
          <w:szCs w:val="20"/>
          <w:color w:val="auto"/>
        </w:rPr>
      </w:pPr>
      <w:r>
        <w:rPr>
          <w:rFonts w:ascii="Times New Roman" w:cs="Times New Roman" w:eastAsia="Times New Roman" w:hAnsi="Times New Roman"/>
          <w:sz w:val="18"/>
          <w:szCs w:val="18"/>
          <w:color w:val="auto"/>
        </w:rPr>
        <w:t>The COVID-19 pandemic, which began in December 2019 and has spread worldwide, has caused many governments to implement measures to slow the spread of the outbreak through quarantines, travel restrictions, heightened border scrutiny and other measures. The outbreak and government measures taken in response have also had a significant impact, both directly and indirectly, on businesses and commerce, as worker shortages have occurred, supply chains have been disrupted, facilities and production have been suspended, and demand for certain goods and services, such as medical services and supplies, has spiked, while demand for other goods and services, such as travel, has fallen. The future progression of the outbreak and its effects on our business and operations are uncertain.</w:t>
      </w:r>
    </w:p>
    <w:p>
      <w:pPr>
        <w:spacing w:after="0" w:line="187" w:lineRule="exact"/>
        <w:rPr>
          <w:sz w:val="20"/>
          <w:szCs w:val="20"/>
          <w:color w:val="auto"/>
        </w:rPr>
      </w:pPr>
    </w:p>
    <w:p>
      <w:pPr>
        <w:ind w:left="120" w:firstLine="881"/>
        <w:spacing w:after="0" w:line="253" w:lineRule="auto"/>
        <w:rPr>
          <w:sz w:val="20"/>
          <w:szCs w:val="20"/>
          <w:color w:val="auto"/>
        </w:rPr>
      </w:pPr>
      <w:r>
        <w:rPr>
          <w:rFonts w:ascii="Times New Roman" w:cs="Times New Roman" w:eastAsia="Times New Roman" w:hAnsi="Times New Roman"/>
          <w:sz w:val="18"/>
          <w:szCs w:val="18"/>
          <w:color w:val="auto"/>
        </w:rPr>
        <w:t>Our business, operations and clinical development timelines and plans have been and could continue to be adversely affected by COVID-19, and could be adversely impacted by other health epidemics in regions where we have concentrations of clinical trial sites or other business operations, and could cause significant disruption in the operations of CROs upon whom we rely. The COVID-19 pandemic has affected multiple countries worldwide, including those where we have planned and ongoing preclinical studies and clinical trials. In addition, in response to the COVID-19 pandemic, many state, local and foreign governments have put in place quarantines, executive orders, shelter-in-place orders and similar government orders and restrictions in order to control the spread of the disease. Such orders or restrictions, and the perception that such orders or restrictions could continue or, after being lifted, be reinstated for a period of time, have resulted in business closures, work stoppages, slowdowns and delays, work-from-home policies, travel restrictions and cancellation of events, among other effects that could negatively impact productivity and disrupt our business and operations. We have implemented a work-from-home policy for our employees and have also implemented enhanced travel-safe policies for our employees’ travel to our clinical sites. We may take further actions that alter our operations as may be required by federal, state or local authorities, or which we determine are in the best interests of our employees.</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120"/>
          </w:cols>
          <w:pgMar w:left="320" w:top="455" w:right="459" w:bottom="1440" w:gutter="0" w:footer="0" w:header="0"/>
        </w:sectPr>
      </w:pPr>
    </w:p>
    <w:bookmarkStart w:id="24" w:name="page25"/>
    <w:bookmarkEnd w:id="2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firstLine="881"/>
        <w:spacing w:after="0" w:line="255" w:lineRule="auto"/>
        <w:rPr>
          <w:sz w:val="20"/>
          <w:szCs w:val="20"/>
          <w:color w:val="auto"/>
        </w:rPr>
      </w:pPr>
      <w:r>
        <w:rPr>
          <w:rFonts w:ascii="Times New Roman" w:cs="Times New Roman" w:eastAsia="Times New Roman" w:hAnsi="Times New Roman"/>
          <w:sz w:val="18"/>
          <w:szCs w:val="18"/>
          <w:color w:val="auto"/>
        </w:rPr>
        <w:t>Moreover, our clinical development timelines and plans could be affected by the COVID-19 pandemic as we and the third-party manufacturers and clinical research organizations that we engage may face disruptions. Site initiation and patient enrollment could be delayed or suspended due to prioritization of hospital resources toward the COVID-19 pandemic or patients not having a desire to enroll in clinical trials due to concerns regarding COVID-19. In addition, some patients may not be able to comply with clinical trial protocols and the ability to conduct follow up visits with treated patients may be limited if patients do not want to participate in follow up visits due to concerns regarding COVID-19 or if quarantines impede patient movement or interrupt healthcare services. There may be shortages in the raw materials used in the manufacturing of our product candidates or laboratory supplies for our preclinical studies and clinical trials, in each case, because of ongoing efforts to address the outbreak.</w:t>
      </w:r>
    </w:p>
    <w:p>
      <w:pPr>
        <w:spacing w:after="0" w:line="189" w:lineRule="exact"/>
        <w:rPr>
          <w:sz w:val="20"/>
          <w:szCs w:val="20"/>
          <w:color w:val="auto"/>
        </w:rPr>
      </w:pPr>
    </w:p>
    <w:p>
      <w:pPr>
        <w:jc w:val="both"/>
        <w:ind w:left="120" w:right="80" w:firstLine="881"/>
        <w:spacing w:after="0" w:line="266" w:lineRule="auto"/>
        <w:rPr>
          <w:sz w:val="20"/>
          <w:szCs w:val="20"/>
          <w:color w:val="auto"/>
        </w:rPr>
      </w:pPr>
      <w:r>
        <w:rPr>
          <w:rFonts w:ascii="Times New Roman" w:cs="Times New Roman" w:eastAsia="Times New Roman" w:hAnsi="Times New Roman"/>
          <w:sz w:val="18"/>
          <w:szCs w:val="18"/>
          <w:color w:val="auto"/>
        </w:rPr>
        <w:t>We cannot assure that the inability to collect such clinical data would not have an adverse impact on our clinical trial results. Similarly, our ability to recruit and retain patients and principal investigators and site staff who, as healthcare providers, may have heightened exposure to COVID-19 could be adversely impacted.</w:t>
      </w:r>
    </w:p>
    <w:p>
      <w:pPr>
        <w:spacing w:after="0" w:line="176"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We may experience disruptions that could severely impact our business, preclinical studies, and clinical trials, including:</w:t>
      </w:r>
    </w:p>
    <w:p>
      <w:pPr>
        <w:spacing w:after="0" w:line="252" w:lineRule="exact"/>
        <w:rPr>
          <w:sz w:val="20"/>
          <w:szCs w:val="20"/>
          <w:color w:val="auto"/>
        </w:rPr>
      </w:pPr>
    </w:p>
    <w:p>
      <w:pPr>
        <w:ind w:left="1420" w:right="220" w:hanging="319"/>
        <w:spacing w:after="0" w:line="282" w:lineRule="auto"/>
        <w:tabs>
          <w:tab w:leader="none" w:pos="14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receiving approval from local regulatory authorities to initiate our planned clinical trials, including receiving any required investigational new drug applications, or INDs;</w:t>
      </w:r>
    </w:p>
    <w:p>
      <w:pPr>
        <w:spacing w:after="0" w:line="188"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difficulties in enrolling and retaining patients in our clinical trials;</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difficulties in clinical site initiation, including difficulties in recruiting clinical site investigators and clinical site staff;</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disruptions;</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clinical sites receiving the supplies and materials needed to conduct our clinical trials;</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the transport of clinical trial materials;</w:t>
      </w:r>
    </w:p>
    <w:p>
      <w:pPr>
        <w:spacing w:after="0" w:line="252" w:lineRule="exact"/>
        <w:rPr>
          <w:rFonts w:ascii="Times New Roman" w:cs="Times New Roman" w:eastAsia="Times New Roman" w:hAnsi="Times New Roman"/>
          <w:sz w:val="18"/>
          <w:szCs w:val="18"/>
          <w:color w:val="auto"/>
        </w:rPr>
      </w:pPr>
    </w:p>
    <w:p>
      <w:pPr>
        <w:ind w:left="1420" w:right="20" w:hanging="319"/>
        <w:spacing w:after="0" w:line="282" w:lineRule="auto"/>
        <w:tabs>
          <w:tab w:leader="none" w:pos="14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local regulations as part of a response to the COVID-19 coronavirus pandemic which may require us to change the ways in which our clinical trials are conducted, which may result in unexpected costs, or to discontinue the clinical trials altogether;</w:t>
      </w:r>
    </w:p>
    <w:p>
      <w:pPr>
        <w:spacing w:after="0" w:line="188" w:lineRule="exact"/>
        <w:rPr>
          <w:rFonts w:ascii="Times New Roman" w:cs="Times New Roman" w:eastAsia="Times New Roman" w:hAnsi="Times New Roman"/>
          <w:sz w:val="18"/>
          <w:szCs w:val="18"/>
          <w:color w:val="auto"/>
        </w:rPr>
      </w:pPr>
    </w:p>
    <w:p>
      <w:pPr>
        <w:ind w:left="1420" w:right="180" w:hanging="319"/>
        <w:spacing w:after="0" w:line="282" w:lineRule="auto"/>
        <w:tabs>
          <w:tab w:leader="none" w:pos="14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healthcare resources away from the conduct of clinical trials, including the diversion of hospitals serving as our clinical trial sites and hospital staff supporting the conduct of our clinical trials;</w:t>
      </w:r>
    </w:p>
    <w:p>
      <w:pPr>
        <w:spacing w:after="0" w:line="188" w:lineRule="exact"/>
        <w:rPr>
          <w:rFonts w:ascii="Times New Roman" w:cs="Times New Roman" w:eastAsia="Times New Roman" w:hAnsi="Times New Roman"/>
          <w:sz w:val="18"/>
          <w:szCs w:val="18"/>
          <w:color w:val="auto"/>
        </w:rPr>
      </w:pPr>
    </w:p>
    <w:p>
      <w:pPr>
        <w:ind w:left="1420" w:right="40" w:hanging="319"/>
        <w:spacing w:after="0" w:line="282" w:lineRule="auto"/>
        <w:tabs>
          <w:tab w:leader="none" w:pos="14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recruiting or retaining patients for our planned clinical trials if patients are affected by the virus or are fearful of visiting or traveling to clinical trial sites because of the outbreak;</w:t>
      </w:r>
    </w:p>
    <w:p>
      <w:pPr>
        <w:spacing w:after="0" w:line="188" w:lineRule="exact"/>
        <w:rPr>
          <w:rFonts w:ascii="Times New Roman" w:cs="Times New Roman" w:eastAsia="Times New Roman" w:hAnsi="Times New Roman"/>
          <w:sz w:val="18"/>
          <w:szCs w:val="18"/>
          <w:color w:val="auto"/>
        </w:rPr>
      </w:pPr>
    </w:p>
    <w:p>
      <w:pPr>
        <w:ind w:left="1420" w:right="80" w:hanging="319"/>
        <w:spacing w:after="0" w:line="261" w:lineRule="auto"/>
        <w:tabs>
          <w:tab w:leader="none" w:pos="14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 of or changes in key clinical trial activities, such as clinical trial site monitoring, implementation of virtual monitoring, use of local testing labs, or home delivery of study drugs, due to limitations on travel imposed or recommended by federal or state governments, employers and others, use of new digital technologies for subject visits or interruption of clinical trial subject visits and study procedures, the occurrence of which could affect the integrity of clinical trial data;</w:t>
      </w:r>
    </w:p>
    <w:p>
      <w:pPr>
        <w:spacing w:after="0" w:line="206" w:lineRule="exact"/>
        <w:rPr>
          <w:rFonts w:ascii="Times New Roman" w:cs="Times New Roman" w:eastAsia="Times New Roman" w:hAnsi="Times New Roman"/>
          <w:sz w:val="18"/>
          <w:szCs w:val="18"/>
          <w:color w:val="auto"/>
        </w:rPr>
      </w:pPr>
    </w:p>
    <w:p>
      <w:pPr>
        <w:ind w:left="1420" w:right="180" w:hanging="319"/>
        <w:spacing w:after="0" w:line="282" w:lineRule="auto"/>
        <w:tabs>
          <w:tab w:leader="none" w:pos="14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that participants enrolled in our clinical trials will acquire COVID-19 while the clinical trial is ongoing, which could impact the results of the clinical trial, including by increasing the number of observed adverse events;</w:t>
      </w:r>
    </w:p>
    <w:p>
      <w:pPr>
        <w:spacing w:after="0" w:line="94" w:lineRule="exact"/>
        <w:rPr>
          <w:rFonts w:ascii="Times New Roman" w:cs="Times New Roman" w:eastAsia="Times New Roman" w:hAnsi="Times New Roman"/>
          <w:sz w:val="18"/>
          <w:szCs w:val="18"/>
          <w:color w:val="auto"/>
        </w:rPr>
      </w:pPr>
    </w:p>
    <w:p>
      <w:pPr>
        <w:ind w:left="5540" w:hanging="111"/>
        <w:spacing w:after="0"/>
        <w:tabs>
          <w:tab w:leader="none" w:pos="554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22 -</w:t>
      </w:r>
    </w:p>
    <w:p>
      <w:pPr>
        <w:sectPr>
          <w:pgSz w:w="11900" w:h="16838" w:orient="portrait"/>
          <w:cols w:equalWidth="0" w:num="1">
            <w:col w:w="11100"/>
          </w:cols>
          <w:pgMar w:left="320" w:top="455" w:right="479" w:bottom="1440" w:gutter="0" w:footer="0" w:header="0"/>
        </w:sectPr>
      </w:pPr>
    </w:p>
    <w:bookmarkStart w:id="25" w:name="page26"/>
    <w:bookmarkEnd w:id="2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420" w:right="680" w:hanging="319"/>
        <w:spacing w:after="0" w:line="282" w:lineRule="auto"/>
        <w:tabs>
          <w:tab w:leader="none" w:pos="14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necessary interactions with local regulators, ethics committees and other important agencies and contractors due to limitations in employee resources or forced furlough of government employees;</w:t>
      </w:r>
    </w:p>
    <w:p>
      <w:pPr>
        <w:spacing w:after="0" w:line="188" w:lineRule="exact"/>
        <w:rPr>
          <w:rFonts w:ascii="Times New Roman" w:cs="Times New Roman" w:eastAsia="Times New Roman" w:hAnsi="Times New Roman"/>
          <w:sz w:val="18"/>
          <w:szCs w:val="18"/>
          <w:color w:val="auto"/>
        </w:rPr>
      </w:pPr>
    </w:p>
    <w:p>
      <w:pPr>
        <w:ind w:left="1420" w:right="60" w:hanging="319"/>
        <w:spacing w:after="0" w:line="282" w:lineRule="auto"/>
        <w:tabs>
          <w:tab w:leader="none" w:pos="14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in employee resources that would otherwise be focused on the conduct of our clinical trials, including because of sickness of employees or their families or the desire of employees to avoid contact with large groups of people;</w:t>
      </w:r>
    </w:p>
    <w:p>
      <w:pPr>
        <w:spacing w:after="0" w:line="188"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 or delays in the operations of the FDA which may impact review and approval timelines;</w:t>
      </w:r>
    </w:p>
    <w:p>
      <w:pPr>
        <w:spacing w:after="0" w:line="252" w:lineRule="exact"/>
        <w:rPr>
          <w:rFonts w:ascii="Times New Roman" w:cs="Times New Roman" w:eastAsia="Times New Roman" w:hAnsi="Times New Roman"/>
          <w:sz w:val="18"/>
          <w:szCs w:val="18"/>
          <w:color w:val="auto"/>
        </w:rPr>
      </w:pPr>
    </w:p>
    <w:p>
      <w:pPr>
        <w:ind w:left="1420" w:right="120" w:hanging="319"/>
        <w:spacing w:after="0" w:line="282" w:lineRule="auto"/>
        <w:tabs>
          <w:tab w:leader="none" w:pos="14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regulatory approvals for our product candidates due to the FDA focusing on clinical trials related to therapies and vaccines targeting COVID-19;</w:t>
      </w:r>
    </w:p>
    <w:p>
      <w:pPr>
        <w:spacing w:after="0" w:line="188" w:lineRule="exact"/>
        <w:rPr>
          <w:rFonts w:ascii="Times New Roman" w:cs="Times New Roman" w:eastAsia="Times New Roman" w:hAnsi="Times New Roman"/>
          <w:sz w:val="18"/>
          <w:szCs w:val="18"/>
          <w:color w:val="auto"/>
        </w:rPr>
      </w:pPr>
    </w:p>
    <w:p>
      <w:pPr>
        <w:ind w:left="1420" w:right="520" w:hanging="319"/>
        <w:spacing w:after="0" w:line="282" w:lineRule="auto"/>
        <w:tabs>
          <w:tab w:leader="none" w:pos="14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of the FDA to accept data, including from clinical trials in affected geographies or failure to comply with updated FDA guidance and expectations related to the conduct of clinical trials during the COVID-19 pandemic; and</w:t>
      </w:r>
    </w:p>
    <w:p>
      <w:pPr>
        <w:spacing w:after="0" w:line="188"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 or delays to our sourced discovery and clinical activities.</w:t>
      </w:r>
    </w:p>
    <w:p>
      <w:pPr>
        <w:spacing w:after="0" w:line="225" w:lineRule="exact"/>
        <w:rPr>
          <w:sz w:val="20"/>
          <w:szCs w:val="20"/>
          <w:color w:val="auto"/>
        </w:rPr>
      </w:pPr>
    </w:p>
    <w:p>
      <w:pPr>
        <w:ind w:left="120" w:right="20" w:firstLine="881"/>
        <w:spacing w:after="0" w:line="256" w:lineRule="auto"/>
        <w:rPr>
          <w:sz w:val="20"/>
          <w:szCs w:val="20"/>
          <w:color w:val="auto"/>
        </w:rPr>
      </w:pPr>
      <w:r>
        <w:rPr>
          <w:rFonts w:ascii="Times New Roman" w:cs="Times New Roman" w:eastAsia="Times New Roman" w:hAnsi="Times New Roman"/>
          <w:sz w:val="18"/>
          <w:szCs w:val="18"/>
          <w:color w:val="auto"/>
        </w:rPr>
        <w:t>The response to the COVID-19 pandemic may redirect resources with respect to regulatory matters in a way that would adversely impact our ability to pursue marketing approvals. In addition, we may face impediments to regulatory meetings and potential approvals due to measures intended to limit in-person interactions. Furthermore, third parties, including manufacturers, medical institutions, clinical investigators, CROs and consultants with whom we conduct business, are similarly adjusting their operations and assessing their capacity in light of the COVID-19 pandemic. If these third parties continue to experience shutdowns or business disruptions, our ability to conduct our business in the manner and on the timelines presently planned could be materially and negatively impacted.</w:t>
      </w:r>
    </w:p>
    <w:p>
      <w:pPr>
        <w:spacing w:after="0" w:line="187" w:lineRule="exact"/>
        <w:rPr>
          <w:sz w:val="20"/>
          <w:szCs w:val="20"/>
          <w:color w:val="auto"/>
        </w:rPr>
      </w:pPr>
    </w:p>
    <w:p>
      <w:pPr>
        <w:ind w:left="120" w:right="40" w:firstLine="881"/>
        <w:spacing w:after="0" w:line="255" w:lineRule="auto"/>
        <w:rPr>
          <w:sz w:val="20"/>
          <w:szCs w:val="20"/>
          <w:color w:val="auto"/>
        </w:rPr>
      </w:pPr>
      <w:r>
        <w:rPr>
          <w:rFonts w:ascii="Times New Roman" w:cs="Times New Roman" w:eastAsia="Times New Roman" w:hAnsi="Times New Roman"/>
          <w:sz w:val="18"/>
          <w:szCs w:val="18"/>
          <w:color w:val="auto"/>
        </w:rPr>
        <w:t>The extent to which the COVID-19 pandemic impacts our business, clinical trials, results of operations and financial condition will depend on future developments, which are highly uncertain and cannot be predicted, including, but not limited to, the duration of the pandemic, its severity, the actions to contain the virus or address its impact, and how quickly and to what extent normal economic and operating activities can resume. Further, while the potential economic impact brought by and the duration of COVID-19 may be difficult to assess or predict, the COVID-19 pandemic has resulted in significant disruptions of global financial markets, which could reduce our ability to access capital, which could in the future negatively affect our liquidity. To the extent the COVID-19 pandemic adversely affects our business, clinical trials, results of operations and financial condition, it may also have the effect of heightening many of the other risks described in this “Risk Factors” section.</w:t>
      </w:r>
    </w:p>
    <w:p>
      <w:pPr>
        <w:spacing w:after="0" w:line="18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The ultimate impact of the COVID-19 pandemic or a similar health epidemic is highly uncertain and subject to change.</w:t>
      </w:r>
    </w:p>
    <w:p>
      <w:pPr>
        <w:spacing w:after="0" w:line="221" w:lineRule="exact"/>
        <w:rPr>
          <w:sz w:val="20"/>
          <w:szCs w:val="20"/>
          <w:color w:val="auto"/>
        </w:rPr>
      </w:pPr>
    </w:p>
    <w:p>
      <w:pPr>
        <w:ind w:left="120"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Raising additional capital may cause dilution to our stockholders, including purchasers of common stock in this offering, restrict our operations or require us to relinquish rights to our technologies or product candidates.</w:t>
      </w:r>
    </w:p>
    <w:p>
      <w:pPr>
        <w:spacing w:after="0" w:line="159" w:lineRule="exact"/>
        <w:rPr>
          <w:sz w:val="20"/>
          <w:szCs w:val="20"/>
          <w:color w:val="auto"/>
        </w:rPr>
      </w:pPr>
    </w:p>
    <w:p>
      <w:pPr>
        <w:ind w:left="120" w:firstLine="881"/>
        <w:spacing w:after="0" w:line="256" w:lineRule="auto"/>
        <w:rPr>
          <w:sz w:val="20"/>
          <w:szCs w:val="20"/>
          <w:color w:val="auto"/>
        </w:rPr>
      </w:pPr>
      <w:r>
        <w:rPr>
          <w:rFonts w:ascii="Times New Roman" w:cs="Times New Roman" w:eastAsia="Times New Roman" w:hAnsi="Times New Roman"/>
          <w:sz w:val="18"/>
          <w:szCs w:val="18"/>
          <w:color w:val="auto"/>
        </w:rPr>
        <w:t>Until such time, if ever, as we can generate substantial product revenue, we expect to finance our cash needs through possible combinations of equity offerings, debt financings, collaborations, strategic alliances and licensing arrangements. To the extent that we raise additional capital through the sale of equity or convertible debt securities, your ownership interest will be diluted and the terms of these securities may include liquidation or other preferences that adversely affect your rights as a common stockholder. Debt financing, if available, may involve agreements that include covenants limiting or restricting our ability to take specific actions, such as incurring additional debt or liens, making acquisitions, selling or licensing our assets, redeeming our stock, making certain investments, making capital expenditures or declaring dividends.</w:t>
      </w:r>
    </w:p>
    <w:p>
      <w:pPr>
        <w:spacing w:after="0" w:line="1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060"/>
          </w:cols>
          <w:pgMar w:left="320" w:top="455" w:right="519" w:bottom="1440" w:gutter="0" w:footer="0" w:header="0"/>
        </w:sectPr>
      </w:pPr>
    </w:p>
    <w:bookmarkStart w:id="26" w:name="page27"/>
    <w:bookmarkEnd w:id="2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60" w:firstLine="881"/>
        <w:spacing w:after="0" w:line="273" w:lineRule="auto"/>
        <w:rPr>
          <w:sz w:val="20"/>
          <w:szCs w:val="20"/>
          <w:color w:val="auto"/>
        </w:rPr>
      </w:pPr>
      <w:r>
        <w:rPr>
          <w:rFonts w:ascii="Times New Roman" w:cs="Times New Roman" w:eastAsia="Times New Roman" w:hAnsi="Times New Roman"/>
          <w:sz w:val="17"/>
          <w:szCs w:val="17"/>
          <w:color w:val="auto"/>
        </w:rPr>
        <w:t>If we raise funds through collaborations, strategic alliances or licensing arrangements with third parties, we may have to relinquish valuable rights to our technologies, future revenue streams, research programs or product candidates or grant licenses on terms that may not be favorable to us. If we raise funds through research grants, we may be subject to certain requirements, which may limit our ability to use the funds or require us to share information from our research and development. Raising additional capital through any of these or other means could adversely affect our business and the holdings or rights of our stockholders, and may cause the market price of our shares to decline. If we are unable to raise additional funds through equity or debt financings when needed, we may be required to delay, limit, reduce or terminate our product development or future commercialization efforts or grant rights to develop and market product candidates that we would otherwise prefer to develop and market ourselves.</w:t>
      </w:r>
    </w:p>
    <w:p>
      <w:pPr>
        <w:spacing w:after="0" w:line="16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future success depends on our ability to retain key employees, consultants and advisors and to attract, retain and motivate qualified personnel.</w:t>
      </w:r>
    </w:p>
    <w:p>
      <w:pPr>
        <w:spacing w:after="0" w:line="229" w:lineRule="exact"/>
        <w:rPr>
          <w:sz w:val="20"/>
          <w:szCs w:val="20"/>
          <w:color w:val="auto"/>
        </w:rPr>
      </w:pPr>
    </w:p>
    <w:p>
      <w:pPr>
        <w:ind w:left="120" w:right="140" w:firstLine="881"/>
        <w:spacing w:after="0" w:line="289" w:lineRule="auto"/>
        <w:rPr>
          <w:sz w:val="20"/>
          <w:szCs w:val="20"/>
          <w:color w:val="auto"/>
        </w:rPr>
      </w:pPr>
      <w:r>
        <w:rPr>
          <w:rFonts w:ascii="Times New Roman" w:cs="Times New Roman" w:eastAsia="Times New Roman" w:hAnsi="Times New Roman"/>
          <w:sz w:val="17"/>
          <w:szCs w:val="17"/>
          <w:color w:val="auto"/>
        </w:rPr>
        <w:t>We are highly dependent on the expertise of our executive officers, as well as the other members of our scientific and clinical teams and certain advisors to develop and soundly execute our business strategy. Although we have employment offer letters with each of our executive officers, each of them may terminate their employment with us at any time. We do not maintain “key person” insurance for any of our executives or employees.</w:t>
      </w:r>
    </w:p>
    <w:p>
      <w:pPr>
        <w:spacing w:after="0" w:line="158" w:lineRule="exact"/>
        <w:rPr>
          <w:sz w:val="20"/>
          <w:szCs w:val="20"/>
          <w:color w:val="auto"/>
        </w:rPr>
      </w:pPr>
    </w:p>
    <w:p>
      <w:pPr>
        <w:ind w:left="120" w:right="20" w:firstLine="881"/>
        <w:spacing w:after="0" w:line="254" w:lineRule="auto"/>
        <w:rPr>
          <w:sz w:val="20"/>
          <w:szCs w:val="20"/>
          <w:color w:val="auto"/>
        </w:rPr>
      </w:pPr>
      <w:r>
        <w:rPr>
          <w:rFonts w:ascii="Times New Roman" w:cs="Times New Roman" w:eastAsia="Times New Roman" w:hAnsi="Times New Roman"/>
          <w:sz w:val="18"/>
          <w:szCs w:val="18"/>
          <w:color w:val="auto"/>
        </w:rPr>
        <w:t>Recruiting and retaining qualified scientific and clinical personnel and, if we are successful in obtaining marketing approval for TP-03 or other product candidates, sales and marketing personnel, are critical to our success. The loss of the services of our executive officers or other key employees could impede the achievement of our research, development and commercialization objectives and seriously harm our ability to successfully implement our business strategy. Furthermore, replacing executive officers and key employees may be difficult and may take an extended period of time because of the limited number of individuals in our industry with the breadth of skills and experience required to successfully develop, gain regulatory approval for and commercialize our product candidates. Competition to hire qualified personnel in our industry is intense, and we may be unable to hire, train, retain or motivate these key personnel on acceptable terms given the competition among numerous pharmaceutical and biotechnology companies for similar personnel.</w:t>
      </w:r>
    </w:p>
    <w:p>
      <w:pPr>
        <w:spacing w:after="0" w:line="192" w:lineRule="exact"/>
        <w:rPr>
          <w:sz w:val="20"/>
          <w:szCs w:val="20"/>
          <w:color w:val="auto"/>
        </w:rPr>
      </w:pPr>
    </w:p>
    <w:p>
      <w:pPr>
        <w:ind w:left="120" w:firstLine="881"/>
        <w:spacing w:after="0" w:line="255" w:lineRule="auto"/>
        <w:rPr>
          <w:sz w:val="20"/>
          <w:szCs w:val="20"/>
          <w:color w:val="auto"/>
        </w:rPr>
      </w:pPr>
      <w:r>
        <w:rPr>
          <w:rFonts w:ascii="Times New Roman" w:cs="Times New Roman" w:eastAsia="Times New Roman" w:hAnsi="Times New Roman"/>
          <w:sz w:val="18"/>
          <w:szCs w:val="18"/>
          <w:color w:val="auto"/>
        </w:rPr>
        <w:t>Furthermore, to the extent we hire personnel from competitors, we may be subject to allegations that they have been improperly solicited or that they have divulged proprietary or other confidential information, or that their former employers own their research output. We also experience competition for the hiring of scientific and clinical personnel from universities and research institutions. In addition, we rely on consultants and advisors, including scientific and clinical advisors, to assist us in formulating our research and development and commercialization strategy. Our consultants and advisors may be employed by employers other than us and may have commitments under consulting or advisory contracts with other entities that may limit their availability to us. If we are unable to continue to attract and retain high quality personnel, our ability to pursue our growth strategy will be limited, and our business, prospects, financial condition and results of operations may be adversely affected.</w:t>
      </w:r>
    </w:p>
    <w:p>
      <w:pPr>
        <w:spacing w:after="0" w:line="189" w:lineRule="exact"/>
        <w:rPr>
          <w:sz w:val="20"/>
          <w:szCs w:val="20"/>
          <w:color w:val="auto"/>
        </w:rPr>
      </w:pPr>
    </w:p>
    <w:p>
      <w:pPr>
        <w:ind w:left="120" w:right="340" w:firstLine="881"/>
        <w:spacing w:after="0" w:line="258" w:lineRule="auto"/>
        <w:rPr>
          <w:sz w:val="20"/>
          <w:szCs w:val="20"/>
          <w:color w:val="auto"/>
        </w:rPr>
      </w:pPr>
      <w:r>
        <w:rPr>
          <w:rFonts w:ascii="Times New Roman" w:cs="Times New Roman" w:eastAsia="Times New Roman" w:hAnsi="Times New Roman"/>
          <w:sz w:val="18"/>
          <w:szCs w:val="18"/>
          <w:color w:val="auto"/>
        </w:rPr>
        <w:t>Many of our employees have become or will soon become vested in a substantial amount of our common stock or a number of common stock options. Our employees may be more likely to leave us if the shares they own have significantly appreciated in value relative to the original purchase prices of the shares, or if the exercise prices of the options that they hold are significantly below the market price of our common stock, particularly after the expiration of the lock-up agreements described herein. Our future success also depends on our ability to continue to attract and retain additional executive officers and other key employees.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120"/>
          </w:cols>
          <w:pgMar w:left="320" w:top="455" w:right="459" w:bottom="1440" w:gutter="0" w:footer="0" w:header="0"/>
        </w:sectPr>
      </w:pPr>
    </w:p>
    <w:bookmarkStart w:id="27" w:name="page28"/>
    <w:bookmarkEnd w:id="2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need to develop and expand our company, and we may encounter difficulties in managing this development and expansion, which could disrupt our operations.</w:t>
      </w:r>
    </w:p>
    <w:p>
      <w:pPr>
        <w:spacing w:after="0" w:line="159" w:lineRule="exact"/>
        <w:rPr>
          <w:sz w:val="20"/>
          <w:szCs w:val="20"/>
          <w:color w:val="auto"/>
        </w:rPr>
      </w:pPr>
    </w:p>
    <w:p>
      <w:pPr>
        <w:ind w:left="120" w:firstLine="881"/>
        <w:spacing w:after="0" w:line="254" w:lineRule="auto"/>
        <w:rPr>
          <w:sz w:val="20"/>
          <w:szCs w:val="20"/>
          <w:color w:val="auto"/>
        </w:rPr>
      </w:pPr>
      <w:r>
        <w:rPr>
          <w:rFonts w:ascii="Times New Roman" w:cs="Times New Roman" w:eastAsia="Times New Roman" w:hAnsi="Times New Roman"/>
          <w:sz w:val="18"/>
          <w:szCs w:val="18"/>
          <w:color w:val="auto"/>
        </w:rPr>
        <w:t>In connection with becoming a public company, we expect to increase our number of employees and the scope of our operations. To manage our anticipated development and expansion, we must continue to implement and improve our managerial, operational and financial systems, expand our facilities and continue to recruit and train additional qualified personnel. Also, our management may need to divert a disproportionate amount of its attention away from its day-to-day activities and devote a substantial amount of time to managing these development activities. This may result in weaknesses in our infrastructure, give rise to operational mistakes, loss of business opportunities, loss of employees and reduced productivity among remaining employees. If our management is unable to effectively manage our expected development and expansion, our expenses may increase more than expected, our ability to generate revenue could be reduced and we may not be able to implement our business strategy. Our future financial performance and our ability to commercialize our product candidates, if approved, and compete effectively will depend, in part, on our ability to effectively manage the future development and expansion of our company.</w:t>
      </w:r>
    </w:p>
    <w:p>
      <w:pPr>
        <w:spacing w:after="0" w:line="1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may not realize the benefits of any acquisitions, in-license or other collaborations or strategic alliances that we enter into.</w:t>
      </w:r>
    </w:p>
    <w:p>
      <w:pPr>
        <w:spacing w:after="0" w:line="229" w:lineRule="exact"/>
        <w:rPr>
          <w:sz w:val="20"/>
          <w:szCs w:val="20"/>
          <w:color w:val="auto"/>
        </w:rPr>
      </w:pPr>
    </w:p>
    <w:p>
      <w:pPr>
        <w:ind w:left="120" w:right="120" w:firstLine="881"/>
        <w:spacing w:after="0" w:line="253" w:lineRule="auto"/>
        <w:rPr>
          <w:sz w:val="20"/>
          <w:szCs w:val="20"/>
          <w:color w:val="auto"/>
        </w:rPr>
      </w:pPr>
      <w:r>
        <w:rPr>
          <w:rFonts w:ascii="Times New Roman" w:cs="Times New Roman" w:eastAsia="Times New Roman" w:hAnsi="Times New Roman"/>
          <w:sz w:val="18"/>
          <w:szCs w:val="18"/>
          <w:color w:val="auto"/>
        </w:rPr>
        <w:t>We may form or seek strategic alliances, create joint ventures or collaborations or enter into additional licensing arrangements with third parties that we believe will complement or augment our development and commercialization efforts with respect to our product candidates and any future product candidates that we may develop. Any of these relationships may require us to incur non-recurring and other charges, increase our near and long-term expenditures, issue securities that dilute our existing stockholders or disrupt our management and business. In addition, we face significant competition in seeking appropriate strategic partners and the negotiation process is time-consuming and complex. Moreover, we may not be successful in our efforts to establish a strategic partnership or other alternative arrangements for our product candidates because we are unable to agree on commercial terms, or because third parties may not view our product candidates as having the requisite potential to demonstrate safety and efficacy. If we license products or businesses, we may not be able to realize the benefit of such transactions if we are unable to successfully integrate them with our existing operations and company culture. We cannot be certain that, following a strategic transaction or license, we will achieve the revenue or specific net income that justifies such transaction. Any delays in entering into new strategic partnership agreements related to our product candidates could delay the development and commercialization of our product candidates in certain geographies for certain indications, which would harm our business prospects, financial condition and results of operations.</w:t>
      </w:r>
    </w:p>
    <w:p>
      <w:pPr>
        <w:spacing w:after="0" w:line="186" w:lineRule="exact"/>
        <w:rPr>
          <w:sz w:val="20"/>
          <w:szCs w:val="20"/>
          <w:color w:val="auto"/>
        </w:rPr>
      </w:pPr>
    </w:p>
    <w:p>
      <w:pPr>
        <w:ind w:left="120" w:right="8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expect to expand our development, regulatory and operational capabilities and potentially implement sales, marketing and distribution capabilities and, as a result, we may encounter difficulties in managing our growth, which could disrupt our operations.</w:t>
      </w:r>
    </w:p>
    <w:p>
      <w:pPr>
        <w:spacing w:after="0" w:line="159" w:lineRule="exact"/>
        <w:rPr>
          <w:sz w:val="20"/>
          <w:szCs w:val="20"/>
          <w:color w:val="auto"/>
        </w:rPr>
      </w:pPr>
    </w:p>
    <w:p>
      <w:pPr>
        <w:ind w:left="120" w:right="120" w:firstLine="881"/>
        <w:spacing w:after="0" w:line="261" w:lineRule="auto"/>
        <w:rPr>
          <w:sz w:val="20"/>
          <w:szCs w:val="20"/>
          <w:color w:val="auto"/>
        </w:rPr>
      </w:pPr>
      <w:r>
        <w:rPr>
          <w:rFonts w:ascii="Times New Roman" w:cs="Times New Roman" w:eastAsia="Times New Roman" w:hAnsi="Times New Roman"/>
          <w:sz w:val="18"/>
          <w:szCs w:val="18"/>
          <w:color w:val="auto"/>
        </w:rPr>
        <w:t>As of June 30, 2020, we had 12 full-time employees. As we advance our research and development programs, we expect to experience significant growth in the number of our employees and the scope of our operations, particularly in the areas of clinical development, quality, regulatory affairs, manufacturing and quality control and, if any of our product candidates receives marketing approval, sales, marketing and distribution. To manage our anticipated future growth, we must:</w:t>
      </w:r>
    </w:p>
    <w:p>
      <w:pPr>
        <w:spacing w:after="0" w:line="207" w:lineRule="exact"/>
        <w:rPr>
          <w:sz w:val="20"/>
          <w:szCs w:val="20"/>
          <w:color w:val="auto"/>
        </w:rPr>
      </w:pPr>
    </w:p>
    <w:p>
      <w:pPr>
        <w:ind w:left="1420" w:hanging="319"/>
        <w:spacing w:after="0"/>
        <w:tabs>
          <w:tab w:leader="none" w:pos="14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recruit, integrate, maintain and motivate additional qualified personnel;</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 our development efforts effectively, including the initiation and conduct of clinical trials for our product candidates; and</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improve our operational, financial and management controls, reporting systems and procedures.</w:t>
      </w:r>
    </w:p>
    <w:p>
      <w:pPr>
        <w:spacing w:after="0" w:line="157" w:lineRule="exact"/>
        <w:rPr>
          <w:rFonts w:ascii="Times New Roman" w:cs="Times New Roman" w:eastAsia="Times New Roman" w:hAnsi="Times New Roman"/>
          <w:sz w:val="18"/>
          <w:szCs w:val="18"/>
          <w:color w:val="auto"/>
        </w:rPr>
      </w:pPr>
    </w:p>
    <w:p>
      <w:pPr>
        <w:ind w:left="5540" w:hanging="111"/>
        <w:spacing w:after="0"/>
        <w:tabs>
          <w:tab w:leader="none" w:pos="554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25 -</w:t>
      </w:r>
    </w:p>
    <w:p>
      <w:pPr>
        <w:sectPr>
          <w:pgSz w:w="11900" w:h="16838" w:orient="portrait"/>
          <w:cols w:equalWidth="0" w:num="1">
            <w:col w:w="11120"/>
          </w:cols>
          <w:pgMar w:left="320" w:top="455" w:right="459" w:bottom="1440" w:gutter="0" w:footer="0" w:header="0"/>
        </w:sectPr>
      </w:pPr>
    </w:p>
    <w:bookmarkStart w:id="28" w:name="page29"/>
    <w:bookmarkEnd w:id="2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firstLine="881"/>
        <w:spacing w:after="0" w:line="255" w:lineRule="auto"/>
        <w:rPr>
          <w:sz w:val="20"/>
          <w:szCs w:val="20"/>
          <w:color w:val="auto"/>
        </w:rPr>
      </w:pPr>
      <w:r>
        <w:rPr>
          <w:rFonts w:ascii="Times New Roman" w:cs="Times New Roman" w:eastAsia="Times New Roman" w:hAnsi="Times New Roman"/>
          <w:sz w:val="18"/>
          <w:szCs w:val="18"/>
          <w:color w:val="auto"/>
        </w:rPr>
        <w:t>Our future financial performance and our ability to develop, manufacture and commercialize our product candidates will depend, in part, on our ability to effectively manage any future growth, and our management may also have to divert financial and other resources, and a disproportionate amount of its attention away from day-to-day activities in order to devote a substantial amount of time, to managing these growth activities. If we do not effectively manage the expansion of our operations, we could experience weaknesses in our infrastructure, operational mistakes, loss of business opportunities, loss of employees and reduced productivity among remaining employees. The expansion of our operations also could lead to significant costs and may divert our management and business development resources. Any inability to manage growth could delay the execution of our business plans or disrupt our operations.</w:t>
      </w:r>
    </w:p>
    <w:p>
      <w:pPr>
        <w:spacing w:after="0" w:line="189" w:lineRule="exact"/>
        <w:rPr>
          <w:sz w:val="20"/>
          <w:szCs w:val="20"/>
          <w:color w:val="auto"/>
        </w:rPr>
      </w:pPr>
    </w:p>
    <w:p>
      <w:pPr>
        <w:ind w:left="120" w:right="40" w:firstLine="881"/>
        <w:spacing w:after="0" w:line="254" w:lineRule="auto"/>
        <w:rPr>
          <w:sz w:val="20"/>
          <w:szCs w:val="20"/>
          <w:color w:val="auto"/>
        </w:rPr>
      </w:pPr>
      <w:r>
        <w:rPr>
          <w:rFonts w:ascii="Times New Roman" w:cs="Times New Roman" w:eastAsia="Times New Roman" w:hAnsi="Times New Roman"/>
          <w:sz w:val="18"/>
          <w:szCs w:val="18"/>
          <w:color w:val="auto"/>
        </w:rPr>
        <w:t>We currently rely, and for the foreseeable future will continue to rely, in substantial part on certain third-party contract organizations, advisors and consultants to provide certain services, including assuming substantial responsibilities for the conduct of our clinical trials and the manufacture of our product candidates. We cannot assure you that the services of such third-party contract organizations, advisors and consultants will continue to be available to us on a timely basis when needed, or that we can find qualified replacements. In addition, if we are unable to effectively manage our outsourced activities or if the quality or accuracy of the services provided by our vendors or consultants is compromised for any reason, our clinical trials may be extended, delayed or terminated, and we may not be able to obtain marketing approval of our product candidates or otherwise advance our business. We cannot assure you that we will be able to properly manage our existing vendors or consultants or find other competent outside vendors and consultants on economically reasonable terms, or at all.</w:t>
      </w:r>
    </w:p>
    <w:p>
      <w:pPr>
        <w:spacing w:after="0" w:line="192" w:lineRule="exact"/>
        <w:rPr>
          <w:sz w:val="20"/>
          <w:szCs w:val="20"/>
          <w:color w:val="auto"/>
        </w:rPr>
      </w:pPr>
    </w:p>
    <w:p>
      <w:pPr>
        <w:ind w:left="120" w:firstLine="881"/>
        <w:spacing w:after="0" w:line="256" w:lineRule="auto"/>
        <w:rPr>
          <w:sz w:val="20"/>
          <w:szCs w:val="20"/>
          <w:color w:val="auto"/>
        </w:rPr>
      </w:pPr>
      <w:r>
        <w:rPr>
          <w:rFonts w:ascii="Times New Roman" w:cs="Times New Roman" w:eastAsia="Times New Roman" w:hAnsi="Times New Roman"/>
          <w:sz w:val="18"/>
          <w:szCs w:val="18"/>
          <w:color w:val="auto"/>
        </w:rPr>
        <w:t>Many of the biotechnology and pharmaceutical companies that we compete against for qualified personnel and consultants have greater financial and other resources, different risk profiles and a longer history in the industry than we do. If we are unable to continue to attract and retain high quality personnel and consultants, the rate and success at which we can discover and develop product candidates and operate our business will be limited. If we are not able to effectively expand our organization by hiring new employees and expanding our groups of consultants and contractors, we may not be able to successfully implement the tasks necessary to further develop and commercialize our product candidates and, accordingly, may not achieve our research, development and commercialization goals.</w:t>
      </w:r>
    </w:p>
    <w:p>
      <w:pPr>
        <w:spacing w:after="0" w:line="183" w:lineRule="exact"/>
        <w:rPr>
          <w:sz w:val="20"/>
          <w:szCs w:val="20"/>
          <w:color w:val="auto"/>
        </w:rPr>
      </w:pPr>
    </w:p>
    <w:p>
      <w:pPr>
        <w:ind w:left="120"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engage in acquisitions or strategic partnerships that could disrupt our business, cause dilution to our stockholders, reduce our financial resources, cause or to incur debt or assume contingent liabilities, and subject us to other risks.</w:t>
      </w:r>
    </w:p>
    <w:p>
      <w:pPr>
        <w:spacing w:after="0" w:line="159" w:lineRule="exact"/>
        <w:rPr>
          <w:sz w:val="20"/>
          <w:szCs w:val="20"/>
          <w:color w:val="auto"/>
        </w:rPr>
      </w:pPr>
    </w:p>
    <w:p>
      <w:pPr>
        <w:ind w:left="120" w:right="80" w:firstLine="881"/>
        <w:spacing w:after="0" w:line="253" w:lineRule="auto"/>
        <w:rPr>
          <w:sz w:val="20"/>
          <w:szCs w:val="20"/>
          <w:color w:val="auto"/>
        </w:rPr>
      </w:pPr>
      <w:r>
        <w:rPr>
          <w:rFonts w:ascii="Times New Roman" w:cs="Times New Roman" w:eastAsia="Times New Roman" w:hAnsi="Times New Roman"/>
          <w:sz w:val="18"/>
          <w:szCs w:val="18"/>
          <w:color w:val="auto"/>
        </w:rPr>
        <w:t>In the future, we may enter into transactions to acquire other businesses, products or technologies or enter into strategic partnerships, including licensing. If we do identify suitable acquisition or partnership candidates, we may not be able to make such acquisitions or partnerships on favorable terms, or at all. Any acquisitions or partnerships we make may not strengthen our competitive position, and these transactions may be viewed negatively by customers or investors. We may decide to incur debt in connection with an acquisition or issue our common stock or other equity securities to the stockholders of the acquired company, which would reduce the percentage ownership of our existing stockholders. For example, pursuant to the terms of the license agreement with Elanco granting us a worldwide, sublicensable license for the development and marketing of lotilaner for all applications in humans outside the treatment or cure of any eye or skin condition in humans, or the All Human Uses Elanco Agreement, if is not terminated, or if we have not provided notice to terminate the All Human Uses Elanco Agreement, within 18 months of its effective date, we will be required to issue Elanco additional shares of our common stock equating to $3.0 million of aggregate value, based on the per share value of the price in this offering.</w:t>
      </w:r>
    </w:p>
    <w:p>
      <w:pPr>
        <w:spacing w:after="0" w:line="194" w:lineRule="exact"/>
        <w:rPr>
          <w:sz w:val="20"/>
          <w:szCs w:val="20"/>
          <w:color w:val="auto"/>
        </w:rPr>
      </w:pPr>
    </w:p>
    <w:p>
      <w:pPr>
        <w:ind w:left="120" w:right="720" w:firstLine="881"/>
        <w:spacing w:after="0" w:line="266" w:lineRule="auto"/>
        <w:rPr>
          <w:sz w:val="20"/>
          <w:szCs w:val="20"/>
          <w:color w:val="auto"/>
        </w:rPr>
      </w:pPr>
      <w:r>
        <w:rPr>
          <w:rFonts w:ascii="Times New Roman" w:cs="Times New Roman" w:eastAsia="Times New Roman" w:hAnsi="Times New Roman"/>
          <w:sz w:val="18"/>
          <w:szCs w:val="18"/>
          <w:color w:val="auto"/>
        </w:rPr>
        <w:t>We could incur losses resulting from undiscovered liabilities of the acquired business or partnership that are not covered by the indemnification we may obtain from the seller or our partner. In addition, we may not be able to successfully integrate any acquired personnel, technologies and operations into our existing business in an</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100"/>
          </w:cols>
          <w:pgMar w:left="320" w:top="455" w:right="479" w:bottom="1440" w:gutter="0" w:footer="0" w:header="0"/>
        </w:sectPr>
      </w:pPr>
    </w:p>
    <w:bookmarkStart w:id="29" w:name="page30"/>
    <w:bookmarkEnd w:id="2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effective, timely and non-disruptive manner. Acquisitions or partnerships may also divert management attention from day-to-day responsibilities, lead to a loss of key personnel, increase our expenses and reduce our cash available for operations and other uses. We cannot predict the number, timing or size of future acquisitions or partnerships or the effect that any such transactions might have on our operating results.</w:t>
      </w:r>
    </w:p>
    <w:p>
      <w:pPr>
        <w:spacing w:after="0" w:line="172" w:lineRule="exact"/>
        <w:rPr>
          <w:sz w:val="20"/>
          <w:szCs w:val="20"/>
          <w:color w:val="auto"/>
        </w:rPr>
      </w:pPr>
    </w:p>
    <w:p>
      <w:pPr>
        <w:ind w:left="120"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or the third parties upon whom we depend may be adversely affected by earthquakes, fires or other natural disasters and our business continuity and disaster recovery plans may not adequately protect us from a serious disaster.</w:t>
      </w:r>
    </w:p>
    <w:p>
      <w:pPr>
        <w:spacing w:after="0" w:line="159" w:lineRule="exact"/>
        <w:rPr>
          <w:sz w:val="20"/>
          <w:szCs w:val="20"/>
          <w:color w:val="auto"/>
        </w:rPr>
      </w:pPr>
    </w:p>
    <w:p>
      <w:pPr>
        <w:ind w:left="120" w:right="60" w:firstLine="881"/>
        <w:spacing w:after="0" w:line="273" w:lineRule="auto"/>
        <w:rPr>
          <w:sz w:val="20"/>
          <w:szCs w:val="20"/>
          <w:color w:val="auto"/>
        </w:rPr>
      </w:pPr>
      <w:r>
        <w:rPr>
          <w:rFonts w:ascii="Times New Roman" w:cs="Times New Roman" w:eastAsia="Times New Roman" w:hAnsi="Times New Roman"/>
          <w:sz w:val="17"/>
          <w:szCs w:val="17"/>
          <w:color w:val="auto"/>
        </w:rPr>
        <w:t>Earthquakes or other natural disasters could severely disrupt our operations, and have a material adverse effect on our business, results of operations, financial condition and prospects. If a natural disaster, power outage or other event occurred that prevented us from using all or a significant portion of our headquarters, that damaged critical infrastructure, such as the manufacturing facilities of our third-party contract manufacturers, or that otherwise disrupted operations, it may be difficult or, in certain cases, impossible for us to continue our business for a substantial period of time. The disaster recovery and business continuity plans we have in place currently are limited and are unlikely to prove adequate in the event of a serious disaster or similar event. We may incur substantial expenses as a result of the limited nature of our disaster recovery and business continuity plans, which, particularly when taken together with our lack of earthquake insurance, could have a material adverse effect on our business.</w:t>
      </w:r>
    </w:p>
    <w:p>
      <w:pPr>
        <w:spacing w:after="0" w:line="16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Unfavorable global economic conditions could adversely affect our business, financial condition or results of operations.</w:t>
      </w:r>
    </w:p>
    <w:p>
      <w:pPr>
        <w:spacing w:after="0" w:line="229" w:lineRule="exact"/>
        <w:rPr>
          <w:sz w:val="20"/>
          <w:szCs w:val="20"/>
          <w:color w:val="auto"/>
        </w:rPr>
      </w:pPr>
    </w:p>
    <w:p>
      <w:pPr>
        <w:ind w:left="120" w:right="40" w:firstLine="881"/>
        <w:spacing w:after="0" w:line="255" w:lineRule="auto"/>
        <w:rPr>
          <w:sz w:val="20"/>
          <w:szCs w:val="20"/>
          <w:color w:val="auto"/>
        </w:rPr>
      </w:pPr>
      <w:r>
        <w:rPr>
          <w:rFonts w:ascii="Times New Roman" w:cs="Times New Roman" w:eastAsia="Times New Roman" w:hAnsi="Times New Roman"/>
          <w:sz w:val="18"/>
          <w:szCs w:val="18"/>
          <w:color w:val="auto"/>
        </w:rPr>
        <w:t>Our results of operations could be adversely affected by general conditions in the global economy and in the global financial markets. The recent global financial crisis caused extreme volatility and disruptions in the capital and credit markets. Additionally, the COVID-19 pandemic has caused significant disruptions to the U.S., regional and global economies and has contributed to significant volatility and negative pressure in financial markets. A severe or prolonged economic downturn, or any prolonged economic downturn caused by the COVID-19 pandemic, could result in a variety of risks to our business, including reduced ability to raise additional capital when needed on acceptable terms, if at all. A weak or declining economy could also strain our suppliers, possibly resulting in supply disruption. Any of the foregoing could harm our business and we cannot anticipate all of the ways in which the current economic climate and financial market conditions could adversely impact our business.</w:t>
      </w:r>
    </w:p>
    <w:p>
      <w:pPr>
        <w:spacing w:after="0" w:line="1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our net operating loss carryforwards and certain other tax attributes may be limited.</w:t>
      </w:r>
    </w:p>
    <w:p>
      <w:pPr>
        <w:spacing w:after="0" w:line="229" w:lineRule="exact"/>
        <w:rPr>
          <w:sz w:val="20"/>
          <w:szCs w:val="20"/>
          <w:color w:val="auto"/>
        </w:rPr>
      </w:pPr>
    </w:p>
    <w:p>
      <w:pPr>
        <w:ind w:left="120" w:firstLine="881"/>
        <w:spacing w:after="0" w:line="253" w:lineRule="auto"/>
        <w:rPr>
          <w:sz w:val="20"/>
          <w:szCs w:val="20"/>
          <w:color w:val="auto"/>
        </w:rPr>
      </w:pPr>
      <w:r>
        <w:rPr>
          <w:rFonts w:ascii="Times New Roman" w:cs="Times New Roman" w:eastAsia="Times New Roman" w:hAnsi="Times New Roman"/>
          <w:sz w:val="18"/>
          <w:szCs w:val="18"/>
          <w:color w:val="auto"/>
        </w:rPr>
        <w:t>We have incurred substantial losses during our history which we expect to continue, do not expect to become profitable in the near future, and we may never achieve profitability. Under Sections 382 and 383 of the Internal Revenue Code of 1986, as amended, or the Code, if a corporation undergoes an “ownership change,” generally defined as a greater than 50 percentage point change (by value) in its equity ownership by certain stockholders over a three-year period, the corporation’s ability to use its pre-change net operating loss carryforwards, or NOLs, and other pre-change tax attributes (such as research tax credits) to offset its post-change income or taxes may be limited. We have not yet completed an ownership change analysis. If a requisite ownership change occurs, the amount of remaining tax attribute carryforwards available to offset taxable income and reduce income tax expense in future years may be restricted or eliminated. Similar provisions of state tax law may also apply to limit our use of accumulated state tax attributes. In addition, at the state level, there may be periods during which the use of NOLs is suspended or otherwise limited, which could accelerate or permanently increase state taxes owed. As a result, even if we attain profitability, we may be unable to use a material portion of our NOLs and other tax attributes, which could adversely affect our future cash flows.</w:t>
      </w:r>
    </w:p>
    <w:p>
      <w:pPr>
        <w:spacing w:after="0" w:line="1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U.S. federal income tax reform and the implementation of such reforms could adversely affect us.</w:t>
      </w:r>
    </w:p>
    <w:p>
      <w:pPr>
        <w:spacing w:after="0" w:line="229" w:lineRule="exact"/>
        <w:rPr>
          <w:sz w:val="20"/>
          <w:szCs w:val="20"/>
          <w:color w:val="auto"/>
        </w:rPr>
      </w:pPr>
    </w:p>
    <w:p>
      <w:pPr>
        <w:ind w:left="120" w:right="380" w:firstLine="881"/>
        <w:spacing w:after="0" w:line="282" w:lineRule="auto"/>
        <w:rPr>
          <w:sz w:val="20"/>
          <w:szCs w:val="20"/>
          <w:color w:val="auto"/>
        </w:rPr>
      </w:pPr>
      <w:r>
        <w:rPr>
          <w:rFonts w:ascii="Times New Roman" w:cs="Times New Roman" w:eastAsia="Times New Roman" w:hAnsi="Times New Roman"/>
          <w:sz w:val="18"/>
          <w:szCs w:val="18"/>
          <w:color w:val="auto"/>
        </w:rPr>
        <w:t>On December 22, 2017, the United States enacted the “Tax Cuts and Jobs Act,” or the TCJA, that significantly reformed the Code. The TCJA, among other things, includes contained significant changes to</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100"/>
          </w:cols>
          <w:pgMar w:left="320" w:top="455" w:right="479" w:bottom="1440" w:gutter="0" w:footer="0" w:header="0"/>
        </w:sectPr>
      </w:pPr>
    </w:p>
    <w:bookmarkStart w:id="30" w:name="page31"/>
    <w:bookmarkEnd w:id="3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corporate taxation, including a reduction of the corporate tax rate from a top marginal rate of 35% to a flat rate of 21%, the limitation of the tax deduction for net interest expense to 30% of adjusted earnings (except for certain small businesses), the limitation of the deduction for NOLs arising in taxable years beginning after December 31, 2017 to 80% of current year taxable income and elimination of NOL carrybacks for losses arising in taxable years ending after December 31, 2017 (though any such NOLs may be carried forward indefinitely), the imposition of a one-time taxation of offshore earnings at reduced rates regardless of whether they are repatriated, the elimination of U.S. tax on foreign earnings (subject to certain important exceptions), the allowance of immediate deductions for certain new investments instead of deductions for depreciation expense over time, and the modification or repeal of many business deductions and credits. The financial statements contained herein reflect the effects of the TCJA based on current guidance. However, there remain uncertainties and ambiguities in the application of certain provisions of the TCJA, and, as a result, we made certain judgments and assumptions in the interpretation thereof.</w:t>
      </w:r>
    </w:p>
    <w:p>
      <w:pPr>
        <w:spacing w:after="0" w:line="188" w:lineRule="exact"/>
        <w:rPr>
          <w:sz w:val="20"/>
          <w:szCs w:val="20"/>
          <w:color w:val="auto"/>
        </w:rPr>
      </w:pPr>
    </w:p>
    <w:p>
      <w:pPr>
        <w:ind w:left="120" w:firstLine="881"/>
        <w:spacing w:after="0" w:line="255" w:lineRule="auto"/>
        <w:rPr>
          <w:sz w:val="20"/>
          <w:szCs w:val="20"/>
          <w:color w:val="auto"/>
        </w:rPr>
      </w:pPr>
      <w:r>
        <w:rPr>
          <w:rFonts w:ascii="Times New Roman" w:cs="Times New Roman" w:eastAsia="Times New Roman" w:hAnsi="Times New Roman"/>
          <w:sz w:val="18"/>
          <w:szCs w:val="18"/>
          <w:color w:val="auto"/>
        </w:rPr>
        <w:t>As part of Congress’s response to the COVID-19 pandemic, the Families First Coronavirus Response Act, or the FFCR Act, was enacted on March 18, 2020, and the Coronavirus Aid, Relief, and Economic Security Act, or the CARES Act, was enacted on March 27, 2020. Both contain numerous tax provisions. In particular, the CARES Act retroactively and temporarily (for taxable years beginning before January 1, 2021) suspends application of the 80%-of-income limitation on the use of NOLs, which was enacted as part of the TCJA. It also provides that NOLs arising in any taxable year beginning after December 31, 2017 and before January 1, 2021 are generally eligible to be carried back up to five years. The CARES Act also temporarily (for taxable years beginning in 2019 or 2020) relaxes the limitation of the tax deductibility for net interest expense by increasing the limitation from 30% to 50% of adjusted taxable income.</w:t>
      </w:r>
    </w:p>
    <w:p>
      <w:pPr>
        <w:spacing w:after="0" w:line="189" w:lineRule="exact"/>
        <w:rPr>
          <w:sz w:val="20"/>
          <w:szCs w:val="20"/>
          <w:color w:val="auto"/>
        </w:rPr>
      </w:pPr>
    </w:p>
    <w:p>
      <w:pPr>
        <w:ind w:left="120" w:right="60" w:firstLine="881"/>
        <w:spacing w:after="0" w:line="261" w:lineRule="auto"/>
        <w:rPr>
          <w:sz w:val="20"/>
          <w:szCs w:val="20"/>
          <w:color w:val="auto"/>
        </w:rPr>
      </w:pPr>
      <w:r>
        <w:rPr>
          <w:rFonts w:ascii="Times New Roman" w:cs="Times New Roman" w:eastAsia="Times New Roman" w:hAnsi="Times New Roman"/>
          <w:sz w:val="18"/>
          <w:szCs w:val="18"/>
          <w:color w:val="auto"/>
        </w:rPr>
        <w:t>Regulatory guidance under the TCJA, the FFCR Act and the CARES Act is and continues to be forthcoming, and such guidance could ultimately increase or lessen impact of these laws on our business and financial condition. It is also likely that Congress will enact additional tax legislation in connection with the COVID-19 pandemic, some of which could have an impact on our company. In addition, it is uncertain if and to what extent various states will conform to the TCJA, the FFCR Act or the CARES Act.</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Development and Commercialization of Our Product Candidates</w:t>
      </w:r>
    </w:p>
    <w:p>
      <w:pPr>
        <w:spacing w:after="0" w:line="225" w:lineRule="exact"/>
        <w:rPr>
          <w:sz w:val="20"/>
          <w:szCs w:val="20"/>
          <w:color w:val="auto"/>
        </w:rPr>
      </w:pPr>
    </w:p>
    <w:p>
      <w:pPr>
        <w:ind w:left="120" w:right="1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Clinical drug development is a lengthy, expensive and risky process with uncertain timelines and uncertain outcomes, and results of earlier studies and trials may not be predictive of future results. If clinical trials of our product candidates, particularly TP-03 for the treatment of Demodex blepharitis, do not meet safety or efficacy endpoints or are prolonged or delayed, we may be unable to obtain required regulatory approvals, and therefore be unable to commercialize our product candidates on a timely basis or at all.</w:t>
      </w:r>
    </w:p>
    <w:p>
      <w:pPr>
        <w:spacing w:after="0" w:line="180" w:lineRule="exact"/>
        <w:rPr>
          <w:sz w:val="20"/>
          <w:szCs w:val="20"/>
          <w:color w:val="auto"/>
        </w:rPr>
      </w:pPr>
    </w:p>
    <w:p>
      <w:pPr>
        <w:ind w:left="120" w:firstLine="881"/>
        <w:spacing w:after="0" w:line="253" w:lineRule="auto"/>
        <w:rPr>
          <w:sz w:val="20"/>
          <w:szCs w:val="20"/>
          <w:color w:val="auto"/>
        </w:rPr>
      </w:pPr>
      <w:r>
        <w:rPr>
          <w:rFonts w:ascii="Times New Roman" w:cs="Times New Roman" w:eastAsia="Times New Roman" w:hAnsi="Times New Roman"/>
          <w:sz w:val="18"/>
          <w:szCs w:val="18"/>
          <w:color w:val="auto"/>
        </w:rPr>
        <w:t>Before obtaining marketing approval from regulatory authorities for the sale of our product candidates, we must conduct extensive clinical trials to demonstrate the safety and efficacy of the product candidates in humans. The research and development of drugs is an extremely risky industry. Only a small percentage of product candidates that enter the development process ever receive marketing approval. Failure or delay can occur at any time during the clinical trial process. To date, we have focused substantially all of our efforts and financial resources on identifying, acquiring, and developing our product candidates, including conducting preclinical studies and clinical trials. Clinical testing is expensive and can take many years to complete, and we cannot be certain that any clinical trials will be conducted as planned or completed on schedule, if at all. Furthermore, product candidates are subject to continued preclinical safety studies, which may be conducted concurrently with our clinical testing. The outcomes of these safety studies may delay the launch of or enrollment in future clinical trials and could impact our ability to continue to conduct our clinical trials. Our inability to successfully complete preclinical and clinical development could result in additional costs to us and negatively impact our ability to generate revenue. Our future success is dependent on our ability to successfully develop, obtain regulatory approval for, and then successfully commercialize product candidates. We currently generate no revenues from sales of any products, and we may never be able to develop or commercialize a marketable product.</w:t>
      </w:r>
    </w:p>
    <w:p>
      <w:pPr>
        <w:spacing w:after="0" w:line="12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080"/>
          </w:cols>
          <w:pgMar w:left="320" w:top="455" w:right="499" w:bottom="1440" w:gutter="0" w:footer="0" w:header="0"/>
        </w:sectPr>
      </w:pPr>
    </w:p>
    <w:bookmarkStart w:id="31" w:name="page32"/>
    <w:bookmarkEnd w:id="3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881"/>
        <w:spacing w:after="0" w:line="252" w:lineRule="auto"/>
        <w:rPr>
          <w:sz w:val="20"/>
          <w:szCs w:val="20"/>
          <w:color w:val="auto"/>
        </w:rPr>
      </w:pPr>
      <w:r>
        <w:rPr>
          <w:rFonts w:ascii="Times New Roman" w:cs="Times New Roman" w:eastAsia="Times New Roman" w:hAnsi="Times New Roman"/>
          <w:sz w:val="18"/>
          <w:szCs w:val="18"/>
          <w:color w:val="auto"/>
        </w:rPr>
        <w:t>We have not yet completed any Phase 2b/3 or Phase 3 trials for any product candidate. The results of preclinical and early clinical trials of our product candidates and other products with the same mechanism of action may not be predictive of the results of later-stage clinical trials. For example, we may not be able to replicate the safety and efficacy results of our Phase 2 clinical trials for Demodex blepharitis in our Phase 2b/3 trial, Saturn-1, or our Phase 3 trial, Saturn-2. Clinical trial failure may result from a multitude of factors including flaws in trial design, dose selection, placebo effect, patient enrollment criteria, relatively smaller sample size in earlier trials, and failure to demonstrate favorable safety or efficacy traits. As such, failure in clinical trials can occur at any stage of testing. A number of companies in the biopharmaceutical industry have suffered setbacks in the advancement of clinical trials due to lack of efficacy or adverse safety profiles, notwithstanding promising results in earlier trials, and we cannot be certain that we will not face similar setbacks. Based upon negative or inconclusive results, we may decide, or regulators may require us, to conduct additional clinical trials or preclinical studies. In addition, data obtained from clinical trials are susceptible to varying interpretations, and regulators may not interpret our data as favorably as we do, which may further delay, limit or prevent marketing approval. Furthermore, as more product candidates within a particular class of drugs proceed through clinical development to regulatory review and approval, the amount and type of clinical data that may be required by regulatory authorities may increase or change. The outcome of preclinical testing and early clinical trials may not be predictive of the success of later clinical trials, and preliminary or interim results of a clinical trial do not necessarily predict final results. For example, our product candidates may fail to show the desired safety and efficacy in clinical development despite positive results in preclinical studies or having successfully advanced through initial clinical trials. The failure of any of our product candidates to demonstrate safety and efficacy in any clinical trial could negatively impact the perception of our other product candidates or cause regulatory authorities to require additional testing before approving any of our product candidates.</w:t>
      </w:r>
    </w:p>
    <w:p>
      <w:pPr>
        <w:spacing w:after="0" w:line="193" w:lineRule="exact"/>
        <w:rPr>
          <w:sz w:val="20"/>
          <w:szCs w:val="20"/>
          <w:color w:val="auto"/>
        </w:rPr>
      </w:pPr>
    </w:p>
    <w:p>
      <w:pPr>
        <w:ind w:left="120" w:firstLine="881"/>
        <w:spacing w:after="0" w:line="253" w:lineRule="auto"/>
        <w:rPr>
          <w:sz w:val="20"/>
          <w:szCs w:val="20"/>
          <w:color w:val="auto"/>
        </w:rPr>
      </w:pPr>
      <w:r>
        <w:rPr>
          <w:rFonts w:ascii="Times New Roman" w:cs="Times New Roman" w:eastAsia="Times New Roman" w:hAnsi="Times New Roman"/>
          <w:sz w:val="18"/>
          <w:szCs w:val="18"/>
          <w:color w:val="auto"/>
        </w:rPr>
        <w:t>We currently have one product candidate, TP-03, in clinical development and its risk of failure is high. For example, use of TP-03 requires the patient to follow a prescribed technique to administer the eye drops. Failure to properly administer the eye drops by the patient or inappropriate technique demonstration by the eye care practitioners, may adversely affect the outcome of TP-03 in demonstrating efficacy in one or more clinical trials. We are unable to predict if this product candidate or any of our future product candidates that advance into clinical trials will prove safe or effective in humans or will obtain marketing approval. If we are unable to complete preclinical or clinical trials of current or future product candidates, due to safety concerns, or if the results of these trials are not satisfactory to convince regulatory authorities of their safety or efficacy, we will not be able to obtain marketing approval for commercialization. Even if we are able to obtain marketing approvals for any of our product candidates, those approvals may be for indications that are not as broad as desired or may contain other limitations that would adversely affect our ability to generate revenue from sales of those products. Moreover, if we are not able to differentiate our product against other approved products within the same class of drugs, or if any of the other circumstances described above occur, our business would be materially harmed and our ability to generate revenue from that class of drugs would be severely impaired.</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120"/>
          </w:cols>
          <w:pgMar w:left="320" w:top="455" w:right="459" w:bottom="1440" w:gutter="0" w:footer="0" w:header="0"/>
        </w:sectPr>
      </w:pPr>
    </w:p>
    <w:bookmarkStart w:id="32" w:name="page33"/>
    <w:bookmarkEnd w:id="3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firstLine="881"/>
        <w:spacing w:after="0" w:line="253" w:lineRule="auto"/>
        <w:rPr>
          <w:sz w:val="20"/>
          <w:szCs w:val="20"/>
          <w:color w:val="auto"/>
        </w:rPr>
      </w:pPr>
      <w:r>
        <w:rPr>
          <w:rFonts w:ascii="Times New Roman" w:cs="Times New Roman" w:eastAsia="Times New Roman" w:hAnsi="Times New Roman"/>
          <w:sz w:val="18"/>
          <w:szCs w:val="18"/>
          <w:color w:val="auto"/>
        </w:rPr>
        <w:t>Each of our product candidates will require additional clinical development, management of clinical, preclinical (for some of our product candidates) and manufacturing activities, regulatory approval in multiple jurisdictions, achieving and maintaining commercial-scale supply, building of a commercial organization, substantial investment and significant marketing efforts before we generate any revenues from product sales. We are not permitted to market or promote any of our product candidates before we receive regulatory approval from the FDA or comparable foreign regulatory authorities, and we may never receive such regulatory approval for any of our product candidates. We may experience delays in our ongoing clinical trials, and we do not know whether planned clinical trials will begin on time, need to be redesigned, enroll patients on time or be completed on schedule, if at all. For example, the FDA has recommended that for TP-03 we conduct carcinogenicity testing as well as embryofetal development studies in a second species. Any further recommendations by the FDA could cause delay of any regulatory approval by the FDA and cause our expenses to increase. We may experience numerous unforeseen events during, or as a result of, clinical trials that could delay or prevent our ability to receive marketing approval or commercialize TP-03, our other product candidates, or any other product candidates that we may develop, including:</w:t>
      </w:r>
    </w:p>
    <w:p>
      <w:pPr>
        <w:spacing w:after="0" w:line="221" w:lineRule="exact"/>
        <w:rPr>
          <w:sz w:val="20"/>
          <w:szCs w:val="20"/>
          <w:color w:val="auto"/>
        </w:rPr>
      </w:pPr>
    </w:p>
    <w:p>
      <w:pPr>
        <w:ind w:left="1420" w:right="100" w:hanging="319"/>
        <w:spacing w:after="0" w:line="282" w:lineRule="auto"/>
        <w:tabs>
          <w:tab w:leader="none" w:pos="14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delays in or failure to reach agreement on acceptable terms with prospective CROs, vendors and clinical sites, the terms of which can be subject to extensive negotiation and may vary significantly among different CROs, vendors and trial sites;</w:t>
      </w:r>
    </w:p>
    <w:p>
      <w:pPr>
        <w:spacing w:after="0" w:line="188" w:lineRule="exact"/>
        <w:rPr>
          <w:rFonts w:ascii="Times New Roman" w:cs="Times New Roman" w:eastAsia="Times New Roman" w:hAnsi="Times New Roman"/>
          <w:sz w:val="18"/>
          <w:szCs w:val="18"/>
          <w:color w:val="auto"/>
        </w:rPr>
      </w:pPr>
    </w:p>
    <w:p>
      <w:pPr>
        <w:ind w:left="1420" w:right="760" w:hanging="319"/>
        <w:spacing w:after="0" w:line="282" w:lineRule="auto"/>
        <w:tabs>
          <w:tab w:leader="none" w:pos="14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fail to obtain sufficient enrollment in our clinical trials, our enrollment needs may grow larger than we anticipate, or participants may fail to complete our clinical trials at a higher rate than we anticipate;</w:t>
      </w:r>
    </w:p>
    <w:p>
      <w:pPr>
        <w:spacing w:after="0" w:line="188" w:lineRule="exact"/>
        <w:rPr>
          <w:rFonts w:ascii="Times New Roman" w:cs="Times New Roman" w:eastAsia="Times New Roman" w:hAnsi="Times New Roman"/>
          <w:sz w:val="18"/>
          <w:szCs w:val="18"/>
          <w:color w:val="auto"/>
        </w:rPr>
      </w:pPr>
    </w:p>
    <w:p>
      <w:pPr>
        <w:ind w:left="1420" w:right="220" w:hanging="319"/>
        <w:spacing w:after="0" w:line="282" w:lineRule="auto"/>
        <w:tabs>
          <w:tab w:leader="none" w:pos="14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trials of our product candidates may produce negative or inconclusive results, and we may decide, or regulators may require us, to conduct additional clinical trials or abandon product development programs;</w:t>
      </w:r>
    </w:p>
    <w:p>
      <w:pPr>
        <w:spacing w:after="0" w:line="188" w:lineRule="exact"/>
        <w:rPr>
          <w:rFonts w:ascii="Times New Roman" w:cs="Times New Roman" w:eastAsia="Times New Roman" w:hAnsi="Times New Roman"/>
          <w:sz w:val="18"/>
          <w:szCs w:val="18"/>
          <w:color w:val="auto"/>
        </w:rPr>
      </w:pPr>
    </w:p>
    <w:p>
      <w:pPr>
        <w:ind w:left="1420" w:right="480" w:hanging="319"/>
        <w:spacing w:after="0" w:line="266" w:lineRule="auto"/>
        <w:tabs>
          <w:tab w:leader="none" w:pos="14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decide, or regulators or institutional review boards or ethics committees may require us, to suspend or terminate clinical research for various reasons, including noncompliance with regulatory requirements or a finding that the participants are being exposed to unacceptable health risks;</w:t>
      </w:r>
    </w:p>
    <w:p>
      <w:pPr>
        <w:spacing w:after="0" w:line="202" w:lineRule="exact"/>
        <w:rPr>
          <w:rFonts w:ascii="Times New Roman" w:cs="Times New Roman" w:eastAsia="Times New Roman" w:hAnsi="Times New Roman"/>
          <w:sz w:val="18"/>
          <w:szCs w:val="18"/>
          <w:color w:val="auto"/>
        </w:rPr>
      </w:pPr>
    </w:p>
    <w:p>
      <w:pPr>
        <w:jc w:val="both"/>
        <w:ind w:left="1420" w:right="80" w:hanging="319"/>
        <w:spacing w:after="0" w:line="266" w:lineRule="auto"/>
        <w:tabs>
          <w:tab w:leader="none" w:pos="14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or institutional review boards or ethics committees may not authorize us or our investigators to commence a clinical trial at a prospective clinical trial site or at all or may require us to perform additional or unanticipated clinical trials to obtain approval or we may be subject to additional post-marketing testing requirements to maintain regulatory approval;</w:t>
      </w:r>
    </w:p>
    <w:p>
      <w:pPr>
        <w:spacing w:after="0" w:line="20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may revise the requirements for approving our product candidates, or such requirements may not be as we anticipate;</w:t>
      </w:r>
    </w:p>
    <w:p>
      <w:pPr>
        <w:spacing w:after="0" w:line="252" w:lineRule="exact"/>
        <w:rPr>
          <w:rFonts w:ascii="Times New Roman" w:cs="Times New Roman" w:eastAsia="Times New Roman" w:hAnsi="Times New Roman"/>
          <w:sz w:val="18"/>
          <w:szCs w:val="18"/>
          <w:color w:val="auto"/>
        </w:rPr>
      </w:pPr>
    </w:p>
    <w:p>
      <w:pPr>
        <w:ind w:left="1420" w:right="360" w:hanging="319"/>
        <w:spacing w:after="0" w:line="282" w:lineRule="auto"/>
        <w:tabs>
          <w:tab w:leader="none" w:pos="14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clinical trials of our product candidates may be greater than we anticipate, and we may need to delay or suspend one or more trials until we complete additional financing transactions or otherwise receive adequate funding;</w:t>
      </w:r>
    </w:p>
    <w:p>
      <w:pPr>
        <w:spacing w:after="0" w:line="188" w:lineRule="exact"/>
        <w:rPr>
          <w:rFonts w:ascii="Times New Roman" w:cs="Times New Roman" w:eastAsia="Times New Roman" w:hAnsi="Times New Roman"/>
          <w:sz w:val="18"/>
          <w:szCs w:val="18"/>
          <w:color w:val="auto"/>
        </w:rPr>
      </w:pPr>
    </w:p>
    <w:p>
      <w:pPr>
        <w:ind w:left="1420" w:right="60" w:hanging="319"/>
        <w:spacing w:after="0" w:line="282" w:lineRule="auto"/>
        <w:tabs>
          <w:tab w:leader="none" w:pos="14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supply or quality of our product candidates or other materials necessary to conduct clinical trials of our product candidates may be insufficient or inadequate or may be delayed;</w:t>
      </w:r>
    </w:p>
    <w:p>
      <w:pPr>
        <w:spacing w:after="0" w:line="188" w:lineRule="exact"/>
        <w:rPr>
          <w:rFonts w:ascii="Times New Roman" w:cs="Times New Roman" w:eastAsia="Times New Roman" w:hAnsi="Times New Roman"/>
          <w:sz w:val="18"/>
          <w:szCs w:val="18"/>
          <w:color w:val="auto"/>
        </w:rPr>
      </w:pPr>
    </w:p>
    <w:p>
      <w:pPr>
        <w:ind w:left="1420" w:right="720" w:hanging="319"/>
        <w:spacing w:after="0" w:line="282" w:lineRule="auto"/>
        <w:tabs>
          <w:tab w:leader="none" w:pos="14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 candidates may have undesirable side effects or other unexpected characteristics, causing us or our investigators, regulators or institutional review boards or ethics committees to suspend or terminate trials;</w:t>
      </w:r>
    </w:p>
    <w:p>
      <w:pPr>
        <w:spacing w:after="0" w:line="188"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determine that the planned design of our clinical trials is flawed or inadequate;</w:t>
      </w:r>
    </w:p>
    <w:p>
      <w:pPr>
        <w:spacing w:after="0" w:line="157" w:lineRule="exact"/>
        <w:rPr>
          <w:rFonts w:ascii="Times New Roman" w:cs="Times New Roman" w:eastAsia="Times New Roman" w:hAnsi="Times New Roman"/>
          <w:sz w:val="18"/>
          <w:szCs w:val="18"/>
          <w:color w:val="auto"/>
        </w:rPr>
      </w:pPr>
    </w:p>
    <w:p>
      <w:pPr>
        <w:ind w:left="5540" w:hanging="111"/>
        <w:spacing w:after="0"/>
        <w:tabs>
          <w:tab w:leader="none" w:pos="554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30 -</w:t>
      </w:r>
    </w:p>
    <w:p>
      <w:pPr>
        <w:sectPr>
          <w:pgSz w:w="11900" w:h="16838" w:orient="portrait"/>
          <w:cols w:equalWidth="0" w:num="1">
            <w:col w:w="11140"/>
          </w:cols>
          <w:pgMar w:left="320" w:top="455" w:right="439" w:bottom="1440" w:gutter="0" w:footer="0" w:header="0"/>
        </w:sectPr>
      </w:pPr>
    </w:p>
    <w:bookmarkStart w:id="33" w:name="page34"/>
    <w:bookmarkEnd w:id="3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420" w:hanging="319"/>
        <w:spacing w:after="0"/>
        <w:tabs>
          <w:tab w:leader="none" w:pos="14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suspend or withdraw their approval of a product or impose restrictions on its distribution;</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timely or at all obtain INDs for a product candidate;</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modify a preclinical study or clinical trial protocol;</w:t>
      </w:r>
    </w:p>
    <w:p>
      <w:pPr>
        <w:spacing w:after="0" w:line="252" w:lineRule="exact"/>
        <w:rPr>
          <w:rFonts w:ascii="Times New Roman" w:cs="Times New Roman" w:eastAsia="Times New Roman" w:hAnsi="Times New Roman"/>
          <w:sz w:val="18"/>
          <w:szCs w:val="18"/>
          <w:color w:val="auto"/>
        </w:rPr>
      </w:pPr>
    </w:p>
    <w:p>
      <w:pPr>
        <w:ind w:left="1420" w:hanging="319"/>
        <w:spacing w:after="0" w:line="282" w:lineRule="auto"/>
        <w:tabs>
          <w:tab w:leader="none" w:pos="14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contractors may fail to comply with regulatory requirements or meet their contractual obligations to us in a timely manner, or at all;</w:t>
      </w:r>
    </w:p>
    <w:p>
      <w:pPr>
        <w:spacing w:after="0" w:line="188" w:lineRule="exact"/>
        <w:rPr>
          <w:rFonts w:ascii="Times New Roman" w:cs="Times New Roman" w:eastAsia="Times New Roman" w:hAnsi="Times New Roman"/>
          <w:sz w:val="18"/>
          <w:szCs w:val="18"/>
          <w:color w:val="auto"/>
        </w:rPr>
      </w:pPr>
    </w:p>
    <w:p>
      <w:pPr>
        <w:ind w:left="1420" w:right="180" w:hanging="319"/>
        <w:spacing w:after="0" w:line="312" w:lineRule="auto"/>
        <w:tabs>
          <w:tab w:leader="none" w:pos="142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be unable to establish clinical endpoints that applicable regulatory authorities consider clinically meaningful, or, if we seek accelerated approval, biomarker efficacy endpoints that applicable regulatory authorities consider likely to predict clinical benefit;</w:t>
      </w:r>
    </w:p>
    <w:p>
      <w:pPr>
        <w:spacing w:after="0" w:line="166" w:lineRule="exact"/>
        <w:rPr>
          <w:rFonts w:ascii="Times New Roman" w:cs="Times New Roman" w:eastAsia="Times New Roman" w:hAnsi="Times New Roman"/>
          <w:sz w:val="17"/>
          <w:szCs w:val="17"/>
          <w:color w:val="auto"/>
        </w:rPr>
      </w:pPr>
    </w:p>
    <w:p>
      <w:pPr>
        <w:ind w:left="1420" w:right="140" w:hanging="319"/>
        <w:spacing w:after="0" w:line="266" w:lineRule="auto"/>
        <w:tabs>
          <w:tab w:leader="none" w:pos="14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delays due to the ongoing COVID-19 pandemic, including with respect to the conduct of ongoing clinical trials, receipt of product candidates or other materials, submission of New Drug Applications, or NDAs, filing of INDs, and starting any clinical trials for other indications or programs; and</w:t>
      </w:r>
    </w:p>
    <w:p>
      <w:pPr>
        <w:spacing w:after="0" w:line="202" w:lineRule="exact"/>
        <w:rPr>
          <w:rFonts w:ascii="Times New Roman" w:cs="Times New Roman" w:eastAsia="Times New Roman" w:hAnsi="Times New Roman"/>
          <w:sz w:val="18"/>
          <w:szCs w:val="18"/>
          <w:color w:val="auto"/>
        </w:rPr>
      </w:pPr>
    </w:p>
    <w:p>
      <w:pPr>
        <w:ind w:left="1420" w:right="100" w:hanging="319"/>
        <w:spacing w:after="0" w:line="266" w:lineRule="auto"/>
        <w:tabs>
          <w:tab w:leader="none" w:pos="14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manufacturing delays due to the recent COVID-19 pandemic in our supply chain caused by a shortage of raw materials, a lack of employees on site at our suppliers due to illness, or a lack of productivity at our suppliers due to local or national government quarantine restrictions on coming to the workplace.</w:t>
      </w:r>
    </w:p>
    <w:p>
      <w:pPr>
        <w:spacing w:after="0" w:line="176" w:lineRule="exact"/>
        <w:rPr>
          <w:sz w:val="20"/>
          <w:szCs w:val="20"/>
          <w:color w:val="auto"/>
        </w:rPr>
      </w:pPr>
    </w:p>
    <w:p>
      <w:pPr>
        <w:ind w:left="120" w:firstLine="881"/>
        <w:spacing w:after="0" w:line="261" w:lineRule="auto"/>
        <w:rPr>
          <w:sz w:val="20"/>
          <w:szCs w:val="20"/>
          <w:color w:val="auto"/>
        </w:rPr>
      </w:pPr>
      <w:r>
        <w:rPr>
          <w:rFonts w:ascii="Times New Roman" w:cs="Times New Roman" w:eastAsia="Times New Roman" w:hAnsi="Times New Roman"/>
          <w:sz w:val="18"/>
          <w:szCs w:val="18"/>
          <w:color w:val="auto"/>
        </w:rPr>
        <w:t>If we are required to conduct additional clinical trials or other testing of our product candidates beyond those that we currently contemplate, if we are unable to successfully complete clinical trials of our product candidates or other testing, if the results of these trials or tests are not positive or are only modestly positive, if there are safety concerns or if we determine that the observed safety or efficacy profile would not be competitive in the marketplace, we may:</w:t>
      </w:r>
    </w:p>
    <w:p>
      <w:pPr>
        <w:spacing w:after="0" w:line="207" w:lineRule="exact"/>
        <w:rPr>
          <w:sz w:val="20"/>
          <w:szCs w:val="20"/>
          <w:color w:val="auto"/>
        </w:rPr>
      </w:pPr>
    </w:p>
    <w:p>
      <w:pPr>
        <w:ind w:left="1420" w:hanging="319"/>
        <w:spacing w:after="0"/>
        <w:tabs>
          <w:tab w:leader="none" w:pos="14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unplanned costs;</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delayed in obtaining marketing approval for our product candidates;</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obtain marketing approval at all;</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marketing approval in some countries and not in others;</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approval for indications or patient populations that are not as broad as intended or desired;</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approval with labeling that includes significant use or distribution restrictions or safety warnings;</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subject to additional post-marketing testing requirements; or</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the product removed from the market after obtaining marketing approval.</w:t>
      </w:r>
    </w:p>
    <w:p>
      <w:pPr>
        <w:spacing w:after="0" w:line="225" w:lineRule="exact"/>
        <w:rPr>
          <w:sz w:val="20"/>
          <w:szCs w:val="20"/>
          <w:color w:val="auto"/>
        </w:rPr>
      </w:pPr>
    </w:p>
    <w:p>
      <w:pPr>
        <w:ind w:left="120" w:right="20" w:firstLine="881"/>
        <w:spacing w:after="0" w:line="261" w:lineRule="auto"/>
        <w:rPr>
          <w:sz w:val="20"/>
          <w:szCs w:val="20"/>
          <w:color w:val="auto"/>
        </w:rPr>
      </w:pPr>
      <w:r>
        <w:rPr>
          <w:rFonts w:ascii="Times New Roman" w:cs="Times New Roman" w:eastAsia="Times New Roman" w:hAnsi="Times New Roman"/>
          <w:sz w:val="18"/>
          <w:szCs w:val="18"/>
          <w:color w:val="auto"/>
        </w:rPr>
        <w:t>We cannot be certain whether any of our planned clinical trials will begin on schedule or any preclinical studies we plan to initiate will begin on our intended schedule, or whether any such studies or clinical trials will need to be restructured or will be completed on schedule, or at all. If we experience delays in the completion of, or termination of, any clinical trial of our product candidates, or are unable to achieve clinical endpoints due to unforeseen events, such as the COVID-19 pandemic, the commercial prospects of our product candidates will be</w:t>
      </w:r>
    </w:p>
    <w:p>
      <w:pPr>
        <w:spacing w:after="0" w:line="11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060"/>
          </w:cols>
          <w:pgMar w:left="320" w:top="455" w:right="519" w:bottom="1440" w:gutter="0" w:footer="0" w:header="0"/>
        </w:sectPr>
      </w:pPr>
    </w:p>
    <w:bookmarkStart w:id="34" w:name="page35"/>
    <w:bookmarkEnd w:id="3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300"/>
        <w:spacing w:after="0" w:line="258" w:lineRule="auto"/>
        <w:rPr>
          <w:sz w:val="20"/>
          <w:szCs w:val="20"/>
          <w:color w:val="auto"/>
        </w:rPr>
      </w:pPr>
      <w:r>
        <w:rPr>
          <w:rFonts w:ascii="Times New Roman" w:cs="Times New Roman" w:eastAsia="Times New Roman" w:hAnsi="Times New Roman"/>
          <w:sz w:val="18"/>
          <w:szCs w:val="18"/>
          <w:color w:val="auto"/>
        </w:rPr>
        <w:t>harmed, and our ability to generate product revenues from any of these product candidates will be delayed. In addition, any delays in completing our clinical trials will increase our costs, slow down our product candidate development and approval process and jeopardize our ability to commence product sales and generate revenues. Significant clinical trial delays could also allow our competitors to bring products to market before we do or shorten any periods during which we have the exclusive right to commercialize our product candidates and impair our ability to commercialize our product candidates and may harm our business and results of operations.</w:t>
      </w:r>
    </w:p>
    <w:p>
      <w:pPr>
        <w:spacing w:after="0" w:line="179" w:lineRule="exact"/>
        <w:rPr>
          <w:sz w:val="20"/>
          <w:szCs w:val="20"/>
          <w:color w:val="auto"/>
        </w:rPr>
      </w:pPr>
    </w:p>
    <w:p>
      <w:pPr>
        <w:ind w:left="120" w:right="8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Even if TP-03 or any other product candidate that we develop receives marketing approval, we may not be successful in educating ECPs and the market about the need for treatments specifically for Demodex blepharitis and other diseases or conditions targeted by our product candidates, and TP-03 or other product candidates that we may develop may fail to achieve market acceptance by ECPs, other healthcare providers and patients, or adequate formulary coverage, pricing or reimbursement by third-party payors and others in the medical community, and the market opportunity for these products may be smaller than we estimate.</w:t>
      </w:r>
    </w:p>
    <w:p>
      <w:pPr>
        <w:spacing w:after="0" w:line="183" w:lineRule="exact"/>
        <w:rPr>
          <w:sz w:val="20"/>
          <w:szCs w:val="20"/>
          <w:color w:val="auto"/>
        </w:rPr>
      </w:pPr>
    </w:p>
    <w:p>
      <w:pPr>
        <w:ind w:left="120" w:firstLine="881"/>
        <w:spacing w:after="0" w:line="258" w:lineRule="auto"/>
        <w:rPr>
          <w:sz w:val="20"/>
          <w:szCs w:val="20"/>
          <w:color w:val="auto"/>
        </w:rPr>
      </w:pPr>
      <w:r>
        <w:rPr>
          <w:rFonts w:ascii="Times New Roman" w:cs="Times New Roman" w:eastAsia="Times New Roman" w:hAnsi="Times New Roman"/>
          <w:sz w:val="18"/>
          <w:szCs w:val="18"/>
          <w:color w:val="auto"/>
        </w:rPr>
        <w:t>If TP-03 or any other product candidate that we are developing or develop receives marketing approval, it may nonetheless fail to gain sufficient market acceptance by ECPs or other healthcare providers, patients, third-party payors and others in the medical community. There is no approved prescription therapeutic for Demodex blepharitis and current treatments include over-the-counter and off-label remedies such as tea tree oil, lid wipes and artificial tears, as well as off-label prescription products. Efforts to educate the medical community, patients and third-party payors on the benefits of our product candidates may require significant resources and may not be successful.</w:t>
      </w:r>
    </w:p>
    <w:p>
      <w:pPr>
        <w:spacing w:after="0" w:line="183" w:lineRule="exact"/>
        <w:rPr>
          <w:sz w:val="20"/>
          <w:szCs w:val="20"/>
          <w:color w:val="auto"/>
        </w:rPr>
      </w:pPr>
    </w:p>
    <w:p>
      <w:pPr>
        <w:ind w:left="120" w:right="40" w:firstLine="881"/>
        <w:spacing w:after="0" w:line="253" w:lineRule="auto"/>
        <w:rPr>
          <w:sz w:val="20"/>
          <w:szCs w:val="20"/>
          <w:color w:val="auto"/>
        </w:rPr>
      </w:pPr>
      <w:r>
        <w:rPr>
          <w:rFonts w:ascii="Times New Roman" w:cs="Times New Roman" w:eastAsia="Times New Roman" w:hAnsi="Times New Roman"/>
          <w:sz w:val="18"/>
          <w:szCs w:val="18"/>
          <w:color w:val="auto"/>
        </w:rPr>
        <w:t>Further, even if TP-03 demonstrates promising or superior clinical results and receives FDA or other regulatory marketing approval, including the treatment of both signs and symptoms of Demodex blepharitis, ECPs and potential patients may not have sufficient information about, or recognize the need for a treatment specifically targeting Demodex blepharitis, it is possible that ECPs may continue to rely on other treatments for treating symptoms consistent with Demodex blepharitis. A key tenant of our commercialization strategy is to educate ECPs on Demodex blepharitis and how to diagnose it with a simple slit lamp examination as well as raise patient awareness of Demodex blepharitis. However, our efforts may prove to be unsuccessful, and we may not be able to develop this new market for which there is no approved treatment. If TP-03 receives FDA or other regulatory marketing approval, we may still not achieve success in promotional efforts for TP-03, and ECPs may continue to use existing treatments rather than TP-03 or any other product candidate and potential patients may not inquire as to TP-03. It is also possible that ECPs and patients may not be willing to adopt TP-03 for the treatment of Demodex blepharitis because of the likelihood that the disease will recur despite mite eradication and the necessity for periodic use of TP-03.</w:t>
      </w:r>
    </w:p>
    <w:p>
      <w:pPr>
        <w:spacing w:after="0" w:line="194" w:lineRule="exact"/>
        <w:rPr>
          <w:sz w:val="20"/>
          <w:szCs w:val="20"/>
          <w:color w:val="auto"/>
        </w:rPr>
      </w:pPr>
    </w:p>
    <w:p>
      <w:pPr>
        <w:jc w:val="both"/>
        <w:ind w:left="120" w:right="80" w:firstLine="881"/>
        <w:spacing w:after="0" w:line="266" w:lineRule="auto"/>
        <w:rPr>
          <w:sz w:val="20"/>
          <w:szCs w:val="20"/>
          <w:color w:val="auto"/>
        </w:rPr>
      </w:pPr>
      <w:r>
        <w:rPr>
          <w:rFonts w:ascii="Times New Roman" w:cs="Times New Roman" w:eastAsia="Times New Roman" w:hAnsi="Times New Roman"/>
          <w:sz w:val="18"/>
          <w:szCs w:val="18"/>
          <w:color w:val="auto"/>
        </w:rPr>
        <w:t>In addition, if generic versions of any products that compete with any of our product candidates are approved for marketing by the FDA or comparable foreign regulatory authorities, they would likely be offered at a substantially lower price than we expect to offer for our product candidates, if approved. As a result, ECPs, patients and third-party payors may choose to rely on such products rather than our product candidates.</w:t>
      </w:r>
    </w:p>
    <w:p>
      <w:pPr>
        <w:spacing w:after="0" w:line="176" w:lineRule="exact"/>
        <w:rPr>
          <w:sz w:val="20"/>
          <w:szCs w:val="20"/>
          <w:color w:val="auto"/>
        </w:rPr>
      </w:pPr>
    </w:p>
    <w:p>
      <w:pPr>
        <w:ind w:left="120" w:right="100" w:firstLine="881"/>
        <w:spacing w:after="0" w:line="266" w:lineRule="auto"/>
        <w:rPr>
          <w:sz w:val="20"/>
          <w:szCs w:val="20"/>
          <w:color w:val="auto"/>
        </w:rPr>
      </w:pPr>
      <w:r>
        <w:rPr>
          <w:rFonts w:ascii="Times New Roman" w:cs="Times New Roman" w:eastAsia="Times New Roman" w:hAnsi="Times New Roman"/>
          <w:sz w:val="18"/>
          <w:szCs w:val="18"/>
          <w:color w:val="auto"/>
        </w:rPr>
        <w:t>If TP-03 or any other product candidate that we develop does not achieve an adequate level of acceptance, formulary coverage, pricing or reimbursement we may not generate significant product revenues and we may not become profitable. The degree of market acceptance of TP-03 or any other product candidate that we develop, if approved for commercial sale, will depend on a number of factors, including:</w:t>
      </w:r>
    </w:p>
    <w:p>
      <w:pPr>
        <w:spacing w:after="0" w:line="203" w:lineRule="exact"/>
        <w:rPr>
          <w:sz w:val="20"/>
          <w:szCs w:val="20"/>
          <w:color w:val="auto"/>
        </w:rPr>
      </w:pPr>
    </w:p>
    <w:p>
      <w:pPr>
        <w:ind w:left="1420" w:right="460" w:hanging="319"/>
        <w:spacing w:after="0" w:line="282" w:lineRule="auto"/>
        <w:tabs>
          <w:tab w:leader="none" w:pos="14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safety and potential advantages of our product candidates compared to alternative treatments, including the existing standard of care, and the perceptions by members of the healthcare community of the same;</w:t>
      </w:r>
    </w:p>
    <w:p>
      <w:pPr>
        <w:spacing w:after="0" w:line="188"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offer our products for sale at competitive prices, particularly in light of the lower cost of alternative treatments;</w:t>
      </w:r>
    </w:p>
    <w:p>
      <w:pPr>
        <w:spacing w:after="0" w:line="157" w:lineRule="exact"/>
        <w:rPr>
          <w:rFonts w:ascii="Times New Roman" w:cs="Times New Roman" w:eastAsia="Times New Roman" w:hAnsi="Times New Roman"/>
          <w:sz w:val="18"/>
          <w:szCs w:val="18"/>
          <w:color w:val="auto"/>
        </w:rPr>
      </w:pPr>
    </w:p>
    <w:p>
      <w:pPr>
        <w:ind w:left="5540" w:hanging="111"/>
        <w:spacing w:after="0"/>
        <w:tabs>
          <w:tab w:leader="none" w:pos="554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32 -</w:t>
      </w:r>
    </w:p>
    <w:p>
      <w:pPr>
        <w:sectPr>
          <w:pgSz w:w="11900" w:h="16838" w:orient="portrait"/>
          <w:cols w:equalWidth="0" w:num="1">
            <w:col w:w="11120"/>
          </w:cols>
          <w:pgMar w:left="320" w:top="455" w:right="459" w:bottom="1440" w:gutter="0" w:footer="0" w:header="0"/>
        </w:sectPr>
      </w:pPr>
    </w:p>
    <w:bookmarkStart w:id="35" w:name="page36"/>
    <w:bookmarkEnd w:id="3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420" w:hanging="319"/>
        <w:spacing w:after="0"/>
        <w:tabs>
          <w:tab w:leader="none" w:pos="14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clinical indications for which the product is approved;</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convenience and ease of administration compared to alternative treatments;</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the target patient population to try new therapies and of ECPs to prescribe these therapies;</w:t>
      </w:r>
    </w:p>
    <w:p>
      <w:pPr>
        <w:spacing w:after="0" w:line="252" w:lineRule="exact"/>
        <w:rPr>
          <w:rFonts w:ascii="Times New Roman" w:cs="Times New Roman" w:eastAsia="Times New Roman" w:hAnsi="Times New Roman"/>
          <w:sz w:val="18"/>
          <w:szCs w:val="18"/>
          <w:color w:val="auto"/>
        </w:rPr>
      </w:pPr>
    </w:p>
    <w:p>
      <w:pPr>
        <w:ind w:left="1420" w:right="560" w:hanging="319"/>
        <w:spacing w:after="0" w:line="282" w:lineRule="auto"/>
        <w:tabs>
          <w:tab w:leader="none" w:pos="14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strength and effectiveness of our marketing and distribution support, which may be adversely impacted by the COVID-19 pandemic;</w:t>
      </w:r>
    </w:p>
    <w:p>
      <w:pPr>
        <w:spacing w:after="0" w:line="188"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publicity concerning our products or competing products and treatments;</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market introduction of competitive products;</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perception by patients or physicians that the diseases we are targeting, including Demodex blepharitis, are not burdensome;</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our competitors to limit our access to the market through anti-competitive contracts or other arrangements;</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third-party formulary coverage and adequate reimbursement;</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labeling or product insert requirements of the FDA or other regulatory authorities;</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any side effects; and</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restrictions on the use of our products, if approved, together with other medications.</w:t>
      </w:r>
    </w:p>
    <w:p>
      <w:pPr>
        <w:spacing w:after="0" w:line="221" w:lineRule="exact"/>
        <w:rPr>
          <w:sz w:val="20"/>
          <w:szCs w:val="20"/>
          <w:color w:val="auto"/>
        </w:rPr>
      </w:pPr>
    </w:p>
    <w:p>
      <w:pPr>
        <w:ind w:left="120"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product candidates still require significant testing. We only recently began clinical trials to test TP-03 in humans and, as a company, we have limited experience in this area.</w:t>
      </w:r>
    </w:p>
    <w:p>
      <w:pPr>
        <w:spacing w:after="0" w:line="159" w:lineRule="exact"/>
        <w:rPr>
          <w:sz w:val="20"/>
          <w:szCs w:val="20"/>
          <w:color w:val="auto"/>
        </w:rPr>
      </w:pPr>
    </w:p>
    <w:p>
      <w:pPr>
        <w:ind w:left="120" w:firstLine="881"/>
        <w:spacing w:after="0" w:line="261" w:lineRule="auto"/>
        <w:rPr>
          <w:sz w:val="20"/>
          <w:szCs w:val="20"/>
          <w:color w:val="auto"/>
        </w:rPr>
      </w:pPr>
      <w:r>
        <w:rPr>
          <w:rFonts w:ascii="Times New Roman" w:cs="Times New Roman" w:eastAsia="Times New Roman" w:hAnsi="Times New Roman"/>
          <w:sz w:val="18"/>
          <w:szCs w:val="18"/>
          <w:color w:val="auto"/>
        </w:rPr>
        <w:t>Most of our operations to date have been limited to preclinical studies and clinical trials. We have completed Phase 2 clinical trials for TP-03 for the treatment of Demodex blepharitis and have commenced our Phase 2b/3 clinical trial for the same indication, Saturn-1, for TP-03 in September 2020 and expect to initiate our Phase 3 clinical trial, Saturn-2, for TP-03 in 2021 and initiate clinical trials for our other product candidate in the future. As a result, we will need to expand our clinical operations, quality and regulatory capabilities to support these activities.</w:t>
      </w:r>
    </w:p>
    <w:p>
      <w:pPr>
        <w:spacing w:after="0" w:line="180" w:lineRule="exact"/>
        <w:rPr>
          <w:sz w:val="20"/>
          <w:szCs w:val="20"/>
          <w:color w:val="auto"/>
        </w:rPr>
      </w:pPr>
    </w:p>
    <w:p>
      <w:pPr>
        <w:ind w:left="120" w:right="40" w:firstLine="881"/>
        <w:spacing w:after="0" w:line="253" w:lineRule="auto"/>
        <w:rPr>
          <w:sz w:val="20"/>
          <w:szCs w:val="20"/>
          <w:color w:val="auto"/>
        </w:rPr>
      </w:pPr>
      <w:r>
        <w:rPr>
          <w:rFonts w:ascii="Times New Roman" w:cs="Times New Roman" w:eastAsia="Times New Roman" w:hAnsi="Times New Roman"/>
          <w:sz w:val="18"/>
          <w:szCs w:val="18"/>
          <w:color w:val="auto"/>
        </w:rPr>
        <w:t>Additionally, we are early in our development efforts for certain of our product candidates and indications, including TP-03 for the treatment of MGD, TP-04 for the treatment of rosacea and TP-05 for potential Lyme prophylaxis and community malaria reduction. The risk of failure for product candidates in early development is high. Extensive clinical trials are necessary to demonstrate the safety and efficacy of such product candidates in humans. Clinical trials may fail to demonstrate that such product candidates are safe for humans and effective for indicated uses. Further, we intend to leverage data from the TP-03 preclinical studies and clinical safety assessments for the treatment of Demodex blepharitis to satisfy the preclinical study requirements for TP-04 and TP-05 and other indications. For MGD, we intend to rely on preclinical studies and clinical safety assessments from the Demodex blepharitis program. We have not conducted and do not intend to conduct any preclinical studies with TP-03 for the treatment of MGD in order to advance to Phase 2a. For our preservative-free formulation of Demodex blepharitis, we intend to leverage all preclinical, Phase 2 and Phase 3 data from TP-03 Demodex blepharitis program. We intend to conduct in vitro or in vivo bioequivalence studies with our preservative-free formulation to compare it to the current preserved formulation of TP-03 in Demodex blepharitis after NDA submission and file a supplement. For rosacea, we intend to leverage data from TP-03</w:t>
      </w:r>
    </w:p>
    <w:p>
      <w:pPr>
        <w:spacing w:after="0" w:line="12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020"/>
          </w:cols>
          <w:pgMar w:left="320" w:top="455" w:right="559" w:bottom="1440" w:gutter="0" w:footer="0" w:header="0"/>
        </w:sectPr>
      </w:pPr>
    </w:p>
    <w:bookmarkStart w:id="36" w:name="page37"/>
    <w:bookmarkEnd w:id="3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preclinical studies and augment with additional preclinical studies to select formulation in order to advance to Phase 1/2. We have not conducted any preclinical studies in rosacea with TP-04 to date. In relation to Lyme disease and malaria, we intend to leverage data from our TP-03 preclinical studies for Demodex blepharitis as well as third-party preclinical studies for Lyme disease or malaria, respectively (and will not conduct our own preclinical studies for Lyme disease and malaria). Subject to FDA feedback, we intend to conduct Phase 1/2 trials in rosacea, Lyme disease and malaria based on these preclinical studies. In relation to malaria, we may conduct our Phase 1/2 trial outside the United States. The FDA may reject our use of data from TP-03 preclinical studies for the treatment of Demodex blepharitis for other indications or require additional studies to augment the data to advance for clinical development. The FDA may also reject our use of data from preclinical studies conducted by third parties for Lyme disease and malaria and require us to conduct additional preclinical studies before advancing to clinical trials. In addition, data from preclinical studies conducted by third parties may not be as reliable as data from studies conducted by us and since we did not conduct the studies, there may be weaknesses in the studies design or results that we may not be aware of.</w:t>
      </w:r>
    </w:p>
    <w:p>
      <w:pPr>
        <w:spacing w:after="0" w:line="194" w:lineRule="exact"/>
        <w:rPr>
          <w:sz w:val="20"/>
          <w:szCs w:val="20"/>
          <w:color w:val="auto"/>
        </w:rPr>
      </w:pPr>
    </w:p>
    <w:p>
      <w:pPr>
        <w:jc w:val="both"/>
        <w:ind w:left="120" w:right="180" w:firstLine="881"/>
        <w:spacing w:after="0" w:line="261" w:lineRule="auto"/>
        <w:rPr>
          <w:sz w:val="20"/>
          <w:szCs w:val="20"/>
          <w:color w:val="auto"/>
        </w:rPr>
      </w:pPr>
      <w:r>
        <w:rPr>
          <w:rFonts w:ascii="Times New Roman" w:cs="Times New Roman" w:eastAsia="Times New Roman" w:hAnsi="Times New Roman"/>
          <w:sz w:val="18"/>
          <w:szCs w:val="18"/>
          <w:color w:val="auto"/>
        </w:rPr>
        <w:t>In part because of our limited infrastructure, experience conducting clinical trials as a company and regulatory interactions, we cannot be certain that our clinical trials will be completed on time, that our planned clinical trials will be initiated on time, if at all, that our planned development programs would be acceptable to the FDA or other comparable foreign regulatory authorities, or that, if approval is obtained, such product candidates can be successfully commercialized.</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clinical trials to date have been small, and we may not be able to replicate our results from completed trials in Phase 3 trials.</w:t>
      </w:r>
    </w:p>
    <w:p>
      <w:pPr>
        <w:spacing w:after="0" w:line="229" w:lineRule="exact"/>
        <w:rPr>
          <w:sz w:val="20"/>
          <w:szCs w:val="20"/>
          <w:color w:val="auto"/>
        </w:rPr>
      </w:pPr>
    </w:p>
    <w:p>
      <w:pPr>
        <w:ind w:left="120" w:right="200" w:firstLine="881"/>
        <w:spacing w:after="0" w:line="254" w:lineRule="auto"/>
        <w:rPr>
          <w:sz w:val="20"/>
          <w:szCs w:val="20"/>
          <w:color w:val="auto"/>
        </w:rPr>
      </w:pPr>
      <w:r>
        <w:rPr>
          <w:rFonts w:ascii="Times New Roman" w:cs="Times New Roman" w:eastAsia="Times New Roman" w:hAnsi="Times New Roman"/>
          <w:sz w:val="18"/>
          <w:szCs w:val="18"/>
          <w:color w:val="auto"/>
        </w:rPr>
        <w:t>Our clinical trials conducted to date, including for TP-03 for the treatment of Demodex blepharitis, have been small, each with fewer than 60 persons, and have advanced through Phase 1 and Phase 2. For example, the clinical trial which had the highest patient population to date was our Phase 2b Europa clinical trial, which enrolled 54 patients. Our Phase 2b/3 and Phase 3 clinical trials, Saturn-1 and Saturn-2, will be conducted with larger patient populations to evaluate TP-03 for the treatment of Demodex blepharitis, in which we expect to enroll at least 350 patients each. In these later trials, additional risks, including previously unidentified low incidence safety risks or lack of efficacy may materialize. Adverse or inconclusive results in these later clinical trials may, despite initially promising results, result in such product candidate not receiving requisite approvals for marketing and sale, and there is a risk that additional clinical trials will be required to obtain such approvals or that our clinical development program will be required to be altered, which would result in increased costs, significant delays to filing with regulatory authorities, filing for a narrower indication than previously anticipated or the abandonment of efforts to commercialization such product candidate.</w:t>
      </w:r>
    </w:p>
    <w:p>
      <w:pPr>
        <w:spacing w:after="0" w:line="184" w:lineRule="exact"/>
        <w:rPr>
          <w:sz w:val="20"/>
          <w:szCs w:val="20"/>
          <w:color w:val="auto"/>
        </w:rPr>
      </w:pPr>
    </w:p>
    <w:p>
      <w:pPr>
        <w:ind w:left="120" w:right="5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encounter difficulties or delays enrolling patients in our clinical trials, our clinical development activities could be delayed or otherwise adversely affected.</w:t>
      </w:r>
    </w:p>
    <w:p>
      <w:pPr>
        <w:spacing w:after="0" w:line="159" w:lineRule="exact"/>
        <w:rPr>
          <w:sz w:val="20"/>
          <w:szCs w:val="20"/>
          <w:color w:val="auto"/>
        </w:rPr>
      </w:pPr>
    </w:p>
    <w:p>
      <w:pPr>
        <w:ind w:left="120" w:right="100" w:firstLine="881"/>
        <w:spacing w:after="0" w:line="261" w:lineRule="auto"/>
        <w:rPr>
          <w:sz w:val="20"/>
          <w:szCs w:val="20"/>
          <w:color w:val="auto"/>
        </w:rPr>
      </w:pPr>
      <w:r>
        <w:rPr>
          <w:rFonts w:ascii="Times New Roman" w:cs="Times New Roman" w:eastAsia="Times New Roman" w:hAnsi="Times New Roman"/>
          <w:sz w:val="18"/>
          <w:szCs w:val="18"/>
          <w:color w:val="auto"/>
        </w:rPr>
        <w:t>We may experience difficulties in patient enrollment in our clinical trials for a variety of reasons. The timely completion of clinical trials in accordance with their protocols depends, among other things, on our ability to enroll a sufficient number of patients who remain in the study until its conclusion. We may experience difficulties in patient enrollment in our clinical trials for a variety of reasons. The enrollment of patients depends on many factors, including:</w:t>
      </w:r>
    </w:p>
    <w:p>
      <w:pPr>
        <w:spacing w:after="0" w:line="207" w:lineRule="exact"/>
        <w:rPr>
          <w:sz w:val="20"/>
          <w:szCs w:val="20"/>
          <w:color w:val="auto"/>
        </w:rPr>
      </w:pPr>
    </w:p>
    <w:p>
      <w:pPr>
        <w:ind w:left="1420" w:hanging="319"/>
        <w:spacing w:after="0"/>
        <w:tabs>
          <w:tab w:leader="none" w:pos="14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patient eligibility criteria defined in the protocol;</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size of the patient population required for analysis of the trial’s primary endpoints;</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proximity of patients to study sites;</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 of the trial;</w:t>
      </w:r>
    </w:p>
    <w:p>
      <w:pPr>
        <w:spacing w:after="0" w:line="157" w:lineRule="exact"/>
        <w:rPr>
          <w:rFonts w:ascii="Times New Roman" w:cs="Times New Roman" w:eastAsia="Times New Roman" w:hAnsi="Times New Roman"/>
          <w:sz w:val="18"/>
          <w:szCs w:val="18"/>
          <w:color w:val="auto"/>
        </w:rPr>
      </w:pPr>
    </w:p>
    <w:p>
      <w:pPr>
        <w:ind w:left="5540" w:hanging="111"/>
        <w:spacing w:after="0"/>
        <w:tabs>
          <w:tab w:leader="none" w:pos="554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34 -</w:t>
      </w:r>
    </w:p>
    <w:p>
      <w:pPr>
        <w:sectPr>
          <w:pgSz w:w="11900" w:h="16838" w:orient="portrait"/>
          <w:cols w:equalWidth="0" w:num="1">
            <w:col w:w="11120"/>
          </w:cols>
          <w:pgMar w:left="320" w:top="455" w:right="459" w:bottom="1440" w:gutter="0" w:footer="0" w:header="0"/>
        </w:sectPr>
      </w:pPr>
    </w:p>
    <w:bookmarkStart w:id="37" w:name="page38"/>
    <w:bookmarkEnd w:id="3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420" w:hanging="319"/>
        <w:spacing w:after="0"/>
        <w:tabs>
          <w:tab w:leader="none" w:pos="14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recruit clinical trial investigators with the appropriate competencies and experience;</w:t>
      </w:r>
    </w:p>
    <w:p>
      <w:pPr>
        <w:spacing w:after="0" w:line="252" w:lineRule="exact"/>
        <w:rPr>
          <w:rFonts w:ascii="Times New Roman" w:cs="Times New Roman" w:eastAsia="Times New Roman" w:hAnsi="Times New Roman"/>
          <w:sz w:val="18"/>
          <w:szCs w:val="18"/>
          <w:color w:val="auto"/>
        </w:rPr>
      </w:pPr>
    </w:p>
    <w:p>
      <w:pPr>
        <w:ind w:left="1420" w:right="40" w:hanging="319"/>
        <w:spacing w:after="0" w:line="282" w:lineRule="auto"/>
        <w:tabs>
          <w:tab w:leader="none" w:pos="14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clinicians’ and patients’ perceptions as to the potential advantages of the product candidate being studied in relation to other available therapies, including any new drugs that may be approved for the indications we are investigating;</w:t>
      </w:r>
    </w:p>
    <w:p>
      <w:pPr>
        <w:spacing w:after="0" w:line="188"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patient consents;</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to, or lack of adequate compensation for, prospective patients;</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of enrolling patients or patients continuing to participate in follow-up visits due to the ongoing COVID-19 pandemic; and</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patients enrolled in clinical trials will drop out of the trials before completion.</w:t>
      </w:r>
    </w:p>
    <w:p>
      <w:pPr>
        <w:spacing w:after="0" w:line="225" w:lineRule="exact"/>
        <w:rPr>
          <w:sz w:val="20"/>
          <w:szCs w:val="20"/>
          <w:color w:val="auto"/>
        </w:rPr>
      </w:pPr>
    </w:p>
    <w:p>
      <w:pPr>
        <w:ind w:left="120" w:right="20" w:firstLine="881"/>
        <w:spacing w:after="0" w:line="256" w:lineRule="auto"/>
        <w:rPr>
          <w:sz w:val="20"/>
          <w:szCs w:val="20"/>
          <w:color w:val="auto"/>
        </w:rPr>
      </w:pPr>
      <w:r>
        <w:rPr>
          <w:rFonts w:ascii="Times New Roman" w:cs="Times New Roman" w:eastAsia="Times New Roman" w:hAnsi="Times New Roman"/>
          <w:sz w:val="18"/>
          <w:szCs w:val="18"/>
          <w:color w:val="auto"/>
        </w:rPr>
        <w:t>In addition, our clinical trials may compete with other clinical trials for product candidates that are in the same therapeutic areas as our product candidates, and this competition would reduce the number and types of patients available to us, because some patients who might have opted to enroll in our trials may instead opt to enroll in a trial being conducted by one of our competitors. Since the number of qualified clinical investigators is limited, we expect to conduct some of our clinical trials at the same clinical trial sites that some of our competitors use, which will reduce the number of patients who are available for our clinical trials in such clinical trial site. Moreover, potential patients and their doctors may be inclined to use existing therapies rather than enroll patients in any future clinical trial.</w:t>
      </w:r>
    </w:p>
    <w:p>
      <w:pPr>
        <w:spacing w:after="0" w:line="187" w:lineRule="exact"/>
        <w:rPr>
          <w:sz w:val="20"/>
          <w:szCs w:val="20"/>
          <w:color w:val="auto"/>
        </w:rPr>
      </w:pPr>
    </w:p>
    <w:p>
      <w:pPr>
        <w:ind w:left="120" w:right="280" w:firstLine="881"/>
        <w:spacing w:after="0" w:line="282" w:lineRule="auto"/>
        <w:rPr>
          <w:sz w:val="20"/>
          <w:szCs w:val="20"/>
          <w:color w:val="auto"/>
        </w:rPr>
      </w:pPr>
      <w:r>
        <w:rPr>
          <w:rFonts w:ascii="Times New Roman" w:cs="Times New Roman" w:eastAsia="Times New Roman" w:hAnsi="Times New Roman"/>
          <w:sz w:val="18"/>
          <w:szCs w:val="18"/>
          <w:color w:val="auto"/>
        </w:rPr>
        <w:t>Delays in patient enrollment may result in increased costs or may affect the timing or outcome of the planned clinical trials, which could prevent completion of these trials and adversely affect our ability to advance the development of our product candidates.</w:t>
      </w:r>
    </w:p>
    <w:p>
      <w:pPr>
        <w:spacing w:after="0" w:line="158" w:lineRule="exact"/>
        <w:rPr>
          <w:sz w:val="20"/>
          <w:szCs w:val="20"/>
          <w:color w:val="auto"/>
        </w:rPr>
      </w:pPr>
    </w:p>
    <w:p>
      <w:pPr>
        <w:jc w:val="both"/>
        <w:ind w:left="120" w:right="40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current or future product candidates may cause significant adverse events, toxicities or other undesirable side effects which may delay or prevent marketing approval or cause us to abandon or limit further clinical development of those product candidates. In addition, if we obtain approval for any of our product candidates, significant adverse events, toxicities or other undesirable side effects may be identified during post-marketing surveillance, which could result in regulatory action or negatively affect our ability to market the product.</w:t>
      </w:r>
    </w:p>
    <w:p>
      <w:pPr>
        <w:spacing w:after="0" w:line="180" w:lineRule="exact"/>
        <w:rPr>
          <w:sz w:val="20"/>
          <w:szCs w:val="20"/>
          <w:color w:val="auto"/>
        </w:rPr>
      </w:pPr>
    </w:p>
    <w:p>
      <w:pPr>
        <w:ind w:left="120" w:firstLine="881"/>
        <w:spacing w:after="0" w:line="266" w:lineRule="auto"/>
        <w:rPr>
          <w:sz w:val="20"/>
          <w:szCs w:val="20"/>
          <w:color w:val="auto"/>
        </w:rPr>
      </w:pPr>
      <w:r>
        <w:rPr>
          <w:rFonts w:ascii="Times New Roman" w:cs="Times New Roman" w:eastAsia="Times New Roman" w:hAnsi="Times New Roman"/>
          <w:sz w:val="18"/>
          <w:szCs w:val="18"/>
          <w:color w:val="auto"/>
        </w:rPr>
        <w:t>Adverse events or other undesirable side effects caused by our product candidates could cause us or regulatory authorities to interrupt, delay or halt clinical trials and could result in a more restrictive label or the delay or denial of regulatory approval by the FDA, the European Commission or other comparable foreign regulatory authorities.</w:t>
      </w:r>
    </w:p>
    <w:p>
      <w:pPr>
        <w:spacing w:after="0" w:line="176" w:lineRule="exact"/>
        <w:rPr>
          <w:sz w:val="20"/>
          <w:szCs w:val="20"/>
          <w:color w:val="auto"/>
        </w:rPr>
      </w:pPr>
    </w:p>
    <w:p>
      <w:pPr>
        <w:ind w:left="120" w:right="40" w:firstLine="881"/>
        <w:spacing w:after="0" w:line="274" w:lineRule="auto"/>
        <w:rPr>
          <w:sz w:val="20"/>
          <w:szCs w:val="20"/>
          <w:color w:val="auto"/>
        </w:rPr>
      </w:pPr>
      <w:r>
        <w:rPr>
          <w:rFonts w:ascii="Times New Roman" w:cs="Times New Roman" w:eastAsia="Times New Roman" w:hAnsi="Times New Roman"/>
          <w:sz w:val="17"/>
          <w:szCs w:val="17"/>
          <w:color w:val="auto"/>
        </w:rPr>
        <w:t>During the conduct of clinical trials, subjects report changes in their health, including illnesses, injuries, and discomforts, to their study doctor. Often, it is not possible to determine whether or not the product candidate being studied caused these conditions. It is possible that as we test our product candidates in larger, longer and more extensive clinical trials, or as use of these product candidates becomes more widespread if they receive regulatory approval, illnesses, injuries, discomforts and other adverse events that were not observed in earlier trials, as well as conditions that did not occur or went undetected in previous trials, will be reported by subjects. Many times, side effects are only detectable after investigational products are tested in large-scale, Phase 3 clinical trials or, in some cases, after they are made available to subjects on a commercial scale after approval.</w:t>
      </w:r>
    </w:p>
    <w:p>
      <w:pPr>
        <w:spacing w:after="0" w:line="173" w:lineRule="exact"/>
        <w:rPr>
          <w:sz w:val="20"/>
          <w:szCs w:val="20"/>
          <w:color w:val="auto"/>
        </w:rPr>
      </w:pPr>
    </w:p>
    <w:p>
      <w:pPr>
        <w:ind w:left="120" w:firstLine="881"/>
        <w:spacing w:after="0" w:line="266" w:lineRule="auto"/>
        <w:rPr>
          <w:sz w:val="20"/>
          <w:szCs w:val="20"/>
          <w:color w:val="auto"/>
        </w:rPr>
      </w:pPr>
      <w:r>
        <w:rPr>
          <w:rFonts w:ascii="Times New Roman" w:cs="Times New Roman" w:eastAsia="Times New Roman" w:hAnsi="Times New Roman"/>
          <w:sz w:val="18"/>
          <w:szCs w:val="18"/>
          <w:color w:val="auto"/>
        </w:rPr>
        <w:t>The most commonly reported adverse events in TP-03 to date were mild transient ocular burning after administration for less than 10 seconds. One patient in the Europa clinical trial also reported mild burning and blurriness after administration that lasted the entire treatment period. Our understanding of the relationship between our product candidates and these adverse events may change as we gather more information, and</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100"/>
          </w:cols>
          <w:pgMar w:left="320" w:top="455" w:right="479" w:bottom="1440" w:gutter="0" w:footer="0" w:header="0"/>
        </w:sectPr>
      </w:pPr>
    </w:p>
    <w:bookmarkStart w:id="38" w:name="page39"/>
    <w:bookmarkEnd w:id="3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additional unexpected adverse events or an increase in adverse event rates may occur. If additional clinical experience indicates that TP-03 or any other product candidate has side effects or causes serious or life-threatening side effects, participant recruitment for trials and the ability of enrolled subjects to complete trials could be negatively impacted, and the development of the product candidate may fail or be delayed, which would severely harm our business, prospects, operating results and financial condition.</w:t>
      </w:r>
    </w:p>
    <w:p>
      <w:pPr>
        <w:spacing w:after="0" w:line="180" w:lineRule="exact"/>
        <w:rPr>
          <w:sz w:val="20"/>
          <w:szCs w:val="20"/>
          <w:color w:val="auto"/>
        </w:rPr>
      </w:pPr>
    </w:p>
    <w:p>
      <w:pPr>
        <w:ind w:left="120" w:right="160" w:firstLine="881"/>
        <w:spacing w:after="0" w:line="312" w:lineRule="auto"/>
        <w:rPr>
          <w:sz w:val="20"/>
          <w:szCs w:val="20"/>
          <w:color w:val="auto"/>
        </w:rPr>
      </w:pPr>
      <w:r>
        <w:rPr>
          <w:rFonts w:ascii="Times New Roman" w:cs="Times New Roman" w:eastAsia="Times New Roman" w:hAnsi="Times New Roman"/>
          <w:sz w:val="17"/>
          <w:szCs w:val="17"/>
          <w:color w:val="auto"/>
        </w:rPr>
        <w:t>Additionally, if one or more of our product candidates receives marketing approval, and we or others later identify undesirable side effects or adverse events caused by such products, a number of potentially significant negative consequences could result, including, but not limited to:</w:t>
      </w:r>
    </w:p>
    <w:p>
      <w:pPr>
        <w:spacing w:after="0" w:line="167" w:lineRule="exact"/>
        <w:rPr>
          <w:sz w:val="20"/>
          <w:szCs w:val="20"/>
          <w:color w:val="auto"/>
        </w:rPr>
      </w:pPr>
    </w:p>
    <w:p>
      <w:pPr>
        <w:ind w:left="1420" w:right="460" w:hanging="319"/>
        <w:spacing w:after="0" w:line="266" w:lineRule="auto"/>
        <w:tabs>
          <w:tab w:leader="none" w:pos="14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withdraw approvals of such product or require additional warnings on the label such as a “black box” warning or a contraindication, or issue safety alerts, Dear Healthcare Provider letters, press releases or other communications containing warnings or other safety information about the product;</w:t>
      </w:r>
    </w:p>
    <w:p>
      <w:pPr>
        <w:spacing w:after="0" w:line="20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product may be seized by regulatory authorities;</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may be a recall of the product;</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change the way the product is administered or conduct additional clinical trials or post-approval studies;</w:t>
      </w:r>
    </w:p>
    <w:p>
      <w:pPr>
        <w:spacing w:after="0" w:line="252" w:lineRule="exact"/>
        <w:rPr>
          <w:rFonts w:ascii="Times New Roman" w:cs="Times New Roman" w:eastAsia="Times New Roman" w:hAnsi="Times New Roman"/>
          <w:sz w:val="18"/>
          <w:szCs w:val="18"/>
          <w:color w:val="auto"/>
        </w:rPr>
      </w:pPr>
    </w:p>
    <w:p>
      <w:pPr>
        <w:ind w:left="1420" w:right="260" w:hanging="319"/>
        <w:spacing w:after="0" w:line="266" w:lineRule="auto"/>
        <w:tabs>
          <w:tab w:leader="none" w:pos="14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create and implement a Risk Evaluation and Mitigation Strategy, or REMS, plan, which could include a medication guide outlining the risks of such side effects for distribution to patients, a communication plan for healthcare providers, including ECPs, and/or other elements to assure safe use;</w:t>
      </w:r>
    </w:p>
    <w:p>
      <w:pPr>
        <w:spacing w:after="0" w:line="20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product may become less competitive;</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sued and held liable for harm caused to patients; and</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may suffer and there may be resulting harm to physician or patient acceptance of our product.</w:t>
      </w:r>
    </w:p>
    <w:p>
      <w:pPr>
        <w:spacing w:after="0" w:line="225" w:lineRule="exact"/>
        <w:rPr>
          <w:sz w:val="20"/>
          <w:szCs w:val="20"/>
          <w:color w:val="auto"/>
        </w:rPr>
      </w:pPr>
    </w:p>
    <w:p>
      <w:pPr>
        <w:ind w:left="120" w:right="60" w:firstLine="881"/>
        <w:spacing w:after="0" w:line="282" w:lineRule="auto"/>
        <w:rPr>
          <w:sz w:val="20"/>
          <w:szCs w:val="20"/>
          <w:color w:val="auto"/>
        </w:rPr>
      </w:pPr>
      <w:r>
        <w:rPr>
          <w:rFonts w:ascii="Times New Roman" w:cs="Times New Roman" w:eastAsia="Times New Roman" w:hAnsi="Times New Roman"/>
          <w:sz w:val="18"/>
          <w:szCs w:val="18"/>
          <w:color w:val="auto"/>
        </w:rPr>
        <w:t>Any of these events could prevent us from achieving or maintaining market acceptance of the particular product candidate, if approved, and could significantly harm our business, results of operations, and prospects.</w:t>
      </w:r>
    </w:p>
    <w:p>
      <w:pPr>
        <w:spacing w:after="0" w:line="158" w:lineRule="exact"/>
        <w:rPr>
          <w:sz w:val="20"/>
          <w:szCs w:val="20"/>
          <w:color w:val="auto"/>
        </w:rPr>
      </w:pPr>
    </w:p>
    <w:p>
      <w:pPr>
        <w:ind w:left="120"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termination or suspension of, or delays in the commencement or completion of, our planned clinical trials could result in increased costs to us, delay or limit our ability to generate revenue and adversely affect our commercial prospects.</w:t>
      </w:r>
    </w:p>
    <w:p>
      <w:pPr>
        <w:spacing w:after="0" w:line="159" w:lineRule="exact"/>
        <w:rPr>
          <w:sz w:val="20"/>
          <w:szCs w:val="20"/>
          <w:color w:val="auto"/>
        </w:rPr>
      </w:pPr>
    </w:p>
    <w:p>
      <w:pPr>
        <w:ind w:left="120" w:firstLine="881"/>
        <w:spacing w:after="0" w:line="256" w:lineRule="auto"/>
        <w:rPr>
          <w:sz w:val="20"/>
          <w:szCs w:val="20"/>
          <w:color w:val="auto"/>
        </w:rPr>
      </w:pPr>
      <w:r>
        <w:rPr>
          <w:rFonts w:ascii="Times New Roman" w:cs="Times New Roman" w:eastAsia="Times New Roman" w:hAnsi="Times New Roman"/>
          <w:sz w:val="18"/>
          <w:szCs w:val="18"/>
          <w:color w:val="auto"/>
        </w:rPr>
        <w:t>Before we can initiate clinical trials in the United States for our product candidates, we must submit the results of preclinical testing and any previous clinical studies to the FDA along with other information, including information about product candidate chemistry, manufacturing and controls, or CMC, and our proposed clinical trial protocol, as part of an IND. The initiation of clinical trials in the European Union, or the EU, Member States will be subject to similar requirements concerning approval by competent national authorities and the receipt of a positive opinion from the relevant ethics committees. We do not know whether our planned trials will begin on time or be completed on schedule, if at all. The commencement and completion of clinical trials can be delayed for a number of reasons, including delays related to:</w:t>
      </w:r>
    </w:p>
    <w:p>
      <w:pPr>
        <w:spacing w:after="0" w:line="214" w:lineRule="exact"/>
        <w:rPr>
          <w:sz w:val="20"/>
          <w:szCs w:val="20"/>
          <w:color w:val="auto"/>
        </w:rPr>
      </w:pPr>
    </w:p>
    <w:p>
      <w:pPr>
        <w:ind w:left="1420" w:hanging="319"/>
        <w:spacing w:after="0"/>
        <w:tabs>
          <w:tab w:leader="none" w:pos="14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placing the clinical trial on hold;</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subjects failing to enroll or remain in our trial at the rate we expect;</w:t>
      </w:r>
    </w:p>
    <w:p>
      <w:pPr>
        <w:spacing w:after="0" w:line="157" w:lineRule="exact"/>
        <w:rPr>
          <w:rFonts w:ascii="Times New Roman" w:cs="Times New Roman" w:eastAsia="Times New Roman" w:hAnsi="Times New Roman"/>
          <w:sz w:val="18"/>
          <w:szCs w:val="18"/>
          <w:color w:val="auto"/>
        </w:rPr>
      </w:pPr>
    </w:p>
    <w:p>
      <w:pPr>
        <w:ind w:left="5540" w:hanging="111"/>
        <w:spacing w:after="0"/>
        <w:tabs>
          <w:tab w:leader="none" w:pos="554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36 -</w:t>
      </w:r>
    </w:p>
    <w:p>
      <w:pPr>
        <w:sectPr>
          <w:pgSz w:w="11900" w:h="16838" w:orient="portrait"/>
          <w:cols w:equalWidth="0" w:num="1">
            <w:col w:w="11120"/>
          </w:cols>
          <w:pgMar w:left="320" w:top="455" w:right="459" w:bottom="1440" w:gutter="0" w:footer="0" w:header="0"/>
        </w:sectPr>
      </w:pPr>
    </w:p>
    <w:bookmarkStart w:id="39" w:name="page40"/>
    <w:bookmarkEnd w:id="3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420" w:hanging="319"/>
        <w:spacing w:after="0"/>
        <w:tabs>
          <w:tab w:leader="none" w:pos="14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subjects choosing an alternative treatment or other product candidates, or participating in competing clinical trials;</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adequate funding to continue the clinical trial;</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subjects experiencing severe or unexpected drug-related adverse effects;</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demonstrate efficacy of the product;</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interruptions or delays in the supply of our product candidates for our clinical trials;</w:t>
      </w:r>
    </w:p>
    <w:p>
      <w:pPr>
        <w:spacing w:after="0" w:line="252" w:lineRule="exact"/>
        <w:rPr>
          <w:rFonts w:ascii="Times New Roman" w:cs="Times New Roman" w:eastAsia="Times New Roman" w:hAnsi="Times New Roman"/>
          <w:sz w:val="18"/>
          <w:szCs w:val="18"/>
          <w:color w:val="auto"/>
        </w:rPr>
      </w:pPr>
    </w:p>
    <w:p>
      <w:pPr>
        <w:ind w:left="1420" w:right="140" w:hanging="319"/>
        <w:spacing w:after="0" w:line="261" w:lineRule="auto"/>
        <w:tabs>
          <w:tab w:leader="none" w:pos="14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facility manufacturing any of our product candidates or any of their components being ordered by the FDA or comparable foreign regulatory authorities to temporarily or permanently shut down due to violations of good manufacturing practice, or cGMP, regulations or other applicable requirements, or infections or cross-contaminations of product candidates in the manufacturing process;</w:t>
      </w:r>
    </w:p>
    <w:p>
      <w:pPr>
        <w:spacing w:after="0" w:line="206"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changes to our manufacturing process that may be necessary or desired;</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 or delay in reaching an agreement with CROs, vendors and clinical trial sites;</w:t>
      </w:r>
    </w:p>
    <w:p>
      <w:pPr>
        <w:spacing w:after="0" w:line="252" w:lineRule="exact"/>
        <w:rPr>
          <w:rFonts w:ascii="Times New Roman" w:cs="Times New Roman" w:eastAsia="Times New Roman" w:hAnsi="Times New Roman"/>
          <w:sz w:val="18"/>
          <w:szCs w:val="18"/>
          <w:color w:val="auto"/>
        </w:rPr>
      </w:pPr>
    </w:p>
    <w:p>
      <w:pPr>
        <w:ind w:left="1420" w:right="320" w:hanging="319"/>
        <w:spacing w:after="0" w:line="266" w:lineRule="auto"/>
        <w:tabs>
          <w:tab w:leader="none" w:pos="14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clinical investigators losing the licenses or permits necessary to perform our clinical trials, not performing our clinical trials on our anticipated schedule or consistent with the clinical trial protocol, good clinical practices, or GCP, or regulatory requirements or other third parties not performing data collection or analysis in a timely or accurate manner;</w:t>
      </w:r>
    </w:p>
    <w:p>
      <w:pPr>
        <w:spacing w:after="0" w:line="202" w:lineRule="exact"/>
        <w:rPr>
          <w:rFonts w:ascii="Times New Roman" w:cs="Times New Roman" w:eastAsia="Times New Roman" w:hAnsi="Times New Roman"/>
          <w:sz w:val="18"/>
          <w:szCs w:val="18"/>
          <w:color w:val="auto"/>
        </w:rPr>
      </w:pPr>
    </w:p>
    <w:p>
      <w:pPr>
        <w:jc w:val="both"/>
        <w:ind w:left="1420" w:right="20" w:hanging="319"/>
        <w:spacing w:after="0" w:line="289" w:lineRule="auto"/>
        <w:tabs>
          <w:tab w:leader="none" w:pos="142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third-party contractors becoming debarred, disqualified or suspended or otherwise penalized by the FDA or other comparable foreign regulatory authorities for violations of applicable regulatory requirements, in which case we may need to find a substitute contractor, and we may not be able to use some or all of the data produced by such contractors in support of our marketing applications;</w:t>
      </w:r>
    </w:p>
    <w:p>
      <w:pPr>
        <w:spacing w:after="0" w:line="184" w:lineRule="exact"/>
        <w:rPr>
          <w:rFonts w:ascii="Times New Roman" w:cs="Times New Roman" w:eastAsia="Times New Roman" w:hAnsi="Times New Roman"/>
          <w:sz w:val="17"/>
          <w:szCs w:val="17"/>
          <w:color w:val="auto"/>
        </w:rPr>
      </w:pPr>
    </w:p>
    <w:p>
      <w:pPr>
        <w:ind w:left="1420" w:right="40" w:hanging="319"/>
        <w:spacing w:after="0" w:line="282" w:lineRule="auto"/>
        <w:tabs>
          <w:tab w:leader="none" w:pos="14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or more Institutional Review Boards, or IRBs, other ethics committees refusing to approve, suspending or terminating the trial at an investigational site, precluding enrollment of additional subjects, or withdrawing its approval of the trial; or</w:t>
      </w:r>
    </w:p>
    <w:p>
      <w:pPr>
        <w:spacing w:after="0" w:line="188" w:lineRule="exact"/>
        <w:rPr>
          <w:rFonts w:ascii="Times New Roman" w:cs="Times New Roman" w:eastAsia="Times New Roman" w:hAnsi="Times New Roman"/>
          <w:sz w:val="18"/>
          <w:szCs w:val="18"/>
          <w:color w:val="auto"/>
        </w:rPr>
      </w:pPr>
    </w:p>
    <w:p>
      <w:pPr>
        <w:ind w:left="1420" w:right="20" w:hanging="319"/>
        <w:spacing w:after="0" w:line="282" w:lineRule="auto"/>
        <w:tabs>
          <w:tab w:leader="none" w:pos="14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regulatory requirements and policies, which may require us to amend clinical trial protocols to comply with these changes and resubmit our clinical trial protocols to IRBs or ethics committees for reexamination.</w:t>
      </w:r>
    </w:p>
    <w:p>
      <w:pPr>
        <w:spacing w:after="0" w:line="162" w:lineRule="exact"/>
        <w:rPr>
          <w:sz w:val="20"/>
          <w:szCs w:val="20"/>
          <w:color w:val="auto"/>
        </w:rPr>
      </w:pPr>
    </w:p>
    <w:p>
      <w:pPr>
        <w:ind w:left="120" w:firstLine="881"/>
        <w:spacing w:after="0" w:line="255" w:lineRule="auto"/>
        <w:rPr>
          <w:sz w:val="20"/>
          <w:szCs w:val="20"/>
          <w:color w:val="auto"/>
        </w:rPr>
      </w:pPr>
      <w:r>
        <w:rPr>
          <w:rFonts w:ascii="Times New Roman" w:cs="Times New Roman" w:eastAsia="Times New Roman" w:hAnsi="Times New Roman"/>
          <w:sz w:val="18"/>
          <w:szCs w:val="18"/>
          <w:color w:val="auto"/>
        </w:rPr>
        <w:t>For example, while we have received, in connection with our IND application, a “no-objection” letter from the FDA regarding the trial design for Saturn-1, the FDA may still require additional studies be conducted prior to submitting an NDA for TP-03. For instance, we will also need to perform a pharmacokinetic study for TP-03 to support our NDA submission for Demodex blepharitis and the FDA is recommending carcinogenicity testing for TP-03 as well as embryofetal development studies in a second species, any result of which, or any additional requests by the FDA, could cause delays in regulatory approval by the FDA. Any delays in completing our clinical trials will increase our costs, slow down our product candidate development and approval process and jeopardize the commercial prospects of our product candidates and our ability to commence product sales and generate revenue.</w:t>
      </w:r>
    </w:p>
    <w:p>
      <w:pPr>
        <w:spacing w:after="0" w:line="189" w:lineRule="exact"/>
        <w:rPr>
          <w:sz w:val="20"/>
          <w:szCs w:val="20"/>
          <w:color w:val="auto"/>
        </w:rPr>
      </w:pPr>
    </w:p>
    <w:p>
      <w:pPr>
        <w:ind w:left="120" w:right="380" w:firstLine="881"/>
        <w:spacing w:after="0" w:line="266" w:lineRule="auto"/>
        <w:rPr>
          <w:sz w:val="20"/>
          <w:szCs w:val="20"/>
          <w:color w:val="auto"/>
        </w:rPr>
      </w:pPr>
      <w:r>
        <w:rPr>
          <w:rFonts w:ascii="Times New Roman" w:cs="Times New Roman" w:eastAsia="Times New Roman" w:hAnsi="Times New Roman"/>
          <w:sz w:val="18"/>
          <w:szCs w:val="18"/>
          <w:color w:val="auto"/>
        </w:rPr>
        <w:t>In addition, many of the factors that cause, or lead to, termination or suspension of, or a delay in the commencement or completion of, clinical trials may also ultimately lead to the denial of regulatory approval of a product candidate. For example, if we make manufacturing or formulation changes to our product candidates, we</w:t>
      </w:r>
    </w:p>
    <w:p>
      <w:pPr>
        <w:spacing w:after="0" w:line="10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040"/>
          </w:cols>
          <w:pgMar w:left="320" w:top="455" w:right="539" w:bottom="1440" w:gutter="0" w:footer="0" w:header="0"/>
        </w:sectPr>
      </w:pPr>
    </w:p>
    <w:bookmarkStart w:id="40" w:name="page41"/>
    <w:bookmarkEnd w:id="4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80"/>
        <w:spacing w:after="0" w:line="261" w:lineRule="auto"/>
        <w:rPr>
          <w:sz w:val="20"/>
          <w:szCs w:val="20"/>
          <w:color w:val="auto"/>
        </w:rPr>
      </w:pPr>
      <w:r>
        <w:rPr>
          <w:rFonts w:ascii="Times New Roman" w:cs="Times New Roman" w:eastAsia="Times New Roman" w:hAnsi="Times New Roman"/>
          <w:sz w:val="18"/>
          <w:szCs w:val="18"/>
          <w:color w:val="auto"/>
        </w:rPr>
        <w:t>may need to conduct additional studies to bridge our modified product candidates to earlier versions. Further, if one or more clinical trials are delayed, our competitors may be able to bring products to market before we do, and the commercial viability of our product candidates could be significantly reduced. Any of these occurrences may harm our business, financial condition and prospects significantly. Any termination of any clinical trial of our product candidates will harm our commercial prospects and our ability to generate revenue.</w:t>
      </w:r>
    </w:p>
    <w:p>
      <w:pPr>
        <w:spacing w:after="0" w:line="176" w:lineRule="exact"/>
        <w:rPr>
          <w:sz w:val="20"/>
          <w:szCs w:val="20"/>
          <w:color w:val="auto"/>
        </w:rPr>
      </w:pPr>
    </w:p>
    <w:p>
      <w:pPr>
        <w:ind w:left="120"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establish sales and marketing capabilities or enter into agreements with third parties to sell and market our product candidates on acceptable terms, we may be unable to successfully commercialize our product candidates that obtain regulatory approval.</w:t>
      </w:r>
    </w:p>
    <w:p>
      <w:pPr>
        <w:spacing w:after="0" w:line="159" w:lineRule="exact"/>
        <w:rPr>
          <w:sz w:val="20"/>
          <w:szCs w:val="20"/>
          <w:color w:val="auto"/>
        </w:rPr>
      </w:pPr>
    </w:p>
    <w:p>
      <w:pPr>
        <w:ind w:left="120" w:firstLine="881"/>
        <w:spacing w:after="0" w:line="261" w:lineRule="auto"/>
        <w:rPr>
          <w:sz w:val="20"/>
          <w:szCs w:val="20"/>
          <w:color w:val="auto"/>
        </w:rPr>
      </w:pPr>
      <w:r>
        <w:rPr>
          <w:rFonts w:ascii="Times New Roman" w:cs="Times New Roman" w:eastAsia="Times New Roman" w:hAnsi="Times New Roman"/>
          <w:sz w:val="18"/>
          <w:szCs w:val="18"/>
          <w:color w:val="auto"/>
        </w:rPr>
        <w:t>We currently have a very limited marketing team and no sales team. In order to commercialize any product candidates, if approved, we must build marketing, sales, distribution, managerial and other non-technical capabilities or make arrangements with third parties to perform these services for each of the territories in which we may have approval to sell and market our product candidates. We may not be successful in accomplishing these required tasks.</w:t>
      </w:r>
    </w:p>
    <w:p>
      <w:pPr>
        <w:spacing w:after="0" w:line="180" w:lineRule="exact"/>
        <w:rPr>
          <w:sz w:val="20"/>
          <w:szCs w:val="20"/>
          <w:color w:val="auto"/>
        </w:rPr>
      </w:pPr>
    </w:p>
    <w:p>
      <w:pPr>
        <w:ind w:left="120" w:right="120" w:firstLine="881"/>
        <w:spacing w:after="0" w:line="253" w:lineRule="auto"/>
        <w:rPr>
          <w:sz w:val="20"/>
          <w:szCs w:val="20"/>
          <w:color w:val="auto"/>
        </w:rPr>
      </w:pPr>
      <w:r>
        <w:rPr>
          <w:rFonts w:ascii="Times New Roman" w:cs="Times New Roman" w:eastAsia="Times New Roman" w:hAnsi="Times New Roman"/>
          <w:sz w:val="18"/>
          <w:szCs w:val="18"/>
          <w:color w:val="auto"/>
        </w:rPr>
        <w:t>Establishing an internal sales and marketing team with technical expertise and supporting distribution capabilities to commercialize our product candidates will be expensive and time-consuming, and will require significant attention of our executive officers to manage. Any failure or delay in the development of our internal sales, marketing and distribution capabilities could adversely impact the commercialization of any of our product candidates that we obtain approval to market, if we do not have arrangements in place with third parties to provide such services on our behalf. Alternatively, if we choose to collaborate, either globally or on a territory-by-territory basis, with third parties that have direct sales forces and established distribution systems, either to augment our own sales force and distribution systems or in lieu of our own sales force and distribution systems, we will be required to negotiate and enter into arrangements with such third parties relating to the proposed collaboration. If we are unable to enter into such arrangements when needed, on acceptable terms, or at all, we may not be able to successfully commercialize any of our product candidates that receive regulatory approval or any such commercialization may experience delays or limitations. If we are unable to successfully commercialize our approved product candidates, either on our own or through collaborations with one or more third parties, our future product revenue will suffer and we may incur significant additional losses.</w:t>
      </w:r>
    </w:p>
    <w:p>
      <w:pPr>
        <w:spacing w:after="0" w:line="188" w:lineRule="exact"/>
        <w:rPr>
          <w:sz w:val="20"/>
          <w:szCs w:val="20"/>
          <w:color w:val="auto"/>
        </w:rPr>
      </w:pPr>
    </w:p>
    <w:p>
      <w:pPr>
        <w:ind w:left="1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The sizes of the market opportunities for our product candidates, particularly TP-03 for the treatment of Demodex blepharitis and for the treatment of MGD, have not been established with precision and may be smaller than we estimate, possibly materially. If our estimates of the sizes overestimate these markets, our sales growth may be adversely affected. We may also not be able to grow the markets for our product candidates as intended or at all.</w:t>
      </w:r>
    </w:p>
    <w:p>
      <w:pPr>
        <w:spacing w:after="0" w:line="180" w:lineRule="exact"/>
        <w:rPr>
          <w:sz w:val="20"/>
          <w:szCs w:val="20"/>
          <w:color w:val="auto"/>
        </w:rPr>
      </w:pPr>
    </w:p>
    <w:p>
      <w:pPr>
        <w:ind w:left="120" w:firstLine="881"/>
        <w:spacing w:after="0" w:line="253" w:lineRule="auto"/>
        <w:rPr>
          <w:sz w:val="20"/>
          <w:szCs w:val="20"/>
          <w:color w:val="auto"/>
        </w:rPr>
      </w:pPr>
      <w:r>
        <w:rPr>
          <w:rFonts w:ascii="Times New Roman" w:cs="Times New Roman" w:eastAsia="Times New Roman" w:hAnsi="Times New Roman"/>
          <w:sz w:val="18"/>
          <w:szCs w:val="18"/>
          <w:color w:val="auto"/>
        </w:rPr>
        <w:t>Our assessment of the potential market opportunity for TP-03 and other product candidates that we develop is based on industry and market data that we obtained from industry publications and research, surveys and studies conducted by third parties and our own internal epidemiology and market research studies. Industry publications and third-party research, surveys and studies generally indicate that their information has been obtained from sources believed to be reliable, although they do not guarantee the accuracy or completeness of such information. While we believe these industry publications and third-party research, surveys and studies are reliable, we have not independently verified such data. Similarly, although the studies we have conducted are based on information that we believe to be complete and reliable, we cannot guarantee that such information is accurate or complete. The potential market opportunities for the treatment of Demodex blepharitis and for the treatment of MGD is difficult to precisely estimate, because patients often have multiple ocular surface diseases and the symptoms have significant overlap, leading to frequent misdiagnosis of the various conditions. Therefore, our estimates of the potential market opportunities for our product candidates include several key assumptions based on our industry knowledge, industry publications, third-party research and our own epidemiology studies and market research, which may be based on a small sample size and fail to accurately reflect market opportunities. While we believe that our internal assumptions and the bases of the studies and</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120"/>
          </w:cols>
          <w:pgMar w:left="320" w:top="455" w:right="459" w:bottom="1440" w:gutter="0" w:footer="0" w:header="0"/>
        </w:sectPr>
      </w:pPr>
    </w:p>
    <w:bookmarkStart w:id="41" w:name="page42"/>
    <w:bookmarkEnd w:id="4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0"/>
        <w:spacing w:after="0" w:line="266" w:lineRule="auto"/>
        <w:rPr>
          <w:sz w:val="20"/>
          <w:szCs w:val="20"/>
          <w:color w:val="auto"/>
        </w:rPr>
      </w:pPr>
      <w:r>
        <w:rPr>
          <w:rFonts w:ascii="Times New Roman" w:cs="Times New Roman" w:eastAsia="Times New Roman" w:hAnsi="Times New Roman"/>
          <w:sz w:val="18"/>
          <w:szCs w:val="18"/>
          <w:color w:val="auto"/>
        </w:rPr>
        <w:t>research we have conducted are reasonable, no independent source has verified such assumptions or bases. If any of our assumptions or estimates, or these publications, research, surveys or studies prove to be inaccurate, then the actual market for TP-03 or any of our other product candidates may be smaller than we expect, and as a result our product revenue may be limited and it may be more difficult for us to achieve or maintain profitability.</w:t>
      </w:r>
    </w:p>
    <w:p>
      <w:pPr>
        <w:spacing w:after="0" w:line="176" w:lineRule="exact"/>
        <w:rPr>
          <w:sz w:val="20"/>
          <w:szCs w:val="20"/>
          <w:color w:val="auto"/>
        </w:rPr>
      </w:pPr>
    </w:p>
    <w:p>
      <w:pPr>
        <w:jc w:val="both"/>
        <w:ind w:left="120" w:right="100" w:firstLine="881"/>
        <w:spacing w:after="0" w:line="266" w:lineRule="auto"/>
        <w:rPr>
          <w:sz w:val="20"/>
          <w:szCs w:val="20"/>
          <w:color w:val="auto"/>
        </w:rPr>
      </w:pPr>
      <w:r>
        <w:rPr>
          <w:rFonts w:ascii="Times New Roman" w:cs="Times New Roman" w:eastAsia="Times New Roman" w:hAnsi="Times New Roman"/>
          <w:sz w:val="18"/>
          <w:szCs w:val="18"/>
          <w:color w:val="auto"/>
        </w:rPr>
        <w:t>Due to the patients presenting at ECP clinics with multiple ocular surface diseases, there is overlap in market size estimates for blepharitis and MGD. Therefore, if TP-03 receives regulatory approval for the treatment of Demodex blepharitis and MGD, our opportunity could be less than our forecasts because the actual market for TP-03 might be significantly smaller than our estimates.</w:t>
      </w:r>
    </w:p>
    <w:p>
      <w:pPr>
        <w:spacing w:after="0" w:line="1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market for blepharitis and Demodex blepharitis may be not be similar to the market for dry eye.</w:t>
      </w:r>
    </w:p>
    <w:p>
      <w:pPr>
        <w:spacing w:after="0" w:line="229" w:lineRule="exact"/>
        <w:rPr>
          <w:sz w:val="20"/>
          <w:szCs w:val="20"/>
          <w:color w:val="auto"/>
        </w:rPr>
      </w:pPr>
    </w:p>
    <w:p>
      <w:pPr>
        <w:ind w:left="120" w:firstLine="881"/>
        <w:spacing w:after="0" w:line="253" w:lineRule="auto"/>
        <w:rPr>
          <w:sz w:val="20"/>
          <w:szCs w:val="20"/>
          <w:color w:val="auto"/>
        </w:rPr>
      </w:pPr>
      <w:r>
        <w:rPr>
          <w:rFonts w:ascii="Times New Roman" w:cs="Times New Roman" w:eastAsia="Times New Roman" w:hAnsi="Times New Roman"/>
          <w:sz w:val="18"/>
          <w:szCs w:val="18"/>
          <w:color w:val="auto"/>
        </w:rPr>
        <w:t>The markets for blepharitis and Demodex blepharitis may prove to be materially different from the dry eye market that grew significantly once there was an approved product. Even if we obtain approval for TP-03 for the treatment of Demodex blepharitis and commercialize TP-03 in this indication, we may not be able to expand the market for Demodex blepharitis materially or at all or increase awareness of Demodex blepharitis to an extent similar to the dry eye market expansion induced by the commercial dry eye product or at all. Our inability to grow the market in a similar way to the dry eye market may occur due to differences in the underlying diseases, different ECP or patient attitudes towards the diseases, symptoms or treatment, changes over time in attitudes towards direct to patient marketing, different reimbursement and coverage, differences in company strategy, marketing or operations and differences in key assumptions which we have not taken into account in our analysis. Additionally, there may be differences in symptoms, regulatory approval and market dynamics. Dry eye had numerous over-the-counter options that reinforced the disease and promoted disease management. Further, patient awareness for dry eye may have been higher due to the various over-the-counter options for dry eye, which do not exist to such a degree for Demodex blepharitis.</w:t>
      </w:r>
    </w:p>
    <w:p>
      <w:pPr>
        <w:spacing w:after="0" w:line="190" w:lineRule="exact"/>
        <w:rPr>
          <w:sz w:val="20"/>
          <w:szCs w:val="20"/>
          <w:color w:val="auto"/>
        </w:rPr>
      </w:pPr>
    </w:p>
    <w:p>
      <w:pPr>
        <w:ind w:left="120"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demonstrate the safety and efficacy of TP-03, TP-04 and TP-05 in the indications we are pursuing even though the API underlying such product candidates is safe and effective in animals.</w:t>
      </w:r>
    </w:p>
    <w:p>
      <w:pPr>
        <w:spacing w:after="0" w:line="159" w:lineRule="exact"/>
        <w:rPr>
          <w:sz w:val="20"/>
          <w:szCs w:val="20"/>
          <w:color w:val="auto"/>
        </w:rPr>
      </w:pPr>
    </w:p>
    <w:p>
      <w:pPr>
        <w:ind w:left="120" w:right="160" w:firstLine="881"/>
        <w:spacing w:after="0" w:line="256" w:lineRule="auto"/>
        <w:rPr>
          <w:sz w:val="20"/>
          <w:szCs w:val="20"/>
          <w:color w:val="auto"/>
        </w:rPr>
      </w:pPr>
      <w:r>
        <w:rPr>
          <w:rFonts w:ascii="Times New Roman" w:cs="Times New Roman" w:eastAsia="Times New Roman" w:hAnsi="Times New Roman"/>
          <w:sz w:val="18"/>
          <w:szCs w:val="18"/>
          <w:color w:val="auto"/>
        </w:rPr>
        <w:t>TP-03, TP-04 and TP-05 are presentations of lotilaner, the API, formulated into an eye drop, topical cream and oral formulation, respectively. Lotilaner, which is designed to paralyze and eradicate mites and other parasites through the inhibition of parasite-specific GABA-Cl channels, has been found to be safe and effective in animals. However, despite being safe and effective in animals, we may not be able to demonstrate that TP-03, TP-04 and TP-05 are safe and effective for human use in the indications we are pursuing for these product candidates. This may be in part because the requirements and regulations applicable to approval of a product candidate for human use are significantly more stringent than for animals and that there may be other ocular or other relevant differences between animals and humans.</w:t>
      </w:r>
    </w:p>
    <w:p>
      <w:pPr>
        <w:spacing w:after="0" w:line="183" w:lineRule="exact"/>
        <w:rPr>
          <w:sz w:val="20"/>
          <w:szCs w:val="20"/>
          <w:color w:val="auto"/>
        </w:rPr>
      </w:pPr>
    </w:p>
    <w:p>
      <w:pPr>
        <w:ind w:left="120" w:right="3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face significant competition, and if our competitors develop and market technologies or products more rapidly than we do or that are more effective, safer or less expensive than the product candidates we develop, our commercial opportunities will be negatively impacted. Our product candidates will, if approved, also compete with existing branded, generic and off-label products.</w:t>
      </w:r>
    </w:p>
    <w:p>
      <w:pPr>
        <w:spacing w:after="0" w:line="175" w:lineRule="exact"/>
        <w:rPr>
          <w:sz w:val="20"/>
          <w:szCs w:val="20"/>
          <w:color w:val="auto"/>
        </w:rPr>
      </w:pPr>
    </w:p>
    <w:p>
      <w:pPr>
        <w:ind w:left="120" w:right="420" w:firstLine="881"/>
        <w:spacing w:after="0" w:line="258" w:lineRule="auto"/>
        <w:rPr>
          <w:sz w:val="20"/>
          <w:szCs w:val="20"/>
          <w:color w:val="auto"/>
        </w:rPr>
      </w:pPr>
      <w:r>
        <w:rPr>
          <w:rFonts w:ascii="Times New Roman" w:cs="Times New Roman" w:eastAsia="Times New Roman" w:hAnsi="Times New Roman"/>
          <w:sz w:val="18"/>
          <w:szCs w:val="18"/>
          <w:color w:val="auto"/>
        </w:rPr>
        <w:t>The development and commercialization of new drug products is highly competitive. We face competition with respect to our product candidates that we may seek to develop or commercialize in the future, from many different sources, including major pharmaceutical companies, specialty pharmaceutical companies and biotechnology companies worldwide and existing treatments.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spacing w:after="0" w:line="183" w:lineRule="exact"/>
        <w:rPr>
          <w:sz w:val="20"/>
          <w:szCs w:val="20"/>
          <w:color w:val="auto"/>
        </w:rPr>
      </w:pPr>
    </w:p>
    <w:p>
      <w:pPr>
        <w:ind w:left="120" w:right="340" w:firstLine="881"/>
        <w:spacing w:after="0" w:line="282" w:lineRule="auto"/>
        <w:rPr>
          <w:sz w:val="20"/>
          <w:szCs w:val="20"/>
          <w:color w:val="auto"/>
        </w:rPr>
      </w:pPr>
      <w:r>
        <w:rPr>
          <w:rFonts w:ascii="Times New Roman" w:cs="Times New Roman" w:eastAsia="Times New Roman" w:hAnsi="Times New Roman"/>
          <w:sz w:val="18"/>
          <w:szCs w:val="18"/>
          <w:color w:val="auto"/>
        </w:rPr>
        <w:t>Our commercial opportunity could be reduced or eliminated if our competitors develop and commercialize products that are safer, more effective, have fewer or less severe side effects, are more convenient</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120"/>
          </w:cols>
          <w:pgMar w:left="320" w:top="455" w:right="459" w:bottom="1440" w:gutter="0" w:footer="0" w:header="0"/>
        </w:sectPr>
      </w:pPr>
    </w:p>
    <w:bookmarkStart w:id="42" w:name="page43"/>
    <w:bookmarkEnd w:id="4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or are less expensive than our products. Our competitors also may obtain FDA approval or other regulatory authority approval for their products more rapidly than we may obtain approval for ours, which could result in our competitors establishing a strong market position before we are able to enter the market.</w:t>
      </w:r>
    </w:p>
    <w:p>
      <w:pPr>
        <w:spacing w:after="0" w:line="176" w:lineRule="exact"/>
        <w:rPr>
          <w:sz w:val="20"/>
          <w:szCs w:val="20"/>
          <w:color w:val="auto"/>
        </w:rPr>
      </w:pPr>
    </w:p>
    <w:p>
      <w:pPr>
        <w:ind w:left="120" w:right="80" w:firstLine="881"/>
        <w:spacing w:after="0" w:line="289" w:lineRule="auto"/>
        <w:rPr>
          <w:sz w:val="20"/>
          <w:szCs w:val="20"/>
          <w:color w:val="auto"/>
        </w:rPr>
      </w:pPr>
      <w:r>
        <w:rPr>
          <w:rFonts w:ascii="Times New Roman" w:cs="Times New Roman" w:eastAsia="Times New Roman" w:hAnsi="Times New Roman"/>
          <w:sz w:val="17"/>
          <w:szCs w:val="17"/>
          <w:color w:val="auto"/>
        </w:rPr>
        <w:t>In addition, our ability to compete may be affected in many cases by insurers or other third-party payors, particularly Medicare and the competent authorities of the individual EU Member States, seeking to encourage the use of generic products. Generic products are currently being used for certain of the indications that we are pursuing, and additional products are expected to become available on a generic basis over the coming years.</w:t>
      </w:r>
    </w:p>
    <w:p>
      <w:pPr>
        <w:spacing w:after="0" w:line="158" w:lineRule="exact"/>
        <w:rPr>
          <w:sz w:val="20"/>
          <w:szCs w:val="20"/>
          <w:color w:val="auto"/>
        </w:rPr>
      </w:pPr>
    </w:p>
    <w:p>
      <w:pPr>
        <w:ind w:left="120" w:firstLine="881"/>
        <w:spacing w:after="0" w:line="255" w:lineRule="auto"/>
        <w:rPr>
          <w:sz w:val="20"/>
          <w:szCs w:val="20"/>
          <w:color w:val="auto"/>
        </w:rPr>
      </w:pPr>
      <w:r>
        <w:rPr>
          <w:rFonts w:ascii="Times New Roman" w:cs="Times New Roman" w:eastAsia="Times New Roman" w:hAnsi="Times New Roman"/>
          <w:sz w:val="18"/>
          <w:szCs w:val="18"/>
          <w:color w:val="auto"/>
        </w:rPr>
        <w:t>Many of the companies against which we are competing or against which we may compete in the future have significantly greater financial resources and expertise in research and development, manufacturing, preclinical testing, conducting clinical trials, obtaining regulatory approvals and marketing approved products than we do. Mergers and acquisitions in the pharmaceutical and biotechnology industries may result in even more resources being concentrated among a smaller number of our competitors. Smaller and early stage companies may also prove to be significant competitors, particularly through collaborative arrangements with large and established companies. These third parties compete with us in recruiting and retaining qualified scientific and management personnel, establishing clinical trial sites and patient registration for clinical trials, as well as in acquiring technologies complementary to, or necessary for, our programs.</w:t>
      </w:r>
    </w:p>
    <w:p>
      <w:pPr>
        <w:spacing w:after="0" w:line="189" w:lineRule="exact"/>
        <w:rPr>
          <w:sz w:val="20"/>
          <w:szCs w:val="20"/>
          <w:color w:val="auto"/>
        </w:rPr>
      </w:pPr>
    </w:p>
    <w:p>
      <w:pPr>
        <w:ind w:left="120" w:right="20" w:firstLine="881"/>
        <w:spacing w:after="0" w:line="281" w:lineRule="auto"/>
        <w:rPr>
          <w:sz w:val="20"/>
          <w:szCs w:val="20"/>
          <w:color w:val="auto"/>
        </w:rPr>
      </w:pPr>
      <w:r>
        <w:rPr>
          <w:rFonts w:ascii="Times New Roman" w:cs="Times New Roman" w:eastAsia="Times New Roman" w:hAnsi="Times New Roman"/>
          <w:sz w:val="17"/>
          <w:szCs w:val="17"/>
          <w:color w:val="auto"/>
        </w:rPr>
        <w:t>Additionally, while there are no currently available on-label prescription pharmaceutical treatments available for the treatment of blepharitis or Demodex blepharitis specifically, a number of other treatments are currently available for the treatment of blepharitis in the United States. Current treatments for blepharitis in the United States include over the counter remedies such as tea tree oil, lid wipes and artificial tears, as well as off-label prescription products. If ECPs were to continue to prescribe these other existing treatments instead of TP-03, our business would be adversely affected.</w:t>
      </w:r>
    </w:p>
    <w:p>
      <w:pPr>
        <w:spacing w:after="0" w:line="160" w:lineRule="exact"/>
        <w:rPr>
          <w:sz w:val="20"/>
          <w:szCs w:val="20"/>
          <w:color w:val="auto"/>
        </w:rPr>
      </w:pPr>
    </w:p>
    <w:p>
      <w:pPr>
        <w:ind w:left="120" w:right="8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Product liability lawsuits against us could cause us to incur substantial liabilities, could divert our resources and could limit or delay our commercialization of any product candidates that we may develop.</w:t>
      </w:r>
    </w:p>
    <w:p>
      <w:pPr>
        <w:spacing w:after="0" w:line="159" w:lineRule="exact"/>
        <w:rPr>
          <w:sz w:val="20"/>
          <w:szCs w:val="20"/>
          <w:color w:val="auto"/>
        </w:rPr>
      </w:pPr>
    </w:p>
    <w:p>
      <w:pPr>
        <w:ind w:left="120" w:firstLine="881"/>
        <w:spacing w:after="0" w:line="255" w:lineRule="auto"/>
        <w:rPr>
          <w:sz w:val="20"/>
          <w:szCs w:val="20"/>
          <w:color w:val="auto"/>
        </w:rPr>
      </w:pPr>
      <w:r>
        <w:rPr>
          <w:rFonts w:ascii="Times New Roman" w:cs="Times New Roman" w:eastAsia="Times New Roman" w:hAnsi="Times New Roman"/>
          <w:sz w:val="18"/>
          <w:szCs w:val="18"/>
          <w:color w:val="auto"/>
        </w:rPr>
        <w:t>We face an inherent risk of product liability exposure related to the testing of our product candidates in human clinical trials and will face an even greater risk if we commercially sell any products that we may develop. While we currently have no products that have been approved for commercial sale, the use of product candidates by us in clinical trials, and the sale of any approved products in the future, may expose us to liability claims. These claims might be made by patients that use the product, healthcare providers, pharmaceutical companies or others selling such products. On occasion, large judgments have been awarded in class action lawsuits based on products that had unanticipated adverse effects. If we cannot successfully defend ourselves against claims that our product candidates or products caused injuries, we could incur substantial liabilities. Regardless of merit or eventual outcome, product liability claims may result in:</w:t>
      </w:r>
    </w:p>
    <w:p>
      <w:pPr>
        <w:spacing w:after="0" w:line="216" w:lineRule="exact"/>
        <w:rPr>
          <w:sz w:val="20"/>
          <w:szCs w:val="20"/>
          <w:color w:val="auto"/>
        </w:rPr>
      </w:pPr>
    </w:p>
    <w:p>
      <w:pPr>
        <w:ind w:left="1420" w:hanging="319"/>
        <w:spacing w:after="0"/>
        <w:tabs>
          <w:tab w:leader="none" w:pos="14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variation or termination of clinical trials;</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any product candidates or products that we may develop;</w:t>
      </w:r>
    </w:p>
    <w:p>
      <w:pPr>
        <w:spacing w:after="0" w:line="252" w:lineRule="exact"/>
        <w:rPr>
          <w:rFonts w:ascii="Times New Roman" w:cs="Times New Roman" w:eastAsia="Times New Roman" w:hAnsi="Times New Roman"/>
          <w:sz w:val="18"/>
          <w:szCs w:val="18"/>
          <w:color w:val="auto"/>
        </w:rPr>
      </w:pPr>
    </w:p>
    <w:p>
      <w:pPr>
        <w:ind w:left="1420" w:right="280" w:hanging="319"/>
        <w:spacing w:after="0" w:line="282" w:lineRule="auto"/>
        <w:tabs>
          <w:tab w:leader="none" w:pos="14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regulatory approval, recall, restriction on the approval or a “black box” warning or contraindication for an approved drug;</w:t>
      </w:r>
    </w:p>
    <w:p>
      <w:pPr>
        <w:spacing w:after="0" w:line="188"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injury to our reputation and significant negative media attention;</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clinical trial subjects;</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initiation of investigations by regulators;</w:t>
      </w:r>
    </w:p>
    <w:p>
      <w:pPr>
        <w:spacing w:after="0" w:line="157" w:lineRule="exact"/>
        <w:rPr>
          <w:rFonts w:ascii="Times New Roman" w:cs="Times New Roman" w:eastAsia="Times New Roman" w:hAnsi="Times New Roman"/>
          <w:sz w:val="18"/>
          <w:szCs w:val="18"/>
          <w:color w:val="auto"/>
        </w:rPr>
      </w:pPr>
    </w:p>
    <w:p>
      <w:pPr>
        <w:ind w:left="5540" w:hanging="111"/>
        <w:spacing w:after="0"/>
        <w:tabs>
          <w:tab w:leader="none" w:pos="554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40 -</w:t>
      </w:r>
    </w:p>
    <w:p>
      <w:pPr>
        <w:sectPr>
          <w:pgSz w:w="11900" w:h="16838" w:orient="portrait"/>
          <w:cols w:equalWidth="0" w:num="1">
            <w:col w:w="11100"/>
          </w:cols>
          <w:pgMar w:left="320" w:top="455" w:right="479" w:bottom="1440" w:gutter="0" w:footer="0" w:header="0"/>
        </w:sectPr>
      </w:pPr>
    </w:p>
    <w:bookmarkStart w:id="43" w:name="page44"/>
    <w:bookmarkEnd w:id="4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420" w:hanging="319"/>
        <w:spacing w:after="0"/>
        <w:tabs>
          <w:tab w:leader="none" w:pos="14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costs to defend the related litigation and diversion of management’s time and our resources;</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to study subjects or patients;</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recalls, withdrawals or labeling, marketing or promotional restrictions;</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 and</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or delay of our efforts to commercialize any products that we may develop.</w:t>
      </w:r>
    </w:p>
    <w:p>
      <w:pPr>
        <w:spacing w:after="0" w:line="225" w:lineRule="exact"/>
        <w:rPr>
          <w:sz w:val="20"/>
          <w:szCs w:val="20"/>
          <w:color w:val="auto"/>
        </w:rPr>
      </w:pPr>
    </w:p>
    <w:p>
      <w:pPr>
        <w:ind w:left="120" w:right="60" w:firstLine="881"/>
        <w:spacing w:after="0" w:line="256" w:lineRule="auto"/>
        <w:rPr>
          <w:sz w:val="20"/>
          <w:szCs w:val="20"/>
          <w:color w:val="auto"/>
        </w:rPr>
      </w:pPr>
      <w:r>
        <w:rPr>
          <w:rFonts w:ascii="Times New Roman" w:cs="Times New Roman" w:eastAsia="Times New Roman" w:hAnsi="Times New Roman"/>
          <w:sz w:val="18"/>
          <w:szCs w:val="18"/>
          <w:color w:val="auto"/>
        </w:rPr>
        <w:t>Although we maintain product liability insurance coverage, it may not be adequate to cover all liabilities that we may incur. We anticipate that we will need to increase our insurance coverage as our product candidates advance through clinical trials and if we successfully commercialize any products. Insurance coverage is increasingly expensive, thus we may not be able to maintain insurance coverage at a reasonable cost or in an amount adequate to satisfy any liability that may arise. If a successful clinical trial or product liability claim or series of claims is brought against us for uninsured liabilities or in excess of insured liabilities, our assets may not be sufficient to cover such claims and our business operations could be impaired.</w:t>
      </w:r>
    </w:p>
    <w:p>
      <w:pPr>
        <w:spacing w:after="0" w:line="183" w:lineRule="exact"/>
        <w:rPr>
          <w:sz w:val="20"/>
          <w:szCs w:val="20"/>
          <w:color w:val="auto"/>
        </w:rPr>
      </w:pPr>
    </w:p>
    <w:p>
      <w:pPr>
        <w:ind w:left="120"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we obtain FDA approval of any of our product candidates, we may never obtain approval or authorization or commercialize such products outside of the United States, which would limit our ability to realize their full market potential.</w:t>
      </w:r>
    </w:p>
    <w:p>
      <w:pPr>
        <w:spacing w:after="0" w:line="159" w:lineRule="exact"/>
        <w:rPr>
          <w:sz w:val="20"/>
          <w:szCs w:val="20"/>
          <w:color w:val="auto"/>
        </w:rPr>
      </w:pPr>
    </w:p>
    <w:p>
      <w:pPr>
        <w:ind w:left="120" w:firstLine="881"/>
        <w:spacing w:after="0" w:line="253" w:lineRule="auto"/>
        <w:rPr>
          <w:sz w:val="20"/>
          <w:szCs w:val="20"/>
          <w:color w:val="auto"/>
        </w:rPr>
      </w:pPr>
      <w:r>
        <w:rPr>
          <w:rFonts w:ascii="Times New Roman" w:cs="Times New Roman" w:eastAsia="Times New Roman" w:hAnsi="Times New Roman"/>
          <w:sz w:val="18"/>
          <w:szCs w:val="18"/>
          <w:color w:val="auto"/>
        </w:rPr>
        <w:t>In order to market any products outside of the United States, we will need to comply with additional onerous but varying regulatory requirements of other countries regarding safety and efficacy. Clinical trials conducted in one country may not be accepted by regulatory authorities in other countries, and regulatory approval in one country does not mean that regulatory approval will be obtained in any other country. Approval procedures vary among countries and can involve additional product testing and validation and additional administrative review periods. Seeking foreign regulatory approvals could result in significant delays, difficulties and costs for us and may require additional preclinical studies or clinical trials which would be costly and time consuming. Regulatory requirements can vary widely from country to country and could delay or prevent the introduction of our products in those countries. Satisfying these and other regulatory requirements is costly, time consuming, uncertain and subject to unanticipated delays. In addition, our failure to obtain regulatory approval in any country may delay or have negative effects on the process for regulatory approval in other countries. We do not have any product candidates approved for sale in any jurisdiction, including international markets, and we do not have experience in obtaining regulatory approval in international markets. If we fail to comply with regulatory requirements in international markets or to obtain and maintain required approvals, our ability to realize the full market potential of our products will be harmed.</w:t>
      </w:r>
    </w:p>
    <w:p>
      <w:pPr>
        <w:spacing w:after="0" w:line="188" w:lineRule="exact"/>
        <w:rPr>
          <w:sz w:val="20"/>
          <w:szCs w:val="20"/>
          <w:color w:val="auto"/>
        </w:rPr>
      </w:pPr>
    </w:p>
    <w:p>
      <w:pPr>
        <w:ind w:left="12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future growth may depend, in part, on our ability to penetrate foreign markets, where we would be subject to additional regulatory burdens and other risks and uncertainties.</w:t>
      </w:r>
    </w:p>
    <w:p>
      <w:pPr>
        <w:spacing w:after="0" w:line="159" w:lineRule="exact"/>
        <w:rPr>
          <w:sz w:val="20"/>
          <w:szCs w:val="20"/>
          <w:color w:val="auto"/>
        </w:rPr>
      </w:pPr>
    </w:p>
    <w:p>
      <w:pPr>
        <w:ind w:left="120" w:right="20" w:firstLine="881"/>
        <w:spacing w:after="0" w:line="255" w:lineRule="auto"/>
        <w:rPr>
          <w:sz w:val="20"/>
          <w:szCs w:val="20"/>
          <w:color w:val="auto"/>
        </w:rPr>
      </w:pPr>
      <w:r>
        <w:rPr>
          <w:rFonts w:ascii="Times New Roman" w:cs="Times New Roman" w:eastAsia="Times New Roman" w:hAnsi="Times New Roman"/>
          <w:sz w:val="18"/>
          <w:szCs w:val="18"/>
          <w:color w:val="auto"/>
        </w:rPr>
        <w:t>Our future profitability may depend, in part, on our ability to commercialize our product candidates in foreign markets for which we may rely on collaboration with third parties. We are evaluating the opportunities for the development and commercialization of our product candidates in foreign markets. We are not permitted to market or promote any of our product candidates before we receive regulatory approval from the applicable regulatory authority in that foreign market, and we may never receive such regulatory approval for any of our product candidates. To obtain separate regulatory approvals in other countries we may be required to comply with numerous and varying regulatory requirements of such countries regarding the safety and efficacy of our product candidates and governing, among other things, clinical trials and commercial sales, pricing and distribution of our product candidates, and we cannot predict success in these jurisdictions. If we obtain approval</w:t>
      </w:r>
    </w:p>
    <w:p>
      <w:pPr>
        <w:spacing w:after="0" w:line="12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080"/>
          </w:cols>
          <w:pgMar w:left="320" w:top="455" w:right="499" w:bottom="1440" w:gutter="0" w:footer="0" w:header="0"/>
        </w:sectPr>
      </w:pPr>
    </w:p>
    <w:bookmarkStart w:id="44" w:name="page45"/>
    <w:bookmarkEnd w:id="4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740"/>
        <w:spacing w:after="0" w:line="282" w:lineRule="auto"/>
        <w:rPr>
          <w:sz w:val="20"/>
          <w:szCs w:val="20"/>
          <w:color w:val="auto"/>
        </w:rPr>
      </w:pPr>
      <w:r>
        <w:rPr>
          <w:rFonts w:ascii="Times New Roman" w:cs="Times New Roman" w:eastAsia="Times New Roman" w:hAnsi="Times New Roman"/>
          <w:sz w:val="18"/>
          <w:szCs w:val="18"/>
          <w:color w:val="auto"/>
        </w:rPr>
        <w:t>of our product candidates and ultimately commercialize our product candidates in foreign markets, we would be subject to additional risks and uncertainties, including:</w:t>
      </w:r>
    </w:p>
    <w:p>
      <w:pPr>
        <w:spacing w:after="0" w:line="189" w:lineRule="exact"/>
        <w:rPr>
          <w:sz w:val="20"/>
          <w:szCs w:val="20"/>
          <w:color w:val="auto"/>
        </w:rPr>
      </w:pPr>
    </w:p>
    <w:p>
      <w:pPr>
        <w:ind w:left="1420" w:hanging="319"/>
        <w:spacing w:after="0"/>
        <w:tabs>
          <w:tab w:leader="none" w:pos="14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customers’ ability to obtain reimbursement for our product candidates in foreign markets;</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directly control commercial activities if we are relying on third parties;</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burden of complying with complex and changing foreign regulatory, tax, accounting and legal requirements;</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 medical practices and customs in foreign countries affecting acceptance in the marketplace;</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import or export licensing requirements;</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longer accounts receivable collection times;</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longer lead times for shipping;</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language barriers for technical training and the need for language translations;</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protection of intellectual property rights in some foreign countries;</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existence of additional potentially relevant third-party intellectual property rights;</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exchange rate fluctuations; and</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interpretation of contractual provisions governed by foreign laws in the event of a contract dispute.</w:t>
      </w:r>
    </w:p>
    <w:p>
      <w:pPr>
        <w:spacing w:after="0" w:line="225" w:lineRule="exact"/>
        <w:rPr>
          <w:sz w:val="20"/>
          <w:szCs w:val="20"/>
          <w:color w:val="auto"/>
        </w:rPr>
      </w:pPr>
    </w:p>
    <w:p>
      <w:pPr>
        <w:ind w:left="120" w:right="20" w:firstLine="881"/>
        <w:spacing w:after="0" w:line="256" w:lineRule="auto"/>
        <w:rPr>
          <w:sz w:val="20"/>
          <w:szCs w:val="20"/>
          <w:color w:val="auto"/>
        </w:rPr>
      </w:pPr>
      <w:r>
        <w:rPr>
          <w:rFonts w:ascii="Times New Roman" w:cs="Times New Roman" w:eastAsia="Times New Roman" w:hAnsi="Times New Roman"/>
          <w:sz w:val="18"/>
          <w:szCs w:val="18"/>
          <w:color w:val="auto"/>
        </w:rPr>
        <w:t>Foreign sales of our product candidates could also be adversely affected by the imposition of governmental controls, political and economic instability, trade restrictions and changes in tariffs. In some countries, particularly the countries in Europe, the pricing of prescription pharmaceuticals is subject to governmental control. In these countries, pricing negotiations with governmental authorities can take considerable time after the receipt of marketing approval for a drug. To obtain reimbursement or pricing approval in some countries, we may be required to conduct a clinical trial that compares the cost-effectiveness of our product candidate to other available therapies. If reimbursement of our products is unavailable or limited in scope or amount, or if pricing is set at unsatisfactory levels, our business could be harmed, possibly materially</w:t>
      </w:r>
    </w:p>
    <w:p>
      <w:pPr>
        <w:spacing w:after="0" w:line="183" w:lineRule="exact"/>
        <w:rPr>
          <w:sz w:val="20"/>
          <w:szCs w:val="20"/>
          <w:color w:val="auto"/>
        </w:rPr>
      </w:pPr>
    </w:p>
    <w:p>
      <w:pPr>
        <w:ind w:lef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conducted all of our completed clinical trials for our product candidates at sites outside the United States, and the FDA may not accept data from trials conducted in such locations.</w:t>
      </w:r>
    </w:p>
    <w:p>
      <w:pPr>
        <w:spacing w:after="0" w:line="159" w:lineRule="exact"/>
        <w:rPr>
          <w:sz w:val="20"/>
          <w:szCs w:val="20"/>
          <w:color w:val="auto"/>
        </w:rPr>
      </w:pPr>
    </w:p>
    <w:p>
      <w:pPr>
        <w:ind w:left="120" w:right="40" w:firstLine="881"/>
        <w:spacing w:after="0" w:line="256" w:lineRule="auto"/>
        <w:rPr>
          <w:sz w:val="20"/>
          <w:szCs w:val="20"/>
          <w:color w:val="auto"/>
        </w:rPr>
      </w:pPr>
      <w:r>
        <w:rPr>
          <w:rFonts w:ascii="Times New Roman" w:cs="Times New Roman" w:eastAsia="Times New Roman" w:hAnsi="Times New Roman"/>
          <w:sz w:val="18"/>
          <w:szCs w:val="18"/>
          <w:color w:val="auto"/>
        </w:rPr>
        <w:t>We have conducted all of our clinical trials outside the United States, including our Phase 2 clinical trials for the treatment of Demodex blepharitis which were conducted in Mexico City, Mexico, at a well-established site for ocular therapy trials. We may in the future choose to conduct other clinical trials outside the United States. Since we have yet to complete any clinical trials in the United States, it is possible that we may not be able to replicate the efficacy and safety results of our completed Phase 2 trials in the United States. We expect that the FDA will primarily consider the efficacy results of our Saturn-1 and Saturn-2 trials in addition to safety data from all human trials, our preclinical studies data as well as preclinical data for lotilaner in support of our potential NDA submission for TP-03 for the treatment of Demodex blepharitis.</w:t>
      </w:r>
    </w:p>
    <w:p>
      <w:pPr>
        <w:spacing w:after="0" w:line="187" w:lineRule="exact"/>
        <w:rPr>
          <w:sz w:val="20"/>
          <w:szCs w:val="20"/>
          <w:color w:val="auto"/>
        </w:rPr>
      </w:pPr>
    </w:p>
    <w:p>
      <w:pPr>
        <w:ind w:left="120" w:right="140" w:firstLine="881"/>
        <w:spacing w:after="0" w:line="282" w:lineRule="auto"/>
        <w:rPr>
          <w:sz w:val="20"/>
          <w:szCs w:val="20"/>
          <w:color w:val="auto"/>
        </w:rPr>
      </w:pPr>
      <w:r>
        <w:rPr>
          <w:rFonts w:ascii="Times New Roman" w:cs="Times New Roman" w:eastAsia="Times New Roman" w:hAnsi="Times New Roman"/>
          <w:sz w:val="18"/>
          <w:szCs w:val="18"/>
          <w:color w:val="auto"/>
        </w:rPr>
        <w:t>Although the FDA may accept data from clinical trials conducted outside the United States, acceptance of this data is subject to conditions imposed by the FDA. For example, the clinical trial must be well designed</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120"/>
          </w:cols>
          <w:pgMar w:left="320" w:top="455" w:right="459" w:bottom="1440" w:gutter="0" w:footer="0" w:header="0"/>
        </w:sectPr>
      </w:pPr>
    </w:p>
    <w:bookmarkStart w:id="45" w:name="page46"/>
    <w:bookmarkEnd w:id="4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72" w:lineRule="auto"/>
        <w:rPr>
          <w:sz w:val="20"/>
          <w:szCs w:val="20"/>
          <w:color w:val="auto"/>
        </w:rPr>
      </w:pPr>
      <w:r>
        <w:rPr>
          <w:rFonts w:ascii="Times New Roman" w:cs="Times New Roman" w:eastAsia="Times New Roman" w:hAnsi="Times New Roman"/>
          <w:sz w:val="17"/>
          <w:szCs w:val="17"/>
          <w:color w:val="auto"/>
        </w:rPr>
        <w:t>and conducted and be performed by qualified investigators in accordance with ethical principles. The trial population must also adequately represent the U.S. population, and the data must be applicable to the U.S. population and U.S. medical practice in ways that the FDA deems clinically meaningful. In addition, while these clinical trials are subject to the applicable local laws, FDA acceptance of the data will depend on its determination that the trials also complied with all applicable U.S. laws and regulations. There can be no assurance the FDA will accept data from clinical trials conducted outside of the United States. There can also be no assurance that the comparable foreign regulatory authority in any jurisdiction in which we seek regulatory approval for our product candidates will accept data from clinical trials conducted outside such jurisdiction. If the FDA or any such foreign regulatory authority does not accept the data from any trial that we have conducted outside the United States, it would likely result in the need for additional trials, which would be costly and time-consuming and could delay or permanently halt our development of the applicable product candidates.</w:t>
      </w:r>
    </w:p>
    <w:p>
      <w:pPr>
        <w:spacing w:after="0" w:line="172" w:lineRule="exact"/>
        <w:rPr>
          <w:sz w:val="20"/>
          <w:szCs w:val="20"/>
          <w:color w:val="auto"/>
        </w:rPr>
      </w:pPr>
    </w:p>
    <w:p>
      <w:pPr>
        <w:ind w:left="120" w:right="40" w:firstLine="881"/>
        <w:spacing w:after="0" w:line="282" w:lineRule="auto"/>
        <w:rPr>
          <w:sz w:val="20"/>
          <w:szCs w:val="20"/>
          <w:color w:val="auto"/>
        </w:rPr>
      </w:pPr>
      <w:r>
        <w:rPr>
          <w:rFonts w:ascii="Times New Roman" w:cs="Times New Roman" w:eastAsia="Times New Roman" w:hAnsi="Times New Roman"/>
          <w:sz w:val="18"/>
          <w:szCs w:val="18"/>
          <w:color w:val="auto"/>
        </w:rPr>
        <w:t>In addition, there are risks inherent in conducting clinical trials in multiple jurisdictions, inside and outside of the United States and if return to conduct trials outside of the United States, we may face risks, such as:</w:t>
      </w:r>
    </w:p>
    <w:p>
      <w:pPr>
        <w:spacing w:after="0" w:line="189" w:lineRule="exact"/>
        <w:rPr>
          <w:sz w:val="20"/>
          <w:szCs w:val="20"/>
          <w:color w:val="auto"/>
        </w:rPr>
      </w:pPr>
    </w:p>
    <w:p>
      <w:pPr>
        <w:ind w:left="1420" w:right="380" w:hanging="319"/>
        <w:spacing w:after="0" w:line="282" w:lineRule="auto"/>
        <w:tabs>
          <w:tab w:leader="none" w:pos="14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and administrative requirements of the jurisdiction where the trial is conducted that could burden or limit our ability to conduct our clinical trials;</w:t>
      </w:r>
    </w:p>
    <w:p>
      <w:pPr>
        <w:spacing w:after="0" w:line="188"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exchange rate fluctuations;</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customs, shipment and storage requirements;</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cultural differences in medical practice and clinical research;</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diminished protection of intellectual property in some countries;</w:t>
      </w:r>
    </w:p>
    <w:p>
      <w:pPr>
        <w:spacing w:after="0" w:line="252" w:lineRule="exact"/>
        <w:rPr>
          <w:rFonts w:ascii="Times New Roman" w:cs="Times New Roman" w:eastAsia="Times New Roman" w:hAnsi="Times New Roman"/>
          <w:sz w:val="18"/>
          <w:szCs w:val="18"/>
          <w:color w:val="auto"/>
        </w:rPr>
      </w:pPr>
    </w:p>
    <w:p>
      <w:pPr>
        <w:ind w:left="1420" w:hanging="319"/>
        <w:spacing w:after="0" w:line="282" w:lineRule="auto"/>
        <w:tabs>
          <w:tab w:leader="none" w:pos="14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 cultural attitudes to self-reported adverse events (such as burning, stinging, blurry vision) leading to a different safety profile; and</w:t>
      </w:r>
    </w:p>
    <w:p>
      <w:pPr>
        <w:spacing w:after="0" w:line="188" w:lineRule="exact"/>
        <w:rPr>
          <w:rFonts w:ascii="Times New Roman" w:cs="Times New Roman" w:eastAsia="Times New Roman" w:hAnsi="Times New Roman"/>
          <w:sz w:val="18"/>
          <w:szCs w:val="18"/>
          <w:color w:val="auto"/>
        </w:rPr>
      </w:pPr>
    </w:p>
    <w:p>
      <w:pPr>
        <w:ind w:left="1420" w:right="120" w:hanging="319"/>
        <w:spacing w:after="0" w:line="282" w:lineRule="auto"/>
        <w:tabs>
          <w:tab w:leader="none" w:pos="14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the patient populations in such trials are not considered representative as compared to the patient population in the target markets where approval is being sought.</w:t>
      </w:r>
    </w:p>
    <w:p>
      <w:pPr>
        <w:spacing w:after="0" w:line="158" w:lineRule="exact"/>
        <w:rPr>
          <w:sz w:val="20"/>
          <w:szCs w:val="20"/>
          <w:color w:val="auto"/>
        </w:rPr>
      </w:pPr>
    </w:p>
    <w:p>
      <w:pPr>
        <w:ind w:left="120" w:right="4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Even if we obtain regulatory approval with respect to TP-03 for Demodex blepharitis, we may not be able to obtain regulatory approval for additional indications, such as MGD, or we may be required to conduct additional trials, which would limit our ability to realize the full market potential of TP-03 or increase the costs of developing TP-03 for MGD.</w:t>
      </w:r>
    </w:p>
    <w:p>
      <w:pPr>
        <w:spacing w:after="0" w:line="175" w:lineRule="exact"/>
        <w:rPr>
          <w:sz w:val="20"/>
          <w:szCs w:val="20"/>
          <w:color w:val="auto"/>
        </w:rPr>
      </w:pPr>
    </w:p>
    <w:p>
      <w:pPr>
        <w:ind w:left="120" w:right="40" w:firstLine="881"/>
        <w:spacing w:after="0" w:line="253" w:lineRule="auto"/>
        <w:rPr>
          <w:sz w:val="20"/>
          <w:szCs w:val="20"/>
          <w:color w:val="auto"/>
        </w:rPr>
      </w:pPr>
      <w:r>
        <w:rPr>
          <w:rFonts w:ascii="Times New Roman" w:cs="Times New Roman" w:eastAsia="Times New Roman" w:hAnsi="Times New Roman"/>
          <w:sz w:val="18"/>
          <w:szCs w:val="18"/>
          <w:color w:val="auto"/>
        </w:rPr>
        <w:t>If we obtain regulatory approval with respect to TP-03 for the treatment of Demodex blepharitis, we intend explore the therapeutic potential for TP-03 in MGD as an additional indication. If we are successful, the indication for use of TP-03 could potentially be broadened beyond the treatment of Demodex blepharitis to include MGD as an additional indication. However, there can be no assurance that, even if we obtain approval for Demodex blepharitis, we will obtain approval for any other indication, including MGD or for any broadened indication beyond the treatment of Demodex blepharitis. If we fail to obtain and maintain required approvals for these additional or broadened indications, or if regulatory approvals are delayed, we will not realize the full market potential of TP-03. Additionally, the FDA or other comparable foreign regulatory authority may require us to conduct additional clinical trials before seeking regulatory approval. For example, we intend to rely on preclinical studies we have conducted with TP-03 for Demodex blepharitis instead of conducting preclinical studies for MGD. The FDA may not approve of this approach and may require us to conduct preclinical studies with TP-03 in MGD, which may delay our expected timelines for approval and increase costs. If we were required to conduct additional clinical trials, our costs for developing TP-03 for treating MGD would be substantially higher and the timing of any regulatory approval, if any, would be substantially extended, which could adverse effect our results of operations.</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120"/>
          </w:cols>
          <w:pgMar w:left="320" w:top="455" w:right="459" w:bottom="1440" w:gutter="0" w:footer="0" w:header="0"/>
        </w:sectPr>
      </w:pPr>
    </w:p>
    <w:bookmarkStart w:id="46" w:name="page47"/>
    <w:bookmarkEnd w:id="4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Changes in methods of product candidate manufacturing or formulation may result in additional costs or delay.</w:t>
      </w:r>
    </w:p>
    <w:p>
      <w:pPr>
        <w:spacing w:after="0" w:line="229" w:lineRule="exact"/>
        <w:rPr>
          <w:sz w:val="20"/>
          <w:szCs w:val="20"/>
          <w:color w:val="auto"/>
        </w:rPr>
      </w:pPr>
    </w:p>
    <w:p>
      <w:pPr>
        <w:ind w:left="120" w:firstLine="881"/>
        <w:spacing w:after="0" w:line="253" w:lineRule="auto"/>
        <w:rPr>
          <w:sz w:val="20"/>
          <w:szCs w:val="20"/>
          <w:color w:val="auto"/>
        </w:rPr>
      </w:pPr>
      <w:r>
        <w:rPr>
          <w:rFonts w:ascii="Times New Roman" w:cs="Times New Roman" w:eastAsia="Times New Roman" w:hAnsi="Times New Roman"/>
          <w:sz w:val="18"/>
          <w:szCs w:val="18"/>
          <w:color w:val="auto"/>
        </w:rPr>
        <w:t>As product candidates proceed through pre-clinical studies to late-stage clinical trials towards potential approval and commercialization, it is common that various aspects of the development program, such as manufacturing methods and formulation, are altered along the way in an effort to optimize processes and results. Such changes carry the risk that they will not achieve these intended objectives. Any of these changes could cause our product candidates to perform differently and affect the results of planned clinical trials or other future clinical trials conducted with the altered materials. Such changes may also require additional testing, FDA notification or FDA approval. This could delay completion of clinical trials, require the conduct of bridging clinical trials or the repetition of one or more clinical trials, increase clinical trial costs, delay approval of our product candidates and jeopardize our ability to commence sales and generate revenue. For example, we intend to develop a preservative-free formulation for TP-03, which we expect to be completed after the submission of the NDA for Demodex blepharitis and used for commercialization. We intend to initiate preclinical equivalence studies with this preservative-free formulation after the NDA submission of the current formulation of TP-03 for Demodex blepharitis. However, there can be no assurance that the FDA will not require us to conduct studies or trials in addition to these preclinical equivalence studies, which would mean additional costs and potentially delays in our approval of TP-03 for the treatment of Demodex blepharitis.</w:t>
      </w:r>
    </w:p>
    <w:p>
      <w:pPr>
        <w:spacing w:after="0" w:line="188" w:lineRule="exact"/>
        <w:rPr>
          <w:sz w:val="20"/>
          <w:szCs w:val="20"/>
          <w:color w:val="auto"/>
        </w:rPr>
      </w:pPr>
    </w:p>
    <w:p>
      <w:pPr>
        <w:ind w:left="120"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Managing our obligations under our in-license agreements and other strategic agreements may divert management time and attention, causing delays or disruptions to our business.</w:t>
      </w:r>
    </w:p>
    <w:p>
      <w:pPr>
        <w:spacing w:after="0" w:line="159" w:lineRule="exact"/>
        <w:rPr>
          <w:sz w:val="20"/>
          <w:szCs w:val="20"/>
          <w:color w:val="auto"/>
        </w:rPr>
      </w:pPr>
    </w:p>
    <w:p>
      <w:pPr>
        <w:ind w:left="120" w:right="80" w:firstLine="881"/>
        <w:spacing w:after="0" w:line="255" w:lineRule="auto"/>
        <w:rPr>
          <w:sz w:val="20"/>
          <w:szCs w:val="20"/>
          <w:color w:val="auto"/>
        </w:rPr>
      </w:pPr>
      <w:r>
        <w:rPr>
          <w:rFonts w:ascii="Times New Roman" w:cs="Times New Roman" w:eastAsia="Times New Roman" w:hAnsi="Times New Roman"/>
          <w:sz w:val="18"/>
          <w:szCs w:val="18"/>
          <w:color w:val="auto"/>
        </w:rPr>
        <w:t>We have entered into two license agreements with Elanco: (i) an agreement granting us a worldwide, sublicensable license for the development and marketing of lotilaner for the treatment or cure of any eye or skin condition in humans, or, as amended, the Eye and Derm Elanco Agreement, and (ii) the All Human Uses Elanco Agreement, and may in the future enter into in-license agreements with multiple licensors and strategic agreements, which, subject us to various obligations, including diligence obligations, reporting and notification obligations, payment obligations for achievement of certain milestone as well as other material obligations. We may need to devote substantial time and attention to ensuring that we successfully integrate these transactions into our existing operations and are compliant with our obligations under these agreements, which may divert management’s time and attention away from our research and development programs or other day-to-day activities.</w:t>
      </w:r>
    </w:p>
    <w:p>
      <w:pPr>
        <w:spacing w:after="0" w:line="189" w:lineRule="exact"/>
        <w:rPr>
          <w:sz w:val="20"/>
          <w:szCs w:val="20"/>
          <w:color w:val="auto"/>
        </w:rPr>
      </w:pPr>
    </w:p>
    <w:p>
      <w:pPr>
        <w:ind w:left="120" w:right="300" w:firstLine="881"/>
        <w:spacing w:after="0" w:line="261" w:lineRule="auto"/>
        <w:rPr>
          <w:sz w:val="20"/>
          <w:szCs w:val="20"/>
          <w:color w:val="auto"/>
        </w:rPr>
      </w:pPr>
      <w:r>
        <w:rPr>
          <w:rFonts w:ascii="Times New Roman" w:cs="Times New Roman" w:eastAsia="Times New Roman" w:hAnsi="Times New Roman"/>
          <w:sz w:val="18"/>
          <w:szCs w:val="18"/>
          <w:color w:val="auto"/>
        </w:rPr>
        <w:t>Our in-license and strategic agreements are also complex and certain provisions in those agreements may be susceptible to multiple interpretations. In the event of any disagreement about the interpretation of these provisions, our management may need to devote a disproportionate amount of its attention to resolving these disagreements. Such disruptions may cause delays in our research and development programs and other business objectives.</w:t>
      </w:r>
    </w:p>
    <w:p>
      <w:pPr>
        <w:spacing w:after="0" w:line="176" w:lineRule="exact"/>
        <w:rPr>
          <w:sz w:val="20"/>
          <w:szCs w:val="20"/>
          <w:color w:val="auto"/>
        </w:rPr>
      </w:pPr>
    </w:p>
    <w:p>
      <w:pPr>
        <w:ind w:left="12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operating activities may be restricted by certain covenants in our license and other strategic agreements, which could limit our development and commercial opportunities.</w:t>
      </w:r>
    </w:p>
    <w:p>
      <w:pPr>
        <w:spacing w:after="0" w:line="159" w:lineRule="exact"/>
        <w:rPr>
          <w:sz w:val="20"/>
          <w:szCs w:val="20"/>
          <w:color w:val="auto"/>
        </w:rPr>
      </w:pPr>
    </w:p>
    <w:p>
      <w:pPr>
        <w:ind w:left="120" w:right="140" w:firstLine="881"/>
        <w:spacing w:after="0" w:line="258" w:lineRule="auto"/>
        <w:rPr>
          <w:sz w:val="20"/>
          <w:szCs w:val="20"/>
          <w:color w:val="auto"/>
        </w:rPr>
      </w:pPr>
      <w:r>
        <w:rPr>
          <w:rFonts w:ascii="Times New Roman" w:cs="Times New Roman" w:eastAsia="Times New Roman" w:hAnsi="Times New Roman"/>
          <w:sz w:val="18"/>
          <w:szCs w:val="18"/>
          <w:color w:val="auto"/>
        </w:rPr>
        <w:t>In connection with our in-license or other collaborations or strategic alliances, we may agree to and be bound by negative covenants which may limit our development and commercial opportunities. For example, pursuant to the Eye and Derm Elanco Agreement and the All Human Uses Elanco Agreement, we made certain covenants to only engage with third party suppliers previously approved by Elanco, and only under certain circumstances. These provisions may inhibit our development efforts, prevent us from forming strategic collaborations to develop and potentially commercialize any other product candidates and may materially harm our business, financial condition, results of operations and prospects.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120"/>
          </w:cols>
          <w:pgMar w:left="320" w:top="455" w:right="459" w:bottom="1440" w:gutter="0" w:footer="0" w:header="0"/>
        </w:sectPr>
      </w:pPr>
    </w:p>
    <w:bookmarkStart w:id="47" w:name="page48"/>
    <w:bookmarkEnd w:id="4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expend our limited resources to pursue TP-03 for the treatment of Demodex blepharitis and fail to capitalize on product candidates or indications that may be more profitable or for which there is a greater likelihood of success.</w:t>
      </w:r>
    </w:p>
    <w:p>
      <w:pPr>
        <w:spacing w:after="0" w:line="159" w:lineRule="exact"/>
        <w:rPr>
          <w:sz w:val="20"/>
          <w:szCs w:val="20"/>
          <w:color w:val="auto"/>
        </w:rPr>
      </w:pPr>
    </w:p>
    <w:p>
      <w:pPr>
        <w:ind w:left="120" w:right="100" w:firstLine="881"/>
        <w:spacing w:after="0" w:line="254" w:lineRule="auto"/>
        <w:rPr>
          <w:sz w:val="20"/>
          <w:szCs w:val="20"/>
          <w:color w:val="auto"/>
        </w:rPr>
      </w:pPr>
      <w:r>
        <w:rPr>
          <w:rFonts w:ascii="Times New Roman" w:cs="Times New Roman" w:eastAsia="Times New Roman" w:hAnsi="Times New Roman"/>
          <w:sz w:val="18"/>
          <w:szCs w:val="18"/>
          <w:color w:val="auto"/>
        </w:rPr>
        <w:t>Because we have limited financial and managerial resources, we must prioritize our research programs and will need to focus our product candidates on the potential treatment of certain indications. We are currently focused on the development and commercialization, if approved, of TP-03 for the treatment of Demodex blepharitis. As a result, we may forego or delay pursuit of opportunities with other product candidates or for other indications that later prove to have greater commercial potential. Our resource allocation decisions may cause us to fail to capitalize on the most viable commercial products or profitable market opportunities. Our spending on current and future research and development programs for TP-03 for the treatment of Demodex blepharitis may not yield any commercially viable products. If we do not accurately evaluate the commercial potential or target market for TP-03, we may also relinquish valuable rights to that product candidate through collaboration, licensing or other royalty arrangements in cases in which it would have been more advantageous for us to retain sole development and commercialization rights to such product candidate.</w:t>
      </w:r>
    </w:p>
    <w:p>
      <w:pPr>
        <w:spacing w:after="0" w:line="188" w:lineRule="exact"/>
        <w:rPr>
          <w:sz w:val="20"/>
          <w:szCs w:val="20"/>
          <w:color w:val="auto"/>
        </w:rPr>
      </w:pPr>
    </w:p>
    <w:p>
      <w:pPr>
        <w:jc w:val="both"/>
        <w:ind w:left="120"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Even if we obtain regulatory approvals for any product candidates we develop, the terms of approvals and ongoing regulation of our products could require substantial expenditure of resources and may limit how we manufacture and market our products, which could materially impair our ability to generate revenue.</w:t>
      </w:r>
    </w:p>
    <w:p>
      <w:pPr>
        <w:spacing w:after="0" w:line="175" w:lineRule="exact"/>
        <w:rPr>
          <w:sz w:val="20"/>
          <w:szCs w:val="20"/>
          <w:color w:val="auto"/>
        </w:rPr>
      </w:pPr>
    </w:p>
    <w:p>
      <w:pPr>
        <w:ind w:left="120" w:right="60" w:firstLine="881"/>
        <w:spacing w:after="0" w:line="255" w:lineRule="auto"/>
        <w:rPr>
          <w:sz w:val="20"/>
          <w:szCs w:val="20"/>
          <w:color w:val="auto"/>
        </w:rPr>
      </w:pPr>
      <w:r>
        <w:rPr>
          <w:rFonts w:ascii="Times New Roman" w:cs="Times New Roman" w:eastAsia="Times New Roman" w:hAnsi="Times New Roman"/>
          <w:sz w:val="18"/>
          <w:szCs w:val="18"/>
          <w:color w:val="auto"/>
        </w:rPr>
        <w:t>Any product candidate for which we obtain regulatory approval, along with the manufacturing processes, post-approval clinical data, labeling, advertising, and promotional activities for such product, will be subject to continual requirements of and review by the FDA, the EMA and other regulatory authorities. These requirements include submissions of safety and other post-marketing information and reports, registration and listing requirements, cGMP requirements relating to quality control, quality assurance and corresponding maintenance of records and documents, and requirements regarding the distribution of samples to physicians and recordkeeping. Even if regulatory approval of a product candidate is granted, the approval may be subject to limitations on the indicated uses for which the product may be marketed or to the conditions of approval, or contain requirements for costly post-marketing testing and surveillance to monitor the safety or efficacy of the product.</w:t>
      </w:r>
    </w:p>
    <w:p>
      <w:pPr>
        <w:spacing w:after="0" w:line="189" w:lineRule="exact"/>
        <w:rPr>
          <w:sz w:val="20"/>
          <w:szCs w:val="20"/>
          <w:color w:val="auto"/>
        </w:rPr>
      </w:pPr>
    </w:p>
    <w:p>
      <w:pPr>
        <w:ind w:left="120" w:right="20" w:firstLine="881"/>
        <w:spacing w:after="0" w:line="256" w:lineRule="auto"/>
        <w:rPr>
          <w:sz w:val="20"/>
          <w:szCs w:val="20"/>
          <w:color w:val="auto"/>
        </w:rPr>
      </w:pPr>
      <w:r>
        <w:rPr>
          <w:rFonts w:ascii="Times New Roman" w:cs="Times New Roman" w:eastAsia="Times New Roman" w:hAnsi="Times New Roman"/>
          <w:sz w:val="18"/>
          <w:szCs w:val="18"/>
          <w:color w:val="auto"/>
        </w:rPr>
        <w:t>Accordingly, assuming we receive regulatory approval for one or more product candidates we develop, we and our contract manufacturers will continue to expend time, money, and effort in all areas of regulatory compliance, including manufacturing, production, product surveillance, and quality control. If we are not able to comply with post-approval regulatory requirements, we could have the regulatory approvals for our products withdrawn by regulatory authorities and our ability to market any future products could be limited, which could adversely affect our ability to achieve or sustain profitability. Further, the cost of compliance with post-approval regulations may have a negative effect on our business, operating results, financial condition, and prospects.</w:t>
      </w:r>
    </w:p>
    <w:p>
      <w:pPr>
        <w:spacing w:after="0" w:line="183" w:lineRule="exact"/>
        <w:rPr>
          <w:sz w:val="20"/>
          <w:szCs w:val="20"/>
          <w:color w:val="auto"/>
        </w:rPr>
      </w:pPr>
    </w:p>
    <w:p>
      <w:pPr>
        <w:ind w:left="120"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Interim top-line and preliminary results from our clinical trials that we announce or publish from time to time may change as more participant data become available and are subject to audit and verification procedures, which could result in material changes in the final data.</w:t>
      </w:r>
    </w:p>
    <w:p>
      <w:pPr>
        <w:spacing w:after="0" w:line="159" w:lineRule="exact"/>
        <w:rPr>
          <w:sz w:val="20"/>
          <w:szCs w:val="20"/>
          <w:color w:val="auto"/>
        </w:rPr>
      </w:pPr>
    </w:p>
    <w:p>
      <w:pPr>
        <w:ind w:left="120" w:firstLine="881"/>
        <w:spacing w:after="0" w:line="273" w:lineRule="auto"/>
        <w:rPr>
          <w:sz w:val="20"/>
          <w:szCs w:val="20"/>
          <w:color w:val="auto"/>
        </w:rPr>
      </w:pPr>
      <w:r>
        <w:rPr>
          <w:rFonts w:ascii="Times New Roman" w:cs="Times New Roman" w:eastAsia="Times New Roman" w:hAnsi="Times New Roman"/>
          <w:sz w:val="17"/>
          <w:szCs w:val="17"/>
          <w:color w:val="auto"/>
        </w:rPr>
        <w:t>From time to time, we may publish interim top-line or preliminary results from our clinical trials. Interim results from clinical trials that we may complete are subject to the risk that one or more of the clinical outcomes may materially change as participant enrollment continues and more participant data become available. We also make assumptions, estimations, calculations, and conclusions as part of our analyses of data, and we may not have received or had the opportunity to fully evaluate all data. Preliminary or top-line results also remain subject to audit and verification procedures that may result in the final data being materially different from the preliminary data we previously published. As a result, interim and preliminary data should be viewed with caution until the final data are available. Adverse differences between preliminary or interim data and final data could be material and could significantly harm our reputation and business prospects and may cause the trading price of our common stock to fluctuate significantly.</w:t>
      </w:r>
    </w:p>
    <w:p>
      <w:pPr>
        <w:spacing w:after="0" w:line="10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120"/>
          </w:cols>
          <w:pgMar w:left="320" w:top="455" w:right="459" w:bottom="1440" w:gutter="0" w:footer="0" w:header="0"/>
        </w:sectPr>
      </w:pPr>
    </w:p>
    <w:bookmarkStart w:id="48" w:name="page49"/>
    <w:bookmarkEnd w:id="4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Reliance on Third Parties</w:t>
      </w:r>
    </w:p>
    <w:p>
      <w:pPr>
        <w:spacing w:after="0" w:line="225" w:lineRule="exact"/>
        <w:rPr>
          <w:sz w:val="20"/>
          <w:szCs w:val="20"/>
          <w:color w:val="auto"/>
        </w:rPr>
      </w:pPr>
    </w:p>
    <w:p>
      <w:pPr>
        <w:ind w:left="120"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rely on third parties to conduct our clinical trials and perform some of our research and preclinical studies. If these third parties do not satisfactorily carry out their contractual duties or fail to meet expected deadlines, our development programs may be delayed or subject to increased costs, each of which may have an adverse effect on our business and prospects.</w:t>
      </w:r>
    </w:p>
    <w:p>
      <w:pPr>
        <w:spacing w:after="0" w:line="175" w:lineRule="exact"/>
        <w:rPr>
          <w:sz w:val="20"/>
          <w:szCs w:val="20"/>
          <w:color w:val="auto"/>
        </w:rPr>
      </w:pPr>
    </w:p>
    <w:p>
      <w:pPr>
        <w:ind w:left="120" w:firstLine="881"/>
        <w:spacing w:after="0" w:line="255" w:lineRule="auto"/>
        <w:rPr>
          <w:sz w:val="20"/>
          <w:szCs w:val="20"/>
          <w:color w:val="auto"/>
        </w:rPr>
      </w:pPr>
      <w:r>
        <w:rPr>
          <w:rFonts w:ascii="Times New Roman" w:cs="Times New Roman" w:eastAsia="Times New Roman" w:hAnsi="Times New Roman"/>
          <w:sz w:val="18"/>
          <w:szCs w:val="18"/>
          <w:color w:val="auto"/>
        </w:rPr>
        <w:t>We do not have the ability to independently conduct our clinical trials. We currently rely on third parties, such as CROs, clinical data management organizations, medical institutions and clinical investigators, to conduct our current and planned clinical trials of TP-03, TP-04 and TP-05 and other product candidates, and we expect to continue to rely upon third parties to conduct additional clinical trials of potential future product candidates. Third parties have a significant role in the conduct of our clinical trials and the subsequent collection and analysis of data. These third parties are not our employees, and except for remedies available to us under our agreements with such third party, we have limited ability to control the amount or timing of resources that any such third party will devote to our clinical trials. Some of these third parties may terminate their engagements with us at any time. If we need to enter into alternative arrangements with a third party, it would delay our development activities.</w:t>
      </w:r>
    </w:p>
    <w:p>
      <w:pPr>
        <w:spacing w:after="0" w:line="189" w:lineRule="exact"/>
        <w:rPr>
          <w:sz w:val="20"/>
          <w:szCs w:val="20"/>
          <w:color w:val="auto"/>
        </w:rPr>
      </w:pPr>
    </w:p>
    <w:p>
      <w:pPr>
        <w:ind w:left="120" w:right="40" w:firstLine="881"/>
        <w:spacing w:after="0" w:line="253" w:lineRule="auto"/>
        <w:rPr>
          <w:sz w:val="20"/>
          <w:szCs w:val="20"/>
          <w:color w:val="auto"/>
        </w:rPr>
      </w:pPr>
      <w:r>
        <w:rPr>
          <w:rFonts w:ascii="Times New Roman" w:cs="Times New Roman" w:eastAsia="Times New Roman" w:hAnsi="Times New Roman"/>
          <w:sz w:val="18"/>
          <w:szCs w:val="18"/>
          <w:color w:val="auto"/>
        </w:rPr>
        <w:t>Our reliance on these third parties for such development activities will reduce our control over these activities but will not relieve us of our regulatory responsibilities. For example, we will remain responsible for ensuring that each of our clinical trials is conducted in accordance with the general investigational plan and protocols for the trial. Moreover, the FDA requires us to comply with GCP standards, regulations for conducting, recording and reporting the results of clinical trials to assure that data and reported results are credible and accurate and that the rights, integrity and confidentiality of trial participants are protected. The EC also requires us to comply with similar standards. Regulatory authorities enforce these GCP requirements through periodic inspections of trial sponsors, principal investigators and trial sites. If we or any of our CROs fail to comply with applicable GCP requirements, the clinical data generated in our clinical trials may be deemed unreliable and the FDA, EC or comparable foreign regulatory authorities may require us to perform additional clinical trials before approving our marketing applications. We cannot assure you that upon inspection by a given regulatory authority, such regulatory authority will determine that any of our clinical trials comply with GCP or other applicable regulations. In addition, our clinical trials must be conducted with product produced under current applicable cGMP regulations. Our failure to comply with these regulations may require us to repeat clinical trials, which would delay the marketing approval process. We also are required to register certain ongoing clinical trials and post the results of certain completed clinical trials on a government-sponsored database, ClinicalTrials.gov, within certain timeframes. Failure to do so can result in fines, adverse publicity and civil and criminal sanctions.</w:t>
      </w:r>
    </w:p>
    <w:p>
      <w:pPr>
        <w:spacing w:after="0" w:line="187" w:lineRule="exact"/>
        <w:rPr>
          <w:sz w:val="20"/>
          <w:szCs w:val="20"/>
          <w:color w:val="auto"/>
        </w:rPr>
      </w:pPr>
    </w:p>
    <w:p>
      <w:pPr>
        <w:ind w:left="120" w:right="240" w:firstLine="881"/>
        <w:spacing w:after="0" w:line="258" w:lineRule="auto"/>
        <w:rPr>
          <w:sz w:val="20"/>
          <w:szCs w:val="20"/>
          <w:color w:val="auto"/>
        </w:rPr>
      </w:pPr>
      <w:r>
        <w:rPr>
          <w:rFonts w:ascii="Times New Roman" w:cs="Times New Roman" w:eastAsia="Times New Roman" w:hAnsi="Times New Roman"/>
          <w:sz w:val="18"/>
          <w:szCs w:val="18"/>
          <w:color w:val="auto"/>
        </w:rPr>
        <w:t>The third parties we rely on for these services may also have relationships with other entities, some of which may be our competitors. In addition, the operations of our CROs and other third-party service providers may be constrained or disrupted by the ongoing COVID-19 pandemic. If these third parties do not successfully carry out their contractual duties, meet expected deadlines or conduct our clinical trials in accordance with regulatory requirements or our stated protocols, we will not be able to obtain, or may be delayed in obtaining, marketing approvals for our product candidates and will not be able to, or may be delayed in our efforts to, successfully commercialize our product candidates.</w:t>
      </w:r>
    </w:p>
    <w:p>
      <w:pPr>
        <w:spacing w:after="0" w:line="183" w:lineRule="exact"/>
        <w:rPr>
          <w:sz w:val="20"/>
          <w:szCs w:val="20"/>
          <w:color w:val="auto"/>
        </w:rPr>
      </w:pPr>
    </w:p>
    <w:p>
      <w:pPr>
        <w:ind w:left="120" w:firstLine="881"/>
        <w:spacing w:after="0" w:line="255" w:lineRule="auto"/>
        <w:rPr>
          <w:sz w:val="20"/>
          <w:szCs w:val="20"/>
          <w:color w:val="auto"/>
        </w:rPr>
      </w:pPr>
      <w:r>
        <w:rPr>
          <w:rFonts w:ascii="Times New Roman" w:cs="Times New Roman" w:eastAsia="Times New Roman" w:hAnsi="Times New Roman"/>
          <w:sz w:val="18"/>
          <w:szCs w:val="18"/>
          <w:color w:val="auto"/>
        </w:rPr>
        <w:t>If any of our relationships with these third parties terminate, we may not be able to enter into arrangements with alternative third parties or do so on commercially reasonable terms. Switching or adding additional CROs, investigators and other third parties involves additional cost and requires management time and focus. In addition, there is a natural transition period when a new CRO commences work. As a result, delays can occur, which could materially impact our ability to meet our desired clinical development timelines. The COVID-19 pandemic and government measures taken in response have also had a significant impact on many CROs. Although we plan to carefully manage our relationships with our CROs, investigators and other third parties, we may nonetheless encounter challenges or delays in the future, which could have a material and adverse impact on our business, financial condition and prospects.</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120"/>
          </w:cols>
          <w:pgMar w:left="320" w:top="455" w:right="459" w:bottom="1440" w:gutter="0" w:footer="0" w:header="0"/>
        </w:sectPr>
      </w:pPr>
    </w:p>
    <w:bookmarkStart w:id="49" w:name="page50"/>
    <w:bookmarkEnd w:id="4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80" w:firstLine="881"/>
        <w:spacing w:after="0" w:line="256" w:lineRule="auto"/>
        <w:rPr>
          <w:sz w:val="20"/>
          <w:szCs w:val="20"/>
          <w:color w:val="auto"/>
        </w:rPr>
      </w:pPr>
      <w:r>
        <w:rPr>
          <w:rFonts w:ascii="Times New Roman" w:cs="Times New Roman" w:eastAsia="Times New Roman" w:hAnsi="Times New Roman"/>
          <w:sz w:val="18"/>
          <w:szCs w:val="18"/>
          <w:color w:val="auto"/>
        </w:rPr>
        <w:t>In addition, principal investigators for our clinical trials may serve as scientific advisors or consultants to us from time to time and receive compensation in connection with such services. Under certain circumstances, we may be required to report some of these relationships to the FDA. The FDA may conclude that a financial relationship between us and a principal investigator has created a conflict of interest or otherwise affected interpretation of the trial. The FDA may therefore question the integrity of the data generated at the applicable clinical trial site and the utility of the clinical trial itself may be jeopardized. This could result in a delay in approval, or rejection, of our marketing applications by the FDA and may ultimately lead to the denial of marketing approval of any product candidates.</w:t>
      </w:r>
    </w:p>
    <w:p>
      <w:pPr>
        <w:spacing w:after="0" w:line="183" w:lineRule="exact"/>
        <w:rPr>
          <w:sz w:val="20"/>
          <w:szCs w:val="20"/>
          <w:color w:val="auto"/>
        </w:rPr>
      </w:pPr>
    </w:p>
    <w:p>
      <w:pPr>
        <w:ind w:left="120" w:right="80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contract with third parties for the manufacture of our product candidates for preclinical studies, clinical trials and for eventual commercialization. This reliance on third parties increases the risk that we will not have sufficient quantities of our product candidates or compounds or that such supply will not be available to us at an acceptable cost, which could delay, prevent or impair our development or commercialization efforts.</w:t>
      </w:r>
    </w:p>
    <w:p>
      <w:pPr>
        <w:spacing w:after="0" w:line="180" w:lineRule="exact"/>
        <w:rPr>
          <w:sz w:val="20"/>
          <w:szCs w:val="20"/>
          <w:color w:val="auto"/>
        </w:rPr>
      </w:pPr>
    </w:p>
    <w:p>
      <w:pPr>
        <w:ind w:left="120" w:right="60" w:firstLine="881"/>
        <w:spacing w:after="0" w:line="256" w:lineRule="auto"/>
        <w:rPr>
          <w:sz w:val="20"/>
          <w:szCs w:val="20"/>
          <w:color w:val="auto"/>
        </w:rPr>
      </w:pPr>
      <w:r>
        <w:rPr>
          <w:rFonts w:ascii="Times New Roman" w:cs="Times New Roman" w:eastAsia="Times New Roman" w:hAnsi="Times New Roman"/>
          <w:sz w:val="18"/>
          <w:szCs w:val="18"/>
          <w:color w:val="auto"/>
        </w:rPr>
        <w:t>We do not have any, and have no plans to acquire any, manufacturing facilities. We produce in our laboratory relatively small quantities of compounds for evaluation in our research programs. We rely, and expect to continue to rely, on third parties for the manufacture of our product candidates for preclinical and clinical testing, as well as for commercial manufacture if any of our product candidates are approved. We currently have limited manufacturing arrangements and expect that each of our product candidates will only be covered by single source suppliers for the foreseeable future. This reliance increases the risk that we will not have sufficient quantities of our product candidates or products, if approved, or such quantities at an acceptable cost or quality, which could delay, prevent or impair our development or commercialization efforts.</w:t>
      </w:r>
    </w:p>
    <w:p>
      <w:pPr>
        <w:spacing w:after="0" w:line="187" w:lineRule="exact"/>
        <w:rPr>
          <w:sz w:val="20"/>
          <w:szCs w:val="20"/>
          <w:color w:val="auto"/>
        </w:rPr>
      </w:pPr>
    </w:p>
    <w:p>
      <w:pPr>
        <w:ind w:left="120" w:right="20" w:firstLine="881"/>
        <w:spacing w:after="0" w:line="253" w:lineRule="auto"/>
        <w:rPr>
          <w:sz w:val="20"/>
          <w:szCs w:val="20"/>
          <w:color w:val="auto"/>
        </w:rPr>
      </w:pPr>
      <w:r>
        <w:rPr>
          <w:rFonts w:ascii="Times New Roman" w:cs="Times New Roman" w:eastAsia="Times New Roman" w:hAnsi="Times New Roman"/>
          <w:sz w:val="18"/>
          <w:szCs w:val="18"/>
          <w:color w:val="auto"/>
        </w:rPr>
        <w:t>Furthermore, all entities involved in the preparation of therapeutics for clinical trials or commercial sale, including our existing contract manufacturers for our product candidates, are subject to extensive regulation. Components of a finished therapeutic product approved for commercial sale or used in clinical trials must be manufactured in accordance with cGMP requirements. These regulations govern manufacturing processes and procedures, including record keeping, and the implementation and operation of quality systems to control and assure the quality of investigational products and products approved for sale. Poor control of production processes can lead to the introduction of contaminants, or to inadvertent changes in the properties or stability of our product candidates that may not be detectable in final product testing. We or our contract manufacturers must supply all necessary documentation in support of an NDA on a timely basis and must adhere to the FDA’s Good Laboratory Practice regulations and cGMP regulations enforced by the FDA through its facilities inspection program. Foreign regulatory authorities, including the European Commission and the competent authorities of the EU Member States, may require compliance with similar requirements. The facilities and quality systems of our third-party contractor manufacturers must pass a pre-approval inspection for compliance with the applicable regulations as a condition of marketing approval of our product candidates. We do not control the manufacturing process of, and are completely dependent on, our contract manufacturing partners for compliance with cGMP regulations.</w:t>
      </w:r>
    </w:p>
    <w:p>
      <w:pPr>
        <w:spacing w:after="0" w:line="190" w:lineRule="exact"/>
        <w:rPr>
          <w:sz w:val="20"/>
          <w:szCs w:val="20"/>
          <w:color w:val="auto"/>
        </w:rPr>
      </w:pPr>
    </w:p>
    <w:p>
      <w:pPr>
        <w:ind w:left="120" w:firstLine="881"/>
        <w:spacing w:after="0" w:line="271" w:lineRule="auto"/>
        <w:rPr>
          <w:sz w:val="20"/>
          <w:szCs w:val="20"/>
          <w:color w:val="auto"/>
        </w:rPr>
      </w:pPr>
      <w:r>
        <w:rPr>
          <w:rFonts w:ascii="Times New Roman" w:cs="Times New Roman" w:eastAsia="Times New Roman" w:hAnsi="Times New Roman"/>
          <w:sz w:val="17"/>
          <w:szCs w:val="17"/>
          <w:color w:val="auto"/>
        </w:rPr>
        <w:t>In the event that any of our manufacturers fails to comply with such requirements or to perform its obligations to us in relation to quality, timing or otherwise, or if our supply of components or other materials becomes limited or interrupted for other reasons, we may be forced to manufacture the materials ourselves, for which we currently do not have the capabilities or resources, or enter into an agreement with another third party, which we may not be able to do on commercially reasonable terms, if at all. In particular, any replacement of our manufacturers could require significant effort and expertise because there may be a limited number of qualified replacements. In some cases, the technical skills or technology required to manufacture our product candidates may be unique or proprietary to the original manufacturer and we may have difficulty transferring such skills or technology to another third party and a feasible alternative may not exist. These factors would increase our reliance on such manufacturer or require us to obtain a license from such manufacturer in order to have another third party manufacture our product candidates. If we elect to or are required to change manufacturers for any reason, we will be required to verify that the new manufacturer maintains facilities and procedures that comply</w:t>
      </w:r>
    </w:p>
    <w:p>
      <w:pPr>
        <w:spacing w:after="0" w:line="10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120"/>
          </w:cols>
          <w:pgMar w:left="320" w:top="455" w:right="459" w:bottom="1440" w:gutter="0" w:footer="0" w:header="0"/>
        </w:sectPr>
      </w:pPr>
    </w:p>
    <w:bookmarkStart w:id="50" w:name="page51"/>
    <w:bookmarkEnd w:id="5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with quality standards and with all applicable regulations and guidelines. If any of our current contract manufacturers cannot perform as agreed, we may be required to replace such manufacturers. Although we believe that there are several potential alternative manufacturers who could manufacture our product candidates, we may incur added costs and delays in identifying and qualifying any such replacement or be unable to reach agreement with an alternative manufacturer. In addition, the COVID-19 pandemic may impact our ability to procure sufficient supplies for the development of our product candidates. The extent of this impact will depend on the severity and duration of the spread of the virus, and the actions undertaken to contain COVID-19 or treat its effects. The delays associated with the verification of a new manufacturer could negatively affect our ability to develop product candidates in a timely manner or within budget.</w:t>
      </w:r>
    </w:p>
    <w:p>
      <w:pPr>
        <w:spacing w:after="0" w:line="189" w:lineRule="exact"/>
        <w:rPr>
          <w:sz w:val="20"/>
          <w:szCs w:val="20"/>
          <w:color w:val="auto"/>
        </w:rPr>
      </w:pPr>
    </w:p>
    <w:p>
      <w:pPr>
        <w:ind w:left="120" w:right="260" w:firstLine="881"/>
        <w:spacing w:after="0" w:line="282" w:lineRule="auto"/>
        <w:rPr>
          <w:sz w:val="20"/>
          <w:szCs w:val="20"/>
          <w:color w:val="auto"/>
        </w:rPr>
      </w:pPr>
      <w:r>
        <w:rPr>
          <w:rFonts w:ascii="Times New Roman" w:cs="Times New Roman" w:eastAsia="Times New Roman" w:hAnsi="Times New Roman"/>
          <w:sz w:val="18"/>
          <w:szCs w:val="18"/>
          <w:color w:val="auto"/>
        </w:rPr>
        <w:t>Our or a third party’s failure to execute on our manufacturing requirements, to do so on commercially reasonable terms and comply with cGMP could adversely affect our business in a number of ways, including:</w:t>
      </w:r>
    </w:p>
    <w:p>
      <w:pPr>
        <w:spacing w:after="0" w:line="189" w:lineRule="exact"/>
        <w:rPr>
          <w:sz w:val="20"/>
          <w:szCs w:val="20"/>
          <w:color w:val="auto"/>
        </w:rPr>
      </w:pPr>
    </w:p>
    <w:p>
      <w:pPr>
        <w:ind w:left="1420" w:hanging="319"/>
        <w:spacing w:after="0"/>
        <w:tabs>
          <w:tab w:leader="none" w:pos="14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inability to initiate or continue clinical trials of our product candidates under development;</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in submitting regulatory applications, or receiving marketing approvals, for our product candidates;</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the cooperation of an existing or future collaborator, including by Elanco under the license agreements with Elanco;</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subjecting third-party manufacturing facilities or our manufacturing facilities to additional inspections by regulatory authorities;</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to cease development or to recall batches of our product candidates; and</w:t>
      </w:r>
    </w:p>
    <w:p>
      <w:pPr>
        <w:spacing w:after="0" w:line="252" w:lineRule="exact"/>
        <w:rPr>
          <w:rFonts w:ascii="Times New Roman" w:cs="Times New Roman" w:eastAsia="Times New Roman" w:hAnsi="Times New Roman"/>
          <w:sz w:val="18"/>
          <w:szCs w:val="18"/>
          <w:color w:val="auto"/>
        </w:rPr>
      </w:pPr>
    </w:p>
    <w:p>
      <w:pPr>
        <w:ind w:left="1420" w:right="540" w:hanging="319"/>
        <w:spacing w:after="0" w:line="282" w:lineRule="auto"/>
        <w:tabs>
          <w:tab w:leader="none" w:pos="14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approval to market and commercialize our product candidates, an inability to meet commercial demands for our product or any other future product candidates.</w:t>
      </w:r>
    </w:p>
    <w:p>
      <w:pPr>
        <w:spacing w:after="0" w:line="162" w:lineRule="exact"/>
        <w:rPr>
          <w:sz w:val="20"/>
          <w:szCs w:val="20"/>
          <w:color w:val="auto"/>
        </w:rPr>
      </w:pPr>
    </w:p>
    <w:p>
      <w:pPr>
        <w:ind w:left="120" w:right="440" w:firstLine="881"/>
        <w:spacing w:after="0" w:line="261" w:lineRule="auto"/>
        <w:rPr>
          <w:sz w:val="20"/>
          <w:szCs w:val="20"/>
          <w:color w:val="auto"/>
        </w:rPr>
      </w:pPr>
      <w:r>
        <w:rPr>
          <w:rFonts w:ascii="Times New Roman" w:cs="Times New Roman" w:eastAsia="Times New Roman" w:hAnsi="Times New Roman"/>
          <w:sz w:val="18"/>
          <w:szCs w:val="18"/>
          <w:color w:val="auto"/>
        </w:rPr>
        <w:t>Our product candidates and any products that we may develop may compete with other product candidates and products for access to manufacturing facilities. As a result, we may not obtain access to these facilities on a priority basis or at all. There are a limited number of manufacturers that operate under cGMP regulations and that might be capable of manufacturing for us. Any performance failure on the part of our existing or future manufacturers could delay clinical development or marketing approval.</w:t>
      </w:r>
    </w:p>
    <w:p>
      <w:pPr>
        <w:spacing w:after="0" w:line="180" w:lineRule="exact"/>
        <w:rPr>
          <w:sz w:val="20"/>
          <w:szCs w:val="20"/>
          <w:color w:val="auto"/>
        </w:rPr>
      </w:pPr>
    </w:p>
    <w:p>
      <w:pPr>
        <w:ind w:left="120" w:right="260" w:firstLine="991"/>
        <w:spacing w:after="0" w:line="256" w:lineRule="auto"/>
        <w:rPr>
          <w:sz w:val="20"/>
          <w:szCs w:val="20"/>
          <w:color w:val="auto"/>
        </w:rPr>
      </w:pPr>
      <w:r>
        <w:rPr>
          <w:rFonts w:ascii="Times New Roman" w:cs="Times New Roman" w:eastAsia="Times New Roman" w:hAnsi="Times New Roman"/>
          <w:sz w:val="18"/>
          <w:szCs w:val="18"/>
          <w:color w:val="auto"/>
        </w:rPr>
        <w:t>We or our third-party manufacturers may encounter shortages in the raw materials or active pharmaceutical ingredients necessary to produce our product candidates in the quantities needed for our clinical trials or, if our product candidates are approved, in sufficient quantities for commercialization or to meet an increase in demand, as a result of capacity constraints or delays or disruptions in the market for the raw materials or active pharmaceutical ingredients, including shortages caused by the purchase of such raw materials or active pharmaceutical ingredients by our competitors or others. The failure of us or our third-party manufacturers to obtain the raw materials or active pharmaceutical ingredients necessary to manufacture sufficient quantities of our product candidates, may have a material adverse effect on our business.</w:t>
      </w:r>
    </w:p>
    <w:p>
      <w:pPr>
        <w:spacing w:after="0" w:line="183" w:lineRule="exact"/>
        <w:rPr>
          <w:sz w:val="20"/>
          <w:szCs w:val="20"/>
          <w:color w:val="auto"/>
        </w:rPr>
      </w:pPr>
    </w:p>
    <w:p>
      <w:pPr>
        <w:ind w:lef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any of our product candidates are approved for marketing and commercialization and we are unable to establish sales, marketing and distribution capabilities or enter into agreements with third parties to sell, market and distribute our product candidates, we will be unable to successfully commercialize our product candidates if and when they are approved.</w:t>
      </w:r>
    </w:p>
    <w:p>
      <w:pPr>
        <w:spacing w:after="0" w:line="175" w:lineRule="exact"/>
        <w:rPr>
          <w:sz w:val="20"/>
          <w:szCs w:val="20"/>
          <w:color w:val="auto"/>
        </w:rPr>
      </w:pPr>
    </w:p>
    <w:p>
      <w:pPr>
        <w:ind w:left="120" w:right="140" w:firstLine="881"/>
        <w:spacing w:after="0" w:line="266" w:lineRule="auto"/>
        <w:rPr>
          <w:sz w:val="20"/>
          <w:szCs w:val="20"/>
          <w:color w:val="auto"/>
        </w:rPr>
      </w:pPr>
      <w:r>
        <w:rPr>
          <w:rFonts w:ascii="Times New Roman" w:cs="Times New Roman" w:eastAsia="Times New Roman" w:hAnsi="Times New Roman"/>
          <w:sz w:val="18"/>
          <w:szCs w:val="18"/>
          <w:color w:val="auto"/>
        </w:rPr>
        <w:t>We have no sales, marketing or distribution capabilities or experience. To achieve commercial success for any approved product for which we retain sales and marketing responsibilities, we must either develop a sales and marketing organization, which would be expensive and time consuming, or outsource these functions to other third parties, or use a hybrid model incorporating both of these approaches.</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100"/>
          </w:cols>
          <w:pgMar w:left="320" w:top="455" w:right="479" w:bottom="1440" w:gutter="0" w:footer="0" w:header="0"/>
        </w:sectPr>
      </w:pPr>
    </w:p>
    <w:bookmarkStart w:id="51" w:name="page52"/>
    <w:bookmarkEnd w:id="5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firstLine="881"/>
        <w:spacing w:after="0" w:line="258" w:lineRule="auto"/>
        <w:rPr>
          <w:sz w:val="20"/>
          <w:szCs w:val="20"/>
          <w:color w:val="auto"/>
        </w:rPr>
      </w:pPr>
      <w:r>
        <w:rPr>
          <w:rFonts w:ascii="Times New Roman" w:cs="Times New Roman" w:eastAsia="Times New Roman" w:hAnsi="Times New Roman"/>
          <w:sz w:val="18"/>
          <w:szCs w:val="18"/>
          <w:color w:val="auto"/>
        </w:rPr>
        <w:t>There are risks involved with both establishing our own sales and marketing capabilities and entering into arrangements with third parties to perform these services. For example, recruiting and training a sales force is expensive and time consuming and could delay any product launch. If the commercial launch of a product candidate for which we recruit a sales force and establish marketing capabilities is delayed or does not occur for any reason, we would have prematurely or unnecessarily incurred these commercialization expenses. This may be costly, and our investment would be lost if we cannot retain or reposition our sales and marketing personnel.</w:t>
      </w:r>
    </w:p>
    <w:p>
      <w:pPr>
        <w:spacing w:after="0" w:line="183"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Factors that may inhibit our efforts to commercialize our medicines on our own include:</w:t>
      </w:r>
    </w:p>
    <w:p>
      <w:pPr>
        <w:spacing w:after="0" w:line="252" w:lineRule="exact"/>
        <w:rPr>
          <w:sz w:val="20"/>
          <w:szCs w:val="20"/>
          <w:color w:val="auto"/>
        </w:rPr>
      </w:pPr>
    </w:p>
    <w:p>
      <w:pPr>
        <w:ind w:left="1420" w:right="100" w:hanging="319"/>
        <w:spacing w:after="0" w:line="282" w:lineRule="auto"/>
        <w:tabs>
          <w:tab w:leader="none" w:pos="14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recruit, train and retain adequate numbers of effective sales, marketing, coverage or reimbursement, customer service, medical affairs and other support personnel;</w:t>
      </w:r>
    </w:p>
    <w:p>
      <w:pPr>
        <w:spacing w:after="0" w:line="188" w:lineRule="exact"/>
        <w:rPr>
          <w:rFonts w:ascii="Times New Roman" w:cs="Times New Roman" w:eastAsia="Times New Roman" w:hAnsi="Times New Roman"/>
          <w:sz w:val="18"/>
          <w:szCs w:val="18"/>
          <w:color w:val="auto"/>
        </w:rPr>
      </w:pPr>
    </w:p>
    <w:p>
      <w:pPr>
        <w:ind w:left="1420" w:right="540" w:hanging="319"/>
        <w:spacing w:after="0" w:line="282" w:lineRule="auto"/>
        <w:tabs>
          <w:tab w:leader="none" w:pos="14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equip sales personnel with effective materials, including medical and sales literature to help them educate ECPs regarding the indications we are targeting and our products, if approved;</w:t>
      </w:r>
    </w:p>
    <w:p>
      <w:pPr>
        <w:spacing w:after="0" w:line="188"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sales personnel to obtain access to ECPs or persuade adequate numbers of ECPs to prescribe any future medicines;</w:t>
      </w:r>
    </w:p>
    <w:p>
      <w:pPr>
        <w:spacing w:after="0" w:line="252" w:lineRule="exact"/>
        <w:rPr>
          <w:rFonts w:ascii="Times New Roman" w:cs="Times New Roman" w:eastAsia="Times New Roman" w:hAnsi="Times New Roman"/>
          <w:sz w:val="18"/>
          <w:szCs w:val="18"/>
          <w:color w:val="auto"/>
        </w:rPr>
      </w:pPr>
    </w:p>
    <w:p>
      <w:pPr>
        <w:ind w:left="1420" w:right="140" w:hanging="319"/>
        <w:spacing w:after="0" w:line="282" w:lineRule="auto"/>
        <w:tabs>
          <w:tab w:leader="none" w:pos="14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reimbursement professionals to negotiate arrangements for formulary access, reimbursement and other acceptance by payors;</w:t>
      </w:r>
    </w:p>
    <w:p>
      <w:pPr>
        <w:spacing w:after="0" w:line="188" w:lineRule="exact"/>
        <w:rPr>
          <w:rFonts w:ascii="Times New Roman" w:cs="Times New Roman" w:eastAsia="Times New Roman" w:hAnsi="Times New Roman"/>
          <w:sz w:val="18"/>
          <w:szCs w:val="18"/>
          <w:color w:val="auto"/>
        </w:rPr>
      </w:pPr>
    </w:p>
    <w:p>
      <w:pPr>
        <w:ind w:left="1420" w:right="360" w:hanging="319"/>
        <w:spacing w:after="0" w:line="282" w:lineRule="auto"/>
        <w:tabs>
          <w:tab w:leader="none" w:pos="14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lack of complementary medicines to be offered by sales personnel, which may put us at a competitive disadvantage relative to companies with more extensive product lines;</w:t>
      </w:r>
    </w:p>
    <w:p>
      <w:pPr>
        <w:spacing w:after="0" w:line="188"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price our products at a sufficient price point to ensure an adequate and attractive level of profitability; and</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costs and expenses associated with creating an independent sales and marketing organization.</w:t>
      </w:r>
    </w:p>
    <w:p>
      <w:pPr>
        <w:spacing w:after="0" w:line="225" w:lineRule="exact"/>
        <w:rPr>
          <w:sz w:val="20"/>
          <w:szCs w:val="20"/>
          <w:color w:val="auto"/>
        </w:rPr>
      </w:pPr>
    </w:p>
    <w:p>
      <w:pPr>
        <w:ind w:left="120" w:firstLine="881"/>
        <w:spacing w:after="0" w:line="255" w:lineRule="auto"/>
        <w:rPr>
          <w:sz w:val="20"/>
          <w:szCs w:val="20"/>
          <w:color w:val="auto"/>
        </w:rPr>
      </w:pPr>
      <w:r>
        <w:rPr>
          <w:rFonts w:ascii="Times New Roman" w:cs="Times New Roman" w:eastAsia="Times New Roman" w:hAnsi="Times New Roman"/>
          <w:sz w:val="18"/>
          <w:szCs w:val="18"/>
          <w:color w:val="auto"/>
        </w:rPr>
        <w:t>If we enter into arrangements with third parties to perform sales, marketing and distribution services, our product revenue or the profitability of these product revenue to us are likely to be lower than if we were to market and sell any medicines that we develop ourselves. In addition, we may not be successful in entering into arrangements with third parties to sell and market our product candidates or may be unable to do so on terms that are favorable to us. In entering into third-party marketing or distribution arrangements, any revenue we receive will depend upon the efforts of the third parties and we cannot assure you that such third parties will establish adequate sales and distribution capabilities or devote the necessary resources and attention to sell and market our medicines effectively. If we do not establish sales and marketing capabilities successfully, either on our own or in collaboration with third parties, we will not be successful in commercializing our product candidates.</w:t>
      </w:r>
    </w:p>
    <w:p>
      <w:pPr>
        <w:spacing w:after="0" w:line="185" w:lineRule="exact"/>
        <w:rPr>
          <w:sz w:val="20"/>
          <w:szCs w:val="20"/>
          <w:color w:val="auto"/>
        </w:rPr>
      </w:pPr>
    </w:p>
    <w:p>
      <w:pPr>
        <w:ind w:left="120"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or our third-party manufacturers, may be unable to successfully scale-up manufacturing of our product candidates in sufficient quality and quantity, which would delay or prevent us from conducting clinical trials and developing our product candidates.</w:t>
      </w:r>
    </w:p>
    <w:p>
      <w:pPr>
        <w:spacing w:after="0" w:line="159" w:lineRule="exact"/>
        <w:rPr>
          <w:sz w:val="20"/>
          <w:szCs w:val="20"/>
          <w:color w:val="auto"/>
        </w:rPr>
      </w:pPr>
    </w:p>
    <w:p>
      <w:pPr>
        <w:ind w:left="120" w:right="80" w:firstLine="881"/>
        <w:spacing w:after="0" w:line="256" w:lineRule="auto"/>
        <w:rPr>
          <w:sz w:val="20"/>
          <w:szCs w:val="20"/>
          <w:color w:val="auto"/>
        </w:rPr>
      </w:pPr>
      <w:r>
        <w:rPr>
          <w:rFonts w:ascii="Times New Roman" w:cs="Times New Roman" w:eastAsia="Times New Roman" w:hAnsi="Times New Roman"/>
          <w:sz w:val="18"/>
          <w:szCs w:val="18"/>
          <w:color w:val="auto"/>
        </w:rPr>
        <w:t>In order to conduct clinical trials of our product candidates, we will need to manufacture them in large quantities. We, or our manufacturing partners, may be unable to successfully increase the manufacturing capacity for any of our product candidates in a timely or cost-effective manner, or at all. In addition, quality issues may arise during scale-up activities. If we, or our manufacturing partners, are unable to successfully scale up the manufacture of our product candidates in sufficient quality and quantity, the development, testing and clinical trials of that product candidate may be delayed or become infeasible, and marketing approval or commercial launch of any resulting product may be delayed or not obtained, which could significantly harm our business.</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120"/>
          </w:cols>
          <w:pgMar w:left="320" w:top="455" w:right="459" w:bottom="1440" w:gutter="0" w:footer="0" w:header="0"/>
        </w:sectPr>
      </w:pPr>
    </w:p>
    <w:bookmarkStart w:id="52" w:name="page53"/>
    <w:bookmarkEnd w:id="5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Changes in methods of product candidate manufacturing or formulation may result in additional costs or delay.</w:t>
      </w:r>
    </w:p>
    <w:p>
      <w:pPr>
        <w:spacing w:after="0" w:line="229" w:lineRule="exact"/>
        <w:rPr>
          <w:sz w:val="20"/>
          <w:szCs w:val="20"/>
          <w:color w:val="auto"/>
        </w:rPr>
      </w:pPr>
    </w:p>
    <w:p>
      <w:pPr>
        <w:ind w:left="120" w:right="200" w:firstLine="881"/>
        <w:spacing w:after="0" w:line="255" w:lineRule="auto"/>
        <w:rPr>
          <w:sz w:val="20"/>
          <w:szCs w:val="20"/>
          <w:color w:val="auto"/>
        </w:rPr>
      </w:pPr>
      <w:r>
        <w:rPr>
          <w:rFonts w:ascii="Times New Roman" w:cs="Times New Roman" w:eastAsia="Times New Roman" w:hAnsi="Times New Roman"/>
          <w:sz w:val="18"/>
          <w:szCs w:val="18"/>
          <w:color w:val="auto"/>
        </w:rPr>
        <w:t>As product candidates progress through preclinical to late stage clinical trials to marketing approval and commercialization, it is common that various aspects of the development program, such as manufacturing methods and formulation, are altered along the way in an effort to optimize yield, manufacturing batch size, minimize costs and achieve consistent quality and results. Such changes carry the risk that they will not achieve these intended objectives. Any of these changes could cause our product candidates to perform differently and affect the results of planned clinical trials or other future clinical trials conducted with the altered materials. This could delay completion of clinical trials, require the conduct of bridging clinical trials or the repetition of one or more clinical trials, increase clinical trial costs, delay approval of our product candidates and jeopardize our ability to commercialize our product candidates and generate revenue.</w:t>
      </w:r>
    </w:p>
    <w:p>
      <w:pPr>
        <w:spacing w:after="0" w:line="1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Intellectual Property</w:t>
      </w:r>
    </w:p>
    <w:p>
      <w:pPr>
        <w:spacing w:after="0" w:line="225" w:lineRule="exact"/>
        <w:rPr>
          <w:sz w:val="20"/>
          <w:szCs w:val="20"/>
          <w:color w:val="auto"/>
        </w:rPr>
      </w:pPr>
    </w:p>
    <w:p>
      <w:pPr>
        <w:ind w:left="120" w:right="1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The development and commercialization of our products, including our lead product candidate, TP-03 for the potential treatment of Demodex blepharitis and MGD, TP-04 for the potential treatment of rosacea and TP-05 for potential Lyme prophylaxis and community malaria reduction, is dependent on intellectual property we license from Elanco. If we breach our agreements with Elanco or the agreements are terminated, we could lose license rights that are important to our business.</w:t>
      </w:r>
    </w:p>
    <w:p>
      <w:pPr>
        <w:spacing w:after="0" w:line="180" w:lineRule="exact"/>
        <w:rPr>
          <w:sz w:val="20"/>
          <w:szCs w:val="20"/>
          <w:color w:val="auto"/>
        </w:rPr>
      </w:pPr>
    </w:p>
    <w:p>
      <w:pPr>
        <w:ind w:left="120" w:firstLine="881"/>
        <w:spacing w:after="0" w:line="254" w:lineRule="auto"/>
        <w:rPr>
          <w:sz w:val="20"/>
          <w:szCs w:val="20"/>
          <w:color w:val="auto"/>
        </w:rPr>
      </w:pPr>
      <w:r>
        <w:rPr>
          <w:rFonts w:ascii="Times New Roman" w:cs="Times New Roman" w:eastAsia="Times New Roman" w:hAnsi="Times New Roman"/>
          <w:sz w:val="18"/>
          <w:szCs w:val="18"/>
          <w:color w:val="auto"/>
        </w:rPr>
        <w:t>Pursuant to the Eye and Derm Elanco Agreement and the All Human Uses Elanco Agreement, each, an Elanco Agreement, we acquired exclusive, worldwide, sublicensable licenses to certain intellectual property of Elanco for the development, marketing and commercialization of lotilaner for (i) the treatment, prevention, palliation or cure of any eye or skin disease or condition in humans and (b) all other applications in humans, respectively. The Eye and Derm Elanco Agreement and the All Human Uses Elanco Agreement impose various development, regulatory, commercial diligence, financial and other obligations on us. If we fail to comply with our obligations under the Elanco Agreements, or otherwise materially breach either Elanco Agreement, and fail to remedy such failure or cure such breach within 60 days, Elanco will have the right to terminate the applicable Elanco Agreement. If we fail to meet any milestones by the achievement deadlines set forth in either Elanco Agreement for any reason other than those outside of our reasonable control, and such milestones remain unmet for 120 days after Elanco notifies us thereof, Elanco may terminate the applicable Elanco Agreement.</w:t>
      </w:r>
    </w:p>
    <w:p>
      <w:pPr>
        <w:spacing w:after="0" w:line="188" w:lineRule="exact"/>
        <w:rPr>
          <w:sz w:val="20"/>
          <w:szCs w:val="20"/>
          <w:color w:val="auto"/>
        </w:rPr>
      </w:pPr>
    </w:p>
    <w:p>
      <w:pPr>
        <w:ind w:left="120" w:right="20" w:firstLine="881"/>
        <w:spacing w:after="0" w:line="252" w:lineRule="auto"/>
        <w:rPr>
          <w:sz w:val="20"/>
          <w:szCs w:val="20"/>
          <w:color w:val="auto"/>
        </w:rPr>
      </w:pPr>
      <w:r>
        <w:rPr>
          <w:rFonts w:ascii="Times New Roman" w:cs="Times New Roman" w:eastAsia="Times New Roman" w:hAnsi="Times New Roman"/>
          <w:sz w:val="18"/>
          <w:szCs w:val="18"/>
          <w:color w:val="auto"/>
        </w:rPr>
        <w:t>If we fail to meet certain dermatological milestones by the achievement deadlines set forth in the Eye and Derm Elanco Agreement for any reasons other than those outside of our reasonable control, and such milestones remain unmet for 120 days after Elanco notifies us thereof, Elanco may limit our field of use under the Eye and Derm Elanco Agreement to the treatment, palliation, prevention or cure of eye diseases or conditions in humans only. If either Elanco Agreement is terminated or if our field of use in the Eye and Derm Elanco Agreement is reduced to eye and skin conditions only by Elanco, we would lose our applicable license in the country where such license was terminated and all rights therein to the licensed intellectual property would revert to Elanco. The loss of the license from Elanco would prevent us from developing and commercializing TP-03, TP-04 and TP-05 in any country where the license is terminated and could subject us to claims of breach of contract and patent infringement by Elanco if any continued research, development, manufacture or commercialization of TP-03, TP-04 or TP-05 is covered by the affected patents. If Elanco terminates the Eye and Derm Elanco Agreement for our failure to achieve a development milestone by the specified achievement deadline, then we must grant Elanco a non-exclusive, sublicensable, royalty free license to our patents and know-how relating to lotilaner to develop, manufacture and commercialize lotilaner and any licensed products for the treatment, palliation, prevention or cure of any eye or skin disease or condition in humans. If Elanco terminates the All Human Uses Elanco Agreement for our failure to achieve a development milestone by the specified achievement deadline, then we must grant Elanco a non-exclusive, sublicensable, royalty free license to our patents and know-how relating to lotilaner to develop, manufacture and commercialize lotilaner and any licensed products for all applications in humans other than the treatment, palliation, prevention or cure of any eye</w:t>
      </w:r>
    </w:p>
    <w:p>
      <w:pPr>
        <w:spacing w:after="0" w:line="13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120"/>
          </w:cols>
          <w:pgMar w:left="320" w:top="455" w:right="459" w:bottom="1440" w:gutter="0" w:footer="0" w:header="0"/>
        </w:sectPr>
      </w:pPr>
    </w:p>
    <w:bookmarkStart w:id="53" w:name="page54"/>
    <w:bookmarkEnd w:id="5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20"/>
        <w:spacing w:after="0" w:line="282" w:lineRule="auto"/>
        <w:rPr>
          <w:sz w:val="20"/>
          <w:szCs w:val="20"/>
          <w:color w:val="auto"/>
        </w:rPr>
      </w:pPr>
      <w:r>
        <w:rPr>
          <w:rFonts w:ascii="Times New Roman" w:cs="Times New Roman" w:eastAsia="Times New Roman" w:hAnsi="Times New Roman"/>
          <w:sz w:val="18"/>
          <w:szCs w:val="18"/>
          <w:color w:val="auto"/>
        </w:rPr>
        <w:t>or skin disease or condition. Accordingly, the loss of our license or the termination of our license for skin diseases and conditions or of our license for other use in humans with Elanco would materially harm our business.</w:t>
      </w:r>
    </w:p>
    <w:p>
      <w:pPr>
        <w:spacing w:after="0" w:line="158" w:lineRule="exact"/>
        <w:rPr>
          <w:sz w:val="20"/>
          <w:szCs w:val="20"/>
          <w:color w:val="auto"/>
        </w:rPr>
      </w:pPr>
    </w:p>
    <w:p>
      <w:pPr>
        <w:ind w:left="120" w:right="1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obtain and maintain sufficient intellectual property protection for our product candidates, or if the scope of the intellectual property protection is not sufficiently broad, our competitors could develop and commercialize products similar or identical to ours, and our ability to successfully commercialize our products may be adversely affected.</w:t>
      </w:r>
    </w:p>
    <w:p>
      <w:pPr>
        <w:spacing w:after="0" w:line="175" w:lineRule="exact"/>
        <w:rPr>
          <w:sz w:val="20"/>
          <w:szCs w:val="20"/>
          <w:color w:val="auto"/>
        </w:rPr>
      </w:pPr>
    </w:p>
    <w:p>
      <w:pPr>
        <w:ind w:left="120" w:right="20" w:firstLine="881"/>
        <w:spacing w:after="0" w:line="256" w:lineRule="auto"/>
        <w:rPr>
          <w:sz w:val="20"/>
          <w:szCs w:val="20"/>
          <w:color w:val="auto"/>
        </w:rPr>
      </w:pPr>
      <w:r>
        <w:rPr>
          <w:rFonts w:ascii="Times New Roman" w:cs="Times New Roman" w:eastAsia="Times New Roman" w:hAnsi="Times New Roman"/>
          <w:sz w:val="18"/>
          <w:szCs w:val="18"/>
          <w:color w:val="auto"/>
        </w:rPr>
        <w:t>We rely upon a combination of patents, trademarks, trade secret protection, and confidentiality agreements to protect the intellectual property related to our development programs and product candidates. Our success depends in large part on our ability to obtain and maintain patent protection in the United States and other countries with respect to our product candidates and research programs. We seek to protect our proprietary position by filing patent applications in the United States and abroad related to our novel discoveries and technologies that are important to our business. Our pending and future patent applications may not result in patents being issued which protect our product candidates or their intended uses or which effectively prevent others from commercializing competitive technologies, products or product candidates.</w:t>
      </w:r>
    </w:p>
    <w:p>
      <w:pPr>
        <w:spacing w:after="0" w:line="187" w:lineRule="exact"/>
        <w:rPr>
          <w:sz w:val="20"/>
          <w:szCs w:val="20"/>
          <w:color w:val="auto"/>
        </w:rPr>
      </w:pPr>
    </w:p>
    <w:p>
      <w:pPr>
        <w:ind w:left="120" w:right="20" w:firstLine="881"/>
        <w:spacing w:after="0" w:line="272" w:lineRule="auto"/>
        <w:rPr>
          <w:sz w:val="20"/>
          <w:szCs w:val="20"/>
          <w:color w:val="auto"/>
        </w:rPr>
      </w:pPr>
      <w:r>
        <w:rPr>
          <w:rFonts w:ascii="Times New Roman" w:cs="Times New Roman" w:eastAsia="Times New Roman" w:hAnsi="Times New Roman"/>
          <w:sz w:val="17"/>
          <w:szCs w:val="17"/>
          <w:color w:val="auto"/>
        </w:rPr>
        <w:t>Obtaining and enforcing patents is expensive and time-consuming, and we may not be able to file and prosecute all necessary or desirable patent applications, or maintain and/or enforce patents that may issue based on our patent applications, at a reasonable cost or in a timely manner. Moreover, in some circumstances, we do not have the right to control the preparation, filing and prosecution of patent applications, or to maintain, enforce and defend the patents, covering technology that we license from third parties. It is also possible that we will fail to identify patentable aspects of our research and development results before it is too late to obtain patent protection. Although we enter into non-disclosure and confidentiality agreements with parties who have access to patentable aspects of our research and development output, such as our employees, corporate collaborators, outside scientific collaborators, contract research organizations, contract manufacturers, consultants, advisors and other third parties, any of these parties may breach these agreements and disclose such results before a patent application is filed, thereby jeopardizing our ability to seek patent protection.</w:t>
      </w:r>
    </w:p>
    <w:p>
      <w:pPr>
        <w:spacing w:after="0" w:line="172" w:lineRule="exact"/>
        <w:rPr>
          <w:sz w:val="20"/>
          <w:szCs w:val="20"/>
          <w:color w:val="auto"/>
        </w:rPr>
      </w:pPr>
    </w:p>
    <w:p>
      <w:pPr>
        <w:ind w:left="120" w:firstLine="881"/>
        <w:spacing w:after="0" w:line="255" w:lineRule="auto"/>
        <w:rPr>
          <w:sz w:val="20"/>
          <w:szCs w:val="20"/>
          <w:color w:val="auto"/>
        </w:rPr>
      </w:pPr>
      <w:r>
        <w:rPr>
          <w:rFonts w:ascii="Times New Roman" w:cs="Times New Roman" w:eastAsia="Times New Roman" w:hAnsi="Times New Roman"/>
          <w:sz w:val="18"/>
          <w:szCs w:val="18"/>
          <w:color w:val="auto"/>
        </w:rPr>
        <w:t>The patent position of biotechnology and pharmaceutical companies generally is highly uncertain, involves complex legal and factual questions and has in recent years been the subject of much litigation, resulting in court decisions, including Supreme Court decisions, which have increased uncertainties as to the ability to enforce patent rights in the future. In addition, the scope of patent protection outside of the United States is uncertain and laws of foreign countries may not protect our rights to the same extent as the laws of the United States, or vice versa. For example, European patent law restricts the patentability of methods of treatment of the human body more than United States law does. With respect to both owned and in-licensed patent rights, we cannot predict whether the patent applications we and our licensors are currently pursuing or will pursue will issue as patents in any particular jurisdiction or whether the claims of any issued patents will provide sufficient protection from competitors.</w:t>
      </w:r>
    </w:p>
    <w:p>
      <w:pPr>
        <w:spacing w:after="0" w:line="189" w:lineRule="exact"/>
        <w:rPr>
          <w:sz w:val="20"/>
          <w:szCs w:val="20"/>
          <w:color w:val="auto"/>
        </w:rPr>
      </w:pPr>
    </w:p>
    <w:p>
      <w:pPr>
        <w:ind w:left="120" w:firstLine="881"/>
        <w:spacing w:after="0" w:line="254" w:lineRule="auto"/>
        <w:rPr>
          <w:sz w:val="20"/>
          <w:szCs w:val="20"/>
          <w:color w:val="auto"/>
        </w:rPr>
      </w:pPr>
      <w:r>
        <w:rPr>
          <w:rFonts w:ascii="Times New Roman" w:cs="Times New Roman" w:eastAsia="Times New Roman" w:hAnsi="Times New Roman"/>
          <w:sz w:val="18"/>
          <w:szCs w:val="18"/>
          <w:color w:val="auto"/>
        </w:rPr>
        <w:t>Further, we may not be aware of all third-party intellectual property rights potentially relating to our product candidates or their intended uses, and as a result the impact of such third-party intellectual property rights upon the patentability of our own patents and patent applications, as well as the impact of such third-party intellectual property upon our ability to commercialize our products, is highly uncertain. Because we have not yet conducted a formal freedom to operate analysis for patents related to our product candidates, we may not be aware of issued patents that a third party might assert are infringed by one of our current or future product candidates, which could materially impair our ability to commercialize our product candidates. Even if we diligently search third-party patents for potential infringement by our products or product candidates, including TP-03, TP-04 or TP-05, we may not successfully find patents that our products or product candidates, including TP-03, TP-04 or TP-05, may infringe. If we are unable to secure and maintain freedom to operate, others could preclude us from commercializing our product candidates. In addition, publications of discoveries in the</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120"/>
          </w:cols>
          <w:pgMar w:left="320" w:top="455" w:right="459" w:bottom="1440" w:gutter="0" w:footer="0" w:header="0"/>
        </w:sectPr>
      </w:pPr>
    </w:p>
    <w:bookmarkStart w:id="54" w:name="page55"/>
    <w:bookmarkEnd w:id="5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53" w:lineRule="auto"/>
        <w:rPr>
          <w:sz w:val="20"/>
          <w:szCs w:val="20"/>
          <w:color w:val="auto"/>
        </w:rPr>
      </w:pPr>
      <w:r>
        <w:rPr>
          <w:rFonts w:ascii="Times New Roman" w:cs="Times New Roman" w:eastAsia="Times New Roman" w:hAnsi="Times New Roman"/>
          <w:sz w:val="18"/>
          <w:szCs w:val="18"/>
          <w:color w:val="auto"/>
        </w:rPr>
        <w:t>scientific literature often lag behind the actual discoveries and patent applications in the United States and other jurisdictions are typically not published until 18 months after filing or, in some cases, not published at all. Therefore, we cannot know with certainty whether we were the first to make the inventions claimed in our patents or pending patent applications, or that we were the first to file for patent protection of such inventions. As a result, the issuance, scope, validity, enforceability and commercial value of our patent rights are highly uncertain. Our patents or pending patent applications may be challenged in the courts or patent offices in the United States and abroad. For example, we may be subject to a third party pre-issuance submission of prior art to the U.S. Patent and Trademark Office, or become involved in post-grant review or interference procedures, oppositions, derivations, revocations, reexaminations, or inter partes review proceedings, in the United States or elsewhere, challenging our patent rights or the patent rights of others. An adverse determination in any such submission, proceeding or litigation could reduce the scope of, or invalidate, our patent rights, allow third parties to commercialize our technology or product candidates and compete directly with us, without payment to us, or result in our inability to manufacture or commercialize drugs without infringing third-party patent rights. If the breadth or strength of protection provided by our patents and patent applications is threatened, regardless of the outcome, it could dissuade companies from collaborating with us to license, develop or commercialize current or future product candidates.</w:t>
      </w:r>
    </w:p>
    <w:p>
      <w:pPr>
        <w:spacing w:after="0" w:line="190" w:lineRule="exact"/>
        <w:rPr>
          <w:sz w:val="20"/>
          <w:szCs w:val="20"/>
          <w:color w:val="auto"/>
        </w:rPr>
      </w:pPr>
    </w:p>
    <w:p>
      <w:pPr>
        <w:ind w:left="120" w:firstLine="881"/>
        <w:spacing w:after="0" w:line="253" w:lineRule="auto"/>
        <w:rPr>
          <w:sz w:val="20"/>
          <w:szCs w:val="20"/>
          <w:color w:val="auto"/>
        </w:rPr>
      </w:pPr>
      <w:r>
        <w:rPr>
          <w:rFonts w:ascii="Times New Roman" w:cs="Times New Roman" w:eastAsia="Times New Roman" w:hAnsi="Times New Roman"/>
          <w:sz w:val="18"/>
          <w:szCs w:val="18"/>
          <w:color w:val="auto"/>
        </w:rPr>
        <w:t>Our owned and licensed patent estate includes patent applications, many of which are at an early stage of prosecution. The coverage claimed in a patent application can be significantly reduced before the patent is issued, and its scope can be reinterpreted after issuance. Even if our owned and in-licensed patent applications issue as patents, they may not issue in a form that will provide us with any meaningful protection, prevent competitors from competing with us or otherwise provide us with any competitive advantage. The issuance of a patent is not conclusive as to its inventorship, scope, validity or enforceability, and our owned and in-licensed patents may be challenged in the courts or patent offices in the United States and abroad. Such challenges may result in loss of exclusivity or freedom to operate or in patent claims being narrowed, invalidated, or held unenforceable, in whole or in part, which could limit our ability to stop others from using or commercializing similar or identical technology and products, or limit the duration of the patent protection of our technology and products. In addition, given the amount of time required for the development, testing and regulatory review of new product candidates, patents protecting such candidates might expire before or shortly after such candidates are commercialized. Furthermore, our competitors may be able to circumvent our patents by developing similar or alternative technologies or products in a non-infringing manner. As a result, our owned and in-licensed patent portfolio may not provide us with sufficient rights to exclude others from commercializing technology and products similar or identical to any of our technology and product candidates.</w:t>
      </w:r>
    </w:p>
    <w:p>
      <w:pPr>
        <w:spacing w:after="0" w:line="190" w:lineRule="exact"/>
        <w:rPr>
          <w:sz w:val="20"/>
          <w:szCs w:val="20"/>
          <w:color w:val="auto"/>
        </w:rPr>
      </w:pPr>
    </w:p>
    <w:p>
      <w:pPr>
        <w:ind w:left="120" w:right="40" w:firstLine="881"/>
        <w:spacing w:after="0" w:line="252" w:lineRule="auto"/>
        <w:rPr>
          <w:sz w:val="20"/>
          <w:szCs w:val="20"/>
          <w:color w:val="auto"/>
        </w:rPr>
      </w:pPr>
      <w:r>
        <w:rPr>
          <w:rFonts w:ascii="Times New Roman" w:cs="Times New Roman" w:eastAsia="Times New Roman" w:hAnsi="Times New Roman"/>
          <w:sz w:val="18"/>
          <w:szCs w:val="18"/>
          <w:color w:val="auto"/>
        </w:rPr>
        <w:t>Furthermore, while we seek to protect the trademarks we use in the United States and in other countries, we may be unsuccessful in obtaining registrations and/or otherwise protecting these trademarks. If that were to happen, we may be prevented from using our names, brands and trademarks unless we enter into appropriate royalty, license or coexistence agreements, which may not be available or may not be available on commercially reasonable terms. Over the long term, if we are unable to establish name recognition based on our trademarks, trade names, service marks and domain names, then we may not be able to compete effectively, resulting in a material adverse effect on our business. Our registered or unregistered trademarks or trade names may be challenged, infringed, diluted or declared generic, or determined to be infringing on other marks. We rely on both registration and common law protection for our trademarks. We may not be able to protect our rights to these trademarks and trade names or may be forced to stop using these names, which we need to build name recognition among potential partners or customers in our markets of interest. At times, competitors may adopt trademarks and trade names similar to ours, thereby impeding our ability to build brand identity and possibly leading to market confusion. During trademark registration proceedings, we may receive rejections. Although we would be given an opportunity to respond to those rejections, we may be unable to overcome such rejections. In addition, in the USPTO and in comparable agencies in many foreign jurisdictions, third parties are given an opportunity to oppose pending trademark applications and to seek to cancel registered trademarks. Opposition or cancellation proceedings may be filed against our trademarks, and our trademarks may not survive such proceedings. Effective trademark protection may not be available or may not be sought in every country in which</w:t>
      </w:r>
    </w:p>
    <w:p>
      <w:pPr>
        <w:spacing w:after="0" w:line="13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120"/>
          </w:cols>
          <w:pgMar w:left="320" w:top="455" w:right="459" w:bottom="1440" w:gutter="0" w:footer="0" w:header="0"/>
        </w:sectPr>
      </w:pPr>
    </w:p>
    <w:bookmarkStart w:id="55" w:name="page56"/>
    <w:bookmarkEnd w:id="5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our products are made available. Any name we propose to use for our products in the United States must be approved by the FDA, regardless of whether we have registered it, or applied to register it, as a trademark. The FDA typically conducts a review of proposed product names, including an evaluation of potential for confusion with other product names. If the FDA objects to any of our proposed product names, we may be required to expend significant additional resources in an effort to identify a usable substitute name that would qualify under applicable trademark laws, that does not infringe the existing rights of third parties and that is acceptable to the FDA. If we are unable to establish name recognition based on our trademarks and trade names, we may not be able to compete effectively and our business may be adversely affected.</w:t>
      </w:r>
    </w:p>
    <w:p>
      <w:pPr>
        <w:spacing w:after="0" w:line="183" w:lineRule="exact"/>
        <w:rPr>
          <w:sz w:val="20"/>
          <w:szCs w:val="20"/>
          <w:color w:val="auto"/>
        </w:rPr>
      </w:pPr>
    </w:p>
    <w:p>
      <w:pPr>
        <w:jc w:val="both"/>
        <w:ind w:left="120" w:right="3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75" w:lineRule="exact"/>
        <w:rPr>
          <w:sz w:val="20"/>
          <w:szCs w:val="20"/>
          <w:color w:val="auto"/>
        </w:rPr>
      </w:pPr>
    </w:p>
    <w:p>
      <w:pPr>
        <w:ind w:left="120" w:right="80" w:firstLine="881"/>
        <w:spacing w:after="0" w:line="253" w:lineRule="auto"/>
        <w:rPr>
          <w:sz w:val="20"/>
          <w:szCs w:val="20"/>
          <w:color w:val="auto"/>
        </w:rPr>
      </w:pPr>
      <w:r>
        <w:rPr>
          <w:rFonts w:ascii="Times New Roman" w:cs="Times New Roman" w:eastAsia="Times New Roman" w:hAnsi="Times New Roman"/>
          <w:sz w:val="18"/>
          <w:szCs w:val="18"/>
          <w:color w:val="auto"/>
        </w:rPr>
        <w:t>Periodic maintenance fees, renewal fees, annuities fees and various other governmental fees on patents and/or patent applications are due to be paid to the U.S. Patent and Trademark Office, or the USPTO, and foreign patent agencies in several stages over the lifetime of the patent and/or patent application. The USPTO and various foreign governmental patent agencies also require compliance with a number of procedural, documentary, fee payment and other similar provisions during the patent application process. In certain circumstances, we rely on our licensing partners to pay these fees to, or comply with the procedural and documentary rules of, the relevant patent agency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In such an event, potential competitors might be able to enter the market with similar or identical products or technology. If we or our licensors fail to maintain the patents and patent applications relating to our product candidates, our competitive position, business, financial condition, results of operations and prospects would be adversely affected.</w:t>
      </w:r>
    </w:p>
    <w:p>
      <w:pPr>
        <w:spacing w:after="0" w:line="186" w:lineRule="exact"/>
        <w:rPr>
          <w:sz w:val="20"/>
          <w:szCs w:val="20"/>
          <w:color w:val="auto"/>
        </w:rPr>
      </w:pPr>
    </w:p>
    <w:p>
      <w:pPr>
        <w:ind w:left="120"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identify relevant third-party patents or may incorrectly interpret the relevance, scope or expiration of a third-party patent which might adversely affect our ability to develop and market our products.</w:t>
      </w:r>
    </w:p>
    <w:p>
      <w:pPr>
        <w:spacing w:after="0" w:line="159" w:lineRule="exact"/>
        <w:rPr>
          <w:sz w:val="20"/>
          <w:szCs w:val="20"/>
          <w:color w:val="auto"/>
        </w:rPr>
      </w:pPr>
    </w:p>
    <w:p>
      <w:pPr>
        <w:ind w:left="120" w:right="20" w:firstLine="881"/>
        <w:spacing w:after="0" w:line="254" w:lineRule="auto"/>
        <w:rPr>
          <w:sz w:val="20"/>
          <w:szCs w:val="20"/>
          <w:color w:val="auto"/>
        </w:rPr>
      </w:pPr>
      <w:r>
        <w:rPr>
          <w:rFonts w:ascii="Times New Roman" w:cs="Times New Roman" w:eastAsia="Times New Roman" w:hAnsi="Times New Roman"/>
          <w:sz w:val="18"/>
          <w:szCs w:val="18"/>
          <w:color w:val="auto"/>
        </w:rPr>
        <w:t>We cannot guarantee that any of our patent searches or analyses, including the identification of relevant patents, the scope of patent claims or the expiration of relevant patents, are complete or thorough, nor can we be certain that we have identified each and every third party patent and pending application in the United States and abroad that is relevant to or necessary for the commercialization of our product candidates in any jurisdiction. Because we have not yet conducted a formal freedom to operate analysis for patents related to our product candidates, we may not be aware of issued patents that a third party might assert are infringed by one of our current or future product candidates, which could materially impair our ability to commercialize our product candidates. Even if we diligently search third-party patents for potential infringement by our products or product candidates, we may not successfully find patents that our products or product candidates may infringe. If we are unable to secure and maintain freedom to operate, others could preclude us from commercializing our product candidates.</w:t>
      </w:r>
    </w:p>
    <w:p>
      <w:pPr>
        <w:spacing w:after="0" w:line="192" w:lineRule="exact"/>
        <w:rPr>
          <w:sz w:val="20"/>
          <w:szCs w:val="20"/>
          <w:color w:val="auto"/>
        </w:rPr>
      </w:pPr>
    </w:p>
    <w:p>
      <w:pPr>
        <w:ind w:left="120" w:firstLine="881"/>
        <w:spacing w:after="0" w:line="256" w:lineRule="auto"/>
        <w:rPr>
          <w:sz w:val="20"/>
          <w:szCs w:val="20"/>
          <w:color w:val="auto"/>
        </w:rPr>
      </w:pPr>
      <w:r>
        <w:rPr>
          <w:rFonts w:ascii="Times New Roman" w:cs="Times New Roman" w:eastAsia="Times New Roman" w:hAnsi="Times New Roman"/>
          <w:sz w:val="18"/>
          <w:szCs w:val="18"/>
          <w:color w:val="auto"/>
        </w:rPr>
        <w:t>The scope of a patent claim is determined by an interpretation of the law, the written disclosure in a patent and the patent’s prosecution history. Our interpretation of the relevance or the scope of a patent or a pending application may be incorrect, which may negatively impact our ability to market our products. We may incorrectly determine that our products are not covered by a third-party patent or may incorrectly predict whether a third party’s pending application will issue with claims of relevant scope. Our determination of the expiration date of any patent in the United States or abroad that we consider relevant may be incorrect, which may negatively impact our ability to develop and market our product candidates. Our failure to identify and correctly interpret relevant patents may negatively impact our ability to develop and market our products.</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140"/>
          </w:cols>
          <w:pgMar w:left="320" w:top="455" w:right="439" w:bottom="1440" w:gutter="0" w:footer="0" w:header="0"/>
        </w:sectPr>
      </w:pPr>
    </w:p>
    <w:bookmarkStart w:id="56" w:name="page57"/>
    <w:bookmarkEnd w:id="5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wish to acquire rights to future assets through in-licensing or may attempt to form collaborations in the future with respect to our product candidates, but may not be able to do so, which may cause us to alter or delay our development and commercialization plans.</w:t>
      </w:r>
    </w:p>
    <w:p>
      <w:pPr>
        <w:spacing w:after="0" w:line="159" w:lineRule="exact"/>
        <w:rPr>
          <w:sz w:val="20"/>
          <w:szCs w:val="20"/>
          <w:color w:val="auto"/>
        </w:rPr>
      </w:pPr>
    </w:p>
    <w:p>
      <w:pPr>
        <w:ind w:left="120" w:firstLine="881"/>
        <w:spacing w:after="0" w:line="253" w:lineRule="auto"/>
        <w:rPr>
          <w:sz w:val="20"/>
          <w:szCs w:val="20"/>
          <w:color w:val="auto"/>
        </w:rPr>
      </w:pPr>
      <w:r>
        <w:rPr>
          <w:rFonts w:ascii="Times New Roman" w:cs="Times New Roman" w:eastAsia="Times New Roman" w:hAnsi="Times New Roman"/>
          <w:sz w:val="18"/>
          <w:szCs w:val="18"/>
          <w:color w:val="auto"/>
        </w:rPr>
        <w:t>The development and potential commercialization of our product candidates will require substantial additional capital to fund expenses. We have entered into the Eye and Derm Elanco Agreement and the All Human Uses Elanco Agreement. We plan to utilize these license rights in developing and marketing our TP-03, TP-04 and TP-05 product candidates. We may, in the future, decide to collaborate with other biopharmaceutical companies for the development and potential commercialization of those product candidates. We will face significant competition in seeking appropriate collaborators. We may not be successful in our efforts to establish a strategic partnership or other alternative arrangements for our product candidates because they may be deemed to be at too early of a stage of development for collaborative effort and third parties may not view our product candidates as having the requisite potential to demonstrate safety and efficacy. If and when we collaborate with a third party for development and commercialization of a product candidate, we can expect to relinquish some or all of the control over the future success of that product candidate to the third party. Our ability to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following:</w:t>
      </w:r>
    </w:p>
    <w:p>
      <w:pPr>
        <w:spacing w:after="0" w:line="219" w:lineRule="exact"/>
        <w:rPr>
          <w:sz w:val="20"/>
          <w:szCs w:val="20"/>
          <w:color w:val="auto"/>
        </w:rPr>
      </w:pPr>
    </w:p>
    <w:p>
      <w:pPr>
        <w:ind w:left="1420" w:hanging="319"/>
        <w:spacing w:after="0"/>
        <w:tabs>
          <w:tab w:leader="none" w:pos="14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 or results of clinical trials;</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likelihood of approval by the FDA or comparable foreign regulatory authorities;</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market for the product candidate;</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complexities of manufacturing and delivering such product candidate to patients;</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of competing products;</w:t>
      </w:r>
    </w:p>
    <w:p>
      <w:pPr>
        <w:spacing w:after="0" w:line="252" w:lineRule="exact"/>
        <w:rPr>
          <w:rFonts w:ascii="Times New Roman" w:cs="Times New Roman" w:eastAsia="Times New Roman" w:hAnsi="Times New Roman"/>
          <w:sz w:val="18"/>
          <w:szCs w:val="18"/>
          <w:color w:val="auto"/>
        </w:rPr>
      </w:pPr>
    </w:p>
    <w:p>
      <w:pPr>
        <w:ind w:left="1420" w:right="80" w:hanging="319"/>
        <w:spacing w:after="0" w:line="282" w:lineRule="auto"/>
        <w:tabs>
          <w:tab w:leader="none" w:pos="14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existence of uncertainty with respect to our ownership of technology or other rights, which can exist if there is a challenge to such ownership without regard to the merits of the challenge; and</w:t>
      </w:r>
    </w:p>
    <w:p>
      <w:pPr>
        <w:spacing w:after="0" w:line="188"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industry and market conditions generally.</w:t>
      </w:r>
    </w:p>
    <w:p>
      <w:pPr>
        <w:spacing w:after="0" w:line="225" w:lineRule="exact"/>
        <w:rPr>
          <w:sz w:val="20"/>
          <w:szCs w:val="20"/>
          <w:color w:val="auto"/>
        </w:rPr>
      </w:pPr>
    </w:p>
    <w:p>
      <w:pPr>
        <w:ind w:left="120" w:firstLine="881"/>
        <w:spacing w:after="0" w:line="253" w:lineRule="auto"/>
        <w:rPr>
          <w:sz w:val="20"/>
          <w:szCs w:val="20"/>
          <w:color w:val="auto"/>
        </w:rPr>
      </w:pPr>
      <w:r>
        <w:rPr>
          <w:rFonts w:ascii="Times New Roman" w:cs="Times New Roman" w:eastAsia="Times New Roman" w:hAnsi="Times New Roman"/>
          <w:sz w:val="18"/>
          <w:szCs w:val="18"/>
          <w:color w:val="auto"/>
        </w:rPr>
        <w:t>The collaborator may also consider alternative product candidates or technologies for similar indications that may be available to collaborate on and whether such a collaboration could be more attractive than the one with us for our product candidate. We may also be restricted under any license agreements from entering into agreements on certain terms or at all with potential collaborators. Collaborations are complex and time-consuming to negotiate and document. In addition, there have been a significant number of recent business combinations among large pharmaceutical companies that have resulted in a reduced number of potential future collaborators and changes to the strategies of the combined company. As a result, we may not be able to negotiate collaborations on a timely basis, on acceptable terms, or at all. If we are unable to do so, we may have to curtail the development of such product candidate, reduce or delay one or more of our other development programs, delay the potential commercialization or reduce the scope of any planned sales or marketing activities for such product candidate, or increase our expenditures and undertake development, manufacturing or commercialization activities at our own expense. If we elect to increase our expenditures to fund development, manufacturing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product revenue.</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120"/>
          </w:cols>
          <w:pgMar w:left="320" w:top="455" w:right="459" w:bottom="1440" w:gutter="0" w:footer="0" w:header="0"/>
        </w:sectPr>
      </w:pPr>
    </w:p>
    <w:bookmarkStart w:id="57" w:name="page58"/>
    <w:bookmarkEnd w:id="5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860" w:firstLine="881"/>
        <w:spacing w:after="0" w:line="282" w:lineRule="auto"/>
        <w:rPr>
          <w:sz w:val="20"/>
          <w:szCs w:val="20"/>
          <w:color w:val="auto"/>
        </w:rPr>
      </w:pPr>
      <w:r>
        <w:rPr>
          <w:rFonts w:ascii="Times New Roman" w:cs="Times New Roman" w:eastAsia="Times New Roman" w:hAnsi="Times New Roman"/>
          <w:sz w:val="18"/>
          <w:szCs w:val="18"/>
          <w:color w:val="auto"/>
        </w:rPr>
        <w:t>Collaborations that we enter into may not be successful, and any success will depend heavily on the efforts and activities of such collaborators. Collaborations pose a number of risks, including the following:</w:t>
      </w:r>
    </w:p>
    <w:p>
      <w:pPr>
        <w:spacing w:after="0" w:line="189" w:lineRule="exact"/>
        <w:rPr>
          <w:sz w:val="20"/>
          <w:szCs w:val="20"/>
          <w:color w:val="auto"/>
        </w:rPr>
      </w:pPr>
    </w:p>
    <w:p>
      <w:pPr>
        <w:ind w:left="1420" w:right="260" w:hanging="319"/>
        <w:spacing w:after="0" w:line="282" w:lineRule="auto"/>
        <w:tabs>
          <w:tab w:leader="none" w:pos="14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have significant discretion in determining the amount and timing of efforts and resources that they will apply to these collaborations;</w:t>
      </w:r>
    </w:p>
    <w:p>
      <w:pPr>
        <w:spacing w:after="0" w:line="188"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perform their obligations as expected;</w:t>
      </w:r>
    </w:p>
    <w:p>
      <w:pPr>
        <w:spacing w:after="0" w:line="252" w:lineRule="exact"/>
        <w:rPr>
          <w:rFonts w:ascii="Times New Roman" w:cs="Times New Roman" w:eastAsia="Times New Roman" w:hAnsi="Times New Roman"/>
          <w:sz w:val="18"/>
          <w:szCs w:val="18"/>
          <w:color w:val="auto"/>
        </w:rPr>
      </w:pPr>
    </w:p>
    <w:p>
      <w:pPr>
        <w:ind w:left="1420" w:right="20" w:hanging="319"/>
        <w:spacing w:after="0" w:line="266" w:lineRule="auto"/>
        <w:tabs>
          <w:tab w:leader="none" w:pos="14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pursue development of our product candidates or may elect not to continue or renew development programs based on results of clinical trials or other studies, changes in the collaborators’ strategic focus or available funding, or external factors, such as an acquisition or business combination, that divert resources or create competing priorities;</w:t>
      </w:r>
    </w:p>
    <w:p>
      <w:pPr>
        <w:spacing w:after="0" w:line="202" w:lineRule="exact"/>
        <w:rPr>
          <w:rFonts w:ascii="Times New Roman" w:cs="Times New Roman" w:eastAsia="Times New Roman" w:hAnsi="Times New Roman"/>
          <w:sz w:val="18"/>
          <w:szCs w:val="18"/>
          <w:color w:val="auto"/>
        </w:rPr>
      </w:pPr>
    </w:p>
    <w:p>
      <w:pPr>
        <w:ind w:left="1420" w:right="200" w:hanging="319"/>
        <w:spacing w:after="0" w:line="261" w:lineRule="auto"/>
        <w:tabs>
          <w:tab w:leader="none" w:pos="14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pursue commercialization of any product candidates that achieve marketing approval or may elect not to continue or renew commercialization programs based on results of clinical trials or other studies, changes in the collaborators’ strategic focus or available funding, or external factors, such as an acquisition or business combination, that may divert resources or create competing priorities;</w:t>
      </w:r>
    </w:p>
    <w:p>
      <w:pPr>
        <w:spacing w:after="0" w:line="206" w:lineRule="exact"/>
        <w:rPr>
          <w:rFonts w:ascii="Times New Roman" w:cs="Times New Roman" w:eastAsia="Times New Roman" w:hAnsi="Times New Roman"/>
          <w:sz w:val="18"/>
          <w:szCs w:val="18"/>
          <w:color w:val="auto"/>
        </w:rPr>
      </w:pPr>
    </w:p>
    <w:p>
      <w:pPr>
        <w:jc w:val="both"/>
        <w:ind w:left="1420" w:right="540" w:hanging="319"/>
        <w:spacing w:after="0" w:line="312" w:lineRule="auto"/>
        <w:tabs>
          <w:tab w:leader="none" w:pos="142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166" w:lineRule="exact"/>
        <w:rPr>
          <w:rFonts w:ascii="Times New Roman" w:cs="Times New Roman" w:eastAsia="Times New Roman" w:hAnsi="Times New Roman"/>
          <w:sz w:val="17"/>
          <w:szCs w:val="17"/>
          <w:color w:val="auto"/>
        </w:rPr>
      </w:pPr>
    </w:p>
    <w:p>
      <w:pPr>
        <w:jc w:val="both"/>
        <w:ind w:left="1420" w:right="60" w:hanging="319"/>
        <w:spacing w:after="0" w:line="266" w:lineRule="auto"/>
        <w:tabs>
          <w:tab w:leader="none" w:pos="14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have access to, or may be restricted from disclosing, certain information regarding product candidates being developed or commercialized under a collaboration and, consequently, may have limited ability to inform our stockholders about the status of such product candidates on a discretionary basis;</w:t>
      </w:r>
    </w:p>
    <w:p>
      <w:pPr>
        <w:spacing w:after="0" w:line="202" w:lineRule="exact"/>
        <w:rPr>
          <w:rFonts w:ascii="Times New Roman" w:cs="Times New Roman" w:eastAsia="Times New Roman" w:hAnsi="Times New Roman"/>
          <w:sz w:val="18"/>
          <w:szCs w:val="18"/>
          <w:color w:val="auto"/>
        </w:rPr>
      </w:pPr>
    </w:p>
    <w:p>
      <w:pPr>
        <w:ind w:left="1420" w:right="60" w:hanging="319"/>
        <w:spacing w:after="0" w:line="266" w:lineRule="auto"/>
        <w:tabs>
          <w:tab w:leader="none" w:pos="14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could independently develop, or develop with third parties, products that compete directly or indirectly with our product candidates and products if the collaborators believe that the competitive products are more likely to be successfully developed or can be commercialized under terms that are more economically attractive than ours;</w:t>
      </w:r>
    </w:p>
    <w:p>
      <w:pPr>
        <w:spacing w:after="0" w:line="202" w:lineRule="exact"/>
        <w:rPr>
          <w:rFonts w:ascii="Times New Roman" w:cs="Times New Roman" w:eastAsia="Times New Roman" w:hAnsi="Times New Roman"/>
          <w:sz w:val="18"/>
          <w:szCs w:val="18"/>
          <w:color w:val="auto"/>
        </w:rPr>
      </w:pPr>
    </w:p>
    <w:p>
      <w:pPr>
        <w:ind w:left="1420" w:right="360" w:hanging="319"/>
        <w:spacing w:after="0" w:line="266" w:lineRule="auto"/>
        <w:tabs>
          <w:tab w:leader="none" w:pos="14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candidates discovered in collaboration with us may be viewed by our collaborators as competitive with their own product candidates or products, which may cause collaborators to cease to devote resources to the commercialization of our product candidates;</w:t>
      </w:r>
    </w:p>
    <w:p>
      <w:pPr>
        <w:spacing w:after="0" w:line="202" w:lineRule="exact"/>
        <w:rPr>
          <w:rFonts w:ascii="Times New Roman" w:cs="Times New Roman" w:eastAsia="Times New Roman" w:hAnsi="Times New Roman"/>
          <w:sz w:val="18"/>
          <w:szCs w:val="18"/>
          <w:color w:val="auto"/>
        </w:rPr>
      </w:pPr>
    </w:p>
    <w:p>
      <w:pPr>
        <w:ind w:left="1420" w:right="300" w:hanging="319"/>
        <w:spacing w:after="0" w:line="282" w:lineRule="auto"/>
        <w:tabs>
          <w:tab w:leader="none" w:pos="14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collaborator may fail to comply with applicable regulatory requirements regarding the development, manufacture, distribution or marketing of a product candidate or product;</w:t>
      </w:r>
    </w:p>
    <w:p>
      <w:pPr>
        <w:spacing w:after="0" w:line="188" w:lineRule="exact"/>
        <w:rPr>
          <w:rFonts w:ascii="Times New Roman" w:cs="Times New Roman" w:eastAsia="Times New Roman" w:hAnsi="Times New Roman"/>
          <w:sz w:val="18"/>
          <w:szCs w:val="18"/>
          <w:color w:val="auto"/>
        </w:rPr>
      </w:pPr>
    </w:p>
    <w:p>
      <w:pPr>
        <w:ind w:left="1420" w:right="420" w:hanging="319"/>
        <w:spacing w:after="0" w:line="282" w:lineRule="auto"/>
        <w:tabs>
          <w:tab w:leader="none" w:pos="14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collaborator may seek to renegotiate or terminate their relationship with us due to unsatisfactory clinical results, manufacturing issues, a change in business strategy, a change of control or other reasons;</w:t>
      </w:r>
    </w:p>
    <w:p>
      <w:pPr>
        <w:spacing w:after="0" w:line="188" w:lineRule="exact"/>
        <w:rPr>
          <w:rFonts w:ascii="Times New Roman" w:cs="Times New Roman" w:eastAsia="Times New Roman" w:hAnsi="Times New Roman"/>
          <w:sz w:val="18"/>
          <w:szCs w:val="18"/>
          <w:color w:val="auto"/>
        </w:rPr>
      </w:pPr>
    </w:p>
    <w:p>
      <w:pPr>
        <w:ind w:left="1420" w:right="240" w:hanging="319"/>
        <w:spacing w:after="0" w:line="282" w:lineRule="auto"/>
        <w:tabs>
          <w:tab w:leader="none" w:pos="14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collaborator with marketing and distribution rights to one or more of our product candidates that achieve marketing approval may not commit sufficient resources to the marketing and distribution of such product or products;</w:t>
      </w:r>
    </w:p>
    <w:p>
      <w:pPr>
        <w:spacing w:after="0" w:line="188" w:lineRule="exact"/>
        <w:rPr>
          <w:rFonts w:ascii="Times New Roman" w:cs="Times New Roman" w:eastAsia="Times New Roman" w:hAnsi="Times New Roman"/>
          <w:sz w:val="18"/>
          <w:szCs w:val="18"/>
          <w:color w:val="auto"/>
        </w:rPr>
      </w:pPr>
    </w:p>
    <w:p>
      <w:pPr>
        <w:ind w:left="1420" w:hanging="319"/>
        <w:spacing w:after="0" w:line="261" w:lineRule="auto"/>
        <w:tabs>
          <w:tab w:leader="none" w:pos="14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disagreements with collaborators, including disagreements over intellectual property or proprietary rights, contract interpretation or the preferred course of development, might cause delays or terminations of the research, development or commercialization of product candidates, might lead to additional responsibilities for us with respect to product candidates, or might result in litigation or arbitration, any of which would be time-consuming and expensive;</w:t>
      </w:r>
    </w:p>
    <w:p>
      <w:pPr>
        <w:spacing w:after="0" w:line="112" w:lineRule="exact"/>
        <w:rPr>
          <w:rFonts w:ascii="Times New Roman" w:cs="Times New Roman" w:eastAsia="Times New Roman" w:hAnsi="Times New Roman"/>
          <w:sz w:val="18"/>
          <w:szCs w:val="18"/>
          <w:color w:val="auto"/>
        </w:rPr>
      </w:pPr>
    </w:p>
    <w:p>
      <w:pPr>
        <w:ind w:left="5540" w:hanging="111"/>
        <w:spacing w:after="0"/>
        <w:tabs>
          <w:tab w:leader="none" w:pos="554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55 -</w:t>
      </w:r>
    </w:p>
    <w:p>
      <w:pPr>
        <w:sectPr>
          <w:pgSz w:w="11900" w:h="16838" w:orient="portrait"/>
          <w:cols w:equalWidth="0" w:num="1">
            <w:col w:w="11120"/>
          </w:cols>
          <w:pgMar w:left="320" w:top="455" w:right="459" w:bottom="1440" w:gutter="0" w:footer="0" w:header="0"/>
        </w:sectPr>
      </w:pPr>
    </w:p>
    <w:bookmarkStart w:id="58" w:name="page59"/>
    <w:bookmarkEnd w:id="5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420" w:hanging="319"/>
        <w:spacing w:after="0" w:line="266" w:lineRule="auto"/>
        <w:tabs>
          <w:tab w:leader="none" w:pos="14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properly obtain, maintain, enforce, defend or protect our intellectual property or proprietary rights or may use our proprietary information in such a way as to potentially lead to disputes or legal proceedings that could jeopardize or invalidate our intellectual property or proprietary information or expose us to potential litigation;</w:t>
      </w:r>
    </w:p>
    <w:p>
      <w:pPr>
        <w:spacing w:after="0" w:line="20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may arise with respect to the ownership of intellectual property developed pursuant to our collaborations;</w:t>
      </w:r>
    </w:p>
    <w:p>
      <w:pPr>
        <w:spacing w:after="0" w:line="252" w:lineRule="exact"/>
        <w:rPr>
          <w:rFonts w:ascii="Times New Roman" w:cs="Times New Roman" w:eastAsia="Times New Roman" w:hAnsi="Times New Roman"/>
          <w:sz w:val="18"/>
          <w:szCs w:val="18"/>
          <w:color w:val="auto"/>
        </w:rPr>
      </w:pPr>
    </w:p>
    <w:p>
      <w:pPr>
        <w:ind w:left="1420" w:right="220" w:hanging="319"/>
        <w:spacing w:after="0" w:line="282" w:lineRule="auto"/>
        <w:tabs>
          <w:tab w:leader="none" w:pos="14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infringe, misappropriate or otherwise violate the intellectual property or proprietary rights of third parties, which may expose us to litigation and potential liability; and</w:t>
      </w:r>
    </w:p>
    <w:p>
      <w:pPr>
        <w:spacing w:after="0" w:line="188" w:lineRule="exact"/>
        <w:rPr>
          <w:rFonts w:ascii="Times New Roman" w:cs="Times New Roman" w:eastAsia="Times New Roman" w:hAnsi="Times New Roman"/>
          <w:sz w:val="18"/>
          <w:szCs w:val="18"/>
          <w:color w:val="auto"/>
        </w:rPr>
      </w:pPr>
    </w:p>
    <w:p>
      <w:pPr>
        <w:ind w:left="1420" w:right="120" w:hanging="319"/>
        <w:spacing w:after="0" w:line="282" w:lineRule="auto"/>
        <w:tabs>
          <w:tab w:leader="none" w:pos="14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collaborations may be terminated for the convenience of the collaborator, and, if terminated, we could be required to raise additional capital to pursue further development or commercialization of the applicable product candidates.</w:t>
      </w:r>
    </w:p>
    <w:p>
      <w:pPr>
        <w:spacing w:after="0" w:line="162" w:lineRule="exact"/>
        <w:rPr>
          <w:sz w:val="20"/>
          <w:szCs w:val="20"/>
          <w:color w:val="auto"/>
        </w:rPr>
      </w:pPr>
    </w:p>
    <w:p>
      <w:pPr>
        <w:ind w:left="120" w:right="20" w:firstLine="881"/>
        <w:spacing w:after="0" w:line="256" w:lineRule="auto"/>
        <w:rPr>
          <w:sz w:val="20"/>
          <w:szCs w:val="20"/>
          <w:color w:val="auto"/>
        </w:rPr>
      </w:pPr>
      <w:r>
        <w:rPr>
          <w:rFonts w:ascii="Times New Roman" w:cs="Times New Roman" w:eastAsia="Times New Roman" w:hAnsi="Times New Roman"/>
          <w:sz w:val="18"/>
          <w:szCs w:val="18"/>
          <w:color w:val="auto"/>
        </w:rPr>
        <w:t>Collaboration agreements may not lead to development or commercialization of product candidates in the most efficient manner, or at all. If any collaborations that we enter into do not result in the successful development and commercialization of products or if one of our collaborators terminates its agreement with us, we may not receive any future research funding or milestone or royalty payments under the collaboration. If we do not receive the funding we expect under these agreements, our development of our product candidates could be delayed and we may need additional resources to develop our product candidates. All of the risks relating to product development, regulatory approval and commercialization described in this prospectus also apply to the activities of our collaborators.</w:t>
      </w:r>
    </w:p>
    <w:p>
      <w:pPr>
        <w:spacing w:after="0" w:line="183" w:lineRule="exact"/>
        <w:rPr>
          <w:sz w:val="20"/>
          <w:szCs w:val="20"/>
          <w:color w:val="auto"/>
        </w:rPr>
      </w:pPr>
    </w:p>
    <w:p>
      <w:pPr>
        <w:ind w:left="120" w:right="66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In the future, we may need to obtain additional licenses of third-party technology that may not be available to us or are available only on commercially unreasonable terms or we may fail to comply with our obligations under such agreements and our business could be harmed.</w:t>
      </w:r>
    </w:p>
    <w:p>
      <w:pPr>
        <w:spacing w:after="0" w:line="136" w:lineRule="exact"/>
        <w:rPr>
          <w:sz w:val="20"/>
          <w:szCs w:val="20"/>
          <w:color w:val="auto"/>
        </w:rPr>
      </w:pPr>
    </w:p>
    <w:p>
      <w:pPr>
        <w:ind w:left="120" w:right="20" w:firstLine="881"/>
        <w:spacing w:after="0" w:line="261" w:lineRule="auto"/>
        <w:rPr>
          <w:sz w:val="20"/>
          <w:szCs w:val="20"/>
          <w:color w:val="auto"/>
        </w:rPr>
      </w:pPr>
      <w:r>
        <w:rPr>
          <w:rFonts w:ascii="Times New Roman" w:cs="Times New Roman" w:eastAsia="Times New Roman" w:hAnsi="Times New Roman"/>
          <w:sz w:val="18"/>
          <w:szCs w:val="18"/>
          <w:color w:val="auto"/>
        </w:rPr>
        <w:t>In addition to the Eye and Derm Elanco Agreement and the All Human Uses Elanco Agreement, from time to time we may be required to license technology from additional third parties to further develop or commercialize our product candidates. Should we be required to obtain licenses to any third-party technology, including any such patents required to manufacture, use or sell our product candidates, such licenses may not be available to us on commercially reasonable terms, or at all.</w:t>
      </w:r>
    </w:p>
    <w:p>
      <w:pPr>
        <w:spacing w:after="0" w:line="180" w:lineRule="exact"/>
        <w:rPr>
          <w:sz w:val="20"/>
          <w:szCs w:val="20"/>
          <w:color w:val="auto"/>
        </w:rPr>
      </w:pPr>
    </w:p>
    <w:p>
      <w:pPr>
        <w:ind w:left="120" w:firstLine="881"/>
        <w:spacing w:after="0" w:line="258" w:lineRule="auto"/>
        <w:rPr>
          <w:sz w:val="20"/>
          <w:szCs w:val="20"/>
          <w:color w:val="auto"/>
        </w:rPr>
      </w:pPr>
      <w:r>
        <w:rPr>
          <w:rFonts w:ascii="Times New Roman" w:cs="Times New Roman" w:eastAsia="Times New Roman" w:hAnsi="Times New Roman"/>
          <w:sz w:val="18"/>
          <w:szCs w:val="18"/>
          <w:color w:val="auto"/>
        </w:rPr>
        <w:t>If we are unable to license such technology, or if we are forced to license such technology on unfavorable terms, our business could be materially harmed. If we are unable to obtain a necessary license, we may be unable to develop or commercialize the affected product candidates, which could materially harm our business and the third parties owning such intellectual property rights could seek either an injunction prohibiting our sales or an obligation on our part to pay royalties and/or other forms of compensation. Even if we are able to obtain a license, it may be non-exclusive, thereby giving our competitors access to the same technologies licensed to us.</w:t>
      </w:r>
    </w:p>
    <w:p>
      <w:pPr>
        <w:spacing w:after="0" w:line="183" w:lineRule="exact"/>
        <w:rPr>
          <w:sz w:val="20"/>
          <w:szCs w:val="20"/>
          <w:color w:val="auto"/>
        </w:rPr>
      </w:pPr>
    </w:p>
    <w:p>
      <w:pPr>
        <w:ind w:left="120" w:firstLine="881"/>
        <w:spacing w:after="0" w:line="258" w:lineRule="auto"/>
        <w:rPr>
          <w:sz w:val="20"/>
          <w:szCs w:val="20"/>
          <w:color w:val="auto"/>
        </w:rPr>
      </w:pPr>
      <w:r>
        <w:rPr>
          <w:rFonts w:ascii="Times New Roman" w:cs="Times New Roman" w:eastAsia="Times New Roman" w:hAnsi="Times New Roman"/>
          <w:sz w:val="18"/>
          <w:szCs w:val="18"/>
          <w:color w:val="auto"/>
        </w:rPr>
        <w:t>If we are unable to obtain rights to required third-party intellectual property rights or maintain the existing intellectual property rights we have, we may be required to expend significant time and resources to redesign our technology, product candidates, or the methods for manufacturing them or to develop or license replacement technology, all of which may not be feasible on a technical or commercial basis. If we are unable to do so, we may be unable to develop or commercialize the affected technology and product candidates, which could harm our business, financial condition, results of operations and prospects significantly.</w:t>
      </w:r>
    </w:p>
    <w:p>
      <w:pPr>
        <w:spacing w:after="0" w:line="183" w:lineRule="exact"/>
        <w:rPr>
          <w:sz w:val="20"/>
          <w:szCs w:val="20"/>
          <w:color w:val="auto"/>
        </w:rPr>
      </w:pPr>
    </w:p>
    <w:p>
      <w:pPr>
        <w:jc w:val="both"/>
        <w:ind w:left="120" w:right="320" w:firstLine="881"/>
        <w:spacing w:after="0" w:line="266" w:lineRule="auto"/>
        <w:rPr>
          <w:sz w:val="20"/>
          <w:szCs w:val="20"/>
          <w:color w:val="auto"/>
        </w:rPr>
      </w:pPr>
      <w:r>
        <w:rPr>
          <w:rFonts w:ascii="Times New Roman" w:cs="Times New Roman" w:eastAsia="Times New Roman" w:hAnsi="Times New Roman"/>
          <w:sz w:val="18"/>
          <w:szCs w:val="18"/>
          <w:color w:val="auto"/>
        </w:rPr>
        <w:t>Additionally, if we fail to comply with our obligations under any license agreements, our counterparties may have the right to terminate these agreements, in which event we might not be able to develop, manufacture or market, or may be forced to cease developing, manufacturing or marketing, any product that is covered by</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080"/>
          </w:cols>
          <w:pgMar w:left="320" w:top="455" w:right="499" w:bottom="1440" w:gutter="0" w:footer="0" w:header="0"/>
        </w:sectPr>
      </w:pPr>
    </w:p>
    <w:bookmarkStart w:id="59" w:name="page60"/>
    <w:bookmarkEnd w:id="5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these agreements or may face other penalties under such agreements. Such an occurrence could materially adversely affect the value of the product candidate being developed under any such agreement. Termination of these agreements or reduction or elimination of our rights under these agreements, or restrictions on our ability to freely assign or sublicense our rights under such agreements when it is in the interest of our business to do so, may result in our having to negotiate new or reinstated agreements with less favorable terms, cause us to lose our rights under these agreements, including our rights to important intellectual property or technology or impede, or delay or prohibit the further development or commercialization of one or more product candidates that rely on such agreements.</w:t>
      </w:r>
    </w:p>
    <w:p>
      <w:pPr>
        <w:spacing w:after="0" w:line="187" w:lineRule="exact"/>
        <w:rPr>
          <w:sz w:val="20"/>
          <w:szCs w:val="20"/>
          <w:color w:val="auto"/>
        </w:rPr>
      </w:pPr>
    </w:p>
    <w:p>
      <w:pPr>
        <w:ind w:left="120" w:firstLine="881"/>
        <w:spacing w:after="0" w:line="253" w:lineRule="auto"/>
        <w:rPr>
          <w:sz w:val="20"/>
          <w:szCs w:val="20"/>
          <w:color w:val="auto"/>
        </w:rPr>
      </w:pPr>
      <w:r>
        <w:rPr>
          <w:rFonts w:ascii="Times New Roman" w:cs="Times New Roman" w:eastAsia="Times New Roman" w:hAnsi="Times New Roman"/>
          <w:sz w:val="18"/>
          <w:szCs w:val="18"/>
          <w:color w:val="auto"/>
        </w:rPr>
        <w:t>If we enter into in-bound intellectual property license agreements, we may not be able to fully protect the licensed intellectual property rights or maintain those licenses. In each of the Eye and Derm Elanco Agreement and the All Human Uses Elanco Agreement, Elanco retains, and future licensors could retain, the right to prosecute and defend the intellectual property rights licensed to us, in which case we would depend on the ability of our licensors to obtain, maintain and enforce such licensed intellectual property. These licensors may determine not to pursue litigation against other companies or may pursue such litigation less aggressively than we would. If our licensors do not adequately protect such licensed intellectual property, competitors may be able to use such intellectual property and erode or negate any competitive advantage we may have, which could materially harm our business, negatively affect our position in the marketplace, limit our ability to commercialize our products and product candidates and delay or render impossible our achievement of profitability. Further, entering into such license agreements could impose various diligence, commercialization, royalty or other obligations on us. Future licensors may allege that we have breached our license agreement with them, and accordingly seek to terminate our license, which could adversely affect our competitive business position and harm our business prospects.</w:t>
      </w:r>
    </w:p>
    <w:p>
      <w:pPr>
        <w:spacing w:after="0" w:line="194" w:lineRule="exact"/>
        <w:rPr>
          <w:sz w:val="20"/>
          <w:szCs w:val="20"/>
          <w:color w:val="auto"/>
        </w:rPr>
      </w:pPr>
    </w:p>
    <w:p>
      <w:pPr>
        <w:ind w:left="120" w:right="120" w:firstLine="881"/>
        <w:spacing w:after="0" w:line="258" w:lineRule="auto"/>
        <w:rPr>
          <w:sz w:val="20"/>
          <w:szCs w:val="20"/>
          <w:color w:val="auto"/>
        </w:rPr>
      </w:pPr>
      <w:r>
        <w:rPr>
          <w:rFonts w:ascii="Times New Roman" w:cs="Times New Roman" w:eastAsia="Times New Roman" w:hAnsi="Times New Roman"/>
          <w:sz w:val="18"/>
          <w:szCs w:val="18"/>
          <w:color w:val="auto"/>
        </w:rPr>
        <w:t>In addition to the above risks, intellectual property rights that we license in the future may include sublicenses under intellectual property owned by third parties, in some cases through multiple tiers. The actions of our licensors may therefore affect our rights to use our sublicensed intellectual property, even if we are in compliance with all of the obligations under our license agreements. Should our licensors or any of the upstream licensors fail to comply with their obligations under the agreements pursuant to which they obtain the rights that are sublicensed to us, or should such agreements be terminated or amended, our ability to develop and commercialize our product candidates may be materially harmed.</w:t>
      </w:r>
    </w:p>
    <w:p>
      <w:pPr>
        <w:spacing w:after="0" w:line="183"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Disputes may arise regarding intellectual property subject to a licensing agreement, including:</w:t>
      </w:r>
    </w:p>
    <w:p>
      <w:pPr>
        <w:spacing w:after="0" w:line="252" w:lineRule="exact"/>
        <w:rPr>
          <w:sz w:val="20"/>
          <w:szCs w:val="20"/>
          <w:color w:val="auto"/>
        </w:rPr>
      </w:pPr>
    </w:p>
    <w:p>
      <w:pPr>
        <w:ind w:left="1420" w:hanging="319"/>
        <w:spacing w:after="0"/>
        <w:tabs>
          <w:tab w:leader="none" w:pos="14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rights granted under the license agreement and other interpretation related issues;</w:t>
      </w:r>
    </w:p>
    <w:p>
      <w:pPr>
        <w:spacing w:after="0" w:line="252" w:lineRule="exact"/>
        <w:rPr>
          <w:rFonts w:ascii="Times New Roman" w:cs="Times New Roman" w:eastAsia="Times New Roman" w:hAnsi="Times New Roman"/>
          <w:sz w:val="18"/>
          <w:szCs w:val="18"/>
          <w:color w:val="auto"/>
        </w:rPr>
      </w:pPr>
    </w:p>
    <w:p>
      <w:pPr>
        <w:ind w:left="1420" w:right="280" w:hanging="319"/>
        <w:spacing w:after="0" w:line="282" w:lineRule="auto"/>
        <w:tabs>
          <w:tab w:leader="none" w:pos="14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our technology and processes infringe on intellectual property of the licensor that is not subject to the licensing agreement;</w:t>
      </w:r>
    </w:p>
    <w:p>
      <w:pPr>
        <w:spacing w:after="0" w:line="188"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sublicensing of patent and other rights;</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diligence obligations under the license agreement and what activities satisfy those diligence obligations;</w:t>
      </w:r>
    </w:p>
    <w:p>
      <w:pPr>
        <w:spacing w:after="0" w:line="252" w:lineRule="exact"/>
        <w:rPr>
          <w:rFonts w:ascii="Times New Roman" w:cs="Times New Roman" w:eastAsia="Times New Roman" w:hAnsi="Times New Roman"/>
          <w:sz w:val="18"/>
          <w:szCs w:val="18"/>
          <w:color w:val="auto"/>
        </w:rPr>
      </w:pPr>
    </w:p>
    <w:p>
      <w:pPr>
        <w:ind w:left="1420" w:right="300" w:hanging="319"/>
        <w:spacing w:after="0" w:line="282" w:lineRule="auto"/>
        <w:tabs>
          <w:tab w:leader="none" w:pos="14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inventorship and ownership of inventions and know-how resulting from the joint creation or use of intellectual property by our licensors and us and our partners; and</w:t>
      </w:r>
    </w:p>
    <w:p>
      <w:pPr>
        <w:spacing w:after="0" w:line="188"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priority of invention of patented technology.</w:t>
      </w:r>
    </w:p>
    <w:p>
      <w:pPr>
        <w:spacing w:after="0" w:line="225" w:lineRule="exact"/>
        <w:rPr>
          <w:sz w:val="20"/>
          <w:szCs w:val="20"/>
          <w:color w:val="auto"/>
        </w:rPr>
      </w:pPr>
    </w:p>
    <w:p>
      <w:pPr>
        <w:ind w:left="120" w:right="80" w:firstLine="881"/>
        <w:spacing w:after="0" w:line="266" w:lineRule="auto"/>
        <w:rPr>
          <w:sz w:val="20"/>
          <w:szCs w:val="20"/>
          <w:color w:val="auto"/>
        </w:rPr>
      </w:pPr>
      <w:r>
        <w:rPr>
          <w:rFonts w:ascii="Times New Roman" w:cs="Times New Roman" w:eastAsia="Times New Roman" w:hAnsi="Times New Roman"/>
          <w:sz w:val="18"/>
          <w:szCs w:val="18"/>
          <w:color w:val="auto"/>
        </w:rPr>
        <w:t>In addition, the agreements under which we currently license intellectual property or technology from third parties are complex, and certain provisions in such agreements may be susceptible to multiple interpretations. The resolution of any contract interpretation disagreement that may arise could narrow what we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120"/>
          </w:cols>
          <w:pgMar w:left="320" w:top="455" w:right="459" w:bottom="1440" w:gutter="0" w:footer="0" w:header="0"/>
        </w:sectPr>
      </w:pPr>
    </w:p>
    <w:bookmarkStart w:id="60" w:name="page61"/>
    <w:bookmarkEnd w:id="6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have licensed prevent or impair our ability to maintain our current licensing arrangements on commercially acceptable terms, we may be unable to successfully develop and commercialize the affected technology and product candidates, which could have a material adverse effect on our business, financial conditions, results of operations and prospects.</w:t>
      </w:r>
    </w:p>
    <w:p>
      <w:pPr>
        <w:spacing w:after="0" w:line="179" w:lineRule="exact"/>
        <w:rPr>
          <w:sz w:val="20"/>
          <w:szCs w:val="20"/>
          <w:color w:val="auto"/>
        </w:rPr>
      </w:pPr>
    </w:p>
    <w:p>
      <w:pPr>
        <w:ind w:left="120"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cannot ensure that patent rights relating to inventions described and claimed in our pending patent applications will issue or that our patents or patents based on our patent applications will not be challenged and rendered invalid and/or unenforceable.</w:t>
      </w:r>
    </w:p>
    <w:p>
      <w:pPr>
        <w:spacing w:after="0" w:line="15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We have pending U.S. and foreign patent applications in our portfolio, however, we cannot predict:</w:t>
      </w:r>
    </w:p>
    <w:p>
      <w:pPr>
        <w:spacing w:after="0" w:line="252" w:lineRule="exact"/>
        <w:rPr>
          <w:sz w:val="20"/>
          <w:szCs w:val="20"/>
          <w:color w:val="auto"/>
        </w:rPr>
      </w:pPr>
    </w:p>
    <w:p>
      <w:pPr>
        <w:ind w:left="1420" w:hanging="319"/>
        <w:spacing w:after="0"/>
        <w:tabs>
          <w:tab w:leader="none" w:pos="14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when patents may issue based on our patent applications;</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protection of any patent issuing based on our patent applications;</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claims of any patent issuing based on our patent applications will provide protection against competitors;</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not third parties will find ways to invalidate or circumvent our patent rights;</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not others will obtain patents claiming aspects similar to those covered by our patents and patent applications;</w:t>
      </w:r>
    </w:p>
    <w:p>
      <w:pPr>
        <w:spacing w:after="0" w:line="252" w:lineRule="exact"/>
        <w:rPr>
          <w:rFonts w:ascii="Times New Roman" w:cs="Times New Roman" w:eastAsia="Times New Roman" w:hAnsi="Times New Roman"/>
          <w:sz w:val="18"/>
          <w:szCs w:val="18"/>
          <w:color w:val="auto"/>
        </w:rPr>
      </w:pPr>
    </w:p>
    <w:p>
      <w:pPr>
        <w:ind w:left="1420" w:hanging="319"/>
        <w:spacing w:after="0" w:line="282" w:lineRule="auto"/>
        <w:tabs>
          <w:tab w:leader="none" w:pos="14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we will need to initiate litigation or administrative proceedings to enforce and/or defend our patent rights which will be costly whether we win or lose; and/or</w:t>
      </w:r>
    </w:p>
    <w:p>
      <w:pPr>
        <w:spacing w:after="0" w:line="188" w:lineRule="exact"/>
        <w:rPr>
          <w:rFonts w:ascii="Times New Roman" w:cs="Times New Roman" w:eastAsia="Times New Roman" w:hAnsi="Times New Roman"/>
          <w:sz w:val="18"/>
          <w:szCs w:val="18"/>
          <w:color w:val="auto"/>
        </w:rPr>
      </w:pPr>
    </w:p>
    <w:p>
      <w:pPr>
        <w:ind w:left="1420" w:right="40" w:hanging="319"/>
        <w:spacing w:after="0" w:line="282" w:lineRule="auto"/>
        <w:tabs>
          <w:tab w:leader="none" w:pos="14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patent applications that we own or in-license will result in issued patents with claims that cover our product candidates or uses thereof in the United States or in other foreign countries.</w:t>
      </w:r>
    </w:p>
    <w:p>
      <w:pPr>
        <w:spacing w:after="0" w:line="162" w:lineRule="exact"/>
        <w:rPr>
          <w:sz w:val="20"/>
          <w:szCs w:val="20"/>
          <w:color w:val="auto"/>
        </w:rPr>
      </w:pPr>
    </w:p>
    <w:p>
      <w:pPr>
        <w:ind w:left="120" w:firstLine="881"/>
        <w:spacing w:after="0" w:line="253" w:lineRule="auto"/>
        <w:rPr>
          <w:sz w:val="20"/>
          <w:szCs w:val="20"/>
          <w:color w:val="auto"/>
        </w:rPr>
      </w:pPr>
      <w:r>
        <w:rPr>
          <w:rFonts w:ascii="Times New Roman" w:cs="Times New Roman" w:eastAsia="Times New Roman" w:hAnsi="Times New Roman"/>
          <w:sz w:val="18"/>
          <w:szCs w:val="18"/>
          <w:color w:val="auto"/>
        </w:rPr>
        <w:t>We cannot be certain that the claims in our pending patent applications directed to our product candidates and/or technologies will be considered patentable by the USPTO or by patent offices in foreign countries. One aspect of the determination of patentability of our inventions depends on the scope and content of the “prior art,” information that was or is deemed available to a person of skill in the relevant art prior to the priority date of the claimed invention. There may be prior art of which we are not aware that may affect the patentability of our patent claims or, if issued, affect the validity or enforceability of a patent claim. Even if the patents do issue based on our patent applications, third parties may challenge the validity, enforceability or scope thereof, which may result in such patents being narrowed, invalidated or held unenforceable. Furthermore, even if they are unchallenged, patents in our portfolio may not adequately exclude third parties from practicing relevant technology or prevent others from designing around our claims. If the breadth or strength of our intellectual property position with respect to our product candidates is threatened, it could dissuade companies from collaborating with us to develop and threaten our ability to commercialize our product candidates. In the event of litigation or administrative proceedings, we cannot be certain that the claims in any of our issued patents will be considered valid by courts in the United States or foreign countries.</w:t>
      </w:r>
    </w:p>
    <w:p>
      <w:pPr>
        <w:spacing w:after="0" w:line="188" w:lineRule="exact"/>
        <w:rPr>
          <w:sz w:val="20"/>
          <w:szCs w:val="20"/>
          <w:color w:val="auto"/>
        </w:rPr>
      </w:pPr>
    </w:p>
    <w:p>
      <w:pPr>
        <w:ind w:left="120"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sued for infringing, misappropriating or otherwise violating intellectual property rights of third parties, such litigation could be costly and time consuming and could prevent or delay us from developing or commercializing our product candidates.</w:t>
      </w:r>
    </w:p>
    <w:p>
      <w:pPr>
        <w:spacing w:after="0" w:line="159" w:lineRule="exact"/>
        <w:rPr>
          <w:sz w:val="20"/>
          <w:szCs w:val="20"/>
          <w:color w:val="auto"/>
        </w:rPr>
      </w:pPr>
    </w:p>
    <w:p>
      <w:pPr>
        <w:ind w:left="120" w:right="20" w:firstLine="881"/>
        <w:spacing w:after="0" w:line="282" w:lineRule="auto"/>
        <w:rPr>
          <w:sz w:val="20"/>
          <w:szCs w:val="20"/>
          <w:color w:val="auto"/>
        </w:rPr>
      </w:pPr>
      <w:r>
        <w:rPr>
          <w:rFonts w:ascii="Times New Roman" w:cs="Times New Roman" w:eastAsia="Times New Roman" w:hAnsi="Times New Roman"/>
          <w:sz w:val="18"/>
          <w:szCs w:val="18"/>
          <w:color w:val="auto"/>
        </w:rPr>
        <w:t>Our commercial success depends, in part, on our ability to develop, manufacture, market and sell our product candidates without infringing, misappropriating or otherwise violating the intellectual property and other</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100"/>
          </w:cols>
          <w:pgMar w:left="320" w:top="455" w:right="479" w:bottom="1440" w:gutter="0" w:footer="0" w:header="0"/>
        </w:sectPr>
      </w:pPr>
    </w:p>
    <w:bookmarkStart w:id="61" w:name="page62"/>
    <w:bookmarkEnd w:id="6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53" w:lineRule="auto"/>
        <w:rPr>
          <w:sz w:val="20"/>
          <w:szCs w:val="20"/>
          <w:color w:val="auto"/>
        </w:rPr>
      </w:pPr>
      <w:r>
        <w:rPr>
          <w:rFonts w:ascii="Times New Roman" w:cs="Times New Roman" w:eastAsia="Times New Roman" w:hAnsi="Times New Roman"/>
          <w:sz w:val="18"/>
          <w:szCs w:val="18"/>
          <w:color w:val="auto"/>
        </w:rPr>
        <w:t>proprietary rights of third parties. Third parties may allege that we have infringed or misappropriated their intellectual property. Litigation or other legal proceedings relating to intellectual property claims, with or without merit, are unpredictable and generally expensive and time consuming and, even if resolved in our favor, are likely to divert significant resources from our core business, including distracting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market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adequately conduct such litigation or proceedings. Some of our competitors may be able to sustain the costs of such litigation or proceedings more effectively than we can because of their greater financial resources and more mature and developed intellectual property portfolios. Uncertainties resulting from the initiation and continuation of patent litigation or other proceedings could have a material adverse effect on our ability to compete in the marketplace.</w:t>
      </w:r>
    </w:p>
    <w:p>
      <w:pPr>
        <w:spacing w:after="0" w:line="194" w:lineRule="exact"/>
        <w:rPr>
          <w:sz w:val="20"/>
          <w:szCs w:val="20"/>
          <w:color w:val="auto"/>
        </w:rPr>
      </w:pPr>
    </w:p>
    <w:p>
      <w:pPr>
        <w:ind w:left="120" w:right="20" w:firstLine="881"/>
        <w:spacing w:after="0" w:line="268" w:lineRule="auto"/>
        <w:rPr>
          <w:sz w:val="20"/>
          <w:szCs w:val="20"/>
          <w:color w:val="auto"/>
        </w:rPr>
      </w:pPr>
      <w:r>
        <w:rPr>
          <w:rFonts w:ascii="Times New Roman" w:cs="Times New Roman" w:eastAsia="Times New Roman" w:hAnsi="Times New Roman"/>
          <w:sz w:val="17"/>
          <w:szCs w:val="17"/>
          <w:color w:val="auto"/>
        </w:rPr>
        <w:t>There is a substantial amount of intellectual property litigation in the biotechnology and biopharmaceutical industries, and we may become party to, or threatened with, litigation or other adversarial proceedings regarding intellectual property rights with respect to our product candidates. Third parties may assert infringement claims against us based on existing or future intellectual property rights, regardless of merit. The pharmaceutical and biotechnology industries have produced a significant number of patents, and it may not always be clear to industry participants, including us, which patents are directed to various types of products or methods of use. As the pharmaceutical and biotechnology industries expand and more patents are issued, the risk increases that our technologies or product candidates that we may identify may be subject to claims of infringement of the patent rights of third parties. The scope of patents is subject to interpretation by the courts, and the interpretation is not always uniform. The legal threshold for initiating litigation or contested proceedings is low, so even lawsuits or proceedings with a low probability of success might be initiated and require significant resources to defend. If we were sued for patent infringement, we would need to demonstrate that our product candidates, products or methods either do not infringe the patent claims of the relevant patent or that the patent claims are invalid or unenforceable, and we may not be able to do this. Proving invalidity may be difficult. For example, in the United States, proving invalidity in court requires a showing of clear and convincing evidence to overcome the presumption of validity enjoyed by issued patents. Even if we are successful in these proceedings, we may incur substantial costs and the time and attention of our management and scientific personnel could be diverted in pursuing these proceedings, which could have a material adverse effect on our business and operations. In addition, we may not have sufficient resources to bring these actions to a successful conclusion.</w:t>
      </w:r>
    </w:p>
    <w:p>
      <w:pPr>
        <w:spacing w:after="0" w:line="184" w:lineRule="exact"/>
        <w:rPr>
          <w:sz w:val="20"/>
          <w:szCs w:val="20"/>
          <w:color w:val="auto"/>
        </w:rPr>
      </w:pPr>
    </w:p>
    <w:p>
      <w:pPr>
        <w:ind w:left="120" w:firstLine="881"/>
        <w:spacing w:after="0" w:line="253" w:lineRule="auto"/>
        <w:rPr>
          <w:sz w:val="20"/>
          <w:szCs w:val="20"/>
          <w:color w:val="auto"/>
        </w:rPr>
      </w:pPr>
      <w:r>
        <w:rPr>
          <w:rFonts w:ascii="Times New Roman" w:cs="Times New Roman" w:eastAsia="Times New Roman" w:hAnsi="Times New Roman"/>
          <w:sz w:val="18"/>
          <w:szCs w:val="18"/>
          <w:color w:val="auto"/>
        </w:rPr>
        <w:t>If we are found to infringe a third party’s intellectual property rights, we could be forced, including by court order, to cease developing, manufacturing or commercializing the infringing product candidate or product. Alternatively, we may be required to obtain a license from such third party in order to use the infringing technology and continue developing, manufacturing or marketing the infringing product candidate. However, we may not be able to obtain any required license on commercially reasonable terms or at all. Even if we were able to obtain a license, it could be non-exclusive, thereby giving our competitors access to the same technologies licensed to us and could require us to make substantial licensing and royalty payments. We could be forced, including by court order, to cease developing, manufacturing and commercializing the infringing technology or product. In addition, we could be found liable for monetary damages, including treble damages and attorneys’ fees if we are found to have willfully infringed a patent. A finding of infringement could prevent us from commercializing our product candidates or force us to cease some of our business operations, which could materially harm our business. Claims that we have misappropriated the confidential information or trade secrets of third parties could have a similar negative impact on our business, financial condition, results of operations and prospects.</w:t>
      </w:r>
    </w:p>
    <w:p>
      <w:pPr>
        <w:spacing w:after="0" w:line="1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140"/>
          </w:cols>
          <w:pgMar w:left="320" w:top="455" w:right="439" w:bottom="1440" w:gutter="0" w:footer="0" w:header="0"/>
        </w:sectPr>
      </w:pPr>
    </w:p>
    <w:bookmarkStart w:id="62" w:name="page63"/>
    <w:bookmarkEnd w:id="6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If we do not obtain patent term extension for any product candidates we may develop, our business may be materially harmed.</w:t>
      </w:r>
    </w:p>
    <w:p>
      <w:pPr>
        <w:spacing w:after="0" w:line="229" w:lineRule="exact"/>
        <w:rPr>
          <w:sz w:val="20"/>
          <w:szCs w:val="20"/>
          <w:color w:val="auto"/>
        </w:rPr>
      </w:pPr>
    </w:p>
    <w:p>
      <w:pPr>
        <w:ind w:left="120" w:firstLine="881"/>
        <w:spacing w:after="0" w:line="252" w:lineRule="auto"/>
        <w:rPr>
          <w:sz w:val="20"/>
          <w:szCs w:val="20"/>
          <w:color w:val="auto"/>
        </w:rPr>
      </w:pPr>
      <w:r>
        <w:rPr>
          <w:rFonts w:ascii="Times New Roman" w:cs="Times New Roman" w:eastAsia="Times New Roman" w:hAnsi="Times New Roman"/>
          <w:sz w:val="18"/>
          <w:szCs w:val="18"/>
          <w:color w:val="auto"/>
        </w:rPr>
        <w:t>In the United States, the term of a patent that covers an FDA-approved drug may be eligible for limited patent term extension, which permits patent term restoration as compensation for the patent term lost during the FDA regulatory review process. The Drug Price Competition and Patent Term Restoration Act of 1984, also known as the Hatch-Waxman Act, permits a patent term extension of up to five years beyond the expiration of the patent. The length of the patent term extension is related to the length of time the drug is under regulatory review. Patent extension cannot extend the remaining term of a patent beyond a total of 14 years from the date of product approval, and only one patent applicable to an approved drug may be extended and only those claims covering the approved drug, a method for using it, or a method for manufacturing it may be extended. Similar provisions are available in Europe and certain other non-United States jurisdictions to extend the term of a patent that covers an approved drug. While, in the future, if and when our product candidates receive FDA approval, we expect to apply for patent term extensions on patents covering those product candidates, there is no guarantee that the applicable authorities will agree with our assessment of whether such extensions should be granted, and even if granted, the length of such extensions. We may not be granted patent term extension either in the United States or in any foreign country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term of extension, as well as the scope of patent protection during any such extension, afforded by the governmental authority could be less than we request. If we are unable to obtain any patent term extension or the term of any such extension is less than we request, our competitors may obtain approval of competing products following the expiration of our patent rights, and our business, financial condition, results of operations and prospects could be materially harmed.</w:t>
      </w:r>
    </w:p>
    <w:p>
      <w:pPr>
        <w:spacing w:after="0" w:line="192" w:lineRule="exact"/>
        <w:rPr>
          <w:sz w:val="20"/>
          <w:szCs w:val="20"/>
          <w:color w:val="auto"/>
        </w:rPr>
      </w:pPr>
    </w:p>
    <w:p>
      <w:pPr>
        <w:ind w:left="120" w:right="3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internal information technology systems, or those of our third-party CROs or other contractors or consultants, may fail or suffer security breaches, loss or leakage of data, and other disruptions, which could result in a material disruption of our product candidates’ development programs, compromise sensitive information related to our business or prevent us from accessing critical information, potentially exposing us to liability or otherwise adversely affecting our business.</w:t>
      </w:r>
    </w:p>
    <w:p>
      <w:pPr>
        <w:spacing w:after="0" w:line="180" w:lineRule="exact"/>
        <w:rPr>
          <w:sz w:val="20"/>
          <w:szCs w:val="20"/>
          <w:color w:val="auto"/>
        </w:rPr>
      </w:pPr>
    </w:p>
    <w:p>
      <w:pPr>
        <w:ind w:left="120" w:right="80" w:firstLine="881"/>
        <w:spacing w:after="0" w:line="258" w:lineRule="auto"/>
        <w:rPr>
          <w:sz w:val="20"/>
          <w:szCs w:val="20"/>
          <w:color w:val="auto"/>
        </w:rPr>
      </w:pPr>
      <w:r>
        <w:rPr>
          <w:rFonts w:ascii="Times New Roman" w:cs="Times New Roman" w:eastAsia="Times New Roman" w:hAnsi="Times New Roman"/>
          <w:sz w:val="18"/>
          <w:szCs w:val="18"/>
          <w:color w:val="auto"/>
        </w:rPr>
        <w:t>We are increasingly dependent upon information technology systems, infrastructure and data to operate our business. In the ordinary course of business, we collect, store and transmit confidential information (including but not limited to intellectual property, proprietary business information and personal information). It is critical that we do so in a secure manner to maintain the confidentiality and integrity of such confidential information. We also have outsourced elements of our operations to third parties, and as a result we manage a number of third-party contractors who have access to our confidential information.</w:t>
      </w:r>
    </w:p>
    <w:p>
      <w:pPr>
        <w:spacing w:after="0" w:line="183" w:lineRule="exact"/>
        <w:rPr>
          <w:sz w:val="20"/>
          <w:szCs w:val="20"/>
          <w:color w:val="auto"/>
        </w:rPr>
      </w:pPr>
    </w:p>
    <w:p>
      <w:pPr>
        <w:ind w:left="120" w:right="20" w:firstLine="881"/>
        <w:spacing w:after="0" w:line="254" w:lineRule="auto"/>
        <w:rPr>
          <w:sz w:val="20"/>
          <w:szCs w:val="20"/>
          <w:color w:val="auto"/>
        </w:rPr>
      </w:pPr>
      <w:r>
        <w:rPr>
          <w:rFonts w:ascii="Times New Roman" w:cs="Times New Roman" w:eastAsia="Times New Roman" w:hAnsi="Times New Roman"/>
          <w:sz w:val="18"/>
          <w:szCs w:val="18"/>
          <w:color w:val="auto"/>
        </w:rPr>
        <w:t>Despite the implementation of security measures, given their size and complexity and the increasing amounts of confidential information that they maintain, our internal information technology systems and those of our third-party CROs and other contractors and consultants are potentially vulnerable to breakdown or other damage or interruption from service interruptions, system malfunction, natural disasters, terrorism, war and telecommunication and electrical failures, as well as security breaches from inadvertent or intentional actions by our employees, contractors, consultants, business partners, and/or other third parties, or from cyber-attacks by malicious third parties (including the deployment of harmful malware, ransomware, denial-of-service attacks, social engineering and other means to affect service reliability and threaten the confidentiality, integrity and availability of information), which may compromise our system infrastructure or lead to data leakage. To the extent that any disruption or security breach were to result in a loss of, or damage to, our data or applications, or inappropriate disclosure of confidential or proprietary information, we could incur liability and reputational damage and the further development and commercialization of our drug candidates could be delayed.</w:t>
      </w:r>
    </w:p>
    <w:p>
      <w:pPr>
        <w:spacing w:after="0" w:line="188" w:lineRule="exact"/>
        <w:rPr>
          <w:sz w:val="20"/>
          <w:szCs w:val="20"/>
          <w:color w:val="auto"/>
        </w:rPr>
      </w:pPr>
    </w:p>
    <w:p>
      <w:pPr>
        <w:ind w:left="120" w:right="220" w:firstLine="881"/>
        <w:spacing w:after="0" w:line="282" w:lineRule="auto"/>
        <w:rPr>
          <w:sz w:val="20"/>
          <w:szCs w:val="20"/>
          <w:color w:val="auto"/>
        </w:rPr>
      </w:pPr>
      <w:r>
        <w:rPr>
          <w:rFonts w:ascii="Times New Roman" w:cs="Times New Roman" w:eastAsia="Times New Roman" w:hAnsi="Times New Roman"/>
          <w:sz w:val="18"/>
          <w:szCs w:val="18"/>
          <w:color w:val="auto"/>
        </w:rPr>
        <w:t>While we have not experienced any such system failure, accident or security breach to date, we cannot assure you that our data protection efforts and our investment in information technology will prevent significant</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120"/>
          </w:cols>
          <w:pgMar w:left="320" w:top="455" w:right="459" w:bottom="1440" w:gutter="0" w:footer="0" w:header="0"/>
        </w:sectPr>
      </w:pPr>
    </w:p>
    <w:bookmarkStart w:id="63" w:name="page64"/>
    <w:bookmarkEnd w:id="6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breakdowns, data leakages, breaches in our systems or other cyber incidents that could have a material adverse effect upon our reputation, business, operations or financial condition, whether due to a loss of our trade secrets or other proprietary information or other similar disruptions. For example, if such an event were to occur and cause interruptions in our operations, it could result in a material disruption of our programs and the development of our product candidates could be delayed. In addition, the loss of clinical trial data for our product candidates could result in delays in our marketing approval efforts and significantly increase our costs to recover or reproduce the data. Furthermore, significant disruptions of our internal information technology systems or security breaches could result in the loss, misappropriation, and/or unauthorized access, use, or disclosure of, or the prevention of access to, confidential information (including trade secrets or other intellectual property, proprietary business information, and personal information), which could result in financial, legal, business, and reputational harm to us. For example, any such event that leads to unauthorized access, use, or disclosure of personal information, including personal information regarding our clinical trial subjects or employees, could harm our reputation directly, compel us to comply with federal and/or state breach notification laws and foreign law equivalents, subject us to mandatory corrective action, and otherwise subject us to liability under laws and regulations that protect the privacy and security of personal information, including private lawsuits or class actions under the California Consumer Privacy Act, which could result in significant legal and financial exposure and reputational damages that could potentially have an adverse effect on our business.</w:t>
      </w:r>
    </w:p>
    <w:p>
      <w:pPr>
        <w:spacing w:after="0" w:line="183" w:lineRule="exact"/>
        <w:rPr>
          <w:sz w:val="20"/>
          <w:szCs w:val="20"/>
          <w:color w:val="auto"/>
        </w:rPr>
      </w:pPr>
    </w:p>
    <w:p>
      <w:pPr>
        <w:ind w:left="120" w:right="7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become involved in lawsuits to protect or enforce our patents and other intellectual property rights, which could be expensive, time consuming and unsuccessful.</w:t>
      </w:r>
    </w:p>
    <w:p>
      <w:pPr>
        <w:spacing w:after="0" w:line="159" w:lineRule="exact"/>
        <w:rPr>
          <w:sz w:val="20"/>
          <w:szCs w:val="20"/>
          <w:color w:val="auto"/>
        </w:rPr>
      </w:pPr>
    </w:p>
    <w:p>
      <w:pPr>
        <w:ind w:left="120" w:right="40" w:firstLine="881"/>
        <w:spacing w:after="0" w:line="251" w:lineRule="auto"/>
        <w:rPr>
          <w:sz w:val="20"/>
          <w:szCs w:val="20"/>
          <w:color w:val="auto"/>
        </w:rPr>
      </w:pPr>
      <w:r>
        <w:rPr>
          <w:rFonts w:ascii="Times New Roman" w:cs="Times New Roman" w:eastAsia="Times New Roman" w:hAnsi="Times New Roman"/>
          <w:sz w:val="18"/>
          <w:szCs w:val="18"/>
          <w:color w:val="auto"/>
        </w:rPr>
        <w:t xml:space="preserve">Competitors may infringe, misappropriate or otherwise violate our patents, trademarks, copyrights or other intellectual property. It may be difficult to detect infringers who do not advertise the components that are used in their products. Moreover, it may be difficult or impossible to obtain evidence of infringement in a competitor’s or potential competitor’s product. To counter infringement or unauthorized use, we may be required to file infringement or other intellectual property-related claims, which can be expensive and time consuming and divert the time and attention of our management and scientific personnel. There can be no assurance that we will have sufficient financial or other resources to file and pursue such infringement claims, which typically last for years before they are concluded. Any claims we assert against perceived infringers could provoke these parties to assert counterclaims against us alleging that we infringe their patents, in addition to counterclaims asserting that our patents are invalid or unenforceable, or both. In any patent infringement proceeding, there is a risk that a court will decide that a patent of ours is invalid or unenforceable, in whole or in part, and that we do not have the right to stop the other party from making, using, or selling the invention at issue. In patent litigation in the United States, defendant counterclaims alleging invalidity or unenforceability are commonplace. Grounds for a validity challenge could be an alleged failure to meet any of several statutory requirements, including lack of novelty, obviousness, or non-enablement. Grounds for an unenforceability assertion could be an allegation that someone connected with prosecution of the patent withheld relevant information from the USPTO, or made a misleading statement, during prosecution. Third parties may institute such claims before administrative bodies in the United States or abroad, even outside the context of litigation. Such mechanisms include re-examination, post-grant review,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interference proceedings, derivation proceedings, and equivalent proceedings in foreign jurisdictions (e.g., opposition proceedings). The outcome following legal assertions of invalidity and unenforceability is unpredictable. There is also a risk that, even if the validity of such patents is upheld, the court will construe the patent’s claims narrowly or decide that we do not have the right to stop the other party from making, using or selling the invention at issue on the grounds that our patent claims do not cover the invention. An adverse outcome in a litigation or proceeding involving our patents could limit our ability to assert our patents against those parties or other competitors, and may curtail or preclude our ability to exclude third parties from making, using and selling similar or competitive products. Any of these occurrences could adversely affect our competitive business position, business prospects and financial condition. Similarly, if we assert trademark infringement claims, a court may determine that the marks we have asserted are invalid or unenforceable, or that the party against whom we have asserted trademark infringement has superior rights to the marks in question. In this case, we could ultimately be forced to cease use of such trademarks, which could materially harm our business and negatively affect our position in the marketplace.</w:t>
      </w:r>
    </w:p>
    <w:p>
      <w:pPr>
        <w:spacing w:after="0" w:line="13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120"/>
          </w:cols>
          <w:pgMar w:left="320" w:top="455" w:right="459" w:bottom="1440" w:gutter="0" w:footer="0" w:header="0"/>
        </w:sectPr>
      </w:pPr>
    </w:p>
    <w:bookmarkStart w:id="64" w:name="page65"/>
    <w:bookmarkEnd w:id="6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firstLine="881"/>
        <w:spacing w:after="0" w:line="254" w:lineRule="auto"/>
        <w:rPr>
          <w:sz w:val="20"/>
          <w:szCs w:val="20"/>
          <w:color w:val="auto"/>
        </w:rPr>
      </w:pPr>
      <w:r>
        <w:rPr>
          <w:rFonts w:ascii="Times New Roman" w:cs="Times New Roman" w:eastAsia="Times New Roman" w:hAnsi="Times New Roman"/>
          <w:sz w:val="18"/>
          <w:szCs w:val="18"/>
          <w:color w:val="auto"/>
        </w:rPr>
        <w:t>Even if we establish infringement, the court may decide not to grant an injunction against further infringing activity and instead award only monetary damages, which may or may not be an adequate remedy. Furthermore, because of the substantial amount of discovery required in connection with intellectual property litigation, there is a risk that some of our confidential information could be compromised by disclosure during litigation. There also could be public announcements of the results of hearings, motions or other interim proceedings or developments. If securities analysts or investors perceive these results to be negative, it could have a material adverse effect on the price of shares of our common stock. Moreover, we cannot assure you that we will have sufficient financial or other resources to file and pursue such infringement claims, which typically last for years before they are concluded. Even if we ultimately prevail in such claims, the monetary cost of such litigation and the diversion of the attention of our management and scientific personnel could outweigh any benefit we receive as a result of the proceedings.</w:t>
      </w:r>
    </w:p>
    <w:p>
      <w:pPr>
        <w:spacing w:after="0" w:line="1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Because of the expense and uncertainty of litigation, we may not be in a position to enforce our intellectual property rights against third parties.</w:t>
      </w:r>
    </w:p>
    <w:p>
      <w:pPr>
        <w:spacing w:after="0" w:line="229" w:lineRule="exact"/>
        <w:rPr>
          <w:sz w:val="20"/>
          <w:szCs w:val="20"/>
          <w:color w:val="auto"/>
        </w:rPr>
      </w:pPr>
    </w:p>
    <w:p>
      <w:pPr>
        <w:ind w:left="120" w:right="160" w:firstLine="881"/>
        <w:spacing w:after="0" w:line="261" w:lineRule="auto"/>
        <w:rPr>
          <w:sz w:val="20"/>
          <w:szCs w:val="20"/>
          <w:color w:val="auto"/>
        </w:rPr>
      </w:pPr>
      <w:r>
        <w:rPr>
          <w:rFonts w:ascii="Times New Roman" w:cs="Times New Roman" w:eastAsia="Times New Roman" w:hAnsi="Times New Roman"/>
          <w:sz w:val="18"/>
          <w:szCs w:val="18"/>
          <w:color w:val="auto"/>
        </w:rPr>
        <w:t>Because of the expense and uncertainty of litigation, we may conclude that even if a third party is infringing our issued patent, any patents that may be issued as a result of our pending or future patent applications or other intellectual property rights, the risk-adjusted cost of bringing and enforcing such a claim or action may be too high or not in the best interest of our company or our stockholders. In such cases, we may decide that the more prudent course of action is to simply monitor the situation or initiate or seek some other non-litigious action or solution.</w:t>
      </w:r>
    </w:p>
    <w:p>
      <w:pPr>
        <w:spacing w:after="0" w:line="176" w:lineRule="exact"/>
        <w:rPr>
          <w:sz w:val="20"/>
          <w:szCs w:val="20"/>
          <w:color w:val="auto"/>
        </w:rPr>
      </w:pPr>
    </w:p>
    <w:p>
      <w:pPr>
        <w:ind w:left="120"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patent law in the United States and other jurisdictions could diminish the value of patents in general, thereby impairing our ability to protect our product candidates.</w:t>
      </w:r>
    </w:p>
    <w:p>
      <w:pPr>
        <w:spacing w:after="0" w:line="159" w:lineRule="exact"/>
        <w:rPr>
          <w:sz w:val="20"/>
          <w:szCs w:val="20"/>
          <w:color w:val="auto"/>
        </w:rPr>
      </w:pPr>
    </w:p>
    <w:p>
      <w:pPr>
        <w:ind w:left="120" w:right="20" w:firstLine="881"/>
        <w:spacing w:after="0" w:line="252" w:lineRule="auto"/>
        <w:rPr>
          <w:sz w:val="20"/>
          <w:szCs w:val="20"/>
          <w:color w:val="auto"/>
        </w:rPr>
      </w:pPr>
      <w:r>
        <w:rPr>
          <w:rFonts w:ascii="Times New Roman" w:cs="Times New Roman" w:eastAsia="Times New Roman" w:hAnsi="Times New Roman"/>
          <w:sz w:val="18"/>
          <w:szCs w:val="18"/>
          <w:color w:val="auto"/>
        </w:rPr>
        <w:t>As is the case with other biopharmaceutical companies, our success is heavily dependent on intellectual property, particularly patents. Obtaining and enforcing patents in the biopharmaceutical industry involves both technological and legal complexity and is therefore costly, time consuming and inherently uncertain. Changes in either the patent laws or interpretation of the patent laws in the United States could increase the uncertainties and costs. Recent patent reform legislation in the United States and other countries, including the Leahy-Smith America Invents Act, or the Leahy-Smith Act, signed into law on September 16, 2011, could increase those uncertainties and costs surrounding the prosecution of our patent applications and the enforcement or defense of our issued patents. The Leahy-Smith Act includes a number of significant changes to U.S. patent law. These include provisions that affect the way patent applications are prosecuted, redefine prior art and provide more efficient and cost-effective avenues for competitors to challenge the validity of patents. These include allowing third-party submission of prior art to the USPTO during patent prosecution and additional procedures to attack the validity of a patent by USPTO administered post-grant proceedings, including post-grant review, inter partes review, and derivation proceedings. After March 2013, under the Leahy-Smith Act, the United States transitioned to a first inventor to file system in which, assuming that the other statutory requirements are met, the first inventor to file a patent application will be entitled to the patent on an invention regardless of whether a third party was the first to invent the claimed invention. However, the Leahy-Smith Act and its implementation could increase the uncertainties and costs surrounding the prosecution of our patent applications and the enforcement or defense of our issued patents, all of which could have a material adverse effect on our business, financial condition, results of operations and prospects.</w:t>
      </w:r>
    </w:p>
    <w:p>
      <w:pPr>
        <w:spacing w:after="0" w:line="197" w:lineRule="exact"/>
        <w:rPr>
          <w:sz w:val="20"/>
          <w:szCs w:val="20"/>
          <w:color w:val="auto"/>
        </w:rPr>
      </w:pPr>
    </w:p>
    <w:p>
      <w:pPr>
        <w:ind w:left="120" w:right="100" w:firstLine="881"/>
        <w:spacing w:after="0" w:line="261" w:lineRule="auto"/>
        <w:rPr>
          <w:sz w:val="20"/>
          <w:szCs w:val="20"/>
          <w:color w:val="auto"/>
        </w:rPr>
      </w:pPr>
      <w:r>
        <w:rPr>
          <w:rFonts w:ascii="Times New Roman" w:cs="Times New Roman" w:eastAsia="Times New Roman" w:hAnsi="Times New Roman"/>
          <w:sz w:val="18"/>
          <w:szCs w:val="18"/>
          <w:color w:val="auto"/>
        </w:rPr>
        <w:t>The U.S. Supreme Court has ruled on several patent cases in recent years, either narrowing the scope of patent protection available in certain circumstances or weakening the rights of patent owners in certain situations. Depending on future actions by the U.S. Congress, the U.S. courts, the USPTO and the relevant law-making bodies in other countries, the laws and regulations governing patents could change in unpredictable ways that would weaken our ability to obtain new patents or to enforce our existing patents and patents that we might obtain in the future.</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120"/>
          </w:cols>
          <w:pgMar w:left="320" w:top="455" w:right="459" w:bottom="1440" w:gutter="0" w:footer="0" w:header="0"/>
        </w:sectPr>
      </w:pPr>
    </w:p>
    <w:bookmarkStart w:id="65" w:name="page66"/>
    <w:bookmarkEnd w:id="6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firstLine="881"/>
        <w:spacing w:after="0" w:line="255" w:lineRule="auto"/>
        <w:rPr>
          <w:sz w:val="20"/>
          <w:szCs w:val="20"/>
          <w:color w:val="auto"/>
        </w:rPr>
      </w:pPr>
      <w:r>
        <w:rPr>
          <w:rFonts w:ascii="Times New Roman" w:cs="Times New Roman" w:eastAsia="Times New Roman" w:hAnsi="Times New Roman"/>
          <w:sz w:val="18"/>
          <w:szCs w:val="18"/>
          <w:color w:val="auto"/>
        </w:rPr>
        <w:t>The United States federal government retains certain rights in inventions produced with its financial assistance under the Bayh-Dole Act. The federal government retains a “nonexclusive, nontransferable, irrevocable, paid-up license” for its own benefit. The Bayh-Dole Act also provides federal agencies with “march-in rights”. March-in rights allow the government, in specified circumstances, to require the contractor or successors in title to the patent to grant a “nonexclusive, partially exclusive, or exclusive license” to a “responsible applicant or applicants.” If the patent owner refuses to do so, the government may grant the license itself. If, in the future, we co-own or license in technology which is critical to our business that is developed in whole or in part with federal funds subject to the Bayh-Dole Act, our ability to enforce or otherwise exploit patents covering such technology may be adversely affected.</w:t>
      </w:r>
    </w:p>
    <w:p>
      <w:pPr>
        <w:spacing w:after="0" w:line="1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protect our intellectual property rights throughout the world.</w:t>
      </w:r>
    </w:p>
    <w:p>
      <w:pPr>
        <w:spacing w:after="0" w:line="229" w:lineRule="exact"/>
        <w:rPr>
          <w:sz w:val="20"/>
          <w:szCs w:val="20"/>
          <w:color w:val="auto"/>
        </w:rPr>
      </w:pPr>
    </w:p>
    <w:p>
      <w:pPr>
        <w:ind w:left="120" w:firstLine="881"/>
        <w:spacing w:after="0" w:line="252" w:lineRule="auto"/>
        <w:rPr>
          <w:sz w:val="20"/>
          <w:szCs w:val="20"/>
          <w:color w:val="auto"/>
        </w:rPr>
      </w:pPr>
      <w:r>
        <w:rPr>
          <w:rFonts w:ascii="Times New Roman" w:cs="Times New Roman" w:eastAsia="Times New Roman" w:hAnsi="Times New Roman"/>
          <w:sz w:val="18"/>
          <w:szCs w:val="18"/>
          <w:color w:val="auto"/>
        </w:rPr>
        <w:t>Patents are of national or regional effect, and filing, prosecuting and defending patents on all of our product candidates throughout the world would be prohibitively expensive, and the laws of foreign countries may not protect our rights to the same extent as the laws of the United States. As such, we may not be able to prevent third parties from practicing our inventions in all countries outside the United States, or from selling or importing products made using our inventions in and into the United States or other jurisdictions. Further, the legal systems of certain countries, particularly certain developing countries, do not favor the enforcement of patents, trade secrets and other intellectual property protection, particularly those relating to pharmaceuticals or biologics, which could make it difficult for us to stop the infringement of our patents or marketing of competing products in violation of our proprietary rights generally. In addition, certain jurisdictions do not protect to the same extent or at all inventions that constitute new methods of treatment. As such, we may not be able to prevent third parties from practicing our inventions in all countries outside the United States, or from selling or importing products made using our inventions in and into the United States or other jurisdictions. Furthermore, certain foreign and developing countries, including China and India, have compulsory licensing laws under which a patent owner may be compelled to grant licenses to third parties. In those countries, we and our licensors may have limited remedies if patents are infringed or if we or our licensors are compelled to grant a license to a third party, which could materially diminish the value of those patents. This could limit our potential revenue opportunities. Accordingly, our efforts to enforce our intellectual property rights around the world may be inadequate to obtain a significant commercial advantage from the intellectual property that we develop or license.</w:t>
      </w:r>
    </w:p>
    <w:p>
      <w:pPr>
        <w:spacing w:after="0" w:line="193" w:lineRule="exact"/>
        <w:rPr>
          <w:sz w:val="20"/>
          <w:szCs w:val="20"/>
          <w:color w:val="auto"/>
        </w:rPr>
      </w:pPr>
    </w:p>
    <w:p>
      <w:pPr>
        <w:ind w:left="120"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rely on trade secret and proprietary know how which can be difficult to trace and enforce, and if we are unable to protect the confidentiality of our trade secrets, our business and competitive position would be harmed.</w:t>
      </w:r>
    </w:p>
    <w:p>
      <w:pPr>
        <w:spacing w:after="0" w:line="159" w:lineRule="exact"/>
        <w:rPr>
          <w:sz w:val="20"/>
          <w:szCs w:val="20"/>
          <w:color w:val="auto"/>
        </w:rPr>
      </w:pPr>
    </w:p>
    <w:p>
      <w:pPr>
        <w:ind w:left="120" w:right="20" w:firstLine="881"/>
        <w:spacing w:after="0" w:line="273" w:lineRule="auto"/>
        <w:rPr>
          <w:sz w:val="20"/>
          <w:szCs w:val="20"/>
          <w:color w:val="auto"/>
        </w:rPr>
      </w:pPr>
      <w:r>
        <w:rPr>
          <w:rFonts w:ascii="Times New Roman" w:cs="Times New Roman" w:eastAsia="Times New Roman" w:hAnsi="Times New Roman"/>
          <w:sz w:val="17"/>
          <w:szCs w:val="17"/>
          <w:color w:val="auto"/>
        </w:rPr>
        <w:t>In addition to seeking patents for some of our technology and product candidates, we may also rely on trade secrets, including unpatented know-how, technology and other proprietary information, to maintain our competitive position. Elements of our product candidate, including processes for their preparation and manufacture, may involve proprietary know-how, information, or technology that is not covered by patents, and thus for these aspects we may consider trade secrets and know-how to be our primary intellectual property. Any disclosure, either intentional or unintentional, by our employees, the employees of third parties with whom we share our facilities or third party consultants and vendors that we engage to perform research, clinical trials or manufacturing activities, or misappropriation by third parties (such as through a cybersecurity breach) of our trade secrets or proprietary information could enable competitors to duplicate or surpass our technological achievements, thus eroding our competitive position in our market.</w:t>
      </w:r>
    </w:p>
    <w:p>
      <w:pPr>
        <w:spacing w:after="0" w:line="171" w:lineRule="exact"/>
        <w:rPr>
          <w:sz w:val="20"/>
          <w:szCs w:val="20"/>
          <w:color w:val="auto"/>
        </w:rPr>
      </w:pPr>
    </w:p>
    <w:p>
      <w:pPr>
        <w:jc w:val="both"/>
        <w:ind w:left="120" w:right="140" w:firstLine="881"/>
        <w:spacing w:after="0" w:line="258" w:lineRule="auto"/>
        <w:rPr>
          <w:sz w:val="20"/>
          <w:szCs w:val="20"/>
          <w:color w:val="auto"/>
        </w:rPr>
      </w:pPr>
      <w:r>
        <w:rPr>
          <w:rFonts w:ascii="Times New Roman" w:cs="Times New Roman" w:eastAsia="Times New Roman" w:hAnsi="Times New Roman"/>
          <w:sz w:val="18"/>
          <w:szCs w:val="18"/>
          <w:color w:val="auto"/>
        </w:rPr>
        <w:t>Trade secrets and know-how can be difficult to protect. We require our employees to enter into written employment agreements containing provisions of confidentiality and obligations to assign to us any inventions generated in the course of their employment. We further seek to protect our potential trade secrets, proprietary know-how, and information in part, by entering into non-disclosure and confidentiality agreements with parties who are given access to them, such as our corporate collaborators, outside scientific collaborators, contract research organizations, contract manufacturers, consultants, advisors and other third parties. With our</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120"/>
          </w:cols>
          <w:pgMar w:left="320" w:top="455" w:right="459" w:bottom="1440" w:gutter="0" w:footer="0" w:header="0"/>
        </w:sectPr>
      </w:pPr>
    </w:p>
    <w:bookmarkStart w:id="66" w:name="page67"/>
    <w:bookmarkEnd w:id="6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consultants, contractors, and outside scientific collaborators, these agreements typically include invention assignment obligations. While it is our policy to require our employees and contractors who may be involved in the conception or development of intellectual property to execute agreements assigning such intellectual property to us, we may be unsuccessful in executing an enforceable agreement with each party who in fact conceives or develops intellectual property that we regard as our own. Despite these efforts, our assignment agreements may not be self-executing and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If we fail in bringing or defending any such claims, in addition to paying monetary damages, we may lose valuable intellectual property rights. Such an outcome could materially, and adversely affect our business, financial condition, results of operations, and growth prospects. Even if we are successful in defending against such claims, litigation could result in substantial costs and distraction to management and other employees. The assignment risks of this paragraph could also pertain to any intellectual property licensed-in to us. In addition, some courts inside and outside the United States are less willing or unwilling to protect trade secrets. If any of our trade secrets were to be lawfully obtained or independently developed by a competitor or other third party, we would have no right to prevent them from using that technology or information to compete with us. If any of our trade secrets were to be disclosed to or independently developed by a competitor or other third party, our competitive position would be harmed.</w:t>
      </w:r>
    </w:p>
    <w:p>
      <w:pPr>
        <w:spacing w:after="0" w:line="193" w:lineRule="exact"/>
        <w:rPr>
          <w:sz w:val="20"/>
          <w:szCs w:val="20"/>
          <w:color w:val="auto"/>
        </w:rPr>
      </w:pPr>
    </w:p>
    <w:p>
      <w:pPr>
        <w:ind w:left="120"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that our employees, consultants or independent contractors have wrongfully used or disclosed confidential information of third parties.</w:t>
      </w:r>
    </w:p>
    <w:p>
      <w:pPr>
        <w:spacing w:after="0" w:line="159" w:lineRule="exact"/>
        <w:rPr>
          <w:sz w:val="20"/>
          <w:szCs w:val="20"/>
          <w:color w:val="auto"/>
        </w:rPr>
      </w:pPr>
    </w:p>
    <w:p>
      <w:pPr>
        <w:ind w:left="120" w:right="20" w:firstLine="881"/>
        <w:spacing w:after="0" w:line="254" w:lineRule="auto"/>
        <w:rPr>
          <w:sz w:val="20"/>
          <w:szCs w:val="20"/>
          <w:color w:val="auto"/>
        </w:rPr>
      </w:pPr>
      <w:r>
        <w:rPr>
          <w:rFonts w:ascii="Times New Roman" w:cs="Times New Roman" w:eastAsia="Times New Roman" w:hAnsi="Times New Roman"/>
          <w:sz w:val="18"/>
          <w:szCs w:val="18"/>
          <w:color w:val="auto"/>
        </w:rPr>
        <w:t>We employ individuals who were previously employed at other biotechnology or biopharmaceutical companies, or at research institutions. Although we seek to protect our ownership of intellectual property rights by ensuring that our agreements with our employees, collaborators, and other third parties with whom we do business include provisions requiring such parties to assign rights in inventions to us, we may be subject to claims that we or our employees, consultants or independent contractors have inadvertently or otherwise used or disclosed confidential information of our employees’ former employers or other third parties. We or our licensors may also be subject to claims that former employers or other third parties have an ownership interest in our patents. Litigation may be necessary to defend against these claims. There is no guarantee of success in defending these claims, and if we or our licensors fail in defending any such claims, in addition to paying monetary damages, we may lose valuable intellectual property rights, such as exclusive ownership of, or right to use, valuable intellectual property. Even if we are successful, litigation could result in substantial cost and be a distraction to our management and other employees.</w:t>
      </w:r>
    </w:p>
    <w:p>
      <w:pPr>
        <w:spacing w:after="0" w:line="1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rights do not necessarily address all potential threats to our competitive advantage.</w:t>
      </w:r>
    </w:p>
    <w:p>
      <w:pPr>
        <w:spacing w:after="0" w:line="229" w:lineRule="exact"/>
        <w:rPr>
          <w:sz w:val="20"/>
          <w:szCs w:val="20"/>
          <w:color w:val="auto"/>
        </w:rPr>
      </w:pPr>
    </w:p>
    <w:p>
      <w:pPr>
        <w:ind w:left="120" w:right="20" w:firstLine="881"/>
        <w:spacing w:after="0" w:line="282" w:lineRule="auto"/>
        <w:rPr>
          <w:sz w:val="20"/>
          <w:szCs w:val="20"/>
          <w:color w:val="auto"/>
        </w:rPr>
      </w:pPr>
      <w:r>
        <w:rPr>
          <w:rFonts w:ascii="Times New Roman" w:cs="Times New Roman" w:eastAsia="Times New Roman" w:hAnsi="Times New Roman"/>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189" w:lineRule="exact"/>
        <w:rPr>
          <w:sz w:val="20"/>
          <w:szCs w:val="20"/>
          <w:color w:val="auto"/>
        </w:rPr>
      </w:pPr>
    </w:p>
    <w:p>
      <w:pPr>
        <w:ind w:left="1420" w:right="280" w:hanging="319"/>
        <w:spacing w:after="0" w:line="282" w:lineRule="auto"/>
        <w:tabs>
          <w:tab w:leader="none" w:pos="14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be able to make product candidates that are similar to ours but that are not covered by the claims of the patents that we own or have exclusively licensed;</w:t>
      </w:r>
    </w:p>
    <w:p>
      <w:pPr>
        <w:spacing w:after="0" w:line="188" w:lineRule="exact"/>
        <w:rPr>
          <w:rFonts w:ascii="Times New Roman" w:cs="Times New Roman" w:eastAsia="Times New Roman" w:hAnsi="Times New Roman"/>
          <w:sz w:val="18"/>
          <w:szCs w:val="18"/>
          <w:color w:val="auto"/>
        </w:rPr>
      </w:pPr>
    </w:p>
    <w:p>
      <w:pPr>
        <w:ind w:left="1420" w:right="560" w:hanging="319"/>
        <w:spacing w:after="0" w:line="282" w:lineRule="auto"/>
        <w:tabs>
          <w:tab w:leader="none" w:pos="14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licensors or future collaborators might not have been the first to make the inventions covered by the issued patent or pending patent application that we own or have exclusively licensed;</w:t>
      </w:r>
    </w:p>
    <w:p>
      <w:pPr>
        <w:spacing w:after="0" w:line="188"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licensors or future collaborators might not have been the first to file patent applications covering certain of our inventions;</w:t>
      </w:r>
    </w:p>
    <w:p>
      <w:pPr>
        <w:spacing w:after="0" w:line="252" w:lineRule="exact"/>
        <w:rPr>
          <w:rFonts w:ascii="Times New Roman" w:cs="Times New Roman" w:eastAsia="Times New Roman" w:hAnsi="Times New Roman"/>
          <w:sz w:val="18"/>
          <w:szCs w:val="18"/>
          <w:color w:val="auto"/>
        </w:rPr>
      </w:pPr>
    </w:p>
    <w:p>
      <w:pPr>
        <w:ind w:left="1420" w:right="400" w:hanging="319"/>
        <w:spacing w:after="0" w:line="282" w:lineRule="auto"/>
        <w:tabs>
          <w:tab w:leader="none" w:pos="14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independently develop similar or alternative technologies or duplicate any of our technologies without infringing our intellectual property rights;</w:t>
      </w:r>
    </w:p>
    <w:p>
      <w:pPr>
        <w:spacing w:after="0" w:line="94" w:lineRule="exact"/>
        <w:rPr>
          <w:rFonts w:ascii="Times New Roman" w:cs="Times New Roman" w:eastAsia="Times New Roman" w:hAnsi="Times New Roman"/>
          <w:sz w:val="18"/>
          <w:szCs w:val="18"/>
          <w:color w:val="auto"/>
        </w:rPr>
      </w:pPr>
    </w:p>
    <w:p>
      <w:pPr>
        <w:ind w:left="5540" w:hanging="111"/>
        <w:spacing w:after="0"/>
        <w:tabs>
          <w:tab w:leader="none" w:pos="5540"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64 -</w:t>
      </w:r>
    </w:p>
    <w:p>
      <w:pPr>
        <w:sectPr>
          <w:pgSz w:w="11900" w:h="16838" w:orient="portrait"/>
          <w:cols w:equalWidth="0" w:num="1">
            <w:col w:w="11080"/>
          </w:cols>
          <w:pgMar w:left="320" w:top="455" w:right="499" w:bottom="1440" w:gutter="0" w:footer="0" w:header="0"/>
        </w:sectPr>
      </w:pPr>
    </w:p>
    <w:bookmarkStart w:id="67" w:name="page68"/>
    <w:bookmarkEnd w:id="6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420" w:hanging="319"/>
        <w:spacing w:after="0"/>
        <w:tabs>
          <w:tab w:leader="none" w:pos="14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our pending patent applications will not lead to issued patents;</w:t>
      </w:r>
    </w:p>
    <w:p>
      <w:pPr>
        <w:spacing w:after="0" w:line="252" w:lineRule="exact"/>
        <w:rPr>
          <w:rFonts w:ascii="Times New Roman" w:cs="Times New Roman" w:eastAsia="Times New Roman" w:hAnsi="Times New Roman"/>
          <w:sz w:val="18"/>
          <w:szCs w:val="18"/>
          <w:color w:val="auto"/>
        </w:rPr>
      </w:pPr>
    </w:p>
    <w:p>
      <w:pPr>
        <w:ind w:left="1420" w:right="240" w:hanging="319"/>
        <w:spacing w:after="0" w:line="282" w:lineRule="auto"/>
        <w:tabs>
          <w:tab w:leader="none" w:pos="14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patents that we own or have exclusively licensed may be held invalid or unenforceable, as a result of legal challenges by our competitors;</w:t>
      </w:r>
    </w:p>
    <w:p>
      <w:pPr>
        <w:spacing w:after="0" w:line="188" w:lineRule="exact"/>
        <w:rPr>
          <w:rFonts w:ascii="Times New Roman" w:cs="Times New Roman" w:eastAsia="Times New Roman" w:hAnsi="Times New Roman"/>
          <w:sz w:val="18"/>
          <w:szCs w:val="18"/>
          <w:color w:val="auto"/>
        </w:rPr>
      </w:pPr>
    </w:p>
    <w:p>
      <w:pPr>
        <w:ind w:left="1420" w:right="200" w:hanging="319"/>
        <w:spacing w:after="0" w:line="282" w:lineRule="auto"/>
        <w:tabs>
          <w:tab w:leader="none" w:pos="14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188" w:lineRule="exact"/>
        <w:rPr>
          <w:rFonts w:ascii="Times New Roman" w:cs="Times New Roman" w:eastAsia="Times New Roman" w:hAnsi="Times New Roman"/>
          <w:sz w:val="18"/>
          <w:szCs w:val="18"/>
          <w:color w:val="auto"/>
        </w:rPr>
      </w:pPr>
    </w:p>
    <w:p>
      <w:pPr>
        <w:ind w:left="1420" w:right="280" w:hanging="319"/>
        <w:spacing w:after="0" w:line="282" w:lineRule="auto"/>
        <w:tabs>
          <w:tab w:leader="none" w:pos="14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cannot ensure that any of our patents, or any of our pending patent applications, if issued, or those of our licensors, will include claims having a scope sufficient to protect our product candidates;</w:t>
      </w:r>
    </w:p>
    <w:p>
      <w:pPr>
        <w:spacing w:after="0" w:line="188" w:lineRule="exact"/>
        <w:rPr>
          <w:rFonts w:ascii="Times New Roman" w:cs="Times New Roman" w:eastAsia="Times New Roman" w:hAnsi="Times New Roman"/>
          <w:sz w:val="18"/>
          <w:szCs w:val="18"/>
          <w:color w:val="auto"/>
        </w:rPr>
      </w:pPr>
    </w:p>
    <w:p>
      <w:pPr>
        <w:ind w:left="1420" w:right="460" w:hanging="319"/>
        <w:spacing w:after="0" w:line="282" w:lineRule="auto"/>
        <w:tabs>
          <w:tab w:leader="none" w:pos="14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cannot ensure that any patents issued to us or our licensors will provide a basis for an exclusive market for our commercially viable product candidates or will provide us with any competitive advantages;</w:t>
      </w:r>
    </w:p>
    <w:p>
      <w:pPr>
        <w:spacing w:after="0" w:line="188" w:lineRule="exact"/>
        <w:rPr>
          <w:rFonts w:ascii="Times New Roman" w:cs="Times New Roman" w:eastAsia="Times New Roman" w:hAnsi="Times New Roman"/>
          <w:sz w:val="18"/>
          <w:szCs w:val="18"/>
          <w:color w:val="auto"/>
        </w:rPr>
      </w:pPr>
    </w:p>
    <w:p>
      <w:pPr>
        <w:ind w:left="1420" w:right="40" w:hanging="319"/>
        <w:spacing w:after="0" w:line="282" w:lineRule="auto"/>
        <w:tabs>
          <w:tab w:leader="none" w:pos="14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Supreme Court of the United States, other U.S. federal courts, Congress, the USPTO or similar foreign authorities may change the standards of patentability and any such changes could narrow or invalidate, or change the scope of, our or our licensors’ patents;</w:t>
      </w:r>
    </w:p>
    <w:p>
      <w:pPr>
        <w:spacing w:after="0" w:line="188"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patent terms may be inadequate to protect our competitive position on our product candidates for an adequate amount of time;</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cannot ensure that our commercial activities or product candidates will not infringe upon the patents of others;</w:t>
      </w:r>
    </w:p>
    <w:p>
      <w:pPr>
        <w:spacing w:after="0" w:line="252" w:lineRule="exact"/>
        <w:rPr>
          <w:rFonts w:ascii="Times New Roman" w:cs="Times New Roman" w:eastAsia="Times New Roman" w:hAnsi="Times New Roman"/>
          <w:sz w:val="18"/>
          <w:szCs w:val="18"/>
          <w:color w:val="auto"/>
        </w:rPr>
      </w:pPr>
    </w:p>
    <w:p>
      <w:pPr>
        <w:ind w:left="1420" w:right="60" w:hanging="319"/>
        <w:spacing w:after="0" w:line="282" w:lineRule="auto"/>
        <w:tabs>
          <w:tab w:leader="none" w:pos="14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cannot ensure that we will be able to successfully commercialize our product candidates on a substantial scale, if approved, before the relevant patents that we own or license expire;</w:t>
      </w:r>
    </w:p>
    <w:p>
      <w:pPr>
        <w:spacing w:after="0" w:line="188" w:lineRule="exact"/>
        <w:rPr>
          <w:rFonts w:ascii="Times New Roman" w:cs="Times New Roman" w:eastAsia="Times New Roman" w:hAnsi="Times New Roman"/>
          <w:sz w:val="18"/>
          <w:szCs w:val="18"/>
          <w:color w:val="auto"/>
        </w:rPr>
      </w:pPr>
    </w:p>
    <w:p>
      <w:pPr>
        <w:ind w:left="1420" w:right="260" w:hanging="319"/>
        <w:spacing w:after="0" w:line="282" w:lineRule="auto"/>
        <w:tabs>
          <w:tab w:leader="none" w:pos="14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choose not to file a patent in order to maintain certain trade secrets or know-how, and a third party may subsequently file a patent covering such intellectual property;</w:t>
      </w:r>
    </w:p>
    <w:p>
      <w:pPr>
        <w:spacing w:after="0" w:line="188"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develop additional proprietary technologies that are patentable; and</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patents of others may have an adverse effect on our business.</w:t>
      </w:r>
    </w:p>
    <w:p>
      <w:pPr>
        <w:spacing w:after="0" w:line="225"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Should any of these events occur, they could significantly harm our business, results of operations and prospects.</w:t>
      </w:r>
    </w:p>
    <w:p>
      <w:pPr>
        <w:spacing w:after="0" w:line="221" w:lineRule="exact"/>
        <w:rPr>
          <w:sz w:val="20"/>
          <w:szCs w:val="20"/>
          <w:color w:val="auto"/>
        </w:rPr>
      </w:pPr>
    </w:p>
    <w:p>
      <w:pPr>
        <w:ind w:left="120"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Patent terms may be inadequate to protect our competitive position on our product candidates and preclinical programs for an adequate amount of time.</w:t>
      </w:r>
    </w:p>
    <w:p>
      <w:pPr>
        <w:spacing w:after="0" w:line="159" w:lineRule="exact"/>
        <w:rPr>
          <w:sz w:val="20"/>
          <w:szCs w:val="20"/>
          <w:color w:val="auto"/>
        </w:rPr>
      </w:pPr>
    </w:p>
    <w:p>
      <w:pPr>
        <w:ind w:left="120" w:firstLine="881"/>
        <w:spacing w:after="0" w:line="255" w:lineRule="auto"/>
        <w:rPr>
          <w:sz w:val="20"/>
          <w:szCs w:val="20"/>
          <w:color w:val="auto"/>
        </w:rPr>
      </w:pPr>
      <w:r>
        <w:rPr>
          <w:rFonts w:ascii="Times New Roman" w:cs="Times New Roman" w:eastAsia="Times New Roman" w:hAnsi="Times New Roman"/>
          <w:sz w:val="18"/>
          <w:szCs w:val="18"/>
          <w:color w:val="auto"/>
        </w:rPr>
        <w:t>Patent rights are of limited duration. In the United States, if all maintenance fees are timely paid, the natural expiration of a patent is generally 20 years from its earliest U.S. non-provisional filing date. Various extensions may be available, but the life of a patent, and the protection it affords, is limited. A patent term extension based on regulatory delay may be available in the United States. However, only a single patent can be extended for each marketing approval, and any patent can be extended only once, for a single product. Moreover, the scope of protection during the period of the patent term extension does not extend to the full scope of the claim, but instead only to the scope of the product as approved. Laws governing analogous patent term extensions in foreign jurisdictions vary widely, as do laws governing the ability to obtain multiple patents from a single patent family. Given the amount of time required for the development, testing and regulatory review of</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120"/>
          </w:cols>
          <w:pgMar w:left="320" w:top="455" w:right="459" w:bottom="1440" w:gutter="0" w:footer="0" w:header="0"/>
        </w:sectPr>
      </w:pPr>
    </w:p>
    <w:bookmarkStart w:id="68" w:name="page69"/>
    <w:bookmarkEnd w:id="6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80"/>
        <w:spacing w:after="0" w:line="256" w:lineRule="auto"/>
        <w:rPr>
          <w:sz w:val="20"/>
          <w:szCs w:val="20"/>
          <w:color w:val="auto"/>
        </w:rPr>
      </w:pPr>
      <w:r>
        <w:rPr>
          <w:rFonts w:ascii="Times New Roman" w:cs="Times New Roman" w:eastAsia="Times New Roman" w:hAnsi="Times New Roman"/>
          <w:sz w:val="18"/>
          <w:szCs w:val="18"/>
          <w:color w:val="auto"/>
        </w:rPr>
        <w:t>new product candidates, patents protecting such candidates might expire before or shortly after such product candidates are commercialized. Even if patents covering our product candidates are obtained, once the patent life has expired for a product, we may be open to competition from biosimilar or generic products. Additionally, we may not receive an extension if we fail to apply within applicable deadlines, fail to apply prior to expiration of relevant patents or otherwise fail to satisfy applicable requirements. If we are unable to obtain patent term extension or restoration, or the term of any such extension is less than we request, the period during which we will have the right to exclusively market our product will be shortened and our competitors may obtain approval of competing products following our patent expiration, and our revenue could be reduced, possibly materially.</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Government Regulation</w:t>
      </w:r>
    </w:p>
    <w:p>
      <w:pPr>
        <w:spacing w:after="0" w:line="225" w:lineRule="exact"/>
        <w:rPr>
          <w:sz w:val="20"/>
          <w:szCs w:val="20"/>
          <w:color w:val="auto"/>
        </w:rPr>
      </w:pPr>
    </w:p>
    <w:p>
      <w:pPr>
        <w:ind w:left="120" w:right="7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industry is highly regulated by the FDA and comparable foreign regulatory agencies. We must comply with extensive, strictly enforced regulatory requirements to develop, obtain, and maintain marketing approval for any of our product candidates.</w:t>
      </w:r>
    </w:p>
    <w:p>
      <w:pPr>
        <w:spacing w:after="0" w:line="159" w:lineRule="exact"/>
        <w:rPr>
          <w:sz w:val="20"/>
          <w:szCs w:val="20"/>
          <w:color w:val="auto"/>
        </w:rPr>
      </w:pPr>
    </w:p>
    <w:p>
      <w:pPr>
        <w:ind w:left="120" w:firstLine="881"/>
        <w:spacing w:after="0" w:line="253" w:lineRule="auto"/>
        <w:rPr>
          <w:sz w:val="20"/>
          <w:szCs w:val="20"/>
          <w:color w:val="auto"/>
        </w:rPr>
      </w:pPr>
      <w:r>
        <w:rPr>
          <w:rFonts w:ascii="Times New Roman" w:cs="Times New Roman" w:eastAsia="Times New Roman" w:hAnsi="Times New Roman"/>
          <w:sz w:val="18"/>
          <w:szCs w:val="18"/>
          <w:color w:val="auto"/>
        </w:rPr>
        <w:t>Any product candidates we develop and the activities associated with their development and commercialization, including their design, testing, manufacture, safety, efficacy, recordkeeping, labeling, storage, approval, advertising, promotion, sale, and distribution are very heavily regulated. We have not received approval to market any product candidates from regulatory authorities in any jurisdiction. We have only limited experience in filing and supporting the applications necessary to gain marketing approvals and expect to rely on third-party contract research organizations to assist us in this process. Securing FDA or comparable foreign regulatory approval such as a marketing authorization from the European Commission or the competent authorities of the individual EU Member States, requires the submission of extensive preclinical and clinical data and supporting information for each therapeutic indication to establish the product candidate’s safety and efficacy for its intended use. Securing regulatory approval also requires the submission of information about the product manufacturing process to, and inspection of manufacturing facilities by, the relevant regulatory authority. It takes years to complete the testing of a new drug and development delays and/or failure can occur at any stage of testing. Any of our present and future clinical trials may be delayed, halted, not authorized, or approval of any of our products may be delayed or may not be obtained due to any of the following:</w:t>
      </w:r>
    </w:p>
    <w:p>
      <w:pPr>
        <w:spacing w:after="0" w:line="219" w:lineRule="exact"/>
        <w:rPr>
          <w:sz w:val="20"/>
          <w:szCs w:val="20"/>
          <w:color w:val="auto"/>
        </w:rPr>
      </w:pPr>
    </w:p>
    <w:p>
      <w:pPr>
        <w:ind w:left="1420" w:right="360" w:hanging="319"/>
        <w:spacing w:after="0" w:line="282" w:lineRule="auto"/>
        <w:tabs>
          <w:tab w:leader="none" w:pos="14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preclinical study or clinical trial may fail to produce safety and efficacy results satisfactory to the FDA or comparable foreign regulatory authorities;</w:t>
      </w:r>
    </w:p>
    <w:p>
      <w:pPr>
        <w:spacing w:after="0" w:line="188"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preclinical and clinical data can be interpreted in different ways, which could delay, limit or prevent marketing approval;</w:t>
      </w:r>
    </w:p>
    <w:p>
      <w:pPr>
        <w:spacing w:after="0" w:line="252" w:lineRule="exact"/>
        <w:rPr>
          <w:rFonts w:ascii="Times New Roman" w:cs="Times New Roman" w:eastAsia="Times New Roman" w:hAnsi="Times New Roman"/>
          <w:sz w:val="18"/>
          <w:szCs w:val="18"/>
          <w:color w:val="auto"/>
        </w:rPr>
      </w:pPr>
    </w:p>
    <w:p>
      <w:pPr>
        <w:ind w:left="1420" w:hanging="319"/>
        <w:spacing w:after="0" w:line="266" w:lineRule="auto"/>
        <w:tabs>
          <w:tab w:leader="none" w:pos="14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or inconclusive results from a preclinical study or clinical trial or adverse events during a clinical trial could cause a preclinical study or clinical trial to be repeated or a development program to be terminated, even if other studies or trials relating to the development program are ongoing or have been completed and were successful;</w:t>
      </w:r>
    </w:p>
    <w:p>
      <w:pPr>
        <w:spacing w:after="0" w:line="202" w:lineRule="exact"/>
        <w:rPr>
          <w:rFonts w:ascii="Times New Roman" w:cs="Times New Roman" w:eastAsia="Times New Roman" w:hAnsi="Times New Roman"/>
          <w:sz w:val="18"/>
          <w:szCs w:val="18"/>
          <w:color w:val="auto"/>
        </w:rPr>
      </w:pPr>
    </w:p>
    <w:p>
      <w:pPr>
        <w:ind w:left="1420" w:right="100" w:hanging="319"/>
        <w:spacing w:after="0" w:line="282" w:lineRule="auto"/>
        <w:tabs>
          <w:tab w:leader="none" w:pos="14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can place a clinical hold on a trial if, among other reasons, it finds that subjects enrolled in the trial are or would be exposed to an unreasonable and significant risk of illness or injury;</w:t>
      </w:r>
    </w:p>
    <w:p>
      <w:pPr>
        <w:spacing w:after="0" w:line="188" w:lineRule="exact"/>
        <w:rPr>
          <w:rFonts w:ascii="Times New Roman" w:cs="Times New Roman" w:eastAsia="Times New Roman" w:hAnsi="Times New Roman"/>
          <w:sz w:val="18"/>
          <w:szCs w:val="18"/>
          <w:color w:val="auto"/>
        </w:rPr>
      </w:pPr>
    </w:p>
    <w:p>
      <w:pPr>
        <w:ind w:left="1420" w:right="20" w:hanging="319"/>
        <w:spacing w:after="0" w:line="266" w:lineRule="auto"/>
        <w:tabs>
          <w:tab w:leader="none" w:pos="14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facilities that we utilize, or the processes or facilities of third-party vendors, including without limitation the contract manufacturers who will be manufacturing drug substance and drug product for us or any potential collaborators, may not satisfactorily complete inspections by the FDA or comparable foreign regulatory authorities; and</w:t>
      </w:r>
    </w:p>
    <w:p>
      <w:pPr>
        <w:spacing w:after="0" w:line="202" w:lineRule="exact"/>
        <w:rPr>
          <w:rFonts w:ascii="Times New Roman" w:cs="Times New Roman" w:eastAsia="Times New Roman" w:hAnsi="Times New Roman"/>
          <w:sz w:val="18"/>
          <w:szCs w:val="18"/>
          <w:color w:val="auto"/>
        </w:rPr>
      </w:pPr>
    </w:p>
    <w:p>
      <w:pPr>
        <w:ind w:left="1420" w:right="20" w:hanging="319"/>
        <w:spacing w:after="0" w:line="266" w:lineRule="auto"/>
        <w:tabs>
          <w:tab w:leader="none" w:pos="14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encounter delays or rejections based on changes in FDA regulations, standards or policies or the regulations, standards or policies of comparable foreign regulatory authorities during the period in which we develop a product candidate or the period required for review of any final marketing approval before we are able to market any product candidate.</w:t>
      </w:r>
    </w:p>
    <w:p>
      <w:pPr>
        <w:spacing w:after="0" w:line="108" w:lineRule="exact"/>
        <w:rPr>
          <w:rFonts w:ascii="Times New Roman" w:cs="Times New Roman" w:eastAsia="Times New Roman" w:hAnsi="Times New Roman"/>
          <w:sz w:val="18"/>
          <w:szCs w:val="18"/>
          <w:color w:val="auto"/>
        </w:rPr>
      </w:pPr>
    </w:p>
    <w:p>
      <w:pPr>
        <w:ind w:left="5540" w:hanging="111"/>
        <w:spacing w:after="0"/>
        <w:tabs>
          <w:tab w:leader="none" w:pos="554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66 -</w:t>
      </w:r>
    </w:p>
    <w:p>
      <w:pPr>
        <w:sectPr>
          <w:pgSz w:w="11900" w:h="16838" w:orient="portrait"/>
          <w:cols w:equalWidth="0" w:num="1">
            <w:col w:w="11120"/>
          </w:cols>
          <w:pgMar w:left="320" w:top="455" w:right="459" w:bottom="1440" w:gutter="0" w:footer="0" w:header="0"/>
        </w:sectPr>
      </w:pPr>
    </w:p>
    <w:bookmarkStart w:id="69" w:name="page70"/>
    <w:bookmarkEnd w:id="6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firstLine="881"/>
        <w:spacing w:after="0" w:line="254" w:lineRule="auto"/>
        <w:rPr>
          <w:sz w:val="20"/>
          <w:szCs w:val="20"/>
          <w:color w:val="auto"/>
        </w:rPr>
      </w:pPr>
      <w:r>
        <w:rPr>
          <w:rFonts w:ascii="Times New Roman" w:cs="Times New Roman" w:eastAsia="Times New Roman" w:hAnsi="Times New Roman"/>
          <w:sz w:val="18"/>
          <w:szCs w:val="18"/>
          <w:color w:val="auto"/>
        </w:rPr>
        <w:t>In addition, information generated during the clinical trial process is susceptible to varying interpretations that could delay, limit, or prevent marketing approval at any stage of the approval process. Moreover, early positive preclinical or clinical trial results may not be replicated in later clinical trials. As more product candidates within a particular class of drugs proceed through clinical development to regulatory review and approval, the amount and type of clinical data that may be required by regulatory authorities may increase or change. Failure to demonstrate adequately the quality, safety and efficacy of any of our product candidates would delay or prevent marketing approval of the applicable product candidate. We cannot assure you that if clinical trials are completed, either we or our potential collaborators will submit applications for required authorizations to manufacture or market potential products or that any such application will be reviewed and approved by appropriate regulatory authorities in a timely manner, if at all. Changes in marketing approval policies during the development period, changes in or the enactment of additional statutes or regulations, or changes in regulatory review for each submitted product application, may cause delays in the approval or rejection of an application.</w:t>
      </w:r>
    </w:p>
    <w:p>
      <w:pPr>
        <w:spacing w:after="0" w:line="184" w:lineRule="exact"/>
        <w:rPr>
          <w:sz w:val="20"/>
          <w:szCs w:val="20"/>
          <w:color w:val="auto"/>
        </w:rPr>
      </w:pPr>
    </w:p>
    <w:p>
      <w:pPr>
        <w:ind w:left="120"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healthcare law and implementing regulations, as well as changes in healthcare policy, may impact our business in ways that we cannot currently predict, and may have a significant adverse effect on our business and results of operations.</w:t>
      </w:r>
    </w:p>
    <w:p>
      <w:pPr>
        <w:spacing w:after="0" w:line="159" w:lineRule="exact"/>
        <w:rPr>
          <w:sz w:val="20"/>
          <w:szCs w:val="20"/>
          <w:color w:val="auto"/>
        </w:rPr>
      </w:pPr>
    </w:p>
    <w:p>
      <w:pPr>
        <w:ind w:left="120" w:right="220" w:firstLine="881"/>
        <w:spacing w:after="0" w:line="255" w:lineRule="auto"/>
        <w:rPr>
          <w:sz w:val="20"/>
          <w:szCs w:val="20"/>
          <w:color w:val="auto"/>
        </w:rPr>
      </w:pPr>
      <w:r>
        <w:rPr>
          <w:rFonts w:ascii="Times New Roman" w:cs="Times New Roman" w:eastAsia="Times New Roman" w:hAnsi="Times New Roman"/>
          <w:sz w:val="18"/>
          <w:szCs w:val="18"/>
          <w:color w:val="auto"/>
        </w:rPr>
        <w:t>In the United States and some foreign jurisdictions, there have been, and continue to be, several legislative and regulatory changes and proposed changes regarding the healthcare system that could prevent or delay marketing approval of product candidates, restrict or regulate post-approval activities, impact pricing and reimbursement and affect our ability to profitably sell any product candidates for which we obtain marketing approval. Among policy makers and payors both federally and on the state level in the United States and elsewhere, including in the European Union, there is significant interest in promoting changes in healthcare systems with the stated goals of containing healthcare costs, improving quality and/or expanding access. In the United States, the pharmaceutical industry has been a particular focus of these efforts and has been significantly affected by major legislative initiatives.</w:t>
      </w:r>
    </w:p>
    <w:p>
      <w:pPr>
        <w:spacing w:after="0" w:line="189" w:lineRule="exact"/>
        <w:rPr>
          <w:sz w:val="20"/>
          <w:szCs w:val="20"/>
          <w:color w:val="auto"/>
        </w:rPr>
      </w:pPr>
    </w:p>
    <w:p>
      <w:pPr>
        <w:ind w:left="120" w:right="180" w:firstLine="881"/>
        <w:spacing w:after="0" w:line="267" w:lineRule="auto"/>
        <w:rPr>
          <w:sz w:val="20"/>
          <w:szCs w:val="20"/>
          <w:color w:val="auto"/>
        </w:rPr>
      </w:pPr>
      <w:r>
        <w:rPr>
          <w:rFonts w:ascii="Times New Roman" w:cs="Times New Roman" w:eastAsia="Times New Roman" w:hAnsi="Times New Roman"/>
          <w:sz w:val="17"/>
          <w:szCs w:val="17"/>
          <w:color w:val="auto"/>
        </w:rPr>
        <w:t>The Affordable Care Act substantially changed the way healthcare is financed by both the government and private insurers, and significantly impacts the U.S. pharmaceutical industry. The Affordable Care Act, among other things: (i) introduced a new average manufacturer price definition for drugs and biologics that are inhaled, infused, instilled, implanted or injected and not generally dispensed through retail community pharmacies; (ii) increased the minimum Medicaid rebates owed by manufacturers under the Medicaid Drug Rebate Program and expanded rebate liability from fee-for-service Medicaid utilization to include the utilization of Medicaid managed care organizations as well; (iii) established a branded prescription drug fee that pharmaceutical manufacturers of branded prescription drugs must pay to the federal government; (iv) expanded the list of covered entities eligible to participate in the 340B drug pricing program; (v) established a new Medicare Part D coverage gap discount program, in which manufacturers must agree to offer 70% (increased from 50% in 2019) point-of-sale discounts off negotiated prices of applicable brand drugs to eligible beneficiaries during their coverage gap period, as a condition for the manufacturer’s outpatient drugs to be covered under Medicare Part D;</w:t>
      </w:r>
    </w:p>
    <w:p>
      <w:pPr>
        <w:spacing w:after="0" w:line="5" w:lineRule="exact"/>
        <w:rPr>
          <w:sz w:val="20"/>
          <w:szCs w:val="20"/>
          <w:color w:val="auto"/>
        </w:rPr>
      </w:pPr>
    </w:p>
    <w:p>
      <w:pPr>
        <w:ind w:left="120" w:right="40" w:hanging="4"/>
        <w:spacing w:after="0" w:line="253" w:lineRule="auto"/>
        <w:tabs>
          <w:tab w:leader="none" w:pos="425"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expanded eligibility criteria for Medicaid programs by, among other things, allowing states to offer Medicaid coverage to additional individuals and by adding new mandatory eligibility categories for individuals with income at or below 133% of the federal poverty level, thereby potentially increasing manufacturers’ Medicaid rebate liability; (vii) created a licensure framework for follow on biologic products; and (viii) established a Center for Medicare &amp; Medicaid Innovation, CMMI, at the Centers for Medicare &amp; Medicaid Services, or CMS, to test innovative payment and service delivery models to lower Medicare and Medicaid spending, potentially including prescription drug spending.</w:t>
      </w:r>
    </w:p>
    <w:p>
      <w:pPr>
        <w:spacing w:after="0" w:line="187" w:lineRule="exact"/>
        <w:rPr>
          <w:sz w:val="20"/>
          <w:szCs w:val="20"/>
          <w:color w:val="auto"/>
        </w:rPr>
      </w:pPr>
    </w:p>
    <w:p>
      <w:pPr>
        <w:ind w:left="120" w:right="200" w:firstLine="881"/>
        <w:spacing w:after="0" w:line="261" w:lineRule="auto"/>
        <w:rPr>
          <w:sz w:val="20"/>
          <w:szCs w:val="20"/>
          <w:color w:val="auto"/>
        </w:rPr>
      </w:pPr>
      <w:r>
        <w:rPr>
          <w:rFonts w:ascii="Times New Roman" w:cs="Times New Roman" w:eastAsia="Times New Roman" w:hAnsi="Times New Roman"/>
          <w:sz w:val="18"/>
          <w:szCs w:val="18"/>
          <w:color w:val="auto"/>
        </w:rPr>
        <w:t>Since its enactment, there have been judicial challenges to certain aspects of the Affordable Care Act, as well as efforts by Congress to repeal or replace, and the Trump administration to alter the implementation of, certain aspects of the Affordable Care Act. For example, the Tax Cuts and Jobs Act of 2017, or the TCJA, includes a provision repealing, effective January 1, 2019, the tax-based shared responsibility payment imposed by the Affordable Care Act on certain individuals who fail to maintain qualifying health coverage for all or part</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120"/>
          </w:cols>
          <w:pgMar w:left="320" w:top="455" w:right="459" w:bottom="1440" w:gutter="0" w:footer="0" w:header="0"/>
        </w:sectPr>
      </w:pPr>
    </w:p>
    <w:bookmarkStart w:id="70" w:name="page71"/>
    <w:bookmarkEnd w:id="7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of a year that is commonly referred to as the “individual mandate.” On December 14, 2018, a federal district court in Texas ruled the individual mandate in the absence of the tax penalty is unconstitutional and, because it is a critical and inseverable feature of the Affordable Care Act, the remaining provisions of the Affordable Care Act are invalid as well. On December 18, 2019, the U.S. Court of Appeals for the Fifth Circuit affirmed the District Court’s ruling but remanded the case back to the District Court as to the question of severability. On March 2, 2020, the United States Supreme Court granted certiorari to review this case, which is expected to be decided by mid-2021. Additionally, the Further Consolidated Appropriations Act of 2020, Pub. L. No. 116-94 permanently eliminated, effective January 1, 2020, the Affordable Care Act -mandated “Cadillac” tax on high-cost employer-sponsored health coverage and the medical device excise tax on non-exempt medical devices and, effective January 1, 2021, also eliminates the annual fee imposed on certain health insurance providers based on market share. Further, the Bipartisan Budget Act of 2018, among other things, amended the Affordable Care Act, effective January 1, 2019, to increase from 50 percent to 70 percent the point-of-sale discount that is owed by pharmaceutical manufacturers who participate in Medicare Part D and to close the coverage gap in most Medicare drug plans, commonly referred to as the “donut hole.” In the future, Congress may consider other legislation to repeal or replace elements of the Affordable Care Act, agencies may further alter their implementation of elements of the Affordable Care Act, and other judicial challenges to elements of the Affordable Care Act may be brought. The extent to which any such changes may impact our business or financial condition is uncertain.</w:t>
      </w:r>
    </w:p>
    <w:p>
      <w:pPr>
        <w:spacing w:after="0" w:line="187" w:lineRule="exact"/>
        <w:rPr>
          <w:sz w:val="20"/>
          <w:szCs w:val="20"/>
          <w:color w:val="auto"/>
        </w:rPr>
      </w:pPr>
    </w:p>
    <w:p>
      <w:pPr>
        <w:ind w:left="120" w:firstLine="881"/>
        <w:spacing w:after="0" w:line="253" w:lineRule="auto"/>
        <w:rPr>
          <w:sz w:val="20"/>
          <w:szCs w:val="20"/>
          <w:color w:val="auto"/>
        </w:rPr>
      </w:pPr>
      <w:r>
        <w:rPr>
          <w:rFonts w:ascii="Times New Roman" w:cs="Times New Roman" w:eastAsia="Times New Roman" w:hAnsi="Times New Roman"/>
          <w:sz w:val="18"/>
          <w:szCs w:val="18"/>
          <w:color w:val="auto"/>
        </w:rPr>
        <w:t>Other legislative changes have been proposed and adopted since the Affordable Care Act was enacted. These changes include aggregate reductions to Medicare payments to providers of up to 2% per fiscal year pursuant to the Budget Control Act of 2011 and subsequent laws, which went into effect on April 1, 2013 and will remain in effect through 2020 unless additional Congressional action is taken, , with the exception of a temporary suspension of the 2% cut in Medicare payments from May 1, 2020, through December 31, 2020, pursuant to the Coronavirus Aid, Relief and Economic Security Act, or CARES Act, signed into law in March 2020 and designed to provide financial support and resources to individuals and businesses affected by the COVID-19 pandemic. The American Taxpayer Relief Act of 2012, or ATRA, among other things, reduced Medicare payments to several providers, including hospitals, imaging centers and cancer treatment centers, and increased the statute of limitations period for the government to recover overpayments to providers from three to five years. New laws may result in additional reductions in Medicare and other healthcare funding, which may materially adversely affect customer demand and affordability for our products and related services and, accordingly, the results of our financial operations. Additional changes that may affect our business include the expansion of new programs such as Medicare payment for performance initiatives for physicians under the Medicare Access and CHIP Reauthorization Act of 2015, or MACRA, which first affected physician payment in 2019. At this time, it is unclear how the introduction of the Medicare quality payment program will impact overall physician reimbursement.</w:t>
      </w:r>
    </w:p>
    <w:p>
      <w:pPr>
        <w:spacing w:after="0" w:line="190" w:lineRule="exact"/>
        <w:rPr>
          <w:sz w:val="20"/>
          <w:szCs w:val="20"/>
          <w:color w:val="auto"/>
        </w:rPr>
      </w:pPr>
    </w:p>
    <w:p>
      <w:pPr>
        <w:ind w:left="120" w:right="60" w:firstLine="881"/>
        <w:spacing w:after="0" w:line="253" w:lineRule="auto"/>
        <w:rPr>
          <w:sz w:val="20"/>
          <w:szCs w:val="20"/>
          <w:color w:val="auto"/>
        </w:rPr>
      </w:pPr>
      <w:r>
        <w:rPr>
          <w:rFonts w:ascii="Times New Roman" w:cs="Times New Roman" w:eastAsia="Times New Roman" w:hAnsi="Times New Roman"/>
          <w:sz w:val="18"/>
          <w:szCs w:val="18"/>
          <w:color w:val="auto"/>
        </w:rPr>
        <w:t>Also, there has been heightened governmental scrutiny over the manner in which drug manufacturers set prices for their marketed products, which have resulted in several Congressional inquiries and proposed bills and initiatives, as well as state efforts, designed to, among other things, bring more transparency to product pricing, review the relationship between pricing and manufacturer patient programs, and reform government program reimbursement methodologies for drug products. For example, at the federal level, the Trump administration’s budget for fiscal year 2021 includes a $135 billion allowance to support legislative proposals seeking to reduce drug prices, increase competition, lower out-of-pocket drug costs for patients, and increase patient access to lower-cost generic and biosimilar drugs. On March 10, 2020, the Trump administration sent “principles” for drug pricing to Congress, calling for legislation that would, among other things, cap Medicare Part D beneficiary out-of-pocket pharmacy expenses, provide an option to cap Medicare Part D beneficiary monthly out-of-pocket expenses, and place limits on pharmaceutical price increases. On July 24, 2020, President Trump signed several executive orders directed toward lowering drug prices. Individual states in the United States have become increasingly active in passing legislation and implementing regulations designed to control pharmaceutical and biological product pricing, including price or patient reimbursement constraints, discounts, restrictions on certain product access and marketing cost disclosure and transparency measures.</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120"/>
          </w:cols>
          <w:pgMar w:left="320" w:top="455" w:right="459" w:bottom="1440" w:gutter="0" w:footer="0" w:header="0"/>
        </w:sectPr>
      </w:pPr>
    </w:p>
    <w:bookmarkStart w:id="71" w:name="page72"/>
    <w:bookmarkEnd w:id="7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440" w:firstLine="881"/>
        <w:spacing w:after="0" w:line="258" w:lineRule="auto"/>
        <w:rPr>
          <w:sz w:val="20"/>
          <w:szCs w:val="20"/>
          <w:color w:val="auto"/>
        </w:rPr>
      </w:pPr>
      <w:r>
        <w:rPr>
          <w:rFonts w:ascii="Times New Roman" w:cs="Times New Roman" w:eastAsia="Times New Roman" w:hAnsi="Times New Roman"/>
          <w:sz w:val="18"/>
          <w:szCs w:val="18"/>
          <w:color w:val="auto"/>
        </w:rPr>
        <w:t>We expect that these and other healthcare reform measures in the future, may result in more rigorous coverage criteria and lower reimbursement, and in additional downward pressure on the price that we receive for any approved product. Any reduction in reimbursement from Medicare or other government-funded programs may result in a similar reduction in payments from private payors. The implementation of cost containment measures or other healthcare reforms may hinder us in generating revenue, attaining profitability or commercializing our drugs, once marketing approval is obtained.</w:t>
      </w:r>
    </w:p>
    <w:p>
      <w:pPr>
        <w:spacing w:after="0" w:line="183" w:lineRule="exact"/>
        <w:rPr>
          <w:sz w:val="20"/>
          <w:szCs w:val="20"/>
          <w:color w:val="auto"/>
        </w:rPr>
      </w:pPr>
    </w:p>
    <w:p>
      <w:pPr>
        <w:ind w:left="120" w:right="40" w:firstLine="881"/>
        <w:spacing w:after="0" w:line="258" w:lineRule="auto"/>
        <w:rPr>
          <w:sz w:val="20"/>
          <w:szCs w:val="20"/>
          <w:color w:val="auto"/>
        </w:rPr>
      </w:pPr>
      <w:r>
        <w:rPr>
          <w:rFonts w:ascii="Times New Roman" w:cs="Times New Roman" w:eastAsia="Times New Roman" w:hAnsi="Times New Roman"/>
          <w:sz w:val="18"/>
          <w:szCs w:val="18"/>
          <w:color w:val="auto"/>
        </w:rPr>
        <w:t>In the European Union, coverage and reimbursement status of any product candidates for which we obtain regulatory approval are provided for by the national laws of EU Member States. The requirements may differ across the EU Member States. In markets outside of the United States and the European Union, reimbursement and healthcare payment systems vary significantly by country, and many countries have instituted price ceilings on specific products and therapies. Also, at national level, actions have been taken to enact transparency laws regarding payments between pharmaceutical companies and health care professionals.</w:t>
      </w:r>
    </w:p>
    <w:p>
      <w:pPr>
        <w:spacing w:after="0" w:line="183" w:lineRule="exact"/>
        <w:rPr>
          <w:sz w:val="20"/>
          <w:szCs w:val="20"/>
          <w:color w:val="auto"/>
        </w:rPr>
      </w:pPr>
    </w:p>
    <w:p>
      <w:pPr>
        <w:ind w:left="120" w:firstLine="881"/>
        <w:spacing w:after="0" w:line="261" w:lineRule="auto"/>
        <w:rPr>
          <w:sz w:val="20"/>
          <w:szCs w:val="20"/>
          <w:color w:val="auto"/>
        </w:rPr>
      </w:pPr>
      <w:r>
        <w:rPr>
          <w:rFonts w:ascii="Times New Roman" w:cs="Times New Roman" w:eastAsia="Times New Roman" w:hAnsi="Times New Roman"/>
          <w:sz w:val="18"/>
          <w:szCs w:val="18"/>
          <w:color w:val="auto"/>
        </w:rPr>
        <w:t>We cannot predict the likelihood, nature or extent of government regulation that may arise from future legislation or administrative action in the United States, the European Union or any other jurisdiction. If we or any third parties we may engage are slow or unable to adapt to changes in existing requirements or the adoption of new requirements or policies, or if we or such third parties are not able to maintain regulatory compliance, our product candidates may lose any regulatory approval that may have been obtained and we may not achieve or sustain profitability.</w:t>
      </w:r>
    </w:p>
    <w:p>
      <w:pPr>
        <w:spacing w:after="0" w:line="176" w:lineRule="exact"/>
        <w:rPr>
          <w:sz w:val="20"/>
          <w:szCs w:val="20"/>
          <w:color w:val="auto"/>
        </w:rPr>
      </w:pPr>
    </w:p>
    <w:p>
      <w:pPr>
        <w:ind w:left="120"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independent contractors, clinical trial investigators, CROs, consultants, vendors and any potential commercial partners may engage in misconduct or other improper activities, including non-compliance with regulatory standards and requirements and insider trading.</w:t>
      </w:r>
    </w:p>
    <w:p>
      <w:pPr>
        <w:spacing w:after="0" w:line="159" w:lineRule="exact"/>
        <w:rPr>
          <w:sz w:val="20"/>
          <w:szCs w:val="20"/>
          <w:color w:val="auto"/>
        </w:rPr>
      </w:pPr>
    </w:p>
    <w:p>
      <w:pPr>
        <w:ind w:left="120" w:right="160" w:firstLine="881"/>
        <w:spacing w:after="0" w:line="269" w:lineRule="auto"/>
        <w:rPr>
          <w:sz w:val="20"/>
          <w:szCs w:val="20"/>
          <w:color w:val="auto"/>
        </w:rPr>
      </w:pPr>
      <w:r>
        <w:rPr>
          <w:rFonts w:ascii="Times New Roman" w:cs="Times New Roman" w:eastAsia="Times New Roman" w:hAnsi="Times New Roman"/>
          <w:sz w:val="17"/>
          <w:szCs w:val="17"/>
          <w:color w:val="auto"/>
        </w:rPr>
        <w:t>We are exposed to the risk of fraud or other misconduct by our employees, clinical trial investigators, CROs, consultants, vendors and any potential commercial partners. Misconduct by these parties could include intentional, reckless and/or negligent conduct or disclosure of unauthorized activities to us that violates: (i) FDA laws and regulations or those of comparable foreign regulatory authorities, including those laws that require the reporting of true, complete and accurate information, (ii) manufacturing standards, (iii) federal and state health and data privacy, security, fraud and abuse, government price reporting, transparency reporting requirements, and other healthcare laws and regulations in the United States and abroad or</w:t>
      </w:r>
    </w:p>
    <w:p>
      <w:pPr>
        <w:spacing w:after="0" w:line="3" w:lineRule="exact"/>
        <w:rPr>
          <w:sz w:val="20"/>
          <w:szCs w:val="20"/>
          <w:color w:val="auto"/>
        </w:rPr>
      </w:pPr>
    </w:p>
    <w:p>
      <w:pPr>
        <w:ind w:left="120" w:right="20" w:hanging="4"/>
        <w:spacing w:after="0" w:line="251" w:lineRule="auto"/>
        <w:tabs>
          <w:tab w:leader="none" w:pos="425"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 that require the true, complete and accurate reporting of financial information or data. Specifically,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Activities subject to these laws could also involve the improper use or misrepresentation of information obtained in the course of clinical trials, creation of fraudulent data in preclinical studies or clinical trials or illegal misappropriation of drug product, which could result in regulatory sanctions and cause serious harm to our reputation.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comply with such laws or regulations. We intend to adopt a code of conduct applicable to all of our employees prior to completion of this offering, as well as a disclosure program and other applicable policies and procedures, but it is not always possible to identify and deter employee misconduct,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Additionally, we are subject to the risk that a person or government could allege such fraud or other misconduct, even if none occurred. If any such actions are instituted against us, and we are not successful in defending ourselves or asserting our rights, those actions could have a significant impact on our business, including the imposition of significant civil, criminal and administrative penalties, damages, monetary fines, disgorgements, possible exclusion from participation in</w:t>
      </w:r>
    </w:p>
    <w:p>
      <w:pPr>
        <w:spacing w:after="0" w:line="122" w:lineRule="exact"/>
        <w:rPr>
          <w:rFonts w:ascii="Times New Roman" w:cs="Times New Roman" w:eastAsia="Times New Roman" w:hAnsi="Times New Roman"/>
          <w:sz w:val="18"/>
          <w:szCs w:val="18"/>
          <w:color w:val="auto"/>
        </w:rPr>
      </w:pPr>
    </w:p>
    <w:p>
      <w:pPr>
        <w:ind w:left="5540" w:hanging="111"/>
        <w:spacing w:after="0"/>
        <w:tabs>
          <w:tab w:leader="none" w:pos="554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69 -</w:t>
      </w:r>
    </w:p>
    <w:p>
      <w:pPr>
        <w:sectPr>
          <w:pgSz w:w="11900" w:h="16838" w:orient="portrait"/>
          <w:cols w:equalWidth="0" w:num="1">
            <w:col w:w="11100"/>
          </w:cols>
          <w:pgMar w:left="320" w:top="455" w:right="479" w:bottom="1440" w:gutter="0" w:footer="0" w:header="0"/>
        </w:sectPr>
      </w:pPr>
    </w:p>
    <w:bookmarkStart w:id="72" w:name="page73"/>
    <w:bookmarkEnd w:id="7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80"/>
        <w:spacing w:after="0" w:line="266" w:lineRule="auto"/>
        <w:rPr>
          <w:sz w:val="20"/>
          <w:szCs w:val="20"/>
          <w:color w:val="auto"/>
        </w:rPr>
      </w:pPr>
      <w:r>
        <w:rPr>
          <w:rFonts w:ascii="Times New Roman" w:cs="Times New Roman" w:eastAsia="Times New Roman" w:hAnsi="Times New Roman"/>
          <w:sz w:val="18"/>
          <w:szCs w:val="18"/>
          <w:color w:val="auto"/>
        </w:rPr>
        <w:t>Medicare, Medicaid, other U.S. federal healthcare programs or healthcare programs in other jurisdictions, integrity oversight and reporting obligations to resolve allegations of non-compliance, individual imprisonment, other sanctions, contractual damages, reputational harm, diminished profits and future earnings, and curtailment of our operations.</w:t>
      </w:r>
    </w:p>
    <w:p>
      <w:pPr>
        <w:spacing w:after="0" w:line="172" w:lineRule="exact"/>
        <w:rPr>
          <w:sz w:val="20"/>
          <w:szCs w:val="20"/>
          <w:color w:val="auto"/>
        </w:rPr>
      </w:pPr>
    </w:p>
    <w:p>
      <w:pPr>
        <w:ind w:left="120"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159" w:lineRule="exact"/>
        <w:rPr>
          <w:sz w:val="20"/>
          <w:szCs w:val="20"/>
          <w:color w:val="auto"/>
        </w:rPr>
      </w:pPr>
    </w:p>
    <w:p>
      <w:pPr>
        <w:ind w:left="120" w:right="100" w:firstLine="881"/>
        <w:spacing w:after="0" w:line="255" w:lineRule="auto"/>
        <w:rPr>
          <w:sz w:val="20"/>
          <w:szCs w:val="20"/>
          <w:color w:val="auto"/>
        </w:rPr>
      </w:pPr>
      <w:r>
        <w:rPr>
          <w:rFonts w:ascii="Times New Roman" w:cs="Times New Roman" w:eastAsia="Times New Roman" w:hAnsi="Times New Roman"/>
          <w:sz w:val="18"/>
          <w:szCs w:val="18"/>
          <w:color w:val="auto"/>
        </w:rPr>
        <w:t>We, and the third parties with whom we share our facilities, are subject to numerous environmental, health and safety laws and regulations, including those governing laboratory procedures and the handling, use, storage, treatment and disposal of hazardous materials and wastes. Each of our operations involve the use of hazardous and flammable materials, including chemicals and biological and radioactive materials. Each of our operations also produce hazardous waste products. We generally contract with third parties for the disposal of these materials and wastes. We cannot eliminate the risk of contamination or injury from these materials. We could be held liable for any resulting damages in the event of contamination or injury resulting from the use of hazardous materials by us or the third parties with whom we share our facilities, and any liability could exceed our resources. We also could incur significant costs associated with civil or criminal fines and penalties.</w:t>
      </w:r>
    </w:p>
    <w:p>
      <w:pPr>
        <w:spacing w:after="0" w:line="189" w:lineRule="exact"/>
        <w:rPr>
          <w:sz w:val="20"/>
          <w:szCs w:val="20"/>
          <w:color w:val="auto"/>
        </w:rPr>
      </w:pPr>
    </w:p>
    <w:p>
      <w:pPr>
        <w:ind w:left="120" w:right="60" w:firstLine="881"/>
        <w:spacing w:after="0" w:line="261" w:lineRule="auto"/>
        <w:rPr>
          <w:sz w:val="20"/>
          <w:szCs w:val="20"/>
          <w:color w:val="auto"/>
        </w:rPr>
      </w:pPr>
      <w:r>
        <w:rPr>
          <w:rFonts w:ascii="Times New Roman" w:cs="Times New Roman" w:eastAsia="Times New Roman" w:hAnsi="Times New Roman"/>
          <w:sz w:val="18"/>
          <w:szCs w:val="18"/>
          <w:color w:val="auto"/>
        </w:rPr>
        <w:t>Although we maintain general liability insurance as well as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180" w:lineRule="exact"/>
        <w:rPr>
          <w:sz w:val="20"/>
          <w:szCs w:val="20"/>
          <w:color w:val="auto"/>
        </w:rPr>
      </w:pPr>
    </w:p>
    <w:p>
      <w:pPr>
        <w:ind w:left="120" w:right="120" w:firstLine="881"/>
        <w:spacing w:after="0" w:line="266" w:lineRule="auto"/>
        <w:rPr>
          <w:sz w:val="20"/>
          <w:szCs w:val="20"/>
          <w:color w:val="auto"/>
        </w:rPr>
      </w:pPr>
      <w:r>
        <w:rPr>
          <w:rFonts w:ascii="Times New Roman" w:cs="Times New Roman" w:eastAsia="Times New Roman" w:hAnsi="Times New Roman"/>
          <w:sz w:val="18"/>
          <w:szCs w:val="18"/>
          <w:color w:val="auto"/>
        </w:rPr>
        <w:t>In addition, we may incur substantial costs in order to comply with current or future environmental, health and safety laws and regulations. These current or future laws and regulations may impair our research and development. Failure to comply with these laws and regulations also may result in substantial fines, penalties or other sanctions.</w:t>
      </w:r>
    </w:p>
    <w:p>
      <w:pPr>
        <w:spacing w:after="0" w:line="176" w:lineRule="exact"/>
        <w:rPr>
          <w:sz w:val="20"/>
          <w:szCs w:val="20"/>
          <w:color w:val="auto"/>
        </w:rPr>
      </w:pPr>
    </w:p>
    <w:p>
      <w:pPr>
        <w:ind w:left="120" w:right="60" w:firstLine="881"/>
        <w:spacing w:after="0" w:line="258" w:lineRule="auto"/>
        <w:rPr>
          <w:sz w:val="20"/>
          <w:szCs w:val="20"/>
          <w:color w:val="auto"/>
        </w:rPr>
      </w:pPr>
      <w:r>
        <w:rPr>
          <w:rFonts w:ascii="Times New Roman" w:cs="Times New Roman" w:eastAsia="Times New Roman" w:hAnsi="Times New Roman"/>
          <w:sz w:val="18"/>
          <w:szCs w:val="18"/>
          <w:color w:val="auto"/>
        </w:rPr>
        <w:t>Further, with respect to the operations of our current and any future third-party contract manufacturers, it is possible that if they fail to operate in compliance with applicable environmental, health and safety laws and regulations or properly dispose of wastes associated with our products, we could be held liable for any resulting damages, suffer reputational harm or experience a disruption in the manufacture and supply of our product candidates or products. In addition, our supply chain may be adversely impacted if any of our third-party contract manufacturers become subject to injunctions or other sanctions as a result of their non-compliance with environmental, health and safety laws and regulations.</w:t>
      </w:r>
    </w:p>
    <w:p>
      <w:pPr>
        <w:spacing w:after="0" w:line="179" w:lineRule="exact"/>
        <w:rPr>
          <w:sz w:val="20"/>
          <w:szCs w:val="20"/>
          <w:color w:val="auto"/>
        </w:rPr>
      </w:pPr>
    </w:p>
    <w:p>
      <w:pPr>
        <w:ind w:lef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will be subject to federal, state and foreign healthcare and abuse laws and false claims laws, as well as information privacy and security laws and regulations. If we are unable to comply, or have not fully complied, with such laws, we could face substantial penalties, criminal sanctions, contractual damages, reputational harm, and diminished profits and future earnings.</w:t>
      </w:r>
    </w:p>
    <w:p>
      <w:pPr>
        <w:spacing w:after="0" w:line="175" w:lineRule="exact"/>
        <w:rPr>
          <w:sz w:val="20"/>
          <w:szCs w:val="20"/>
          <w:color w:val="auto"/>
        </w:rPr>
      </w:pPr>
    </w:p>
    <w:p>
      <w:pPr>
        <w:ind w:left="120" w:right="40" w:firstLine="881"/>
        <w:spacing w:after="0" w:line="256" w:lineRule="auto"/>
        <w:rPr>
          <w:sz w:val="20"/>
          <w:szCs w:val="20"/>
          <w:color w:val="auto"/>
        </w:rPr>
      </w:pPr>
      <w:r>
        <w:rPr>
          <w:rFonts w:ascii="Times New Roman" w:cs="Times New Roman" w:eastAsia="Times New Roman" w:hAnsi="Times New Roman"/>
          <w:sz w:val="18"/>
          <w:szCs w:val="18"/>
          <w:color w:val="auto"/>
        </w:rPr>
        <w:t>ECPs and third-party payors will play a primary role in the recommendation and prescription of any future product candidates we may develop and any product candidates for which we obtain marketing approval. Our arrangements with ECPs, patients, third-party payors and customers may expose us to broadly applicable fraud and abuse and other healthcare laws and regulations that may affect our business or financial arrangements and relationships through which we would market, sell and distribute our products. As a biopharmaceutical company, federal and state healthcare laws and regulations pertaining to fraud and abuse are applicable to our business and may affect our ability to operate. These laws include, but are not limited to:</w:t>
      </w:r>
    </w:p>
    <w:p>
      <w:pPr>
        <w:spacing w:after="0" w:line="214" w:lineRule="exact"/>
        <w:rPr>
          <w:sz w:val="20"/>
          <w:szCs w:val="20"/>
          <w:color w:val="auto"/>
        </w:rPr>
      </w:pPr>
    </w:p>
    <w:p>
      <w:pPr>
        <w:ind w:left="1420" w:right="120" w:hanging="319"/>
        <w:spacing w:after="0" w:line="282" w:lineRule="auto"/>
        <w:tabs>
          <w:tab w:leader="none" w:pos="14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which prohibits any person or entity from, among other things, knowingly and willfully soliciting, receiving, offering or paying any remuneration, directly or</w:t>
      </w:r>
    </w:p>
    <w:p>
      <w:pPr>
        <w:spacing w:after="0" w:line="94" w:lineRule="exact"/>
        <w:rPr>
          <w:rFonts w:ascii="Times New Roman" w:cs="Times New Roman" w:eastAsia="Times New Roman" w:hAnsi="Times New Roman"/>
          <w:sz w:val="18"/>
          <w:szCs w:val="18"/>
          <w:color w:val="auto"/>
        </w:rPr>
      </w:pPr>
    </w:p>
    <w:p>
      <w:pPr>
        <w:ind w:left="5540" w:hanging="111"/>
        <w:spacing w:after="0"/>
        <w:tabs>
          <w:tab w:leader="none" w:pos="554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70 -</w:t>
      </w:r>
    </w:p>
    <w:p>
      <w:pPr>
        <w:sectPr>
          <w:pgSz w:w="11900" w:h="16838" w:orient="portrait"/>
          <w:cols w:equalWidth="0" w:num="1">
            <w:col w:w="11120"/>
          </w:cols>
          <w:pgMar w:left="320" w:top="455" w:right="459" w:bottom="1440" w:gutter="0" w:footer="0" w:header="0"/>
        </w:sectPr>
      </w:pPr>
    </w:p>
    <w:bookmarkStart w:id="73" w:name="page74"/>
    <w:bookmarkEnd w:id="7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420"/>
        <w:spacing w:after="0" w:line="253" w:lineRule="auto"/>
        <w:rPr>
          <w:sz w:val="20"/>
          <w:szCs w:val="20"/>
          <w:color w:val="auto"/>
        </w:rPr>
      </w:pPr>
      <w:r>
        <w:rPr>
          <w:rFonts w:ascii="Times New Roman" w:cs="Times New Roman" w:eastAsia="Times New Roman" w:hAnsi="Times New Roman"/>
          <w:sz w:val="18"/>
          <w:szCs w:val="18"/>
          <w:color w:val="auto"/>
        </w:rPr>
        <w:t>indirectly, overtly or covertly, in cash or in kind, to induce or reward either the referral of an individual for, or the purchase, order or recommendation of an item or service reimbursable, in whole or in part, under a federal healthcare program, such as the Medicare and Medicaid programs. The term “remuneration” has been broadly interpreted to include anything of value. The Anti-Kickback Statute has also been interpreted to apply to arrangements between pharmaceutical manufacturers on the one hand and prescribers, purchasers, and formulary managers on the other the other hand. Liability under the Anti-Kickback Statute may be established without proving actual knowledge of the statute or specific intent to violate it. In addition, the government may assert that a claim including items or services resulting from a violation of the federal Anti-Kickback Statute constitutes a false or fraudulent claim for purposes of the federal civil False Claims Act. Although there are a number of statutory exceptions and regulatory safe harbors protecting some common activities from prosecution or regulatory sanctions, the exemptions and safe harbors are drawn narrowly, and practices that do not fit squarely within an exemption or safe harbor, or for which no exception or safe harbor is available, may be subject to scrutiny;</w:t>
      </w:r>
    </w:p>
    <w:p>
      <w:pPr>
        <w:spacing w:after="0" w:line="219" w:lineRule="exact"/>
        <w:rPr>
          <w:sz w:val="20"/>
          <w:szCs w:val="20"/>
          <w:color w:val="auto"/>
        </w:rPr>
      </w:pPr>
    </w:p>
    <w:p>
      <w:pPr>
        <w:ind w:left="1420" w:right="60" w:hanging="319"/>
        <w:spacing w:after="0" w:line="252" w:lineRule="auto"/>
        <w:tabs>
          <w:tab w:leader="none" w:pos="14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civil laws, such as the False Claims Act, or the FCA, which prohibits individuals or entities from, among other things, knowingly presenting, or causing to be presented, false or fraudulent claims for payment of government funds, and knowingly making, using or causing to be made or used a false record or statement material to an obligation to pay money to the government or knowingly concealing or knowingly and improperly avoiding, decreasing or concealing an obligation to pay money to the federal government. Actions under the FCA may be brought by the U.S. Attorney General or as a qui tam action by a private individual (a whistleblower) in the name of the government and the individual, and the whistleblower may share in any monetary recovery. Many pharmaceutical companies have been investigated and have reached substantial settlements under the federal civil FCA in connection with their alleged off-label promotion of drugs, purportedly concealing price concessions in the pricing information submitted to the government for government price reporting purposes, and allegedly providing free product to customers with the expectation that the customers would bill federal health care programs for the product. In addition, a claim including items or services resulting from a violation of the federal Anti-Kickback Statute constitutes a false or fraudulent claim for purposes of the FCA. In addition, manufacturers can be held liable under the FCA even when they do not submit claims directly to government payors if they are deemed to “cause” the submission of false or fraudulent claims. FCA liability is potentially significant in the healthcare industry because the statute provides for treble damages and significant mandatory penalties per false or fraudulent claim or statement for violations. Because of the potential for large monetary exposure, healthcare and pharmaceutical companies often resolve allegations without admissions of liability for significant and material amounts to avoid the uncertainty of treble damages and per claim penalties that may be awarded in litigation proceedings. Settlements may require companies to enter into corporate integrity agreements with the government, which may impose substantial costs on companies to ensure compliance. Pharmaceutical and other healthcare companies also are subject to other federal false claims laws, including, among others, federal criminal healthcare fraud and false statement statutes that extend to non-government health benefit programs;</w:t>
      </w:r>
    </w:p>
    <w:p>
      <w:pPr>
        <w:spacing w:after="0" w:line="216" w:lineRule="exact"/>
        <w:rPr>
          <w:rFonts w:ascii="Times New Roman" w:cs="Times New Roman" w:eastAsia="Times New Roman" w:hAnsi="Times New Roman"/>
          <w:sz w:val="18"/>
          <w:szCs w:val="18"/>
          <w:color w:val="auto"/>
        </w:rPr>
      </w:pPr>
    </w:p>
    <w:p>
      <w:pPr>
        <w:ind w:left="1420" w:hanging="319"/>
        <w:spacing w:after="0" w:line="255" w:lineRule="auto"/>
        <w:tabs>
          <w:tab w:leader="none" w:pos="14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Health Insurance Portability and Accountability Act of 1996, or HIPAA, among other things, imposes criminal liability for knowingly or willfully executing or attempting to execute a scheme to defraud any healthcare benefit program, including private third-party payors, knowingly and willfully embezzling or stealing from a healthcare benefit program, willfully obstructing a criminal investigation of a healthcare offense, and creates federal criminal laws that prohibit knowingly and willfully falsifying, concealing or covering up a material fact or making any materially false, fictitious or fraudulent statement or representation, or making or using any false writing or document knowing the same to contain any materially false, fictitious or fraudulent statement or entry in connection with the delivery of or payment for healthcare benefits, items or</w:t>
      </w:r>
    </w:p>
    <w:p>
      <w:pPr>
        <w:spacing w:after="0" w:line="121" w:lineRule="exact"/>
        <w:rPr>
          <w:rFonts w:ascii="Times New Roman" w:cs="Times New Roman" w:eastAsia="Times New Roman" w:hAnsi="Times New Roman"/>
          <w:sz w:val="18"/>
          <w:szCs w:val="18"/>
          <w:color w:val="auto"/>
        </w:rPr>
      </w:pPr>
    </w:p>
    <w:p>
      <w:pPr>
        <w:ind w:left="5540" w:hanging="111"/>
        <w:spacing w:after="0"/>
        <w:tabs>
          <w:tab w:leader="none" w:pos="554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71 -</w:t>
      </w:r>
    </w:p>
    <w:p>
      <w:pPr>
        <w:sectPr>
          <w:pgSz w:w="11900" w:h="16838" w:orient="portrait"/>
          <w:cols w:equalWidth="0" w:num="1">
            <w:col w:w="11120"/>
          </w:cols>
          <w:pgMar w:left="320" w:top="455" w:right="459" w:bottom="1440" w:gutter="0" w:footer="0" w:header="0"/>
        </w:sectPr>
      </w:pPr>
    </w:p>
    <w:bookmarkStart w:id="74" w:name="page75"/>
    <w:bookmarkEnd w:id="7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420" w:right="280"/>
        <w:spacing w:after="0" w:line="282" w:lineRule="auto"/>
        <w:rPr>
          <w:sz w:val="20"/>
          <w:szCs w:val="20"/>
          <w:color w:val="auto"/>
        </w:rPr>
      </w:pPr>
      <w:r>
        <w:rPr>
          <w:rFonts w:ascii="Times New Roman" w:cs="Times New Roman" w:eastAsia="Times New Roman" w:hAnsi="Times New Roman"/>
          <w:sz w:val="18"/>
          <w:szCs w:val="18"/>
          <w:color w:val="auto"/>
        </w:rPr>
        <w:t>services. Similar to the federal healthcare Anti-Kickback Statute, a person or entity does not need to have actual knowledge of the statute or specific intent to violate it to have committed a violation;</w:t>
      </w:r>
    </w:p>
    <w:p>
      <w:pPr>
        <w:spacing w:after="0" w:line="189" w:lineRule="exact"/>
        <w:rPr>
          <w:sz w:val="20"/>
          <w:szCs w:val="20"/>
          <w:color w:val="auto"/>
        </w:rPr>
      </w:pPr>
    </w:p>
    <w:p>
      <w:pPr>
        <w:ind w:left="1420" w:right="80" w:hanging="319"/>
        <w:spacing w:after="0" w:line="255" w:lineRule="auto"/>
        <w:tabs>
          <w:tab w:leader="none" w:pos="14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as amended by the Health Information Technology for Economic and Clinical Health Act of 2009, or HITECH, and its implementing regulations, which imposes privacy, security and breach reporting obligations with respect to individually identifiable health information upon entities subject to the law, such as health plans, healthcare clearinghouses and healthcare providers and their respective business associates that perform services for them that involve individually identifiable health information. HITECH also created new tiers of civil monetary penalties, amended HIPAA to make civil and criminal penalties directly applicable to business associates, and gave state attorneys general new authority to file civil actions for damages or injunctions in U.S. federal courts to enforce the federal HIPAA laws and seek attorneys’ fees and costs associated with pursuing federal civil actions;</w:t>
      </w:r>
    </w:p>
    <w:p>
      <w:pPr>
        <w:spacing w:after="0" w:line="215" w:lineRule="exact"/>
        <w:rPr>
          <w:rFonts w:ascii="Times New Roman" w:cs="Times New Roman" w:eastAsia="Times New Roman" w:hAnsi="Times New Roman"/>
          <w:sz w:val="18"/>
          <w:szCs w:val="18"/>
          <w:color w:val="auto"/>
        </w:rPr>
      </w:pPr>
    </w:p>
    <w:p>
      <w:pPr>
        <w:ind w:left="1420" w:right="200" w:hanging="319"/>
        <w:spacing w:after="0" w:line="282" w:lineRule="auto"/>
        <w:tabs>
          <w:tab w:leader="none" w:pos="14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and state consumer protection and unfair competition laws, which broadly regulate marketplace activities and activities that potentially harm consumers;</w:t>
      </w:r>
    </w:p>
    <w:p>
      <w:pPr>
        <w:spacing w:after="0" w:line="188" w:lineRule="exact"/>
        <w:rPr>
          <w:rFonts w:ascii="Times New Roman" w:cs="Times New Roman" w:eastAsia="Times New Roman" w:hAnsi="Times New Roman"/>
          <w:sz w:val="18"/>
          <w:szCs w:val="18"/>
          <w:color w:val="auto"/>
        </w:rPr>
      </w:pPr>
    </w:p>
    <w:p>
      <w:pPr>
        <w:ind w:left="1420" w:right="180" w:hanging="319"/>
        <w:spacing w:after="0" w:line="282" w:lineRule="auto"/>
        <w:tabs>
          <w:tab w:leader="none" w:pos="14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Food, Drug and Cosmetic Act, which prohibits, among other things, the adulteration or misbranding of drugs, biologics and medical devices;</w:t>
      </w:r>
    </w:p>
    <w:p>
      <w:pPr>
        <w:spacing w:after="0" w:line="188" w:lineRule="exact"/>
        <w:rPr>
          <w:rFonts w:ascii="Times New Roman" w:cs="Times New Roman" w:eastAsia="Times New Roman" w:hAnsi="Times New Roman"/>
          <w:sz w:val="18"/>
          <w:szCs w:val="18"/>
          <w:color w:val="auto"/>
        </w:rPr>
      </w:pPr>
    </w:p>
    <w:p>
      <w:pPr>
        <w:ind w:left="1420" w:hanging="319"/>
        <w:spacing w:after="0" w:line="254" w:lineRule="auto"/>
        <w:tabs>
          <w:tab w:leader="none" w:pos="14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Physician Payments Sunshine Act, implemented as the Open Payments Program, requires, among other things, certain manufacturers of drugs, devices, biologics and medical supplies for which payment I available under Medicare, Medicaid, or the Children’s Health Insurance Program (with certain exceptions) to report annually to the Department of Health and Human Services, Centers for Medicare and Medicaid Services, information related to payments and other transfers of value provided to physicians (defined to include doctors, dentists, optometrists, podiatrist and chiropractors) and teaching hospitals, as well as physician ownership and investment interests, including such ownership and investment interests held by a physician’s immediate family members. Beginning in 2022, applicable manufacturers also will be required to report information regarding payments and transfers of value provided to physician assistants, nurse practitioners, clinical nurse specialists, certified nurse anesthetists, and certified nurse-midwives;</w:t>
      </w:r>
    </w:p>
    <w:p>
      <w:pPr>
        <w:spacing w:after="0" w:line="215" w:lineRule="exact"/>
        <w:rPr>
          <w:rFonts w:ascii="Times New Roman" w:cs="Times New Roman" w:eastAsia="Times New Roman" w:hAnsi="Times New Roman"/>
          <w:sz w:val="18"/>
          <w:szCs w:val="18"/>
          <w:color w:val="auto"/>
        </w:rPr>
      </w:pPr>
    </w:p>
    <w:p>
      <w:pPr>
        <w:ind w:left="1420" w:right="120" w:hanging="319"/>
        <w:spacing w:after="0" w:line="266" w:lineRule="auto"/>
        <w:tabs>
          <w:tab w:leader="none" w:pos="14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and foreign law equivalents of each of the above federal laws, such as anti-kickback laws, false claims laws, transparency laws and misleading advertising laws, that may impose similar or more prohibitive restrictions, and may apply to items or services reimbursed by any non-governmental third-party payors, including private insurers; and</w:t>
      </w:r>
    </w:p>
    <w:p>
      <w:pPr>
        <w:spacing w:after="0" w:line="202" w:lineRule="exact"/>
        <w:rPr>
          <w:rFonts w:ascii="Times New Roman" w:cs="Times New Roman" w:eastAsia="Times New Roman" w:hAnsi="Times New Roman"/>
          <w:sz w:val="18"/>
          <w:szCs w:val="18"/>
          <w:color w:val="auto"/>
        </w:rPr>
      </w:pPr>
    </w:p>
    <w:p>
      <w:pPr>
        <w:ind w:left="1420" w:right="40" w:hanging="319"/>
        <w:spacing w:after="0" w:line="255" w:lineRule="auto"/>
        <w:tabs>
          <w:tab w:leader="none" w:pos="14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and foreign laws that require pharmaceutical companies to implement compliance programs, comply with the pharmaceutical industry’s voluntary compliance guidelines and the relevant compliance guidance promulgated by the federal government, or to track and report gifts, compensation and other remuneration provided to physicians and other health care providers, and other federal, state and foreign laws that govern the privacy and security of health information or personally identifiable information in certain circumstances, including state health information privacy and data breach notification laws which govern the collection, use, disclosure, and protection of health-related and other personal information, many of which differ from each other in significant ways and often are not pre-empted by HIPAA, thus requiring additional compliance efforts.</w:t>
      </w:r>
    </w:p>
    <w:p>
      <w:pPr>
        <w:spacing w:after="0" w:line="189" w:lineRule="exact"/>
        <w:rPr>
          <w:sz w:val="20"/>
          <w:szCs w:val="20"/>
          <w:color w:val="auto"/>
        </w:rPr>
      </w:pPr>
    </w:p>
    <w:p>
      <w:pPr>
        <w:ind w:left="120" w:right="180" w:firstLine="881"/>
        <w:spacing w:after="0" w:line="266" w:lineRule="auto"/>
        <w:rPr>
          <w:sz w:val="20"/>
          <w:szCs w:val="20"/>
          <w:color w:val="auto"/>
        </w:rPr>
      </w:pPr>
      <w:r>
        <w:rPr>
          <w:rFonts w:ascii="Times New Roman" w:cs="Times New Roman" w:eastAsia="Times New Roman" w:hAnsi="Times New Roman"/>
          <w:sz w:val="18"/>
          <w:szCs w:val="18"/>
          <w:color w:val="auto"/>
        </w:rPr>
        <w:t>We have entered into consulting and scientific advisory board arrangements with physicians and other ECPs, including some who could influence the use of our product candidates, if approved. Because of the complex and far-reaching nature of these laws, regulatory agencies may view these transactions as prohibited arrangements that must be restructured, or discontinued, or for which we could be subject to other significant</w:t>
      </w:r>
    </w:p>
    <w:p>
      <w:pPr>
        <w:spacing w:after="0" w:line="10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060"/>
          </w:cols>
          <w:pgMar w:left="320" w:top="455" w:right="519" w:bottom="1440" w:gutter="0" w:footer="0" w:header="0"/>
        </w:sectPr>
      </w:pPr>
    </w:p>
    <w:bookmarkStart w:id="75" w:name="page76"/>
    <w:bookmarkEnd w:id="7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20"/>
        <w:spacing w:after="0" w:line="282" w:lineRule="auto"/>
        <w:rPr>
          <w:sz w:val="20"/>
          <w:szCs w:val="20"/>
          <w:color w:val="auto"/>
        </w:rPr>
      </w:pPr>
      <w:r>
        <w:rPr>
          <w:rFonts w:ascii="Times New Roman" w:cs="Times New Roman" w:eastAsia="Times New Roman" w:hAnsi="Times New Roman"/>
          <w:sz w:val="18"/>
          <w:szCs w:val="18"/>
          <w:color w:val="auto"/>
        </w:rPr>
        <w:t>penalties. We could be adversely affected if regulatory agencies interpret our financial relationships with providers who may influence the ordering of and use our product candidates, if approved, to be in violation of applicable laws.</w:t>
      </w:r>
    </w:p>
    <w:p>
      <w:pPr>
        <w:spacing w:after="0" w:line="162" w:lineRule="exact"/>
        <w:rPr>
          <w:sz w:val="20"/>
          <w:szCs w:val="20"/>
          <w:color w:val="auto"/>
        </w:rPr>
      </w:pPr>
    </w:p>
    <w:p>
      <w:pPr>
        <w:ind w:left="120" w:right="40" w:firstLine="881"/>
        <w:spacing w:after="0" w:line="256" w:lineRule="auto"/>
        <w:rPr>
          <w:sz w:val="20"/>
          <w:szCs w:val="20"/>
          <w:color w:val="auto"/>
        </w:rPr>
      </w:pPr>
      <w:r>
        <w:rPr>
          <w:rFonts w:ascii="Times New Roman" w:cs="Times New Roman" w:eastAsia="Times New Roman" w:hAnsi="Times New Roman"/>
          <w:sz w:val="18"/>
          <w:szCs w:val="18"/>
          <w:color w:val="auto"/>
        </w:rPr>
        <w:t>The scope and enforcement of each of these laws is uncertain and subject to rapid change in the current environment of healthcare reform. Various state and federal regulatory and enforcement agencies continue actively to investigate violations of health care laws and regulations, and the United States Congress continues to strengthen the arsenal of enforcement tools. The BBA of 2018 increased the criminal and civil penalties that can be imposed for violating certain federal health care laws, including the Anti-Kickback Statute. Responding to investigations can be time-and resource-consuming and can divert management’s attention from the business. Any such investigation or settlement could increase our costs or otherwise have an adverse effect on our business.</w:t>
      </w:r>
    </w:p>
    <w:p>
      <w:pPr>
        <w:spacing w:after="0" w:line="187" w:lineRule="exact"/>
        <w:rPr>
          <w:sz w:val="20"/>
          <w:szCs w:val="20"/>
          <w:color w:val="auto"/>
        </w:rPr>
      </w:pPr>
    </w:p>
    <w:p>
      <w:pPr>
        <w:ind w:left="120" w:right="280" w:firstLine="881"/>
        <w:spacing w:after="0" w:line="254" w:lineRule="auto"/>
        <w:rPr>
          <w:sz w:val="20"/>
          <w:szCs w:val="20"/>
          <w:color w:val="auto"/>
        </w:rPr>
      </w:pPr>
      <w:r>
        <w:rPr>
          <w:rFonts w:ascii="Times New Roman" w:cs="Times New Roman" w:eastAsia="Times New Roman" w:hAnsi="Times New Roman"/>
          <w:sz w:val="18"/>
          <w:szCs w:val="18"/>
          <w:color w:val="auto"/>
        </w:rPr>
        <w:t>Efforts to ensure that our collaborations or business arrangements with third parties, and our business generally, comply with applicable healthcare laws and regulations will likely be costly.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current or future governmental laws and regulations that may apply to us, we may be subject to significant civil, criminal and administrative penalties, damages, fines, disgorgement, individual imprisonment, exclusion from government funded healthcare programs, such as Medicare and Medicaid, contractual damages, reputational harm, diminished profits and future earnings, additional reporting obligations and oversight if we become subject to a corporate integrity agreement or other agreement to resolve allegations of non-compliance with these laws, and the curtailment or restructuring of our operations, any of which could substantially disrupt our operations.</w:t>
      </w:r>
    </w:p>
    <w:p>
      <w:pPr>
        <w:spacing w:after="0" w:line="184" w:lineRule="exact"/>
        <w:rPr>
          <w:sz w:val="20"/>
          <w:szCs w:val="20"/>
          <w:color w:val="auto"/>
        </w:rPr>
      </w:pPr>
    </w:p>
    <w:p>
      <w:pPr>
        <w:ind w:left="120"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Inadequate funding for the FDA and other government agencies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175" w:lineRule="exact"/>
        <w:rPr>
          <w:sz w:val="20"/>
          <w:szCs w:val="20"/>
          <w:color w:val="auto"/>
        </w:rPr>
      </w:pPr>
    </w:p>
    <w:p>
      <w:pPr>
        <w:ind w:left="120" w:right="20" w:firstLine="881"/>
        <w:spacing w:after="0" w:line="258" w:lineRule="auto"/>
        <w:rPr>
          <w:sz w:val="20"/>
          <w:szCs w:val="20"/>
          <w:color w:val="auto"/>
        </w:rPr>
      </w:pPr>
      <w:r>
        <w:rPr>
          <w:rFonts w:ascii="Times New Roman" w:cs="Times New Roman" w:eastAsia="Times New Roman" w:hAnsi="Times New Roman"/>
          <w:sz w:val="18"/>
          <w:szCs w:val="18"/>
          <w:color w:val="auto"/>
        </w:rPr>
        <w:t>The ability of the FDA to review and approve new products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w:t>
      </w:r>
    </w:p>
    <w:p>
      <w:pPr>
        <w:spacing w:after="0" w:line="183" w:lineRule="exact"/>
        <w:rPr>
          <w:sz w:val="20"/>
          <w:szCs w:val="20"/>
          <w:color w:val="auto"/>
        </w:rPr>
      </w:pPr>
    </w:p>
    <w:p>
      <w:pPr>
        <w:ind w:left="120" w:firstLine="881"/>
        <w:spacing w:after="0" w:line="258" w:lineRule="auto"/>
        <w:rPr>
          <w:sz w:val="20"/>
          <w:szCs w:val="20"/>
          <w:color w:val="auto"/>
        </w:rPr>
      </w:pPr>
      <w:r>
        <w:rPr>
          <w:rFonts w:ascii="Times New Roman" w:cs="Times New Roman" w:eastAsia="Times New Roman" w:hAnsi="Times New Roman"/>
          <w:sz w:val="18"/>
          <w:szCs w:val="18"/>
          <w:color w:val="auto"/>
        </w:rPr>
        <w:t>Disruptions at the FDA and other agencies may also slow the time necessary for new products to be reviewed and/or approved by necessary government agencies, which would adversely affect our business. If a prolonged government shutdown occurs, it could significantly impact the ability of the FDA to timely review and process our regulatory submissions, which could have a material adverse effect on our business. Further, in our operations as a public company, future government shutdowns could impact our ability to access the public markets and obtain necessary capital in order to properly capitalize and continue our operations.</w:t>
      </w:r>
    </w:p>
    <w:p>
      <w:pPr>
        <w:spacing w:after="0" w:line="1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certain U.S. and foreign anti-corruption, anti-money laundering, export control, sanctions, and other trade laws and regulations.</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can face serious consequences for violations.</w:t>
      </w:r>
    </w:p>
    <w:p>
      <w:pPr>
        <w:spacing w:after="0" w:line="207" w:lineRule="exact"/>
        <w:rPr>
          <w:sz w:val="20"/>
          <w:szCs w:val="20"/>
          <w:color w:val="auto"/>
        </w:rPr>
      </w:pPr>
    </w:p>
    <w:p>
      <w:pPr>
        <w:ind w:left="120" w:right="120" w:firstLine="881"/>
        <w:spacing w:after="0" w:line="261" w:lineRule="auto"/>
        <w:rPr>
          <w:sz w:val="20"/>
          <w:szCs w:val="20"/>
          <w:color w:val="auto"/>
        </w:rPr>
      </w:pPr>
      <w:r>
        <w:rPr>
          <w:rFonts w:ascii="Times New Roman" w:cs="Times New Roman" w:eastAsia="Times New Roman" w:hAnsi="Times New Roman"/>
          <w:sz w:val="18"/>
          <w:szCs w:val="18"/>
          <w:color w:val="auto"/>
        </w:rPr>
        <w:t>U.S. and foreign anti-corruption, anti-money laundering, export control, sanctions, and other trade laws and regulations, which we collectively refer to as Trade Laws, prohibit, among other things, companies and their employees, agents, clinical research organizations, legal counsel, accountants, consultants, contractors, and other partners from authorizing, promising, offering, providing, soliciting, or receiving directly or indirectly, corrupt or improper payments or anything else of value to or from recipients in the public or private sector. Violations of</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120"/>
          </w:cols>
          <w:pgMar w:left="320" w:top="455" w:right="459" w:bottom="1440" w:gutter="0" w:footer="0" w:header="0"/>
        </w:sectPr>
      </w:pPr>
    </w:p>
    <w:bookmarkStart w:id="76" w:name="page77"/>
    <w:bookmarkEnd w:id="7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56" w:lineRule="auto"/>
        <w:rPr>
          <w:sz w:val="20"/>
          <w:szCs w:val="20"/>
          <w:color w:val="auto"/>
        </w:rPr>
      </w:pPr>
      <w:r>
        <w:rPr>
          <w:rFonts w:ascii="Times New Roman" w:cs="Times New Roman" w:eastAsia="Times New Roman" w:hAnsi="Times New Roman"/>
          <w:sz w:val="18"/>
          <w:szCs w:val="18"/>
          <w:color w:val="auto"/>
        </w:rPr>
        <w:t>Trade Laws can result in substantial criminal fines and civil penalties, imprisonment, the loss of trade privileges, debarment, tax reassessments, breach of contract and fraud litigation, reputational harm, and other consequences. We have direct or indirect interactions with officials and employees of government agencies or government-affiliated hospitals, universities, and other organizations. We also expect our non-U.S. activities to increase over time. We expect to rely on third parties for research, preclinical studies, and clinical trials and/or to obtain necessary permits, licenses, patent registrations, and other marketing approvals. We can be held liable for the corrupt or other illegal activities of our personnel, agents, or partners, even if we do not explicitly authorize or have prior knowledge of such activities.</w:t>
      </w:r>
    </w:p>
    <w:p>
      <w:pPr>
        <w:spacing w:after="0" w:line="183" w:lineRule="exact"/>
        <w:rPr>
          <w:sz w:val="20"/>
          <w:szCs w:val="20"/>
          <w:color w:val="auto"/>
        </w:rPr>
      </w:pPr>
    </w:p>
    <w:p>
      <w:pPr>
        <w:ind w:lef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Even if we receive marketing approval for a product candidate, we will be subject to ongoing regulatory obligations and continued regulatory review, which may result in significant additional expense and subject us to restrictions, withdrawal from the market, or penalties if we fail to comply with applicable regulatory requirements or if we experience unanticipated problems with our product candidates, when and if approved.</w:t>
      </w:r>
    </w:p>
    <w:p>
      <w:pPr>
        <w:spacing w:after="0" w:line="175" w:lineRule="exact"/>
        <w:rPr>
          <w:sz w:val="20"/>
          <w:szCs w:val="20"/>
          <w:color w:val="auto"/>
        </w:rPr>
      </w:pPr>
    </w:p>
    <w:p>
      <w:pPr>
        <w:ind w:left="120" w:right="40" w:firstLine="881"/>
        <w:spacing w:after="0" w:line="253" w:lineRule="auto"/>
        <w:rPr>
          <w:sz w:val="20"/>
          <w:szCs w:val="20"/>
          <w:color w:val="auto"/>
        </w:rPr>
      </w:pPr>
      <w:r>
        <w:rPr>
          <w:rFonts w:ascii="Times New Roman" w:cs="Times New Roman" w:eastAsia="Times New Roman" w:hAnsi="Times New Roman"/>
          <w:sz w:val="18"/>
          <w:szCs w:val="18"/>
          <w:color w:val="auto"/>
        </w:rPr>
        <w:t>Obtaining coverage and reimbursement approval for a product from a government or other third-party payor is a time-consuming and costly process that could require us to provide supporting scientific, clinical and cost effectiveness data for the use of our products to the payor. There may be significant delays in obtaining such coverage and reimbursement for newly approved products, and coverage may be more limited than the purposes for which the product is approved by the FDA or comparable foreign regulatory authorities. Moreover, eligibility for coverage and reimbursement does not imply that a product will be paid for in all cases or at a rate that covers our costs, including research, development, intellectual property, manufacture, sale and distribution expenses. Interim reimbursement levels for new products, if applicable, may also not be sufficient to cover our costs and may not be made permanent. Reimbursement rates may vary according to the use of the product and the clinical setting in which it is used, may be based on reimbursement levels already set for lower cost products and may be incorporated into existing payments for other services. Net prices for products may be reduced by mandatory discounts or rebates required by government healthcare programs or private payors, by any future laws limiting drug prices and by any future relaxation of laws that presently restrict imports of product from countries where they may be sold at lower prices than in the United States.</w:t>
      </w:r>
    </w:p>
    <w:p>
      <w:pPr>
        <w:spacing w:after="0" w:line="192" w:lineRule="exact"/>
        <w:rPr>
          <w:sz w:val="20"/>
          <w:szCs w:val="20"/>
          <w:color w:val="auto"/>
        </w:rPr>
      </w:pPr>
    </w:p>
    <w:p>
      <w:pPr>
        <w:jc w:val="both"/>
        <w:ind w:left="120" w:right="120" w:firstLine="881"/>
        <w:spacing w:after="0" w:line="266" w:lineRule="auto"/>
        <w:rPr>
          <w:sz w:val="20"/>
          <w:szCs w:val="20"/>
          <w:color w:val="auto"/>
        </w:rPr>
      </w:pPr>
      <w:r>
        <w:rPr>
          <w:rFonts w:ascii="Times New Roman" w:cs="Times New Roman" w:eastAsia="Times New Roman" w:hAnsi="Times New Roman"/>
          <w:sz w:val="18"/>
          <w:szCs w:val="18"/>
          <w:color w:val="auto"/>
        </w:rPr>
        <w:t>There is significant uncertainty related to the insurance coverage and reimbursement of newly approved products. Third-party payors often rely upon Medicare coverage policy and payment limitations in setting reimbursement policies, but also have their own methods and approval process apart from Medicare coverage and reimbursement determinations.</w:t>
      </w:r>
    </w:p>
    <w:p>
      <w:pPr>
        <w:spacing w:after="0" w:line="176" w:lineRule="exact"/>
        <w:rPr>
          <w:sz w:val="20"/>
          <w:szCs w:val="20"/>
          <w:color w:val="auto"/>
        </w:rPr>
      </w:pPr>
    </w:p>
    <w:p>
      <w:pPr>
        <w:jc w:val="both"/>
        <w:ind w:left="120" w:right="140" w:firstLine="881"/>
        <w:spacing w:after="0" w:line="282" w:lineRule="auto"/>
        <w:rPr>
          <w:sz w:val="20"/>
          <w:szCs w:val="20"/>
          <w:color w:val="auto"/>
        </w:rPr>
      </w:pPr>
      <w:r>
        <w:rPr>
          <w:rFonts w:ascii="Times New Roman" w:cs="Times New Roman" w:eastAsia="Times New Roman" w:hAnsi="Times New Roman"/>
          <w:sz w:val="18"/>
          <w:szCs w:val="18"/>
          <w:color w:val="auto"/>
        </w:rPr>
        <w:t>Coverage and reimbursement by a third-party payor may depend upon a number of factors, including the third-party payor’s determination that use of a product is:</w:t>
      </w:r>
    </w:p>
    <w:p>
      <w:pPr>
        <w:spacing w:after="0" w:line="189" w:lineRule="exact"/>
        <w:rPr>
          <w:sz w:val="20"/>
          <w:szCs w:val="20"/>
          <w:color w:val="auto"/>
        </w:rPr>
      </w:pPr>
    </w:p>
    <w:p>
      <w:pPr>
        <w:ind w:left="1420" w:hanging="319"/>
        <w:spacing w:after="0"/>
        <w:tabs>
          <w:tab w:leader="none" w:pos="14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benefit under its health plan;</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 effective and medically necessary;</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appropriate for the specific patient;</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cost-effective; and</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experimental nor investigational.</w:t>
      </w:r>
    </w:p>
    <w:p>
      <w:pPr>
        <w:spacing w:after="0" w:line="225" w:lineRule="exact"/>
        <w:rPr>
          <w:sz w:val="20"/>
          <w:szCs w:val="20"/>
          <w:color w:val="auto"/>
        </w:rPr>
      </w:pPr>
    </w:p>
    <w:p>
      <w:pPr>
        <w:ind w:left="120" w:right="20" w:firstLine="881"/>
        <w:spacing w:after="0" w:line="258" w:lineRule="auto"/>
        <w:rPr>
          <w:sz w:val="20"/>
          <w:szCs w:val="20"/>
          <w:color w:val="auto"/>
        </w:rPr>
      </w:pPr>
      <w:r>
        <w:rPr>
          <w:rFonts w:ascii="Times New Roman" w:cs="Times New Roman" w:eastAsia="Times New Roman" w:hAnsi="Times New Roman"/>
          <w:sz w:val="18"/>
          <w:szCs w:val="18"/>
          <w:color w:val="auto"/>
        </w:rPr>
        <w:t>We cannot be sure that reimbursement will be available for any product that we commercialize and, if coverage and reimbursement are available, what the level of reimbursement will be. Obtaining reimbursement for our products may be particularly difficult because of the higher prices often associated with branded therapeutics and therapeutics administered under the supervision of a physician. Our inability to promptly obtain coverage and adequate reimbursement rates from both government-funded and private payors for any approved products that we develop could have a material adverse effect on our operating results, our ability to raise capital needed to commercialize products and our overall financial condition.</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120"/>
          </w:cols>
          <w:pgMar w:left="320" w:top="455" w:right="459" w:bottom="1440" w:gutter="0" w:footer="0" w:header="0"/>
        </w:sectPr>
      </w:pPr>
    </w:p>
    <w:bookmarkStart w:id="77" w:name="page78"/>
    <w:bookmarkEnd w:id="7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881"/>
        <w:spacing w:after="0" w:line="255" w:lineRule="auto"/>
        <w:rPr>
          <w:sz w:val="20"/>
          <w:szCs w:val="20"/>
          <w:color w:val="auto"/>
        </w:rPr>
      </w:pPr>
      <w:r>
        <w:rPr>
          <w:rFonts w:ascii="Times New Roman" w:cs="Times New Roman" w:eastAsia="Times New Roman" w:hAnsi="Times New Roman"/>
          <w:sz w:val="18"/>
          <w:szCs w:val="18"/>
          <w:color w:val="auto"/>
        </w:rPr>
        <w:t>Reimbursement may impact the demand for, and the price of, any product for which we obtain marketing approval. Assuming we obtain coverage for a given product by a third-party payor, the resulting reimbursement payment rates may not be adequate or may require co-payments that patients find unacceptably high. Patients who are prescribed medications for the treatment of their conditions, and their prescribing physicians, generally rely on third-party payors to reimburse all or part of the costs associated with those medications. Patients are unlikely to use our products unless coverage is provided and reimbursement is adequate to cover all or a significant portion of the cost of our products. Therefore, coverage and adequate reimbursement is critical to new product acceptance. Coverage decisions may depend upon clinical and economic standards that disfavor new products when more established or lower cost therapeutic alternatives are already available or subsequently become available.</w:t>
      </w:r>
    </w:p>
    <w:p>
      <w:pPr>
        <w:spacing w:after="0" w:line="189" w:lineRule="exact"/>
        <w:rPr>
          <w:sz w:val="20"/>
          <w:szCs w:val="20"/>
          <w:color w:val="auto"/>
        </w:rPr>
      </w:pPr>
    </w:p>
    <w:p>
      <w:pPr>
        <w:ind w:left="120" w:right="20" w:firstLine="881"/>
        <w:spacing w:after="0" w:line="256" w:lineRule="auto"/>
        <w:rPr>
          <w:sz w:val="20"/>
          <w:szCs w:val="20"/>
          <w:color w:val="auto"/>
        </w:rPr>
      </w:pPr>
      <w:r>
        <w:rPr>
          <w:rFonts w:ascii="Times New Roman" w:cs="Times New Roman" w:eastAsia="Times New Roman" w:hAnsi="Times New Roman"/>
          <w:sz w:val="18"/>
          <w:szCs w:val="18"/>
          <w:color w:val="auto"/>
        </w:rPr>
        <w:t>We expect to experience pricing pressures in connection with the sale of any of our product candidates due to the trend toward managed healthcare, the increasing influence of health maintenance organizations, and additional legislative changes. The downward pressure on healthcare costs in general, particularly prescription medicines, medical devices and surgical procedures and other treatments, has become very intense. As a result, increasingly high barriers are being erected to the successful commercialization of new products. Further, the adoption and implementation of any future governmental cost containment or other health reform initiative may result in additional downward pressure on the price that we may receive for any approved product.</w:t>
      </w:r>
    </w:p>
    <w:p>
      <w:pPr>
        <w:spacing w:after="0" w:line="187" w:lineRule="exact"/>
        <w:rPr>
          <w:sz w:val="20"/>
          <w:szCs w:val="20"/>
          <w:color w:val="auto"/>
        </w:rPr>
      </w:pPr>
    </w:p>
    <w:p>
      <w:pPr>
        <w:ind w:left="120" w:right="40" w:firstLine="881"/>
        <w:spacing w:after="0" w:line="254" w:lineRule="auto"/>
        <w:rPr>
          <w:sz w:val="20"/>
          <w:szCs w:val="20"/>
          <w:color w:val="auto"/>
        </w:rPr>
      </w:pPr>
      <w:r>
        <w:rPr>
          <w:rFonts w:ascii="Times New Roman" w:cs="Times New Roman" w:eastAsia="Times New Roman" w:hAnsi="Times New Roman"/>
          <w:sz w:val="18"/>
          <w:szCs w:val="18"/>
          <w:color w:val="auto"/>
        </w:rPr>
        <w:t>Outside of the United States, many countries require approval of the sale price of a product before it can be marketed and the pricing review period only begins after marketing or product licensing approval is granted. To obtain reimbursement or pricing approval in some of these countries, we may be required to conduct a clinical trial that compares the cost-effectiveness of our product candidate to other available therapies. In some foreign markets, prescription pharmaceutical pricing remains subject to continuing governmental control even after initial approval is granted. As a result, we might obtain marketing approval for a product candidate in a particular country, but then be subject to price regulations that delay our commercial launch of the product, possibly for lengthy time periods, and negatively impact the revenue, if any, we are able to generate from the sale of the product in that country. Adverse pricing limitations may hinder our ability to recoup our investment in one or more product candidates, even if such product candidates obtain marketing approval.</w:t>
      </w:r>
    </w:p>
    <w:p>
      <w:pPr>
        <w:spacing w:after="0" w:line="188" w:lineRule="exact"/>
        <w:rPr>
          <w:sz w:val="20"/>
          <w:szCs w:val="20"/>
          <w:color w:val="auto"/>
        </w:rPr>
      </w:pPr>
    </w:p>
    <w:p>
      <w:pPr>
        <w:ind w:lef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Failure to comply with health and data protection laws and regulations could lead to government enforcement actions (which could include civil or criminal penalties), significant fines, private litigation, and/or adverse publicity and could negatively affect our financial condition, operating results and business.</w:t>
      </w:r>
    </w:p>
    <w:p>
      <w:pPr>
        <w:spacing w:after="0" w:line="175" w:lineRule="exact"/>
        <w:rPr>
          <w:sz w:val="20"/>
          <w:szCs w:val="20"/>
          <w:color w:val="auto"/>
        </w:rPr>
      </w:pPr>
    </w:p>
    <w:p>
      <w:pPr>
        <w:ind w:left="120" w:right="20" w:firstLine="881"/>
        <w:spacing w:after="0" w:line="254" w:lineRule="auto"/>
        <w:rPr>
          <w:sz w:val="20"/>
          <w:szCs w:val="20"/>
          <w:color w:val="auto"/>
        </w:rPr>
      </w:pPr>
      <w:r>
        <w:rPr>
          <w:rFonts w:ascii="Times New Roman" w:cs="Times New Roman" w:eastAsia="Times New Roman" w:hAnsi="Times New Roman"/>
          <w:sz w:val="18"/>
          <w:szCs w:val="18"/>
          <w:color w:val="auto"/>
        </w:rPr>
        <w:t>We and any potential collaborators may be subject to federal, state, and foreign data protection laws and regulations (i.e., laws and regulations that address privacy and data security). In the United States, numerous federal and state laws and regulations, including federal health information privacy laws, state data breach notification laws, state health information privacy laws, and federal and state consumer protection laws (e.g., Section 5 of the FTC Act), that govern the collection, use, disclosure, and protection of health-related and other personal information could apply to our operations or the operations of our collaborators. In addition, we may obtain health information from third parties (including research institutions from which we obtain clinical trial data) that are subject to privacy and security requirements under HIPAA as amended by HITECH. Depending on the facts and circumstances, we could be subject to criminal penalties if we knowingly obtain, use, or disclose individually identifiable health information maintained by a HIPAA-covered entity in a manner that is not authorized or permitted by HIPAA.</w:t>
      </w:r>
    </w:p>
    <w:p>
      <w:pPr>
        <w:spacing w:after="0" w:line="192" w:lineRule="exact"/>
        <w:rPr>
          <w:sz w:val="20"/>
          <w:szCs w:val="20"/>
          <w:color w:val="auto"/>
        </w:rPr>
      </w:pPr>
    </w:p>
    <w:p>
      <w:pPr>
        <w:ind w:left="120" w:right="140" w:firstLine="881"/>
        <w:spacing w:after="0" w:line="258" w:lineRule="auto"/>
        <w:rPr>
          <w:sz w:val="20"/>
          <w:szCs w:val="20"/>
          <w:color w:val="auto"/>
        </w:rPr>
      </w:pPr>
      <w:r>
        <w:rPr>
          <w:rFonts w:ascii="Times New Roman" w:cs="Times New Roman" w:eastAsia="Times New Roman" w:hAnsi="Times New Roman"/>
          <w:sz w:val="18"/>
          <w:szCs w:val="18"/>
          <w:color w:val="auto"/>
        </w:rPr>
        <w:t>Furthermore, states are constantly adopting new laws or amending existing laws, requiring attention to frequently changing regulatory requirements. For example, California has enacted the California Consumer Privacy Act, or the CCPA, which came into effect on January 1, 2020. The CCPA gives California residents expanded rights to access and delete their personal information, opt out of certain personal information sharing and receive detailed information about how their personal information is used, by requiring covered companies to provide new disclosures to California consumers (as that term is broadly defined) and provide such consumers</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120"/>
          </w:cols>
          <w:pgMar w:left="320" w:top="455" w:right="459" w:bottom="1440" w:gutter="0" w:footer="0" w:header="0"/>
        </w:sectPr>
      </w:pPr>
    </w:p>
    <w:bookmarkStart w:id="78" w:name="page79"/>
    <w:bookmarkEnd w:id="7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new ways to opt-out of certain sales of personal information. The California Attorney General may seek substantial monetary penalties and injunctive relief in the event of our non-compliance with the CCPA. The CCPA also provides a private right of action (with the potential for class actions) for certain data breaches that is expected to increase data breach litigation. The CCPA may increase our compliance costs and potential liability, and similar laws have been proposed at the federal level and in other states.</w:t>
      </w:r>
    </w:p>
    <w:p>
      <w:pPr>
        <w:spacing w:after="0" w:line="180" w:lineRule="exact"/>
        <w:rPr>
          <w:sz w:val="20"/>
          <w:szCs w:val="20"/>
          <w:color w:val="auto"/>
        </w:rPr>
      </w:pPr>
    </w:p>
    <w:p>
      <w:pPr>
        <w:ind w:left="120" w:right="20" w:firstLine="881"/>
        <w:spacing w:after="0" w:line="252" w:lineRule="auto"/>
        <w:rPr>
          <w:sz w:val="20"/>
          <w:szCs w:val="20"/>
          <w:color w:val="auto"/>
        </w:rPr>
      </w:pPr>
      <w:r>
        <w:rPr>
          <w:rFonts w:ascii="Times New Roman" w:cs="Times New Roman" w:eastAsia="Times New Roman" w:hAnsi="Times New Roman"/>
          <w:sz w:val="18"/>
          <w:szCs w:val="18"/>
          <w:color w:val="auto"/>
        </w:rPr>
        <w:t xml:space="preserve">International data protection laws, including the EU General Data Protection Regulation, or GDPR, may also apply to health-related and other personal information obtained outside of the United States. The GDPR extends the geographical scope of EU data protection law to non-EU entities under certain conditions, tightens existing EU data protection principles, creates new obligations for companies and new rights for individuals. Failure to comply with the GDPR may result in substantial fines and other administrative penalties. The GDPR may increase our responsibility and liability in relation to personal data that we process and we may be required to put in place additional mechanisms to ensure compliance with the GDPR. This may be onerous and if our efforts to comply with the GDPR or other applicable EU laws and regulations are not successful, it could adversely affect our business. The GDPR prohibits the transfer of personal data to countries outside of the European Economic Area, or EEA, such as the United States, which are not considered by the European Commission to provide an adequate level of data protection. Switzerland has adopted similar restrictions. Although there are legal mechanisms to allow for the transfer of personal data from the EEA and Switzerland to the United States, uncertainty about compliance with EU data protection laws remains and data protection authorities from the different EU Member States may interpret the GDPR differently, and guidance on implementation and compliance practices are often updated or otherwise revised, which adds to the complexity of processing personal data in the European Union. In particular, on July 16, 2020, the Court of Justice of the European Union, in the case of </w:t>
      </w:r>
      <w:r>
        <w:rPr>
          <w:rFonts w:ascii="Times New Roman" w:cs="Times New Roman" w:eastAsia="Times New Roman" w:hAnsi="Times New Roman"/>
          <w:sz w:val="18"/>
          <w:szCs w:val="18"/>
          <w:i w:val="1"/>
          <w:iCs w:val="1"/>
          <w:color w:val="auto"/>
        </w:rPr>
        <w:t>Data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Protection Commissioner v. Facebook Ireland Limited, Maximillian Schrems </w:t>
      </w:r>
      <w:r>
        <w:rPr>
          <w:rFonts w:ascii="Times New Roman" w:cs="Times New Roman" w:eastAsia="Times New Roman" w:hAnsi="Times New Roman"/>
          <w:sz w:val="18"/>
          <w:szCs w:val="18"/>
          <w:color w:val="auto"/>
        </w:rPr>
        <w:t>(Case C-311/18), or</w:t>
      </w:r>
      <w:r>
        <w:rPr>
          <w:rFonts w:ascii="Times New Roman" w:cs="Times New Roman" w:eastAsia="Times New Roman" w:hAnsi="Times New Roman"/>
          <w:sz w:val="18"/>
          <w:szCs w:val="18"/>
          <w:i w:val="1"/>
          <w:iCs w:val="1"/>
          <w:color w:val="auto"/>
        </w:rPr>
        <w:t xml:space="preserve"> Schrems II</w:t>
      </w:r>
      <w:r>
        <w:rPr>
          <w:rFonts w:ascii="Times New Roman" w:cs="Times New Roman" w:eastAsia="Times New Roman" w:hAnsi="Times New Roman"/>
          <w:sz w:val="18"/>
          <w:szCs w:val="18"/>
          <w:color w:val="auto"/>
        </w:rPr>
        <w:t>, invalidated the EU-U.S. Privacy Shield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Program for transfers of personal data from the EU to the United States, and added further uncertainty and complexity to the use of the Standard Contractual Clauses as a compliance mechanism for transfers of personal data outside the EU.</w:t>
      </w:r>
    </w:p>
    <w:p>
      <w:pPr>
        <w:spacing w:after="0" w:line="196" w:lineRule="exact"/>
        <w:rPr>
          <w:sz w:val="20"/>
          <w:szCs w:val="20"/>
          <w:color w:val="auto"/>
        </w:rPr>
      </w:pPr>
    </w:p>
    <w:p>
      <w:pPr>
        <w:ind w:left="120" w:right="40" w:firstLine="881"/>
        <w:spacing w:after="0" w:line="254" w:lineRule="auto"/>
        <w:rPr>
          <w:sz w:val="20"/>
          <w:szCs w:val="20"/>
          <w:color w:val="auto"/>
        </w:rPr>
      </w:pPr>
      <w:r>
        <w:rPr>
          <w:rFonts w:ascii="Times New Roman" w:cs="Times New Roman" w:eastAsia="Times New Roman" w:hAnsi="Times New Roman"/>
          <w:sz w:val="18"/>
          <w:szCs w:val="18"/>
          <w:color w:val="auto"/>
        </w:rPr>
        <w:t>In addition, the United Kingdom leaving the EU could also lead to further legislative and regulatory changes. It remains unclear how the United Kingdom data protection laws or regulations will develop in the medium to longer term and how data transfers from the EEA to the United Kingdom will be regulated, especially following the United Kingdom’s departure from the EU on January 31, 2020 without a deal. However, the United Kingdom has transposed the GDPR into domestic law with the Data Protection Act 2018, which remains in force following the United Kingdom’s departure from the EU. During the period of “transition” (i.e., until December 31, 2020), EU law will continue to apply in the UK, including the GDPR, after which the GDPR will be converted into UK law. Beginning in 2021, the UK will be a “third country” under the GDPR. We may incur liabilities, expenses, costs, and other operational losses under GDPR and applicable EU Member States and the United Kingdom privacy laws in connection with any measures we take to comply with them.</w:t>
      </w:r>
    </w:p>
    <w:p>
      <w:pPr>
        <w:spacing w:after="0" w:line="192" w:lineRule="exact"/>
        <w:rPr>
          <w:sz w:val="20"/>
          <w:szCs w:val="20"/>
          <w:color w:val="auto"/>
        </w:rPr>
      </w:pPr>
    </w:p>
    <w:p>
      <w:pPr>
        <w:ind w:left="120" w:firstLine="881"/>
        <w:spacing w:after="0" w:line="253" w:lineRule="auto"/>
        <w:rPr>
          <w:sz w:val="20"/>
          <w:szCs w:val="20"/>
          <w:color w:val="auto"/>
        </w:rPr>
      </w:pPr>
      <w:r>
        <w:rPr>
          <w:rFonts w:ascii="Times New Roman" w:cs="Times New Roman" w:eastAsia="Times New Roman" w:hAnsi="Times New Roman"/>
          <w:sz w:val="18"/>
          <w:szCs w:val="18"/>
          <w:color w:val="auto"/>
        </w:rPr>
        <w:t>Failure to comply with U.S. and international data protection laws and regulations could result in government enforcement actions (which could include civil or criminal penalties), significant fines, private litigation, and/or adverse publicity and could negatively affect our financial condition, operating results and business. Moreover, clinical trial subjects about whom we or our potential collaborators obtain information, as well as the providers who share this information with us, may contractually limit our ability to use and disclose the information. Claims that we have violated individuals’ privacy rights, failed to comply with data protection laws, or breached our contractual obligations, even if we are not found liable, could be expensive and time-consuming to defend and could result in adverse publicity that could harm our business. We cannot assure you that our third-party service providers with access to our or our customers’, suppliers’, trial patients’ and employees’ personally identifiable and other sensitive or confidential information in relation to which we are responsible will not breach contractual obligations imposed by us, or that they will not experience data security breaches or attempts thereof, which could have a corresponding effect on our business, including putting us in breach of our obligations under privacy laws and regulations and/or which could in turn adversely affect our business, results of operations and financial condition. We cannot assure you that our contractual measures and</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120"/>
          </w:cols>
          <w:pgMar w:left="320" w:top="455" w:right="459" w:bottom="1440" w:gutter="0" w:footer="0" w:header="0"/>
        </w:sectPr>
      </w:pPr>
    </w:p>
    <w:bookmarkStart w:id="79" w:name="page80"/>
    <w:bookmarkEnd w:id="7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80"/>
        <w:spacing w:after="0" w:line="282" w:lineRule="auto"/>
        <w:rPr>
          <w:sz w:val="20"/>
          <w:szCs w:val="20"/>
          <w:color w:val="auto"/>
        </w:rPr>
      </w:pPr>
      <w:r>
        <w:rPr>
          <w:rFonts w:ascii="Times New Roman" w:cs="Times New Roman" w:eastAsia="Times New Roman" w:hAnsi="Times New Roman"/>
          <w:sz w:val="18"/>
          <w:szCs w:val="18"/>
          <w:color w:val="auto"/>
        </w:rPr>
        <w:t>our own privacy and security- related safeguards will protect us from the risks associated with the third-party processing, storage and transmission of such information. Furthermore, the laws are not consistent, and compliance in the event of a widespread data breach is costly.</w:t>
      </w:r>
    </w:p>
    <w:p>
      <w:pPr>
        <w:spacing w:after="0" w:line="158" w:lineRule="exact"/>
        <w:rPr>
          <w:sz w:val="20"/>
          <w:szCs w:val="20"/>
          <w:color w:val="auto"/>
        </w:rPr>
      </w:pPr>
    </w:p>
    <w:p>
      <w:pPr>
        <w:ind w:left="120" w:right="100"/>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If we are able to successfully commercialize any of our products and if we participate in the Medicaid Drug Rebate Program or other governmental pricing programs, failure to comply with obligations under these programs could result in additional reimbursement requirements, penalties, sanctions and fines which could have a material adverse effect on our business, financial condition, results of operations and growth prospects.</w:t>
      </w:r>
    </w:p>
    <w:p>
      <w:pPr>
        <w:spacing w:after="0" w:line="157" w:lineRule="exact"/>
        <w:rPr>
          <w:sz w:val="20"/>
          <w:szCs w:val="20"/>
          <w:color w:val="auto"/>
        </w:rPr>
      </w:pPr>
    </w:p>
    <w:p>
      <w:pPr>
        <w:ind w:left="120" w:right="20" w:firstLine="881"/>
        <w:spacing w:after="0" w:line="258" w:lineRule="auto"/>
        <w:rPr>
          <w:sz w:val="20"/>
          <w:szCs w:val="20"/>
          <w:color w:val="auto"/>
        </w:rPr>
      </w:pPr>
      <w:r>
        <w:rPr>
          <w:rFonts w:ascii="Times New Roman" w:cs="Times New Roman" w:eastAsia="Times New Roman" w:hAnsi="Times New Roman"/>
          <w:sz w:val="18"/>
          <w:szCs w:val="18"/>
          <w:color w:val="auto"/>
        </w:rPr>
        <w:t>If we successfully commercialize any of our product candidates, we may participate in the Medicaid Drug Rebate Program. Participation is required for federal funds to be available for our covered outpatient drugs under Medicaid and, if applicable, Medicare Part B. Under the Medicaid Drug Rebate Program, we would be required to pay a rebate to each state Medicaid program for our covered outpatient drugs that are dispensed to Medicaid beneficiaries and paid for by a state Medicaid program as a condition of having federal funds being made available to the states for our drugs under Medicaid and, if applicable, Part B of the Medicare program.</w:t>
      </w:r>
    </w:p>
    <w:p>
      <w:pPr>
        <w:spacing w:after="0" w:line="183" w:lineRule="exact"/>
        <w:rPr>
          <w:sz w:val="20"/>
          <w:szCs w:val="20"/>
          <w:color w:val="auto"/>
        </w:rPr>
      </w:pPr>
    </w:p>
    <w:p>
      <w:pPr>
        <w:ind w:left="120" w:firstLine="881"/>
        <w:spacing w:after="0" w:line="258" w:lineRule="auto"/>
        <w:rPr>
          <w:sz w:val="20"/>
          <w:szCs w:val="20"/>
          <w:color w:val="auto"/>
        </w:rPr>
      </w:pPr>
      <w:r>
        <w:rPr>
          <w:rFonts w:ascii="Times New Roman" w:cs="Times New Roman" w:eastAsia="Times New Roman" w:hAnsi="Times New Roman"/>
          <w:sz w:val="18"/>
          <w:szCs w:val="18"/>
          <w:color w:val="auto"/>
        </w:rPr>
        <w:t>Federal law requires that any company that participates in the Medicaid Drug Rebate Program also participate in the Public Health Service’s 340B drug pricing program in order for federal funds to be available for the manufacturer’s drugs under Medicaid and Medicare Part B. The 340B drug pricing program requires participating manufacturers to agree to charge statutorily-defined covered entities no more than the 340B “ceiling price” for the manufacturer’s covered outpatient drugs. These 340B covered entities include a variety of community health clinics and other entities that receive health services grants from the Public Health Service, as well as hospitals that serve a disproportionate share of low-income patients.</w:t>
      </w:r>
    </w:p>
    <w:p>
      <w:pPr>
        <w:spacing w:after="0" w:line="183" w:lineRule="exact"/>
        <w:rPr>
          <w:sz w:val="20"/>
          <w:szCs w:val="20"/>
          <w:color w:val="auto"/>
        </w:rPr>
      </w:pPr>
    </w:p>
    <w:p>
      <w:pPr>
        <w:ind w:left="120" w:firstLine="881"/>
        <w:spacing w:after="0" w:line="254" w:lineRule="auto"/>
        <w:rPr>
          <w:sz w:val="20"/>
          <w:szCs w:val="20"/>
          <w:color w:val="auto"/>
        </w:rPr>
      </w:pPr>
      <w:r>
        <w:rPr>
          <w:rFonts w:ascii="Times New Roman" w:cs="Times New Roman" w:eastAsia="Times New Roman" w:hAnsi="Times New Roman"/>
          <w:sz w:val="18"/>
          <w:szCs w:val="18"/>
          <w:color w:val="auto"/>
        </w:rPr>
        <w:t>In addition, in order to be eligible to have its products paid for with federal funds under the Medicaid and Medicare Part B programs and purchased by certain federal agencies and grantees, a manufacturer also must participate in the U.S. Department of Veterans Affairs, or VA, Federal Supply Schedule, or FSS, pricing program. Under this program, the manufacturer is obligated to make its innovator and single source products available for procurement on an FSS contract and charge a price to four federal agencies, U.S. Department of Veterans Affairs, U.S. Department of Defense, or the DoD, Public Health Service and U.S. Coast Guard, that is no higher than the statutory Federal Ceiling Price. Moreover, pursuant to regulations issued by the DoD Defense Health Agency to implement Section 703 of the National Defense Authorization Act for Fiscal Year 2008, manufacturers are required to provide rebates on utilization of their innovator and single source products that are dispensed to TRICARE beneficiaries by TRICARE network retail pharmacies.</w:t>
      </w:r>
    </w:p>
    <w:p>
      <w:pPr>
        <w:spacing w:after="0" w:line="192" w:lineRule="exact"/>
        <w:rPr>
          <w:sz w:val="20"/>
          <w:szCs w:val="20"/>
          <w:color w:val="auto"/>
        </w:rPr>
      </w:pPr>
    </w:p>
    <w:p>
      <w:pPr>
        <w:ind w:left="120" w:right="120" w:firstLine="881"/>
        <w:spacing w:after="0" w:line="281" w:lineRule="auto"/>
        <w:rPr>
          <w:sz w:val="20"/>
          <w:szCs w:val="20"/>
          <w:color w:val="auto"/>
        </w:rPr>
      </w:pPr>
      <w:r>
        <w:rPr>
          <w:rFonts w:ascii="Times New Roman" w:cs="Times New Roman" w:eastAsia="Times New Roman" w:hAnsi="Times New Roman"/>
          <w:sz w:val="17"/>
          <w:szCs w:val="17"/>
          <w:color w:val="auto"/>
        </w:rPr>
        <w:t>The requirements under the Medicaid, 340B, FSS, and TRICARE programs could reduce the revenue we may generate from any products that are commercialized in the future and could adversely affect our business and operating results. If we fail to comply with any applicable obligations under governmental pricing programs that we participate in, we could be subject to additional reimbursement requirements, significant civil monetary penalties, sanctions and fines, and those could negatively impact our business, financial condition, results of operations and growth prospects.</w:t>
      </w:r>
    </w:p>
    <w:p>
      <w:pPr>
        <w:spacing w:after="0" w:line="16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our Common Stock and to this Offering</w:t>
      </w:r>
    </w:p>
    <w:p>
      <w:pPr>
        <w:spacing w:after="0" w:line="225" w:lineRule="exact"/>
        <w:rPr>
          <w:sz w:val="20"/>
          <w:szCs w:val="20"/>
          <w:color w:val="auto"/>
        </w:rPr>
      </w:pPr>
    </w:p>
    <w:p>
      <w:pPr>
        <w:ind w:left="120"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There has been no prior public market for our common stock, the stock price of our common stock may be volatile or may decline regardless of our operating performance and you may not be able to resell your shares at or above the initial public offering price.</w:t>
      </w:r>
    </w:p>
    <w:p>
      <w:pPr>
        <w:spacing w:after="0" w:line="159" w:lineRule="exact"/>
        <w:rPr>
          <w:sz w:val="20"/>
          <w:szCs w:val="20"/>
          <w:color w:val="auto"/>
        </w:rPr>
      </w:pPr>
    </w:p>
    <w:p>
      <w:pPr>
        <w:ind w:left="120" w:right="100" w:firstLine="881"/>
        <w:spacing w:after="0" w:line="266" w:lineRule="auto"/>
        <w:rPr>
          <w:sz w:val="20"/>
          <w:szCs w:val="20"/>
          <w:color w:val="auto"/>
        </w:rPr>
      </w:pPr>
      <w:r>
        <w:rPr>
          <w:rFonts w:ascii="Times New Roman" w:cs="Times New Roman" w:eastAsia="Times New Roman" w:hAnsi="Times New Roman"/>
          <w:sz w:val="18"/>
          <w:szCs w:val="18"/>
          <w:color w:val="auto"/>
        </w:rPr>
        <w:t>There has been no public market for our common stock prior to this offering. The initial public offering price for our common stock will be determined through negotiations between the underwriters and us and may vary from the market price of our common stock following this offering. If you purchase shares of our common</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120"/>
          </w:cols>
          <w:pgMar w:left="320" w:top="455" w:right="459" w:bottom="1440" w:gutter="0" w:footer="0" w:header="0"/>
        </w:sectPr>
      </w:pPr>
    </w:p>
    <w:bookmarkStart w:id="80" w:name="page81"/>
    <w:bookmarkEnd w:id="8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stock in this offering, you may not be able to resell those shares at or above the initial public offering price. An active or liquid market in our common stock may not develop upon the completion of this offering or, if it does develop, it may not be sustainable. The market price of our common stock may fluctuate significantly in response to numerous factors, many of which are beyond our control, including:</w:t>
      </w:r>
    </w:p>
    <w:p>
      <w:pPr>
        <w:spacing w:after="0" w:line="203" w:lineRule="exact"/>
        <w:rPr>
          <w:sz w:val="20"/>
          <w:szCs w:val="20"/>
          <w:color w:val="auto"/>
        </w:rPr>
      </w:pPr>
    </w:p>
    <w:p>
      <w:pPr>
        <w:ind w:left="1420" w:hanging="319"/>
        <w:spacing w:after="0"/>
        <w:tabs>
          <w:tab w:leader="none" w:pos="14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overall performance of the equity markets;</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operating performance and the performance of other similar companies;</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from our ongoing clinical trials and future clinical trials with our current and future product candidates or of our competitors;</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the commencement, enrollment and the ultimate completion of clinical trials;</w:t>
      </w:r>
    </w:p>
    <w:p>
      <w:pPr>
        <w:spacing w:after="0" w:line="252" w:lineRule="exact"/>
        <w:rPr>
          <w:rFonts w:ascii="Times New Roman" w:cs="Times New Roman" w:eastAsia="Times New Roman" w:hAnsi="Times New Roman"/>
          <w:sz w:val="18"/>
          <w:szCs w:val="18"/>
          <w:color w:val="auto"/>
        </w:rPr>
      </w:pPr>
    </w:p>
    <w:p>
      <w:pPr>
        <w:ind w:left="1420" w:right="820" w:hanging="319"/>
        <w:spacing w:after="0" w:line="282" w:lineRule="auto"/>
        <w:tabs>
          <w:tab w:leader="none" w:pos="14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projected operating results that we provide to the public, our failure to meet these projections or changes in recommendations by securities analysts that elect to follow our common stock;</w:t>
      </w:r>
    </w:p>
    <w:p>
      <w:pPr>
        <w:spacing w:after="0" w:line="188"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actions with respect to our product candidates;</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or legal developments in the United States and other countries;</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expenses related to future product candidates or clinical development programs;</w:t>
      </w:r>
    </w:p>
    <w:p>
      <w:pPr>
        <w:spacing w:after="0" w:line="252" w:lineRule="exact"/>
        <w:rPr>
          <w:rFonts w:ascii="Times New Roman" w:cs="Times New Roman" w:eastAsia="Times New Roman" w:hAnsi="Times New Roman"/>
          <w:sz w:val="18"/>
          <w:szCs w:val="18"/>
          <w:color w:val="auto"/>
        </w:rPr>
      </w:pPr>
    </w:p>
    <w:p>
      <w:pPr>
        <w:ind w:left="1420" w:right="560" w:hanging="319"/>
        <w:spacing w:after="0" w:line="282" w:lineRule="auto"/>
        <w:tabs>
          <w:tab w:leader="none" w:pos="14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achieve product development or commercialization goals or regulatory approval milestones in the timeframe we announce;</w:t>
      </w:r>
    </w:p>
    <w:p>
      <w:pPr>
        <w:spacing w:after="0" w:line="188"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hospital or ECP practices;</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acquisitions, strategic alliances or significant agreements by us or by our competitors;</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patent applications, issued patents or other intellectual property or proprietary rights;</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recruitment or departure of key personnel;</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economy as a whole and market conditions in our industry, including conditions resulting from COVID-19;</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our financial results or the financial results of companies that are perceived to be similar to us;</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financing or other corporate transactions, or inability to obtain additional funding;</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activity by a limited number of stockholders who together beneficially own a majority of our outstanding common stock;</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expiration of market standoff or contractual lock-up agreements;</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of our market float; and</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factors discussed in this prospectus.</w:t>
      </w:r>
    </w:p>
    <w:p>
      <w:pPr>
        <w:spacing w:after="0" w:line="157" w:lineRule="exact"/>
        <w:rPr>
          <w:rFonts w:ascii="Times New Roman" w:cs="Times New Roman" w:eastAsia="Times New Roman" w:hAnsi="Times New Roman"/>
          <w:sz w:val="18"/>
          <w:szCs w:val="18"/>
          <w:color w:val="auto"/>
        </w:rPr>
      </w:pPr>
    </w:p>
    <w:p>
      <w:pPr>
        <w:ind w:left="5540" w:hanging="111"/>
        <w:spacing w:after="0"/>
        <w:tabs>
          <w:tab w:leader="none" w:pos="5540"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78 -</w:t>
      </w:r>
    </w:p>
    <w:p>
      <w:pPr>
        <w:sectPr>
          <w:pgSz w:w="11900" w:h="16838" w:orient="portrait"/>
          <w:cols w:equalWidth="0" w:num="1">
            <w:col w:w="11040"/>
          </w:cols>
          <w:pgMar w:left="320" w:top="455" w:right="539" w:bottom="1440" w:gutter="0" w:footer="0" w:header="0"/>
        </w:sectPr>
      </w:pPr>
    </w:p>
    <w:bookmarkStart w:id="81" w:name="page82"/>
    <w:bookmarkEnd w:id="8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881"/>
        <w:spacing w:after="0" w:line="258" w:lineRule="auto"/>
        <w:rPr>
          <w:sz w:val="20"/>
          <w:szCs w:val="20"/>
          <w:color w:val="auto"/>
        </w:rPr>
      </w:pPr>
      <w:r>
        <w:rPr>
          <w:rFonts w:ascii="Times New Roman" w:cs="Times New Roman" w:eastAsia="Times New Roman" w:hAnsi="Times New Roman"/>
          <w:sz w:val="18"/>
          <w:szCs w:val="18"/>
          <w:color w:val="auto"/>
        </w:rPr>
        <w:t>In addition, the stock markets have experienced extreme price and volume fluctuations that have affected and continue to affect the market prices of equity securities of many biopharmaceutical companies. Stock prices of many biopharmaceutical companies have fluctuated in a manner unrelated or disproportionate to the operating performance of those companies. In the past, stockholders have filed securities class action litigation following periods of market volatility. If we were to become involved in securities litigation, it could subject us to substantial costs, divert resources and the attention of management from our business and adversely affect our business.</w:t>
      </w:r>
    </w:p>
    <w:p>
      <w:pPr>
        <w:spacing w:after="0" w:line="179" w:lineRule="exact"/>
        <w:rPr>
          <w:sz w:val="20"/>
          <w:szCs w:val="20"/>
          <w:color w:val="auto"/>
        </w:rPr>
      </w:pPr>
    </w:p>
    <w:p>
      <w:pPr>
        <w:ind w:left="120"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publish inaccurate or unfavorable research about our business, our stock price and trading volume could decline.</w:t>
      </w:r>
    </w:p>
    <w:p>
      <w:pPr>
        <w:spacing w:after="0" w:line="159" w:lineRule="exact"/>
        <w:rPr>
          <w:sz w:val="20"/>
          <w:szCs w:val="20"/>
          <w:color w:val="auto"/>
        </w:rPr>
      </w:pPr>
    </w:p>
    <w:p>
      <w:pPr>
        <w:ind w:left="120" w:firstLine="881"/>
        <w:spacing w:after="0" w:line="256" w:lineRule="auto"/>
        <w:rPr>
          <w:sz w:val="20"/>
          <w:szCs w:val="20"/>
          <w:color w:val="auto"/>
        </w:rPr>
      </w:pPr>
      <w:r>
        <w:rPr>
          <w:rFonts w:ascii="Times New Roman" w:cs="Times New Roman" w:eastAsia="Times New Roman" w:hAnsi="Times New Roman"/>
          <w:sz w:val="18"/>
          <w:szCs w:val="18"/>
          <w:color w:val="auto"/>
        </w:rPr>
        <w:t>The trading market for our common stock will depend in part on the research and reports that securities or industry analysts publish about us or our business. Securities and industry analysts do not currently, and may never, publish research on our company. If no or only very few securities analysts commence coverage of us, or if industry analysts cease coverage of us, the trading price for our common stock would be negatively affected. If one or more of the analysts who cover us downgrade our common stock or publish inaccurate or unfavorable research about our business, our common stock price would likely decline. If one or more of these analysts cease coverage of us or fail to publish reports on us regularly, demand for our common stock could decrease, which might cause our common stock price and trading volume to decline.</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If you purchase shares of our common stock in this offering, you will experience substantial and immediate dilution.</w:t>
      </w:r>
    </w:p>
    <w:p>
      <w:pPr>
        <w:spacing w:after="0" w:line="22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If you purchase shares of our common stock in this offering, you will experience substantial and immediate dilution in the pro forma net</w:t>
      </w:r>
    </w:p>
    <w:p>
      <w:pPr>
        <w:spacing w:after="0" w:line="27" w:lineRule="exact"/>
        <w:rPr>
          <w:sz w:val="20"/>
          <w:szCs w:val="20"/>
          <w:color w:val="auto"/>
        </w:rPr>
      </w:pPr>
    </w:p>
    <w:p>
      <w:pPr>
        <w:ind w:left="120"/>
        <w:spacing w:after="0"/>
        <w:tabs>
          <w:tab w:leader="none" w:pos="3300" w:val="left"/>
        </w:tabs>
        <w:rPr>
          <w:sz w:val="20"/>
          <w:szCs w:val="20"/>
          <w:color w:val="auto"/>
        </w:rPr>
      </w:pPr>
      <w:r>
        <w:rPr>
          <w:rFonts w:ascii="Times New Roman" w:cs="Times New Roman" w:eastAsia="Times New Roman" w:hAnsi="Times New Roman"/>
          <w:sz w:val="18"/>
          <w:szCs w:val="18"/>
          <w:color w:val="auto"/>
        </w:rPr>
        <w:t>tangible book value per share of $</w:t>
      </w:r>
      <w:r>
        <w:rPr>
          <w:sz w:val="20"/>
          <w:szCs w:val="20"/>
          <w:color w:val="auto"/>
        </w:rPr>
        <w:tab/>
      </w:r>
      <w:r>
        <w:rPr>
          <w:rFonts w:ascii="Times New Roman" w:cs="Times New Roman" w:eastAsia="Times New Roman" w:hAnsi="Times New Roman"/>
          <w:sz w:val="17"/>
          <w:szCs w:val="17"/>
          <w:color w:val="auto"/>
        </w:rPr>
        <w:t>per share as of June 30, 2020, based on an assumed initial public offering price of our common stock of</w:t>
      </w:r>
    </w:p>
    <w:p>
      <w:pPr>
        <w:spacing w:after="0" w:line="9" w:lineRule="exact"/>
        <w:rPr>
          <w:sz w:val="20"/>
          <w:szCs w:val="20"/>
          <w:color w:val="auto"/>
        </w:rPr>
      </w:pPr>
    </w:p>
    <w:p>
      <w:pPr>
        <w:ind w:left="120" w:right="100" w:hanging="4"/>
        <w:spacing w:after="0" w:line="252" w:lineRule="auto"/>
        <w:tabs>
          <w:tab w:leader="none" w:pos="975"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 share, the midpoint of the price range on the cover page of this prospectus, because the price that you pay will be substantially greater than the pro forma net tangible book value per share of the common stock that you acquire. This dilution is due in large part to the fact that our earlier investors paid substantially less than the initial public offering price when they purchased their shares of our capital stock. You will experience additional dilution upon exercise of options to purchase common stock under our equity incentive plans, upon vesting of options to purchase common stock under our equity incentive plans, if we issue restricted stock to our employees under our equity incentive plans or if we otherwise issue additional shares of our common stock.</w:t>
      </w:r>
    </w:p>
    <w:p>
      <w:pPr>
        <w:spacing w:after="0" w:line="186" w:lineRule="exact"/>
        <w:rPr>
          <w:sz w:val="20"/>
          <w:szCs w:val="20"/>
          <w:color w:val="auto"/>
        </w:rPr>
      </w:pPr>
    </w:p>
    <w:p>
      <w:pPr>
        <w:ind w:left="120"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Substantial amounts of our outstanding shares may be sold into the market when lock-up periods end. If there are substantial sales of shares of our common stock, the price of our common stock could decline.</w:t>
      </w:r>
    </w:p>
    <w:p>
      <w:pPr>
        <w:spacing w:after="0" w:line="159" w:lineRule="exact"/>
        <w:rPr>
          <w:sz w:val="20"/>
          <w:szCs w:val="20"/>
          <w:color w:val="auto"/>
        </w:rPr>
      </w:pPr>
    </w:p>
    <w:p>
      <w:pPr>
        <w:ind w:left="120" w:right="200" w:firstLine="881"/>
        <w:spacing w:after="0" w:line="276" w:lineRule="auto"/>
        <w:rPr>
          <w:sz w:val="20"/>
          <w:szCs w:val="20"/>
          <w:color w:val="auto"/>
        </w:rPr>
      </w:pPr>
      <w:r>
        <w:rPr>
          <w:rFonts w:ascii="Times New Roman" w:cs="Times New Roman" w:eastAsia="Times New Roman" w:hAnsi="Times New Roman"/>
          <w:sz w:val="17"/>
          <w:szCs w:val="17"/>
          <w:color w:val="auto"/>
        </w:rPr>
        <w:t>The price of our common stock could decline if there are substantial sales of our common stock, particularly sales by our directors, executive officers and significant stockholders, or if there is a large number of shares of our common stock available for sale and the market perceives</w:t>
      </w:r>
    </w:p>
    <w:p>
      <w:pPr>
        <w:spacing w:after="0" w:line="1" w:lineRule="exact"/>
        <w:rPr>
          <w:sz w:val="20"/>
          <w:szCs w:val="20"/>
          <w:color w:val="auto"/>
        </w:rPr>
      </w:pPr>
    </w:p>
    <w:p>
      <w:pPr>
        <w:ind w:left="120" w:right="20"/>
        <w:spacing w:after="0" w:line="252" w:lineRule="auto"/>
        <w:rPr>
          <w:sz w:val="20"/>
          <w:szCs w:val="20"/>
          <w:color w:val="auto"/>
        </w:rPr>
      </w:pPr>
      <w:r>
        <w:rPr>
          <w:rFonts w:ascii="Times New Roman" w:cs="Times New Roman" w:eastAsia="Times New Roman" w:hAnsi="Times New Roman"/>
          <w:sz w:val="18"/>
          <w:szCs w:val="18"/>
          <w:color w:val="auto"/>
        </w:rPr>
        <w:t>that sales will occur. After this offering, we will have outstanding shares of our common stock, based on the number of shares outstanding as of June 30, 2020, including the conversion of the 21,221,280 shares of Series C preferred stock we issued in September 2020. All of the shares of common stock sold in this offering will be available for sale in the public market, unless purchased by our affiliates or existing stockholders. Substantially all of our outstanding shares of common stock are currently restricted from resale as a result of “lock-up” agreements (which may be waived by BofA Securities, Inc. and Jefferies LLC with or without notice), as more fully described in “Shares Eligible for Future Sale.” These shares will become available to be sold 181 days after the date of this prospectus. Shares held by directors, executive officers and other affiliates will be subject to volume limitations under Rule 144 under the Securities Act of 1933, as amended, or the Securities Act, and various vesting agreements.</w:t>
      </w:r>
    </w:p>
    <w:p>
      <w:pPr>
        <w:spacing w:after="0" w:line="188" w:lineRule="exact"/>
        <w:rPr>
          <w:sz w:val="20"/>
          <w:szCs w:val="20"/>
          <w:color w:val="auto"/>
        </w:rPr>
      </w:pPr>
    </w:p>
    <w:p>
      <w:pPr>
        <w:ind w:left="120" w:right="380" w:firstLine="881"/>
        <w:spacing w:after="0" w:line="282" w:lineRule="auto"/>
        <w:rPr>
          <w:sz w:val="20"/>
          <w:szCs w:val="20"/>
          <w:color w:val="auto"/>
        </w:rPr>
      </w:pPr>
      <w:r>
        <w:rPr>
          <w:rFonts w:ascii="Times New Roman" w:cs="Times New Roman" w:eastAsia="Times New Roman" w:hAnsi="Times New Roman"/>
          <w:sz w:val="18"/>
          <w:szCs w:val="18"/>
          <w:color w:val="auto"/>
        </w:rPr>
        <w:t>After our initial public offering, certain of our stockholders will have rights, subject to some conditions, to require us to file registration statements covering their shares or to include their shares in registration</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1120"/>
          </w:cols>
          <w:pgMar w:left="320" w:top="455" w:right="459" w:bottom="1440" w:gutter="0" w:footer="0" w:header="0"/>
        </w:sectPr>
      </w:pPr>
    </w:p>
    <w:bookmarkStart w:id="82" w:name="page83"/>
    <w:bookmarkEnd w:id="8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60"/>
        <w:spacing w:after="0" w:line="266" w:lineRule="auto"/>
        <w:rPr>
          <w:sz w:val="20"/>
          <w:szCs w:val="20"/>
          <w:color w:val="auto"/>
        </w:rPr>
      </w:pPr>
      <w:r>
        <w:rPr>
          <w:rFonts w:ascii="Times New Roman" w:cs="Times New Roman" w:eastAsia="Times New Roman" w:hAnsi="Times New Roman"/>
          <w:sz w:val="18"/>
          <w:szCs w:val="18"/>
          <w:color w:val="auto"/>
        </w:rPr>
        <w:t>statements that we may file for ourselves or our stockholders, subject to lockup agreements. We also intend to register shares of common stock that we have issued and may issue under our employee equity incentive plans. Once we register these shares, they will be able to be sold freely in the public market upon issuance, subject to existing market standoff or lock-up agreements.</w:t>
      </w:r>
    </w:p>
    <w:p>
      <w:pPr>
        <w:spacing w:after="0" w:line="176" w:lineRule="exact"/>
        <w:rPr>
          <w:sz w:val="20"/>
          <w:szCs w:val="20"/>
          <w:color w:val="auto"/>
        </w:rPr>
      </w:pPr>
    </w:p>
    <w:p>
      <w:pPr>
        <w:ind w:left="120" w:right="220" w:firstLine="881"/>
        <w:spacing w:after="0" w:line="282" w:lineRule="auto"/>
        <w:rPr>
          <w:sz w:val="20"/>
          <w:szCs w:val="20"/>
          <w:color w:val="auto"/>
        </w:rPr>
      </w:pPr>
      <w:r>
        <w:rPr>
          <w:rFonts w:ascii="Times New Roman" w:cs="Times New Roman" w:eastAsia="Times New Roman" w:hAnsi="Times New Roman"/>
          <w:sz w:val="18"/>
          <w:szCs w:val="18"/>
          <w:color w:val="auto"/>
        </w:rPr>
        <w:t>The market price of the shares of our common stock could decline as a result of the sale of a substantial number of our shares of common stock in the public market or the perception in the market that the holders of a large number of shares intend to sell their shares.</w:t>
      </w:r>
    </w:p>
    <w:p>
      <w:pPr>
        <w:spacing w:after="0" w:line="158" w:lineRule="exact"/>
        <w:rPr>
          <w:sz w:val="20"/>
          <w:szCs w:val="20"/>
          <w:color w:val="auto"/>
        </w:rPr>
      </w:pPr>
    </w:p>
    <w:p>
      <w:pPr>
        <w:ind w:left="120"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concentration of our stock ownership will likely limit your ability to influence corporate matters, including the ability to influence the outcome of director elections and other matters requiring stockholder approval.</w:t>
      </w:r>
    </w:p>
    <w:p>
      <w:pPr>
        <w:spacing w:after="0" w:line="159" w:lineRule="exact"/>
        <w:rPr>
          <w:sz w:val="20"/>
          <w:szCs w:val="20"/>
          <w:color w:val="auto"/>
        </w:rPr>
      </w:pPr>
    </w:p>
    <w:p>
      <w:pPr>
        <w:ind w:left="120" w:firstLine="881"/>
        <w:spacing w:after="0" w:line="269" w:lineRule="auto"/>
        <w:rPr>
          <w:sz w:val="20"/>
          <w:szCs w:val="20"/>
          <w:color w:val="auto"/>
        </w:rPr>
      </w:pPr>
      <w:r>
        <w:rPr>
          <w:rFonts w:ascii="Times New Roman" w:cs="Times New Roman" w:eastAsia="Times New Roman" w:hAnsi="Times New Roman"/>
          <w:sz w:val="17"/>
          <w:szCs w:val="17"/>
          <w:color w:val="auto"/>
        </w:rPr>
        <w:t>Based upon the 103,949,490 shares of common stock outstanding as of September 24, 2020, after giving effect to the conversion of all outstanding shares of preferred stock as of that date, including 21,221,280 shares of Series C preferred stock issued in September 2020, into an aggregate of 82,498,619 shares of our common stock, but excluding 1,332,338 shares of common stock, legally issued upon the early exercise of certain stock options, which are subject to service conditions and the rights of repurchase, that were outstanding as of September 24, 2020, prior to this offering, our executive officers, directors and the holders of more than 5% of our outstanding common stock, in the aggregate, beneficially owned approximately</w:t>
      </w:r>
    </w:p>
    <w:p>
      <w:pPr>
        <w:spacing w:after="0" w:line="3" w:lineRule="exact"/>
        <w:rPr>
          <w:sz w:val="20"/>
          <w:szCs w:val="20"/>
          <w:color w:val="auto"/>
        </w:rPr>
      </w:pPr>
    </w:p>
    <w:p>
      <w:pPr>
        <w:ind w:left="120" w:right="40"/>
        <w:spacing w:after="0" w:line="252" w:lineRule="auto"/>
        <w:rPr>
          <w:sz w:val="20"/>
          <w:szCs w:val="20"/>
          <w:color w:val="auto"/>
        </w:rPr>
      </w:pPr>
      <w:r>
        <w:rPr>
          <w:rFonts w:ascii="Times New Roman" w:cs="Times New Roman" w:eastAsia="Times New Roman" w:hAnsi="Times New Roman"/>
          <w:sz w:val="18"/>
          <w:szCs w:val="18"/>
          <w:color w:val="auto"/>
        </w:rPr>
        <w:t>96% of our common stock, and upon the completion of this offering, that same group, in the aggregate, will beneficially own approximately % of our common stock, assuming no purchases of shares in this offering by any members of this group, no exercise by the underwriters of their option to purchase additional shares, no exercise of outstanding options or warrants and after giving effect to the issuance of shares in this offering. As a result, these stockholders, acting together, will have significant influence over all matters that require approval by our stockholders, including the election of directors and approval of significant corporate transactions. Corporate actions might be taken even if other stockholders, including those who purchase shares in this offering, oppose them. This concentration of ownership might also have the effect of delaying or preventing a change of control of our company that other stockholders may view as beneficial.</w:t>
      </w:r>
    </w:p>
    <w:p>
      <w:pPr>
        <w:spacing w:after="0" w:line="184" w:lineRule="exact"/>
        <w:rPr>
          <w:sz w:val="20"/>
          <w:szCs w:val="20"/>
          <w:color w:val="auto"/>
        </w:rPr>
      </w:pPr>
    </w:p>
    <w:p>
      <w:pPr>
        <w:ind w:left="120"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and we cannot be certain if the reduced reporting requirements applicable to emerging growth companies will make our common stock less attractive to investors.</w:t>
      </w:r>
    </w:p>
    <w:p>
      <w:pPr>
        <w:spacing w:after="0" w:line="159" w:lineRule="exact"/>
        <w:rPr>
          <w:sz w:val="20"/>
          <w:szCs w:val="20"/>
          <w:color w:val="auto"/>
        </w:rPr>
      </w:pPr>
    </w:p>
    <w:p>
      <w:pPr>
        <w:ind w:left="120" w:right="560" w:firstLine="881"/>
        <w:spacing w:after="0" w:line="282" w:lineRule="auto"/>
        <w:rPr>
          <w:sz w:val="20"/>
          <w:szCs w:val="20"/>
          <w:color w:val="auto"/>
        </w:rPr>
      </w:pPr>
      <w:r>
        <w:rPr>
          <w:rFonts w:ascii="Times New Roman" w:cs="Times New Roman" w:eastAsia="Times New Roman" w:hAnsi="Times New Roman"/>
          <w:sz w:val="18"/>
          <w:szCs w:val="18"/>
          <w:color w:val="auto"/>
        </w:rPr>
        <w:t>We are an “emerging growth company” as defined in the JOBS Act and we intend to take advantage of some of the exemptions from reporting requirements that are applicable to other public companies that are not emerging growth companies, including:</w:t>
      </w:r>
    </w:p>
    <w:p>
      <w:pPr>
        <w:spacing w:after="0" w:line="189" w:lineRule="exact"/>
        <w:rPr>
          <w:sz w:val="20"/>
          <w:szCs w:val="20"/>
          <w:color w:val="auto"/>
        </w:rPr>
      </w:pPr>
    </w:p>
    <w:p>
      <w:pPr>
        <w:jc w:val="both"/>
        <w:ind w:left="1420" w:right="20" w:hanging="319"/>
        <w:spacing w:after="0" w:line="282" w:lineRule="auto"/>
        <w:tabs>
          <w:tab w:leader="none" w:pos="14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option to present only two years of audited financial statements, in addition to any required unaudited interim financial statements, with correspondingly reduced “Management’s Discussion and Analysis of Financial Condition and Results of Operations” disclosure;</w:t>
      </w:r>
    </w:p>
    <w:p>
      <w:pPr>
        <w:spacing w:after="0" w:line="188"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being required to comply with the auditor attestation requirements of Section 404(b) of the Sarbanes Oxley Act;</w:t>
      </w:r>
    </w:p>
    <w:p>
      <w:pPr>
        <w:spacing w:after="0" w:line="252" w:lineRule="exact"/>
        <w:rPr>
          <w:rFonts w:ascii="Times New Roman" w:cs="Times New Roman" w:eastAsia="Times New Roman" w:hAnsi="Times New Roman"/>
          <w:sz w:val="18"/>
          <w:szCs w:val="18"/>
          <w:color w:val="auto"/>
        </w:rPr>
      </w:pPr>
    </w:p>
    <w:p>
      <w:pPr>
        <w:ind w:left="1420" w:right="200" w:hanging="319"/>
        <w:spacing w:after="0" w:line="266" w:lineRule="auto"/>
        <w:tabs>
          <w:tab w:leader="none" w:pos="14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w:t>
      </w:r>
    </w:p>
    <w:p>
      <w:pPr>
        <w:spacing w:after="0" w:line="202" w:lineRule="exact"/>
        <w:rPr>
          <w:rFonts w:ascii="Times New Roman" w:cs="Times New Roman" w:eastAsia="Times New Roman" w:hAnsi="Times New Roman"/>
          <w:sz w:val="18"/>
          <w:szCs w:val="18"/>
          <w:color w:val="auto"/>
        </w:rPr>
      </w:pPr>
    </w:p>
    <w:p>
      <w:pPr>
        <w:ind w:left="1420" w:right="180" w:hanging="319"/>
        <w:spacing w:after="0" w:line="282" w:lineRule="auto"/>
        <w:tabs>
          <w:tab w:leader="none" w:pos="14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being required to disclose certain executive compensation-related items such as the correlation between executive compensation and performance and comparisons of the chief executive officer’s compensation to median employee compensation; and</w:t>
      </w:r>
    </w:p>
    <w:p>
      <w:pPr>
        <w:spacing w:after="0" w:line="94" w:lineRule="exact"/>
        <w:rPr>
          <w:rFonts w:ascii="Times New Roman" w:cs="Times New Roman" w:eastAsia="Times New Roman" w:hAnsi="Times New Roman"/>
          <w:sz w:val="18"/>
          <w:szCs w:val="18"/>
          <w:color w:val="auto"/>
        </w:rPr>
      </w:pPr>
    </w:p>
    <w:p>
      <w:pPr>
        <w:ind w:left="5540" w:hanging="111"/>
        <w:spacing w:after="0"/>
        <w:tabs>
          <w:tab w:leader="none" w:pos="5540"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80 -</w:t>
      </w:r>
    </w:p>
    <w:p>
      <w:pPr>
        <w:sectPr>
          <w:pgSz w:w="11900" w:h="16838" w:orient="portrait"/>
          <w:cols w:equalWidth="0" w:num="1">
            <w:col w:w="11120"/>
          </w:cols>
          <w:pgMar w:left="320" w:top="455" w:right="459" w:bottom="1440" w:gutter="0" w:footer="0" w:header="0"/>
        </w:sectPr>
      </w:pPr>
    </w:p>
    <w:bookmarkStart w:id="83" w:name="page84"/>
    <w:bookmarkEnd w:id="8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420" w:right="980" w:hanging="319"/>
        <w:spacing w:after="0" w:line="282" w:lineRule="auto"/>
        <w:tabs>
          <w:tab w:leader="none" w:pos="142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being required to submit certain executive compensation matters to stockholder advisory votes, such as “say-on-pay,” “say-on-frequency,” and “say-on-golden parachutes.”</w:t>
      </w:r>
    </w:p>
    <w:p>
      <w:pPr>
        <w:spacing w:after="0" w:line="162" w:lineRule="exact"/>
        <w:rPr>
          <w:sz w:val="20"/>
          <w:szCs w:val="20"/>
          <w:color w:val="auto"/>
        </w:rPr>
      </w:pPr>
    </w:p>
    <w:p>
      <w:pPr>
        <w:ind w:left="120" w:right="60" w:firstLine="881"/>
        <w:spacing w:after="0" w:line="266" w:lineRule="auto"/>
        <w:rPr>
          <w:sz w:val="20"/>
          <w:szCs w:val="20"/>
          <w:color w:val="auto"/>
        </w:rPr>
      </w:pPr>
      <w:r>
        <w:rPr>
          <w:rFonts w:ascii="Times New Roman" w:cs="Times New Roman" w:eastAsia="Times New Roman" w:hAnsi="Times New Roman"/>
          <w:sz w:val="18"/>
          <w:szCs w:val="18"/>
          <w:color w:val="auto"/>
        </w:rPr>
        <w:t>The JOBS Act permits an “emerging growth company” such as us to take advantage of an extended transition period to comply with new or revised accounting standards applicable to public companies. We have irrevocably elected to opt out of this provision and, as a result, we will comply with new or revised accounting standards as required when they are adopted.</w:t>
      </w:r>
    </w:p>
    <w:p>
      <w:pPr>
        <w:spacing w:after="0" w:line="176" w:lineRule="exact"/>
        <w:rPr>
          <w:sz w:val="20"/>
          <w:szCs w:val="20"/>
          <w:color w:val="auto"/>
        </w:rPr>
      </w:pPr>
    </w:p>
    <w:p>
      <w:pPr>
        <w:ind w:left="120" w:right="120" w:firstLine="881"/>
        <w:spacing w:after="0" w:line="255" w:lineRule="auto"/>
        <w:rPr>
          <w:sz w:val="20"/>
          <w:szCs w:val="20"/>
          <w:color w:val="auto"/>
        </w:rPr>
      </w:pPr>
      <w:r>
        <w:rPr>
          <w:rFonts w:ascii="Times New Roman" w:cs="Times New Roman" w:eastAsia="Times New Roman" w:hAnsi="Times New Roman"/>
          <w:sz w:val="18"/>
          <w:szCs w:val="18"/>
          <w:color w:val="auto"/>
        </w:rPr>
        <w:t>We cannot predict if investors will find our common stock less attractive because we will rely on these exemptions. If some investors find our common stock less attractive as a result, there may be a less active trading market for our common stock and our stock price may be more volatile. We may take advantage of these reporting exemptions until we are no longer an emerging growth company. We will remain an emerging growth company until the earlier of (1) the last day of the fiscal year (a) following the fifth anniversary of the completion of this offering, (b) in which we have total annual gross revenue of at least $1.07 billion or (c) in which we are deemed to be a large accelerated filer, which means the market value of our common stock that is held by non-affiliates exceeds $700 million as of the prior June 30th and (2) the date on which we have issued more than $1.0 billion in non-convertible debt during the prior three-year period.</w:t>
      </w:r>
    </w:p>
    <w:p>
      <w:pPr>
        <w:spacing w:after="0" w:line="185" w:lineRule="exact"/>
        <w:rPr>
          <w:sz w:val="20"/>
          <w:szCs w:val="20"/>
          <w:color w:val="auto"/>
        </w:rPr>
      </w:pPr>
    </w:p>
    <w:p>
      <w:pPr>
        <w:ind w:left="120"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Requirements associated with being a public company will increase our costs significantly, as well as divert significant company resources and management attention.</w:t>
      </w:r>
    </w:p>
    <w:p>
      <w:pPr>
        <w:spacing w:after="0" w:line="159" w:lineRule="exact"/>
        <w:rPr>
          <w:sz w:val="20"/>
          <w:szCs w:val="20"/>
          <w:color w:val="auto"/>
        </w:rPr>
      </w:pPr>
    </w:p>
    <w:p>
      <w:pPr>
        <w:ind w:left="120" w:firstLine="881"/>
        <w:spacing w:after="0" w:line="258" w:lineRule="auto"/>
        <w:rPr>
          <w:sz w:val="20"/>
          <w:szCs w:val="20"/>
          <w:color w:val="auto"/>
        </w:rPr>
      </w:pPr>
      <w:r>
        <w:rPr>
          <w:rFonts w:ascii="Times New Roman" w:cs="Times New Roman" w:eastAsia="Times New Roman" w:hAnsi="Times New Roman"/>
          <w:sz w:val="18"/>
          <w:szCs w:val="18"/>
          <w:color w:val="auto"/>
        </w:rPr>
        <w:t>After the completion of this offering, we will be subject to the reporting requirements of the Securities Exchange Act of 1934, as amended, or the Exchange Act, or the other rules and regulations of the Securities and Exchange Commission, or the SEC, or any securities exchange relating to public companies. Compliance with the various reporting and other requirements applicable to public companies requires considerable time and attention of management and we will incur significant legal, accounting and other expenses that we did not incur as a private company. We cannot assure you that we will satisfy our obligations as a public company on a timely basis.</w:t>
      </w:r>
    </w:p>
    <w:p>
      <w:pPr>
        <w:spacing w:after="0" w:line="183" w:lineRule="exact"/>
        <w:rPr>
          <w:sz w:val="20"/>
          <w:szCs w:val="20"/>
          <w:color w:val="auto"/>
        </w:rPr>
      </w:pPr>
    </w:p>
    <w:p>
      <w:pPr>
        <w:ind w:left="120" w:right="80" w:firstLine="881"/>
        <w:spacing w:after="0" w:line="261" w:lineRule="auto"/>
        <w:rPr>
          <w:sz w:val="20"/>
          <w:szCs w:val="20"/>
          <w:color w:val="auto"/>
        </w:rPr>
      </w:pPr>
      <w:r>
        <w:rPr>
          <w:rFonts w:ascii="Times New Roman" w:cs="Times New Roman" w:eastAsia="Times New Roman" w:hAnsi="Times New Roman"/>
          <w:sz w:val="18"/>
          <w:szCs w:val="18"/>
          <w:color w:val="auto"/>
        </w:rPr>
        <w:t>In addition, as a public company, it may be more difficult or more costly for us to obtain certain types of insurance, including directors’ and officers’ liability insurance, and we may be forced to accept reduced policy limits and coverage or incur substantially higher costs to obtain the same or similar coverage. The impact of these events could also make it more difficult for us to attract and retain qualified personnel to serve on our board of directors, our board committees or as executive officers.</w:t>
      </w:r>
    </w:p>
    <w:p>
      <w:pPr>
        <w:spacing w:after="0" w:line="176" w:lineRule="exact"/>
        <w:rPr>
          <w:sz w:val="20"/>
          <w:szCs w:val="20"/>
          <w:color w:val="auto"/>
        </w:rPr>
      </w:pPr>
    </w:p>
    <w:p>
      <w:pPr>
        <w:ind w:left="12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proper and effective internal controls, our ability to produce accurate and timely financial statements could be impaired, which could result in sanctions or other penalties that would harm our business.</w:t>
      </w:r>
    </w:p>
    <w:p>
      <w:pPr>
        <w:spacing w:after="0" w:line="159" w:lineRule="exact"/>
        <w:rPr>
          <w:sz w:val="20"/>
          <w:szCs w:val="20"/>
          <w:color w:val="auto"/>
        </w:rPr>
      </w:pPr>
    </w:p>
    <w:p>
      <w:pPr>
        <w:ind w:left="120" w:right="100" w:firstLine="881"/>
        <w:spacing w:after="0" w:line="253" w:lineRule="auto"/>
        <w:rPr>
          <w:sz w:val="20"/>
          <w:szCs w:val="20"/>
          <w:color w:val="auto"/>
        </w:rPr>
      </w:pPr>
      <w:r>
        <w:rPr>
          <w:rFonts w:ascii="Times New Roman" w:cs="Times New Roman" w:eastAsia="Times New Roman" w:hAnsi="Times New Roman"/>
          <w:sz w:val="18"/>
          <w:szCs w:val="18"/>
          <w:color w:val="auto"/>
        </w:rPr>
        <w:t>After the completion of this offering, we will be subject to the reporting requirements of the Exchange Act, the Sarbanes-Oxley Act and the rules and regulations of the Nasdaq Global Market, or Nasdaq. The Sarbanes Oxley Act requires, among other things, that we maintain effective disclosure controls and procedures and internal controls over financial reporting. Commencing with our fiscal year ending the year after this offering is completed, we must perform system and process design evaluation and testing of the effectiveness of our internal controls over financial reporting to allow management to report on the effectiveness of our internal controls over financial reporting in our Form 10-K filing for that year, as required by Section 404 of the Sarbanes-Oxley Act. To achieve compliance with Section 404 within the prescribed period, we will be engaged in a process to document and evaluate our internal control over financial reporting, which is both costly and challenging. In this regard, we will need to continue to dedicate internal resources, including through hiring additional financial and accounting personnel,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w:t>
      </w:r>
    </w:p>
    <w:p>
      <w:pPr>
        <w:spacing w:after="0" w:line="1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1140"/>
          </w:cols>
          <w:pgMar w:left="320" w:top="455" w:right="439" w:bottom="1440" w:gutter="0" w:footer="0" w:header="0"/>
        </w:sectPr>
      </w:pPr>
    </w:p>
    <w:bookmarkStart w:id="84" w:name="page85"/>
    <w:bookmarkEnd w:id="8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implement a continuous reporting and improvement process for internal control over financial reporting. This will require that we incur substantial additional professional fees and internal costs to expand our accounting and finance functions and that we expend significant management efforts. Prior to this offering, we have never been required to test our internal controls within a specified period and, as a result, we may experience difficulty in meeting these reporting requirements in a timely manner.</w:t>
      </w:r>
    </w:p>
    <w:p>
      <w:pPr>
        <w:spacing w:after="0" w:line="180" w:lineRule="exact"/>
        <w:rPr>
          <w:sz w:val="20"/>
          <w:szCs w:val="20"/>
          <w:color w:val="auto"/>
        </w:rPr>
      </w:pPr>
    </w:p>
    <w:p>
      <w:pPr>
        <w:ind w:left="120" w:firstLine="881"/>
        <w:spacing w:after="0" w:line="258" w:lineRule="auto"/>
        <w:rPr>
          <w:sz w:val="20"/>
          <w:szCs w:val="20"/>
          <w:color w:val="auto"/>
        </w:rPr>
      </w:pPr>
      <w:r>
        <w:rPr>
          <w:rFonts w:ascii="Times New Roman" w:cs="Times New Roman" w:eastAsia="Times New Roman" w:hAnsi="Times New Roman"/>
          <w:sz w:val="18"/>
          <w:szCs w:val="18"/>
          <w:color w:val="auto"/>
        </w:rPr>
        <w:t>We may discover weaknesses in our system of internal financial and accounting controls and procedures that could result in a material misstatement of our financial statements. Our internal control over financial reporting will not prevent or detect all errors and all fraud.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will be detected.</w:t>
      </w:r>
    </w:p>
    <w:p>
      <w:pPr>
        <w:spacing w:after="0" w:line="183" w:lineRule="exact"/>
        <w:rPr>
          <w:sz w:val="20"/>
          <w:szCs w:val="20"/>
          <w:color w:val="auto"/>
        </w:rPr>
      </w:pPr>
    </w:p>
    <w:p>
      <w:pPr>
        <w:ind w:left="120" w:right="140" w:firstLine="881"/>
        <w:spacing w:after="0" w:line="261" w:lineRule="auto"/>
        <w:rPr>
          <w:sz w:val="20"/>
          <w:szCs w:val="20"/>
          <w:color w:val="auto"/>
        </w:rPr>
      </w:pPr>
      <w:r>
        <w:rPr>
          <w:rFonts w:ascii="Times New Roman" w:cs="Times New Roman" w:eastAsia="Times New Roman" w:hAnsi="Times New Roman"/>
          <w:sz w:val="18"/>
          <w:szCs w:val="18"/>
          <w:color w:val="auto"/>
        </w:rPr>
        <w:t>If we are not able to comply with the requirements of Section 404 of the Sarbanes-Oxley Act in a timely manner, or if we are unable to maintain proper and effective internal controls over financial reporting, we may not be able to produce timely and accurate financial statements. If that were to happen, our investors could lose confidence in our reported financial information, the market price of our stock could decline and we could be subject to sanctions or investigations by the SEC or other regulatory authorities including equivalent foreign authorities.</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will have broad discretion in the use of the net proceeds from this offering and may not use them effectively.</w:t>
      </w:r>
    </w:p>
    <w:p>
      <w:pPr>
        <w:spacing w:after="0" w:line="229" w:lineRule="exact"/>
        <w:rPr>
          <w:sz w:val="20"/>
          <w:szCs w:val="20"/>
          <w:color w:val="auto"/>
        </w:rPr>
      </w:pPr>
    </w:p>
    <w:p>
      <w:pPr>
        <w:ind w:left="120" w:firstLine="881"/>
        <w:spacing w:after="0" w:line="255" w:lineRule="auto"/>
        <w:rPr>
          <w:sz w:val="20"/>
          <w:szCs w:val="20"/>
          <w:color w:val="auto"/>
        </w:rPr>
      </w:pPr>
      <w:r>
        <w:rPr>
          <w:rFonts w:ascii="Times New Roman" w:cs="Times New Roman" w:eastAsia="Times New Roman" w:hAnsi="Times New Roman"/>
          <w:sz w:val="18"/>
          <w:szCs w:val="18"/>
          <w:color w:val="auto"/>
        </w:rPr>
        <w:t>We cannot specify with any certainty the particular uses of the net proceeds that we will receive from this offering, but we currently expect such uses will include funding our development and regulatory approval of TP-03 for the treatment of Demodex blepharitis, and to develop our product pipeline, and other general corporate purposes, which may include the hiring of additional personnel, capital expenditures and the costs of operating as a public company. We will have broad discretion in the application of the net proceeds, including working capital and other general corporate purposes, and you and other stockholders may disagree with how we spend or invest these proceeds. The failure by our management to apply these funds effectively could adversely affect our business and financial condition. Pending their use, we may invest the net proceeds from our initial public offering in a manner that does not produce income or that loses value. These investments may not yield a favorable return to our investors.</w:t>
      </w:r>
    </w:p>
    <w:p>
      <w:pPr>
        <w:spacing w:after="0" w:line="1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do not intend to pay dividends for the foreseeable future.</w:t>
      </w:r>
    </w:p>
    <w:p>
      <w:pPr>
        <w:spacing w:after="0" w:line="229" w:lineRule="exact"/>
        <w:rPr>
          <w:sz w:val="20"/>
          <w:szCs w:val="20"/>
          <w:color w:val="auto"/>
        </w:rPr>
      </w:pPr>
    </w:p>
    <w:p>
      <w:pPr>
        <w:ind w:left="120" w:right="320" w:firstLine="881"/>
        <w:spacing w:after="0" w:line="261" w:lineRule="auto"/>
        <w:rPr>
          <w:sz w:val="20"/>
          <w:szCs w:val="20"/>
          <w:color w:val="auto"/>
        </w:rPr>
      </w:pPr>
      <w:r>
        <w:rPr>
          <w:rFonts w:ascii="Times New Roman" w:cs="Times New Roman" w:eastAsia="Times New Roman" w:hAnsi="Times New Roman"/>
          <w:sz w:val="18"/>
          <w:szCs w:val="18"/>
          <w:color w:val="auto"/>
        </w:rPr>
        <w:t>We have never declared nor paid cash dividends on our capital stock. We currently intend to retain any future earnings to finance the operation and expansion of our business, and we do not expect to declare or pay any dividends in the foreseeable future. Consequently, stockholders must rely on sales of their common stock after price appreciation, which may never occur, as the only way to realize any future gains on their investment.</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could be subject to securities class action litigation.</w:t>
      </w:r>
    </w:p>
    <w:p>
      <w:pPr>
        <w:spacing w:after="0" w:line="229" w:lineRule="exact"/>
        <w:rPr>
          <w:sz w:val="20"/>
          <w:szCs w:val="20"/>
          <w:color w:val="auto"/>
        </w:rPr>
      </w:pPr>
    </w:p>
    <w:p>
      <w:pPr>
        <w:ind w:left="120" w:firstLine="881"/>
        <w:spacing w:after="0" w:line="289" w:lineRule="auto"/>
        <w:rPr>
          <w:sz w:val="20"/>
          <w:szCs w:val="20"/>
          <w:color w:val="auto"/>
        </w:rPr>
      </w:pPr>
      <w:r>
        <w:rPr>
          <w:rFonts w:ascii="Times New Roman" w:cs="Times New Roman" w:eastAsia="Times New Roman" w:hAnsi="Times New Roman"/>
          <w:sz w:val="17"/>
          <w:szCs w:val="17"/>
          <w:color w:val="auto"/>
        </w:rPr>
        <w:t>In the past, securities class action litigation has often been brought against a company following a decline in the market price of its securities. This risk is especially relevant for us because biopharmaceutical companies have experienced significant stock price volatility in recent years. If we face such litigation, it could result in substantial costs and a diversion of management’s attention and resources, which could harm our business.</w:t>
      </w:r>
    </w:p>
    <w:p>
      <w:pPr>
        <w:spacing w:after="0" w:line="9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1100"/>
          </w:cols>
          <w:pgMar w:left="320" w:top="455" w:right="479" w:bottom="1440" w:gutter="0" w:footer="0" w:header="0"/>
        </w:sectPr>
      </w:pPr>
    </w:p>
    <w:bookmarkStart w:id="85" w:name="page86"/>
    <w:bookmarkEnd w:id="8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operating results may fluctuate significantly, which makes our future operating results difficult to predict and could cause our operating results to fall below expectations or our guidance.</w:t>
      </w:r>
    </w:p>
    <w:p>
      <w:pPr>
        <w:spacing w:after="0" w:line="159" w:lineRule="exact"/>
        <w:rPr>
          <w:sz w:val="20"/>
          <w:szCs w:val="20"/>
          <w:color w:val="auto"/>
        </w:rPr>
      </w:pPr>
    </w:p>
    <w:p>
      <w:pPr>
        <w:ind w:left="120" w:right="420" w:firstLine="881"/>
        <w:spacing w:after="0" w:line="266" w:lineRule="auto"/>
        <w:rPr>
          <w:sz w:val="20"/>
          <w:szCs w:val="20"/>
          <w:color w:val="auto"/>
        </w:rPr>
      </w:pPr>
      <w:r>
        <w:rPr>
          <w:rFonts w:ascii="Times New Roman" w:cs="Times New Roman" w:eastAsia="Times New Roman" w:hAnsi="Times New Roman"/>
          <w:sz w:val="18"/>
          <w:szCs w:val="18"/>
          <w:color w:val="auto"/>
        </w:rPr>
        <w:t>Our quarterly and annual operating results may fluctuate significantly in the future, which makes it difficult for us to predict our future operating results. Our operating results may fluctuate due to a variety of factors, many of which are outside of our control and may be difficult to predict, including the following:</w:t>
      </w:r>
    </w:p>
    <w:p>
      <w:pPr>
        <w:spacing w:after="0" w:line="203" w:lineRule="exact"/>
        <w:rPr>
          <w:sz w:val="20"/>
          <w:szCs w:val="20"/>
          <w:color w:val="auto"/>
        </w:rPr>
      </w:pPr>
    </w:p>
    <w:p>
      <w:pPr>
        <w:ind w:left="1420" w:right="140" w:hanging="319"/>
        <w:spacing w:after="0" w:line="282" w:lineRule="auto"/>
        <w:tabs>
          <w:tab w:leader="none" w:pos="142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success or failure of clinical trials for our product candidates or competing product candidates, or any other change in the competitive landscape of our industry, including consolidation among our competitors or partners;</w:t>
      </w:r>
    </w:p>
    <w:p>
      <w:pPr>
        <w:spacing w:after="0" w:line="188" w:lineRule="exact"/>
        <w:rPr>
          <w:rFonts w:ascii="Times New Roman" w:cs="Times New Roman" w:eastAsia="Times New Roman" w:hAnsi="Times New Roman"/>
          <w:sz w:val="18"/>
          <w:szCs w:val="18"/>
          <w:color w:val="auto"/>
        </w:rPr>
      </w:pPr>
    </w:p>
    <w:p>
      <w:pPr>
        <w:ind w:left="1420" w:right="520" w:hanging="319"/>
        <w:spacing w:after="0" w:line="282" w:lineRule="auto"/>
        <w:tabs>
          <w:tab w:leader="none" w:pos="142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recruit patients for preclinical studies and clinical trials, and any delays caused by difficulties in such recruitment efforts;</w:t>
      </w:r>
    </w:p>
    <w:p>
      <w:pPr>
        <w:spacing w:after="0" w:line="188"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regulatory approval for our product candidates, and the timing and scope of any such approvals we may receive;</w:t>
      </w:r>
    </w:p>
    <w:p>
      <w:pPr>
        <w:spacing w:after="0" w:line="252" w:lineRule="exact"/>
        <w:rPr>
          <w:rFonts w:ascii="Times New Roman" w:cs="Times New Roman" w:eastAsia="Times New Roman" w:hAnsi="Times New Roman"/>
          <w:sz w:val="18"/>
          <w:szCs w:val="18"/>
          <w:color w:val="auto"/>
        </w:rPr>
      </w:pPr>
    </w:p>
    <w:p>
      <w:pPr>
        <w:ind w:left="1420" w:right="140" w:hanging="319"/>
        <w:spacing w:after="0" w:line="282" w:lineRule="auto"/>
        <w:tabs>
          <w:tab w:leader="none" w:pos="142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cost of, and level of investment in, research and development activities relating to our product candidates, which may change from time to time;</w:t>
      </w:r>
    </w:p>
    <w:p>
      <w:pPr>
        <w:spacing w:after="0" w:line="188" w:lineRule="exact"/>
        <w:rPr>
          <w:rFonts w:ascii="Times New Roman" w:cs="Times New Roman" w:eastAsia="Times New Roman" w:hAnsi="Times New Roman"/>
          <w:sz w:val="18"/>
          <w:szCs w:val="18"/>
          <w:color w:val="auto"/>
        </w:rPr>
      </w:pPr>
    </w:p>
    <w:p>
      <w:pPr>
        <w:ind w:left="1420" w:right="460" w:hanging="319"/>
        <w:spacing w:after="0" w:line="282" w:lineRule="auto"/>
        <w:tabs>
          <w:tab w:leader="none" w:pos="142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manufacturing our product candidates, which may vary depending on the quantity of production and the terms of our agreements with manufacturers;</w:t>
      </w:r>
    </w:p>
    <w:p>
      <w:pPr>
        <w:spacing w:after="0" w:line="188"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hire and retain qualified personnel;</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expenditures that we will or may incur to develop additional product candidates;</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demand for our product candidates should they receive approval, which may vary significantly;</w:t>
      </w:r>
    </w:p>
    <w:p>
      <w:pPr>
        <w:spacing w:after="0" w:line="252" w:lineRule="exact"/>
        <w:rPr>
          <w:rFonts w:ascii="Times New Roman" w:cs="Times New Roman" w:eastAsia="Times New Roman" w:hAnsi="Times New Roman"/>
          <w:sz w:val="18"/>
          <w:szCs w:val="18"/>
          <w:color w:val="auto"/>
        </w:rPr>
      </w:pPr>
    </w:p>
    <w:p>
      <w:pPr>
        <w:ind w:left="1420" w:hanging="319"/>
        <w:spacing w:after="0" w:line="282" w:lineRule="auto"/>
        <w:tabs>
          <w:tab w:leader="none" w:pos="142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risk/benefit profile, cost and reimbursement policies with respect to our product candidates, if approved, and existing and potential future drugs that compete with our product candidates;</w:t>
      </w:r>
    </w:p>
    <w:p>
      <w:pPr>
        <w:spacing w:after="0" w:line="188"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changing and volatile U.S., European and global economic environments, including impact of COVID-19; and</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accounting pronouncements or changes in our accounting policies.</w:t>
      </w:r>
    </w:p>
    <w:p>
      <w:pPr>
        <w:spacing w:after="0" w:line="225" w:lineRule="exact"/>
        <w:rPr>
          <w:sz w:val="20"/>
          <w:szCs w:val="20"/>
          <w:color w:val="auto"/>
        </w:rPr>
      </w:pPr>
    </w:p>
    <w:p>
      <w:pPr>
        <w:ind w:left="120" w:right="60" w:firstLine="881"/>
        <w:spacing w:after="0" w:line="256" w:lineRule="auto"/>
        <w:rPr>
          <w:sz w:val="20"/>
          <w:szCs w:val="20"/>
          <w:color w:val="auto"/>
        </w:rPr>
      </w:pPr>
      <w:r>
        <w:rPr>
          <w:rFonts w:ascii="Times New Roman" w:cs="Times New Roman" w:eastAsia="Times New Roman" w:hAnsi="Times New Roman"/>
          <w:sz w:val="18"/>
          <w:szCs w:val="18"/>
          <w:color w:val="auto"/>
        </w:rPr>
        <w:t>The cumulative effects of these factors could result in large fluctuations and unpredictability in our quarterly and annual operating results. As a result, comparing our operating results on a period-to-period basis may not be meaningful. This variability and unpredictability could also result in our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when we have met any previously publicly stated guidance we may provide.</w:t>
      </w:r>
    </w:p>
    <w:p>
      <w:pPr>
        <w:spacing w:after="0" w:line="183" w:lineRule="exact"/>
        <w:rPr>
          <w:sz w:val="20"/>
          <w:szCs w:val="20"/>
          <w:color w:val="auto"/>
        </w:rPr>
      </w:pPr>
    </w:p>
    <w:p>
      <w:pPr>
        <w:jc w:val="both"/>
        <w:ind w:left="120" w:right="12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Delaware law and provisions in our amended and restated certificate of incorporation and amended and restated bylaws that will be in effect at the completion of this offering could make a merger, tender offer or proxy contest difficult, thereby depressing the trading price of our common stock.</w:t>
      </w:r>
    </w:p>
    <w:p>
      <w:pPr>
        <w:spacing w:after="0" w:line="136" w:lineRule="exact"/>
        <w:rPr>
          <w:sz w:val="20"/>
          <w:szCs w:val="20"/>
          <w:color w:val="auto"/>
        </w:rPr>
      </w:pPr>
    </w:p>
    <w:p>
      <w:pPr>
        <w:ind w:left="120" w:right="240" w:firstLine="881"/>
        <w:spacing w:after="0" w:line="282" w:lineRule="auto"/>
        <w:rPr>
          <w:sz w:val="20"/>
          <w:szCs w:val="20"/>
          <w:color w:val="auto"/>
        </w:rPr>
      </w:pPr>
      <w:r>
        <w:rPr>
          <w:rFonts w:ascii="Times New Roman" w:cs="Times New Roman" w:eastAsia="Times New Roman" w:hAnsi="Times New Roman"/>
          <w:sz w:val="18"/>
          <w:szCs w:val="18"/>
          <w:color w:val="auto"/>
        </w:rPr>
        <w:t>Following the completion of this offering, our status as a Delaware corporation and the anti-takeover provisions of the Delaware General Corporation Law may discourage, delay or prevent a change in control by</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1100"/>
          </w:cols>
          <w:pgMar w:left="320" w:top="455" w:right="479" w:bottom="1440" w:gutter="0" w:footer="0" w:header="0"/>
        </w:sectPr>
      </w:pPr>
    </w:p>
    <w:bookmarkStart w:id="86" w:name="page87"/>
    <w:bookmarkEnd w:id="8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prohibiting us from engaging in a business combination with an interested stockholder for a period of three years after the person becomes an interested stockholder, even if a change of control would be beneficial to our existing stockholders. In addition, our amended and restated certificate of incorporation and amended and restated bylaws that will be in effect at the completion of this offering will contain provisions that may make the acquisition of our company more difficult, including the following:</w:t>
      </w:r>
    </w:p>
    <w:p>
      <w:pPr>
        <w:spacing w:after="0" w:line="207" w:lineRule="exact"/>
        <w:rPr>
          <w:sz w:val="20"/>
          <w:szCs w:val="20"/>
          <w:color w:val="auto"/>
        </w:rPr>
      </w:pPr>
    </w:p>
    <w:p>
      <w:pPr>
        <w:ind w:left="1420" w:right="900" w:hanging="319"/>
        <w:spacing w:after="0" w:line="282" w:lineRule="auto"/>
        <w:tabs>
          <w:tab w:leader="none" w:pos="142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classified board of directors with three-year staggered terms, which could delay the ability of stockholders to change the membership of a majority of our board of directors;</w:t>
      </w:r>
    </w:p>
    <w:p>
      <w:pPr>
        <w:spacing w:after="0" w:line="188" w:lineRule="exact"/>
        <w:rPr>
          <w:rFonts w:ascii="Times New Roman" w:cs="Times New Roman" w:eastAsia="Times New Roman" w:hAnsi="Times New Roman"/>
          <w:sz w:val="18"/>
          <w:szCs w:val="18"/>
          <w:color w:val="auto"/>
        </w:rPr>
      </w:pPr>
    </w:p>
    <w:p>
      <w:pPr>
        <w:ind w:left="1420" w:right="140" w:hanging="319"/>
        <w:spacing w:after="0" w:line="266" w:lineRule="auto"/>
        <w:tabs>
          <w:tab w:leader="none" w:pos="142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board of directors to issue shares of preferred stock and to determine the price and other terms of those shares, including preferences and voting rights, without stockholder approval, which could be used to significantly dilute the ownership of a hostile acquiror;</w:t>
      </w:r>
    </w:p>
    <w:p>
      <w:pPr>
        <w:spacing w:after="0" w:line="202" w:lineRule="exact"/>
        <w:rPr>
          <w:rFonts w:ascii="Times New Roman" w:cs="Times New Roman" w:eastAsia="Times New Roman" w:hAnsi="Times New Roman"/>
          <w:sz w:val="18"/>
          <w:szCs w:val="18"/>
          <w:color w:val="auto"/>
        </w:rPr>
      </w:pPr>
    </w:p>
    <w:p>
      <w:pPr>
        <w:ind w:left="1420" w:hanging="319"/>
        <w:spacing w:after="0" w:line="312" w:lineRule="auto"/>
        <w:tabs>
          <w:tab w:leader="none" w:pos="1420"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exclusive right of our board of directors to elect a director to fill a vacancy created by the expansion of our board of directors or the resignation, death or removal of a director, which prevents stockholders from being able to fill vacancies on our board of directors;</w:t>
      </w:r>
    </w:p>
    <w:p>
      <w:pPr>
        <w:spacing w:after="0" w:line="166" w:lineRule="exact"/>
        <w:rPr>
          <w:rFonts w:ascii="Times New Roman" w:cs="Times New Roman" w:eastAsia="Times New Roman" w:hAnsi="Times New Roman"/>
          <w:sz w:val="17"/>
          <w:szCs w:val="17"/>
          <w:color w:val="auto"/>
        </w:rPr>
      </w:pPr>
    </w:p>
    <w:p>
      <w:pPr>
        <w:ind w:left="1420" w:right="100" w:hanging="319"/>
        <w:spacing w:after="0" w:line="282" w:lineRule="auto"/>
        <w:tabs>
          <w:tab w:leader="none" w:pos="142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prohibition on stockholder action by written consent, which forces stockholder action to be taken at an annual or special meeting of our stockholders;</w:t>
      </w:r>
    </w:p>
    <w:p>
      <w:pPr>
        <w:spacing w:after="0" w:line="188" w:lineRule="exact"/>
        <w:rPr>
          <w:rFonts w:ascii="Times New Roman" w:cs="Times New Roman" w:eastAsia="Times New Roman" w:hAnsi="Times New Roman"/>
          <w:sz w:val="18"/>
          <w:szCs w:val="18"/>
          <w:color w:val="auto"/>
        </w:rPr>
      </w:pPr>
    </w:p>
    <w:p>
      <w:pPr>
        <w:ind w:left="1420" w:right="440" w:hanging="319"/>
        <w:spacing w:after="0" w:line="266" w:lineRule="auto"/>
        <w:tabs>
          <w:tab w:leader="none" w:pos="142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that a special meeting of stockholders may be called only by a majority vote of our entire board of directors, the chairman of our board of directors or our chief executive officer, which could delay the ability of our stockholders to force consideration of a proposal or to take action, including the removal of directors;</w:t>
      </w:r>
    </w:p>
    <w:p>
      <w:pPr>
        <w:spacing w:after="0" w:line="202" w:lineRule="exact"/>
        <w:rPr>
          <w:rFonts w:ascii="Times New Roman" w:cs="Times New Roman" w:eastAsia="Times New Roman" w:hAnsi="Times New Roman"/>
          <w:sz w:val="18"/>
          <w:szCs w:val="18"/>
          <w:color w:val="auto"/>
        </w:rPr>
      </w:pPr>
    </w:p>
    <w:p>
      <w:pPr>
        <w:ind w:left="1420" w:right="60" w:hanging="319"/>
        <w:spacing w:after="0" w:line="261" w:lineRule="auto"/>
        <w:tabs>
          <w:tab w:leader="none" w:pos="142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for the affirmative vote of holders of at least 66 2/3% of the voting power of all of the then-outstanding shares of the voting stock, voting together as a single class, to amend the provisions of our amended and restated certificate of incorporation or our amended and restated bylaws, which may inhibit the ability of an acquiror to effect such amendments to facilitate an unsolicited takeover attempt; and</w:t>
      </w:r>
    </w:p>
    <w:p>
      <w:pPr>
        <w:spacing w:after="0" w:line="206" w:lineRule="exact"/>
        <w:rPr>
          <w:rFonts w:ascii="Times New Roman" w:cs="Times New Roman" w:eastAsia="Times New Roman" w:hAnsi="Times New Roman"/>
          <w:sz w:val="18"/>
          <w:szCs w:val="18"/>
          <w:color w:val="auto"/>
        </w:rPr>
      </w:pPr>
    </w:p>
    <w:p>
      <w:pPr>
        <w:ind w:left="1420" w:right="20" w:hanging="319"/>
        <w:spacing w:after="0" w:line="266" w:lineRule="auto"/>
        <w:tabs>
          <w:tab w:leader="none" w:pos="142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notice procedures with which stockholders must comply to nominate candidates to our board of directors or to propose matters to be acted upon at a stockholders’ meeting, which may discourage or deter a potential acquiror from conducting a solicitation of proxies to elect the acquiror’s own slate of directors or otherwise attempting to obtain control of us.</w:t>
      </w:r>
    </w:p>
    <w:p>
      <w:pPr>
        <w:spacing w:after="0" w:line="176" w:lineRule="exact"/>
        <w:rPr>
          <w:sz w:val="20"/>
          <w:szCs w:val="20"/>
          <w:color w:val="auto"/>
        </w:rPr>
      </w:pPr>
    </w:p>
    <w:p>
      <w:pPr>
        <w:ind w:left="120" w:firstLine="881"/>
        <w:spacing w:after="0" w:line="261" w:lineRule="auto"/>
        <w:rPr>
          <w:sz w:val="20"/>
          <w:szCs w:val="20"/>
          <w:color w:val="auto"/>
        </w:rPr>
      </w:pPr>
      <w:r>
        <w:rPr>
          <w:rFonts w:ascii="Times New Roman" w:cs="Times New Roman" w:eastAsia="Times New Roman" w:hAnsi="Times New Roman"/>
          <w:sz w:val="18"/>
          <w:szCs w:val="18"/>
          <w:color w:val="auto"/>
        </w:rPr>
        <w:t>In addition, as a Delaware corporation, we are subject to Section 203 of the Delaware General Corporation Law. These provisions may prohibit large stockholders, in particular those owning 15% or more of our outstanding voting stock, from merging or combining with us for a certain period of time. A Delaware corporation may opt out of this provision by express provision in its original certificate of incorporation or by amendment to its certificate of incorporation or bylaws approved by its stockholders. However, we have not opted out of this provision.</w:t>
      </w:r>
    </w:p>
    <w:p>
      <w:pPr>
        <w:spacing w:after="0" w:line="180" w:lineRule="exact"/>
        <w:rPr>
          <w:sz w:val="20"/>
          <w:szCs w:val="20"/>
          <w:color w:val="auto"/>
        </w:rPr>
      </w:pPr>
    </w:p>
    <w:p>
      <w:pPr>
        <w:jc w:val="both"/>
        <w:ind w:left="120" w:right="120" w:firstLine="881"/>
        <w:spacing w:after="0" w:line="261" w:lineRule="auto"/>
        <w:rPr>
          <w:sz w:val="20"/>
          <w:szCs w:val="20"/>
          <w:color w:val="auto"/>
        </w:rPr>
      </w:pPr>
      <w:r>
        <w:rPr>
          <w:rFonts w:ascii="Times New Roman" w:cs="Times New Roman" w:eastAsia="Times New Roman" w:hAnsi="Times New Roman"/>
          <w:sz w:val="18"/>
          <w:szCs w:val="18"/>
          <w:color w:val="auto"/>
        </w:rPr>
        <w:t>These and other provisions in our amended and restated certificate of incorporation, amended and restated bylaws and Delaware law could make it more difficult for stockholders or potential acquirors to obtain control of our board of directors or initiate actions that are opposed by our then-current board of directors, including delay or impede a merger, tender offer or proxy contest involving our company. The existence of these provisions could negatively affect the price of our common stock and limit opportunities for you to realize value in a corporate transaction.</w:t>
      </w:r>
    </w:p>
    <w:p>
      <w:pPr>
        <w:spacing w:after="0" w:line="180"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For information regarding these and other provisions, see the section titled “Description of Capital Stock.”</w:t>
      </w:r>
    </w:p>
    <w:p>
      <w:pPr>
        <w:spacing w:after="0" w:line="158"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1100"/>
          </w:cols>
          <w:pgMar w:left="320" w:top="455" w:right="479" w:bottom="1440" w:gutter="0" w:footer="0" w:header="0"/>
        </w:sectPr>
      </w:pPr>
    </w:p>
    <w:bookmarkStart w:id="87" w:name="page88"/>
    <w:bookmarkEnd w:id="8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both"/>
        <w:ind w:lef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certificate of incorporation will provide that the Court of Chancery of the State of Delaware and the U.S. federal district courts are the exclusive forums for substantially all disputes between us and our stockholders, which could limit our stockholders’ ability to obtain a favorable judicial forum for disputes with us or our directors, officers or employees.</w:t>
      </w:r>
    </w:p>
    <w:p>
      <w:pPr>
        <w:spacing w:after="0" w:line="175" w:lineRule="exact"/>
        <w:rPr>
          <w:sz w:val="20"/>
          <w:szCs w:val="20"/>
          <w:color w:val="auto"/>
        </w:rPr>
      </w:pPr>
    </w:p>
    <w:p>
      <w:pPr>
        <w:ind w:left="120" w:right="20" w:firstLine="881"/>
        <w:spacing w:after="0" w:line="261" w:lineRule="auto"/>
        <w:rPr>
          <w:sz w:val="20"/>
          <w:szCs w:val="20"/>
          <w:color w:val="auto"/>
        </w:rPr>
      </w:pPr>
      <w:r>
        <w:rPr>
          <w:rFonts w:ascii="Times New Roman" w:cs="Times New Roman" w:eastAsia="Times New Roman" w:hAnsi="Times New Roman"/>
          <w:sz w:val="18"/>
          <w:szCs w:val="18"/>
          <w:color w:val="auto"/>
        </w:rPr>
        <w:t>Our amended and restated certificate of incorporation will provide that the Court of Chancery of the State of Delaware is the exclusive forum for any derivative action or proceeding brought on our behalf, any action asserting a breach of fiduciary duty, any action asserting a claim against us arising pursuant to the Delaware General Corporation Law, our certificate of incorporation or our bylaws or any action asserting a claim against us that is governed by the internal affairs doctrine.</w:t>
      </w:r>
    </w:p>
    <w:p>
      <w:pPr>
        <w:spacing w:after="0" w:line="180" w:lineRule="exact"/>
        <w:rPr>
          <w:sz w:val="20"/>
          <w:szCs w:val="20"/>
          <w:color w:val="auto"/>
        </w:rPr>
      </w:pPr>
    </w:p>
    <w:p>
      <w:pPr>
        <w:ind w:left="120" w:firstLine="881"/>
        <w:spacing w:after="0" w:line="254" w:lineRule="auto"/>
        <w:rPr>
          <w:sz w:val="20"/>
          <w:szCs w:val="20"/>
          <w:color w:val="auto"/>
        </w:rPr>
      </w:pPr>
      <w:r>
        <w:rPr>
          <w:rFonts w:ascii="Times New Roman" w:cs="Times New Roman" w:eastAsia="Times New Roman" w:hAnsi="Times New Roman"/>
          <w:sz w:val="18"/>
          <w:szCs w:val="18"/>
          <w:color w:val="auto"/>
        </w:rPr>
        <w:t>This provision would not apply to suits brought to enforce a duty or liability created by the Exchange Act.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certificate of incorporation will further provide that the U.S. federal district courts will be the exclusive forum for resolving any complaint asserting a cause of action arising under the Securities Act. 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certificate of incorporation. This may require significant additional costs associated with resolving such action in other jurisdictions and there can be no assurance that the provisions will be enforced by a court in those other jurisdictions.</w:t>
      </w:r>
    </w:p>
    <w:p>
      <w:pPr>
        <w:spacing w:after="0" w:line="188" w:lineRule="exact"/>
        <w:rPr>
          <w:sz w:val="20"/>
          <w:szCs w:val="20"/>
          <w:color w:val="auto"/>
        </w:rPr>
      </w:pPr>
    </w:p>
    <w:p>
      <w:pPr>
        <w:ind w:left="120" w:right="60" w:firstLine="881"/>
        <w:spacing w:after="0" w:line="261" w:lineRule="auto"/>
        <w:rPr>
          <w:sz w:val="20"/>
          <w:szCs w:val="20"/>
          <w:color w:val="auto"/>
        </w:rPr>
      </w:pPr>
      <w:r>
        <w:rPr>
          <w:rFonts w:ascii="Times New Roman" w:cs="Times New Roman" w:eastAsia="Times New Roman" w:hAnsi="Times New Roman"/>
          <w:sz w:val="18"/>
          <w:szCs w:val="18"/>
          <w:color w:val="auto"/>
        </w:rPr>
        <w:t>This choice of forum provision may limit a stockholder’s ability to bring a claim in a judicial forum that it finds favorable for disputes with us or our directors, officers or other employees and may discourage these types of lawsuits. Alternatively, if a court were to find the choice of forum provision contained in our amended and restated certificate of incorporation to be inapplicable or unenforceable in an action, we may incur additional costs associated with resolving such action in other jurisdictions.</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1080"/>
          </w:cols>
          <w:pgMar w:left="320" w:top="455" w:right="499" w:bottom="1440" w:gutter="0" w:footer="0" w:header="0"/>
        </w:sectPr>
      </w:pPr>
    </w:p>
    <w:bookmarkStart w:id="88" w:name="page89"/>
    <w:bookmarkEnd w:id="8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ind w:left="120" w:right="80" w:firstLine="881"/>
        <w:spacing w:after="0" w:line="274" w:lineRule="auto"/>
        <w:rPr>
          <w:sz w:val="20"/>
          <w:szCs w:val="20"/>
          <w:color w:val="auto"/>
        </w:rPr>
      </w:pPr>
      <w:r>
        <w:rPr>
          <w:rFonts w:ascii="Times New Roman" w:cs="Times New Roman" w:eastAsia="Times New Roman" w:hAnsi="Times New Roman"/>
          <w:sz w:val="17"/>
          <w:szCs w:val="17"/>
          <w:color w:val="auto"/>
        </w:rPr>
        <w:t>This prospectus contains forward-looking statements. All statements other than statements of historical facts contained in this prospectus, including statements regarding our future results of operations and financial position, future revenue, business strategy, prospects, product candidates, planned preclinical studies and clinical trials, results of clinical trials, research and development costs, regulatory approvals, timing and likelihood of success, as well as plans and objectives of management for future operations, are forward-looking statements. These statements involve known and unknown risks, uncertainties and other important factors that are in some cases beyond our control and may cause our actual results, performance or achievements to be materially different from any future results, performance or achievements expressed or implied by the forward-looking statements.</w:t>
      </w:r>
    </w:p>
    <w:p>
      <w:pPr>
        <w:spacing w:after="0" w:line="173" w:lineRule="exact"/>
        <w:rPr>
          <w:sz w:val="20"/>
          <w:szCs w:val="20"/>
          <w:color w:val="auto"/>
        </w:rPr>
      </w:pPr>
    </w:p>
    <w:p>
      <w:pPr>
        <w:jc w:val="both"/>
        <w:ind w:left="120" w:right="140" w:firstLine="881"/>
        <w:spacing w:after="0" w:line="266" w:lineRule="auto"/>
        <w:rPr>
          <w:sz w:val="20"/>
          <w:szCs w:val="20"/>
          <w:color w:val="auto"/>
        </w:rPr>
      </w:pPr>
      <w:r>
        <w:rPr>
          <w:rFonts w:ascii="Times New Roman" w:cs="Times New Roman" w:eastAsia="Times New Roman" w:hAnsi="Times New Roman"/>
          <w:sz w:val="18"/>
          <w:szCs w:val="18"/>
          <w:color w:val="auto"/>
        </w:rPr>
        <w:t>The words “anticipate,” “believe,” contemplate,” “continue” “could,” “estimate,” “expect,” “intend,” “may,” “might,” “plan,” “potential” “predict,” “project,” “should,” “target,” “will” or “would” or the negative of these terms or other similar expressions are intended to identify forward looking statements. Forward-looking statements contained in this prospectus include, but are not limited to, statements about:</w:t>
      </w:r>
    </w:p>
    <w:p>
      <w:pPr>
        <w:spacing w:after="0" w:line="203" w:lineRule="exact"/>
        <w:rPr>
          <w:sz w:val="20"/>
          <w:szCs w:val="20"/>
          <w:color w:val="auto"/>
        </w:rPr>
      </w:pPr>
    </w:p>
    <w:p>
      <w:pPr>
        <w:ind w:left="1420" w:hanging="319"/>
        <w:spacing w:after="0"/>
        <w:tabs>
          <w:tab w:leader="none" w:pos="142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likelihood of our clinical trials demonstrating safety and efficacy of our product candidates, and other positive results;</w:t>
      </w:r>
    </w:p>
    <w:p>
      <w:pPr>
        <w:spacing w:after="0" w:line="252" w:lineRule="exact"/>
        <w:rPr>
          <w:rFonts w:ascii="Times New Roman" w:cs="Times New Roman" w:eastAsia="Times New Roman" w:hAnsi="Times New Roman"/>
          <w:sz w:val="18"/>
          <w:szCs w:val="18"/>
          <w:color w:val="auto"/>
        </w:rPr>
      </w:pPr>
    </w:p>
    <w:p>
      <w:pPr>
        <w:ind w:left="1420" w:hanging="319"/>
        <w:spacing w:after="0" w:line="282" w:lineRule="auto"/>
        <w:tabs>
          <w:tab w:leader="none" w:pos="142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progress of our current clinical trials and timing of initiation of our future clinical trials, and the reporting of data from our current and future trials;</w:t>
      </w:r>
    </w:p>
    <w:p>
      <w:pPr>
        <w:spacing w:after="0" w:line="188" w:lineRule="exact"/>
        <w:rPr>
          <w:rFonts w:ascii="Times New Roman" w:cs="Times New Roman" w:eastAsia="Times New Roman" w:hAnsi="Times New Roman"/>
          <w:sz w:val="18"/>
          <w:szCs w:val="18"/>
          <w:color w:val="auto"/>
        </w:rPr>
      </w:pPr>
    </w:p>
    <w:p>
      <w:pPr>
        <w:ind w:left="1420" w:right="260" w:hanging="319"/>
        <w:spacing w:after="0" w:line="282" w:lineRule="auto"/>
        <w:tabs>
          <w:tab w:leader="none" w:pos="142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relating to the clinical development of our current and future product candidates, including the size, number and disease areas to be evaluated;</w:t>
      </w:r>
    </w:p>
    <w:p>
      <w:pPr>
        <w:spacing w:after="0" w:line="188"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of Demodex blepharitis and the size of the market opportunity for our product candidates;</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and degree of market acceptance and clinical utility of our product candidates;</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relating to commercializing our product candidates, if approved, including sales strategy;</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COVID-19 on our business and operations;</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competing therapies that are or may become available;</w:t>
      </w:r>
    </w:p>
    <w:p>
      <w:pPr>
        <w:spacing w:after="0" w:line="252" w:lineRule="exact"/>
        <w:rPr>
          <w:rFonts w:ascii="Times New Roman" w:cs="Times New Roman" w:eastAsia="Times New Roman" w:hAnsi="Times New Roman"/>
          <w:sz w:val="18"/>
          <w:szCs w:val="18"/>
          <w:color w:val="auto"/>
        </w:rPr>
      </w:pPr>
    </w:p>
    <w:p>
      <w:pPr>
        <w:ind w:left="1420" w:right="120" w:hanging="319"/>
        <w:spacing w:after="0" w:line="282" w:lineRule="auto"/>
        <w:tabs>
          <w:tab w:leader="none" w:pos="142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of the number of patients in the United States or globally, as applicable, who suffer from Demodex blepharitis, MGD, rosacea, Lyme disease and malaria and the number of patients that will enroll in our clinical trials;</w:t>
      </w:r>
    </w:p>
    <w:p>
      <w:pPr>
        <w:spacing w:after="0" w:line="188"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beneficial characteristics, safety, efficacy, therapeutic effects and potential advantages of our product candidates;</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or likelihood of regulatory filings and approval for our product candidates;</w:t>
      </w:r>
    </w:p>
    <w:p>
      <w:pPr>
        <w:spacing w:after="0" w:line="252" w:lineRule="exact"/>
        <w:rPr>
          <w:rFonts w:ascii="Times New Roman" w:cs="Times New Roman" w:eastAsia="Times New Roman" w:hAnsi="Times New Roman"/>
          <w:sz w:val="18"/>
          <w:szCs w:val="18"/>
          <w:color w:val="auto"/>
        </w:rPr>
      </w:pPr>
    </w:p>
    <w:p>
      <w:pPr>
        <w:ind w:left="1420" w:hanging="319"/>
        <w:spacing w:after="0" w:line="282" w:lineRule="auto"/>
        <w:tabs>
          <w:tab w:leader="none" w:pos="142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regulatory approval of our product candidates and our product candidates to meet existing or future regulatory standards;</w:t>
      </w:r>
    </w:p>
    <w:p>
      <w:pPr>
        <w:spacing w:after="0" w:line="188" w:lineRule="exact"/>
        <w:rPr>
          <w:rFonts w:ascii="Times New Roman" w:cs="Times New Roman" w:eastAsia="Times New Roman" w:hAnsi="Times New Roman"/>
          <w:sz w:val="18"/>
          <w:szCs w:val="18"/>
          <w:color w:val="auto"/>
        </w:rPr>
      </w:pPr>
    </w:p>
    <w:p>
      <w:pPr>
        <w:ind w:left="1420" w:hanging="319"/>
        <w:spacing w:after="0" w:line="282" w:lineRule="auto"/>
        <w:tabs>
          <w:tab w:leader="none" w:pos="142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relating to the further development and manufacturing of our product candidates, including additional indications for which we may pursue;</w:t>
      </w:r>
    </w:p>
    <w:p>
      <w:pPr>
        <w:spacing w:after="0" w:line="94" w:lineRule="exact"/>
        <w:rPr>
          <w:rFonts w:ascii="Times New Roman" w:cs="Times New Roman" w:eastAsia="Times New Roman" w:hAnsi="Times New Roman"/>
          <w:sz w:val="18"/>
          <w:szCs w:val="18"/>
          <w:color w:val="auto"/>
        </w:rPr>
      </w:pPr>
    </w:p>
    <w:p>
      <w:pPr>
        <w:ind w:left="5540" w:hanging="111"/>
        <w:spacing w:after="0"/>
        <w:tabs>
          <w:tab w:leader="none" w:pos="5540"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86 -</w:t>
      </w:r>
    </w:p>
    <w:p>
      <w:pPr>
        <w:sectPr>
          <w:pgSz w:w="11900" w:h="16838" w:orient="portrait"/>
          <w:cols w:equalWidth="0" w:num="1">
            <w:col w:w="11020"/>
          </w:cols>
          <w:pgMar w:left="320" w:top="455" w:right="559" w:bottom="1440" w:gutter="0" w:footer="0" w:header="0"/>
        </w:sectPr>
      </w:pPr>
    </w:p>
    <w:bookmarkStart w:id="89" w:name="page90"/>
    <w:bookmarkEnd w:id="8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420" w:right="60" w:hanging="319"/>
        <w:spacing w:after="0" w:line="282" w:lineRule="auto"/>
        <w:tabs>
          <w:tab w:leader="none" w:pos="142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additional products, product candidates or technologies with significant commercial potential that are consistent with our commercial objectives;</w:t>
      </w:r>
    </w:p>
    <w:p>
      <w:pPr>
        <w:spacing w:after="0" w:line="188" w:lineRule="exact"/>
        <w:rPr>
          <w:rFonts w:ascii="Times New Roman" w:cs="Times New Roman" w:eastAsia="Times New Roman" w:hAnsi="Times New Roman"/>
          <w:sz w:val="18"/>
          <w:szCs w:val="18"/>
          <w:color w:val="auto"/>
        </w:rPr>
      </w:pPr>
    </w:p>
    <w:p>
      <w:pPr>
        <w:ind w:left="1420" w:right="180" w:hanging="319"/>
        <w:spacing w:after="0" w:line="282" w:lineRule="auto"/>
        <w:tabs>
          <w:tab w:leader="none" w:pos="142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potential benefits of strategic collaborations with third parties and our ability to attract collaborators with development, regulatory and commercialization expertise;</w:t>
      </w:r>
    </w:p>
    <w:p>
      <w:pPr>
        <w:spacing w:after="0" w:line="188"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existing regulations and regulatory developments in the United States and other jurisdictions;</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and ability to obtain or protect intellectual property rights, including extensions of existing patent terms where available;</w:t>
      </w:r>
    </w:p>
    <w:p>
      <w:pPr>
        <w:spacing w:after="0" w:line="252" w:lineRule="exact"/>
        <w:rPr>
          <w:rFonts w:ascii="Times New Roman" w:cs="Times New Roman" w:eastAsia="Times New Roman" w:hAnsi="Times New Roman"/>
          <w:sz w:val="18"/>
          <w:szCs w:val="18"/>
          <w:color w:val="auto"/>
        </w:rPr>
      </w:pPr>
    </w:p>
    <w:p>
      <w:pPr>
        <w:ind w:left="1420" w:right="240" w:hanging="319"/>
        <w:spacing w:after="0" w:line="282" w:lineRule="auto"/>
        <w:tabs>
          <w:tab w:leader="none" w:pos="142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continued reliance on third parties to conduct additional clinical trials of our product candidates, and for the manufacture of our product candidates for preclinical studies and clinical trials;</w:t>
      </w:r>
    </w:p>
    <w:p>
      <w:pPr>
        <w:spacing w:after="0" w:line="188"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hire additional personnel, in particular sales personnel, and our ability to attract and retain such personnel;</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of our estimates regarding expenses, future revenue, capital requirements and needs for additional financing;</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performance;</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sufficiency of our existing capital resources to fund our future operating expenses and capital expenditure requirements;</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competitive position;</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period during which we will qualify as an emerging growth company under the JOBS Act; and</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anticipated use of our existing resources and the proceeds from this offering.</w:t>
      </w:r>
    </w:p>
    <w:p>
      <w:pPr>
        <w:spacing w:after="0" w:line="225" w:lineRule="exact"/>
        <w:rPr>
          <w:sz w:val="20"/>
          <w:szCs w:val="20"/>
          <w:color w:val="auto"/>
        </w:rPr>
      </w:pPr>
    </w:p>
    <w:p>
      <w:pPr>
        <w:ind w:left="120" w:right="180" w:firstLine="881"/>
        <w:spacing w:after="0" w:line="256" w:lineRule="auto"/>
        <w:rPr>
          <w:sz w:val="20"/>
          <w:szCs w:val="20"/>
          <w:color w:val="auto"/>
        </w:rPr>
      </w:pPr>
      <w:r>
        <w:rPr>
          <w:rFonts w:ascii="Times New Roman" w:cs="Times New Roman" w:eastAsia="Times New Roman" w:hAnsi="Times New Roman"/>
          <w:sz w:val="18"/>
          <w:szCs w:val="18"/>
          <w:color w:val="auto"/>
        </w:rPr>
        <w:t>These forward-looking statements are subject to a number of risks, uncertainties and assumptions, including those described in the section titled “Risk Factors” elsewhere in this prospectus. 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forward-looking events and circumstances discussed in this prospectus may not occur and actual results could differ materially and adversely from those anticipated or implied in the forward-looking statements.</w:t>
      </w:r>
    </w:p>
    <w:p>
      <w:pPr>
        <w:spacing w:after="0" w:line="187" w:lineRule="exact"/>
        <w:rPr>
          <w:sz w:val="20"/>
          <w:szCs w:val="20"/>
          <w:color w:val="auto"/>
        </w:rPr>
      </w:pPr>
    </w:p>
    <w:p>
      <w:pPr>
        <w:ind w:left="120" w:firstLine="881"/>
        <w:spacing w:after="0" w:line="256" w:lineRule="auto"/>
        <w:rPr>
          <w:sz w:val="20"/>
          <w:szCs w:val="20"/>
          <w:color w:val="auto"/>
        </w:rPr>
      </w:pPr>
      <w:r>
        <w:rPr>
          <w:rFonts w:ascii="Times New Roman" w:cs="Times New Roman" w:eastAsia="Times New Roman" w:hAnsi="Times New Roman"/>
          <w:sz w:val="18"/>
          <w:szCs w:val="18"/>
          <w:color w:val="auto"/>
        </w:rPr>
        <w:t>You should not rely upon forward-looking statements as predictions of future events. Although we believe that the expectations reflected in the forward-looking statements are reasonable, we cannot guarantee that the future results, advancements, discoveries, levels of activity, performance or events and circumstances reflected in the forward-looking statements will be achieved or occur. Moreover, except as required by law, neither we nor any other person assumes responsibility for the accuracy and completeness of the forward-looking statements. We undertake no obligation to update publicly any forward-looking statements for any reason after the date of this prospectus to conform these statements to actual results or to changes in our expectations.</w:t>
      </w:r>
    </w:p>
    <w:p>
      <w:pPr>
        <w:spacing w:after="0" w:line="187" w:lineRule="exact"/>
        <w:rPr>
          <w:sz w:val="20"/>
          <w:szCs w:val="20"/>
          <w:color w:val="auto"/>
        </w:rPr>
      </w:pPr>
    </w:p>
    <w:p>
      <w:pPr>
        <w:ind w:left="120" w:right="200" w:firstLine="881"/>
        <w:spacing w:after="0" w:line="266" w:lineRule="auto"/>
        <w:rPr>
          <w:sz w:val="20"/>
          <w:szCs w:val="20"/>
          <w:color w:val="auto"/>
        </w:rPr>
      </w:pPr>
      <w:r>
        <w:rPr>
          <w:rFonts w:ascii="Times New Roman" w:cs="Times New Roman" w:eastAsia="Times New Roman" w:hAnsi="Times New Roman"/>
          <w:sz w:val="18"/>
          <w:szCs w:val="18"/>
          <w:color w:val="auto"/>
        </w:rPr>
        <w:t>You should read this prospectus and the documents that we reference in this prospectus and have filed with the SEC as exhibits to the registration statement of which this prospectus is a part with the understanding that our actual future results, levels of activity, performance and events and circumstances may be materially different from what we expect.</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-87-</w:t>
      </w:r>
    </w:p>
    <w:p>
      <w:pPr>
        <w:sectPr>
          <w:pgSz w:w="11900" w:h="16838" w:orient="portrait"/>
          <w:cols w:equalWidth="0" w:num="1">
            <w:col w:w="11120"/>
          </w:cols>
          <w:pgMar w:left="320" w:top="455" w:right="459" w:bottom="1440" w:gutter="0" w:footer="0" w:header="0"/>
        </w:sectPr>
      </w:pPr>
    </w:p>
    <w:bookmarkStart w:id="90" w:name="page91"/>
    <w:bookmarkEnd w:id="9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MARKET, INDUSTRY AND OTHER DATA</w:t>
      </w:r>
    </w:p>
    <w:p>
      <w:pPr>
        <w:spacing w:after="0" w:line="229" w:lineRule="exact"/>
        <w:rPr>
          <w:sz w:val="20"/>
          <w:szCs w:val="20"/>
          <w:color w:val="auto"/>
        </w:rPr>
      </w:pPr>
    </w:p>
    <w:p>
      <w:pPr>
        <w:ind w:left="120" w:firstLine="881"/>
        <w:spacing w:after="0" w:line="253" w:lineRule="auto"/>
        <w:rPr>
          <w:sz w:val="20"/>
          <w:szCs w:val="20"/>
          <w:color w:val="auto"/>
        </w:rPr>
      </w:pPr>
      <w:r>
        <w:rPr>
          <w:rFonts w:ascii="Times New Roman" w:cs="Times New Roman" w:eastAsia="Times New Roman" w:hAnsi="Times New Roman"/>
          <w:sz w:val="18"/>
          <w:szCs w:val="18"/>
          <w:color w:val="auto"/>
        </w:rPr>
        <w:t>This prospectus contains estimates, projections and other information concerning our industry, our business and the markets for our product candidates, including data regarding the estimated size of such markets and the incidence of certain medical conditions. We obtained the industry, market and similar data set forth in this prospectus from our internal estimates and research, including surveys and studies we have sponsored and/or conducted, and from published studies from third parties, including governmental agencies. Our estimates of the potential market opportunities for our product candidates include a number of key assumptions based on our industry knowledge, industry publications and third-party research, surveys and studies, which may be based on a small sample size and fail to accurately reflect market opportunities. Information based on estimates, forecasts, projections, market research or similar methodologies is inherently subject to uncertainties and actual events or circumstances may differ materially from events and circumstances that are assumed in this information. Unless otherwise expressly stated, we obtained this industry, business, market and other data from reports, research surveys, studies and similar data prepared by us and third parties, industry, medical and general publications, government data and similar sources.</w:t>
      </w:r>
    </w:p>
    <w:p>
      <w:pPr>
        <w:spacing w:after="0" w:line="127"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-88-</w:t>
      </w:r>
    </w:p>
    <w:p>
      <w:pPr>
        <w:sectPr>
          <w:pgSz w:w="11900" w:h="16838" w:orient="portrait"/>
          <w:cols w:equalWidth="0" w:num="1">
            <w:col w:w="11040"/>
          </w:cols>
          <w:pgMar w:left="320" w:top="455" w:right="539" w:bottom="1440" w:gutter="0" w:footer="0" w:header="0"/>
        </w:sectPr>
      </w:pPr>
    </w:p>
    <w:bookmarkStart w:id="91" w:name="page92"/>
    <w:bookmarkEnd w:id="9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1000"/>
        <w:spacing w:after="0"/>
        <w:tabs>
          <w:tab w:leader="none" w:pos="7180" w:val="left"/>
          <w:tab w:leader="none" w:pos="8800" w:val="left"/>
        </w:tabs>
        <w:rPr>
          <w:sz w:val="20"/>
          <w:szCs w:val="20"/>
          <w:color w:val="auto"/>
        </w:rPr>
      </w:pPr>
      <w:r>
        <w:rPr>
          <w:rFonts w:ascii="Times New Roman" w:cs="Times New Roman" w:eastAsia="Times New Roman" w:hAnsi="Times New Roman"/>
          <w:sz w:val="18"/>
          <w:szCs w:val="18"/>
          <w:color w:val="auto"/>
        </w:rPr>
        <w:t>We estimate that the net proceeds from this offering will be approximately $</w:t>
      </w:r>
      <w:r>
        <w:rPr>
          <w:sz w:val="20"/>
          <w:szCs w:val="20"/>
          <w:color w:val="auto"/>
        </w:rPr>
        <w:tab/>
      </w:r>
      <w:r>
        <w:rPr>
          <w:rFonts w:ascii="Times New Roman" w:cs="Times New Roman" w:eastAsia="Times New Roman" w:hAnsi="Times New Roman"/>
          <w:sz w:val="18"/>
          <w:szCs w:val="18"/>
          <w:color w:val="auto"/>
        </w:rPr>
        <w:t>million, or $</w:t>
      </w:r>
      <w:r>
        <w:rPr>
          <w:sz w:val="20"/>
          <w:szCs w:val="20"/>
          <w:color w:val="auto"/>
        </w:rPr>
        <w:tab/>
      </w:r>
      <w:r>
        <w:rPr>
          <w:rFonts w:ascii="Times New Roman" w:cs="Times New Roman" w:eastAsia="Times New Roman" w:hAnsi="Times New Roman"/>
          <w:sz w:val="18"/>
          <w:szCs w:val="18"/>
          <w:color w:val="auto"/>
        </w:rPr>
        <w:t>million if the underwriters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exercise their option to purchase additional shares in full, after deducting estimated underwriting discounts and commissions and estimated offering</w:t>
      </w:r>
    </w:p>
    <w:p>
      <w:pPr>
        <w:spacing w:after="0" w:line="200" w:lineRule="exact"/>
        <w:rPr>
          <w:sz w:val="20"/>
          <w:szCs w:val="20"/>
          <w:color w:val="auto"/>
        </w:rPr>
      </w:pPr>
    </w:p>
    <w:p>
      <w:pPr>
        <w:spacing w:after="0" w:line="205"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expenses payable by us, assuming an initial public offering price of $ per share, which is the midpoint of the estimated price range set forth on the cover page of this prospectus.</w:t>
      </w:r>
    </w:p>
    <w:p>
      <w:pPr>
        <w:spacing w:after="0" w:line="162" w:lineRule="exact"/>
        <w:rPr>
          <w:sz w:val="20"/>
          <w:szCs w:val="20"/>
          <w:color w:val="auto"/>
        </w:rPr>
      </w:pPr>
    </w:p>
    <w:p>
      <w:pPr>
        <w:ind w:left="120" w:right="40" w:firstLine="881"/>
        <w:spacing w:after="0" w:line="257" w:lineRule="auto"/>
        <w:rPr>
          <w:sz w:val="20"/>
          <w:szCs w:val="20"/>
          <w:color w:val="auto"/>
        </w:rPr>
      </w:pPr>
      <w:r>
        <w:rPr>
          <w:rFonts w:ascii="Times New Roman" w:cs="Times New Roman" w:eastAsia="Times New Roman" w:hAnsi="Times New Roman"/>
          <w:sz w:val="18"/>
          <w:szCs w:val="18"/>
          <w:color w:val="auto"/>
        </w:rPr>
        <w:t>Each $1.00 increase (decrease) in the assumed initial public offering price of $ per share, the midpoint of the estimated price range set forth on the cover page of this prospectus, would increase (decrease) the net proceeds to us from this offering by approximately $ million, assuming the number of shares offered by us, as set forth on the cover page of this prospectus, remains the same and after deducting estimated</w:t>
      </w:r>
    </w:p>
    <w:p>
      <w:pPr>
        <w:spacing w:after="0" w:line="1" w:lineRule="exact"/>
        <w:rPr>
          <w:sz w:val="20"/>
          <w:szCs w:val="20"/>
          <w:color w:val="auto"/>
        </w:rPr>
      </w:pPr>
    </w:p>
    <w:p>
      <w:pPr>
        <w:ind w:left="120" w:right="220"/>
        <w:spacing w:after="0" w:line="265" w:lineRule="auto"/>
        <w:rPr>
          <w:sz w:val="20"/>
          <w:szCs w:val="20"/>
          <w:color w:val="auto"/>
        </w:rPr>
      </w:pPr>
      <w:r>
        <w:rPr>
          <w:rFonts w:ascii="Times New Roman" w:cs="Times New Roman" w:eastAsia="Times New Roman" w:hAnsi="Times New Roman"/>
          <w:sz w:val="17"/>
          <w:szCs w:val="17"/>
          <w:color w:val="auto"/>
        </w:rPr>
        <w:t>underwriting discounts and commissions and estimated offering expenses payable by us. An increase (decrease) of 1,000,000 shares in the number of shares offered by us, as set forth on the cover page of this prospectus, would increase (decrease) our net proceeds from this offering by approximately</w:t>
      </w:r>
    </w:p>
    <w:p>
      <w:pPr>
        <w:jc w:val="both"/>
        <w:ind w:left="120" w:right="100" w:hanging="4"/>
        <w:spacing w:after="0" w:line="255" w:lineRule="auto"/>
        <w:tabs>
          <w:tab w:leader="none" w:pos="975"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million, assuming no change in the assumed initial public offering price per share and after deducting estimated underwriting discounts and commissions and estimated offering expenses payable by us. The principal purposes of this offering are to increase our financial flexibility and create a public market for our common stock. We intend to use the net proceeds from this offering as follows:</w:t>
      </w:r>
    </w:p>
    <w:p>
      <w:pPr>
        <w:sectPr>
          <w:pgSz w:w="11900" w:h="16838" w:orient="portrait"/>
          <w:cols w:equalWidth="0" w:num="1">
            <w:col w:w="11120"/>
          </w:cols>
          <w:pgMar w:left="320" w:top="455" w:right="459" w:bottom="1440" w:gutter="0" w:footer="0" w:header="0"/>
        </w:sectPr>
      </w:pPr>
    </w:p>
    <w:p>
      <w:pPr>
        <w:spacing w:after="0" w:line="213"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spacing w:after="0" w:line="193"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approximately $ million to fund our development and regulatory approval of TP-03 for the treatment of Demodex blepharitis and to prepare for its commercial launch in the United States; and</w:t>
      </w:r>
    </w:p>
    <w:p>
      <w:pPr>
        <w:spacing w:after="0" w:line="189" w:lineRule="exact"/>
        <w:rPr>
          <w:sz w:val="20"/>
          <w:szCs w:val="20"/>
          <w:color w:val="auto"/>
        </w:rPr>
      </w:pPr>
    </w:p>
    <w:p>
      <w:pPr>
        <w:sectPr>
          <w:pgSz w:w="11900" w:h="16838" w:orient="portrait"/>
          <w:cols w:equalWidth="0" w:num="2">
            <w:col w:w="1160" w:space="260"/>
            <w:col w:w="9700"/>
          </w:cols>
          <w:pgMar w:left="320" w:top="455" w:right="459" w:bottom="1440" w:gutter="0" w:footer="0" w:header="0"/>
          <w:type w:val="continuous"/>
        </w:sectPr>
      </w:pPr>
    </w:p>
    <w:p>
      <w:pPr>
        <w:ind w:left="1420" w:right="60" w:hanging="319"/>
        <w:spacing w:after="0" w:line="266" w:lineRule="auto"/>
        <w:tabs>
          <w:tab w:leader="none" w:pos="142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remaining proceeds to develop our product pipeline including TP-03 (for the treatment of MGD), TP-04, TP-05, and other general corporate purposes, which may include the hiring of additional personnel, capital expenditures and the costs of operating as a public company.</w:t>
      </w:r>
    </w:p>
    <w:p>
      <w:pPr>
        <w:spacing w:after="0" w:line="176" w:lineRule="exact"/>
        <w:rPr>
          <w:sz w:val="20"/>
          <w:szCs w:val="20"/>
          <w:color w:val="auto"/>
        </w:rPr>
      </w:pPr>
    </w:p>
    <w:p>
      <w:pPr>
        <w:ind w:left="120" w:right="60" w:firstLine="881"/>
        <w:spacing w:after="0" w:line="253" w:lineRule="auto"/>
        <w:rPr>
          <w:sz w:val="20"/>
          <w:szCs w:val="20"/>
          <w:color w:val="auto"/>
        </w:rPr>
      </w:pPr>
      <w:r>
        <w:rPr>
          <w:rFonts w:ascii="Times New Roman" w:cs="Times New Roman" w:eastAsia="Times New Roman" w:hAnsi="Times New Roman"/>
          <w:sz w:val="18"/>
          <w:szCs w:val="18"/>
          <w:color w:val="auto"/>
        </w:rPr>
        <w:t>This expected use of the net proceeds from this offering represents our intentions based upon our current business plans and economic conditions. Either could change in the future as our business plans evolve and economic conditions shift. As of the date of this prospectus, we cannot predict with certainty all of the particular uses for the net proceeds to be received upon the completion of this offering or the amounts that we will actually spend on the uses set forth above. The amounts and timing of our actual expenditures and the extent of our preclinical, clinical and future development activities may vary significantly depending on numerous factors, including the progress of our development efforts, the status of and results from our ongoing and planned clinical trials, the timing of regulatory submissions and the outcome of regulatory review, our ability to take advantage of expedited programs or to obtain regulatory approval for product candidates, the timing and costs associated with the manufacture and supply of product candidates for clinical development or commercialization, as well as any collaborations that we may enter into with third parties for our product candidates and any unforeseen cash needs. As a result, our management will require broad discretion over the allocation of the net proceeds from this offering.</w:t>
      </w:r>
    </w:p>
    <w:p>
      <w:pPr>
        <w:spacing w:after="0" w:line="194" w:lineRule="exact"/>
        <w:rPr>
          <w:sz w:val="20"/>
          <w:szCs w:val="20"/>
          <w:color w:val="auto"/>
        </w:rPr>
      </w:pPr>
    </w:p>
    <w:p>
      <w:pPr>
        <w:ind w:left="120" w:firstLine="881"/>
        <w:spacing w:after="0" w:line="282" w:lineRule="auto"/>
        <w:rPr>
          <w:sz w:val="20"/>
          <w:szCs w:val="20"/>
          <w:color w:val="auto"/>
        </w:rPr>
      </w:pPr>
      <w:r>
        <w:rPr>
          <w:rFonts w:ascii="Times New Roman" w:cs="Times New Roman" w:eastAsia="Times New Roman" w:hAnsi="Times New Roman"/>
          <w:sz w:val="18"/>
          <w:szCs w:val="18"/>
          <w:color w:val="auto"/>
        </w:rPr>
        <w:t>We nonetheless expect that the net proceeds from this offering, in combination with our existing cash and cash equivalents, will be sufficient to achieve the following:</w:t>
      </w:r>
    </w:p>
    <w:p>
      <w:pPr>
        <w:spacing w:after="0" w:line="67" w:lineRule="exact"/>
        <w:rPr>
          <w:sz w:val="20"/>
          <w:szCs w:val="20"/>
          <w:color w:val="auto"/>
        </w:rPr>
      </w:pPr>
    </w:p>
    <w:p>
      <w:pPr>
        <w:ind w:left="1420" w:right="80" w:hanging="427"/>
        <w:spacing w:after="0" w:line="266" w:lineRule="auto"/>
        <w:tabs>
          <w:tab w:leader="none" w:pos="142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TP-03 for the treatment of Demodex blepharitis: Complete our Phase 2b/3 and Phase 3 clinical trials for TP-03 in the treatment of Demodex blepharitis and report corresponding top-line clinical results, then submit our NDA with the FDA for approval of TP-03 for the treatment of Demodex blepharitis and prepare for its commercialization in the United States;</w:t>
      </w:r>
    </w:p>
    <w:p>
      <w:pPr>
        <w:spacing w:after="0" w:line="81" w:lineRule="exact"/>
        <w:rPr>
          <w:rFonts w:ascii="Times New Roman" w:cs="Times New Roman" w:eastAsia="Times New Roman" w:hAnsi="Times New Roman"/>
          <w:sz w:val="18"/>
          <w:szCs w:val="18"/>
          <w:color w:val="auto"/>
        </w:rPr>
      </w:pPr>
    </w:p>
    <w:p>
      <w:pPr>
        <w:ind w:left="1420" w:hanging="427"/>
        <w:spacing w:after="0"/>
        <w:tabs>
          <w:tab w:leader="none" w:pos="142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TP-03 for the treatment of MGD: Complete a Phase 2a study for TP-03 in the ocular treatment of MGD;</w:t>
      </w:r>
    </w:p>
    <w:p>
      <w:pPr>
        <w:spacing w:after="0" w:line="130" w:lineRule="exact"/>
        <w:rPr>
          <w:rFonts w:ascii="Times New Roman" w:cs="Times New Roman" w:eastAsia="Times New Roman" w:hAnsi="Times New Roman"/>
          <w:sz w:val="18"/>
          <w:szCs w:val="18"/>
          <w:color w:val="auto"/>
        </w:rPr>
      </w:pPr>
    </w:p>
    <w:p>
      <w:pPr>
        <w:ind w:left="1420" w:right="520" w:hanging="427"/>
        <w:spacing w:after="0" w:line="282" w:lineRule="auto"/>
        <w:tabs>
          <w:tab w:leader="none" w:pos="142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TP-03 preservative-free formulation for the treatment of Demodex blepharitis: Complete preclinical bioequivalence studies and initiate registration-enabling chemistry, manufacturing and control activities;</w:t>
      </w:r>
    </w:p>
    <w:p>
      <w:pPr>
        <w:spacing w:after="0" w:line="94" w:lineRule="exact"/>
        <w:rPr>
          <w:rFonts w:ascii="Times New Roman" w:cs="Times New Roman" w:eastAsia="Times New Roman" w:hAnsi="Times New Roman"/>
          <w:sz w:val="18"/>
          <w:szCs w:val="18"/>
          <w:color w:val="auto"/>
        </w:rPr>
      </w:pPr>
    </w:p>
    <w:p>
      <w:pPr>
        <w:ind w:left="5540" w:hanging="111"/>
        <w:spacing w:after="0"/>
        <w:tabs>
          <w:tab w:leader="none" w:pos="5540"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89 -</w:t>
      </w:r>
    </w:p>
    <w:p>
      <w:pPr>
        <w:sectPr>
          <w:pgSz w:w="11900" w:h="16838" w:orient="portrait"/>
          <w:cols w:equalWidth="0" w:num="1">
            <w:col w:w="11120"/>
          </w:cols>
          <w:pgMar w:left="320" w:top="455" w:right="459" w:bottom="1440" w:gutter="0" w:footer="0" w:header="0"/>
          <w:type w:val="continuous"/>
        </w:sectPr>
      </w:pPr>
    </w:p>
    <w:bookmarkStart w:id="92" w:name="page93"/>
    <w:bookmarkEnd w:id="9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420" w:right="580" w:hanging="427"/>
        <w:spacing w:after="0" w:line="282" w:lineRule="auto"/>
        <w:tabs>
          <w:tab w:leader="none" w:pos="142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TP-04 for the potential treatment of rosacea: Initiate a Phase 1/2 trial, outside the United States, for the use of TP-04 in topical formulation in the potential treatment of rosacea;</w:t>
      </w:r>
    </w:p>
    <w:p>
      <w:pPr>
        <w:spacing w:after="0" w:line="67" w:lineRule="exact"/>
        <w:rPr>
          <w:rFonts w:ascii="Times New Roman" w:cs="Times New Roman" w:eastAsia="Times New Roman" w:hAnsi="Times New Roman"/>
          <w:sz w:val="18"/>
          <w:szCs w:val="18"/>
          <w:color w:val="auto"/>
        </w:rPr>
      </w:pPr>
    </w:p>
    <w:p>
      <w:pPr>
        <w:ind w:left="1420" w:right="180" w:hanging="427"/>
        <w:spacing w:after="0" w:line="282" w:lineRule="auto"/>
        <w:tabs>
          <w:tab w:leader="none" w:pos="142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TP-05 for prophylaxis of Lyme disease: Submit an IND with the FDA for the use of TP-05 in an oral formulation for prophylaxis of Lyme disease and then initiate a Phase 1/2 trial; and</w:t>
      </w:r>
    </w:p>
    <w:p>
      <w:pPr>
        <w:spacing w:after="0" w:line="67" w:lineRule="exact"/>
        <w:rPr>
          <w:rFonts w:ascii="Times New Roman" w:cs="Times New Roman" w:eastAsia="Times New Roman" w:hAnsi="Times New Roman"/>
          <w:sz w:val="18"/>
          <w:szCs w:val="18"/>
          <w:color w:val="auto"/>
        </w:rPr>
      </w:pPr>
    </w:p>
    <w:p>
      <w:pPr>
        <w:ind w:left="1420" w:right="500" w:hanging="427"/>
        <w:spacing w:after="0" w:line="282" w:lineRule="auto"/>
        <w:tabs>
          <w:tab w:leader="none" w:pos="142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TP-05 for potential community malaria reduction: Initiate a Phase 1/2 trial for the use of TP-05 in oral formulation for potential community malaria reduction.</w:t>
      </w:r>
    </w:p>
    <w:p>
      <w:pPr>
        <w:spacing w:after="0" w:line="162" w:lineRule="exact"/>
        <w:rPr>
          <w:sz w:val="20"/>
          <w:szCs w:val="20"/>
          <w:color w:val="auto"/>
        </w:rPr>
      </w:pPr>
    </w:p>
    <w:p>
      <w:pPr>
        <w:ind w:left="120" w:right="120" w:firstLine="881"/>
        <w:spacing w:after="0" w:line="261" w:lineRule="auto"/>
        <w:rPr>
          <w:sz w:val="20"/>
          <w:szCs w:val="20"/>
          <w:color w:val="auto"/>
        </w:rPr>
      </w:pPr>
      <w:r>
        <w:rPr>
          <w:rFonts w:ascii="Times New Roman" w:cs="Times New Roman" w:eastAsia="Times New Roman" w:hAnsi="Times New Roman"/>
          <w:sz w:val="18"/>
          <w:szCs w:val="18"/>
          <w:color w:val="auto"/>
        </w:rPr>
        <w:t>Our aggregate cash and cash equivalents (including the net proceeds from this offering) will not be sufficient to fund each of these product candidates through regulatory approval and commercial launch. Accordingly, we will need to raise additional capital in the future. We have based our estimates of capital requirements on assumptions that may prove to be incomplete or inaccurate and we also may modify or expand our drug development plans for TP-03, TP-04, and/or TP-05. Any of these factors could result in the accelerated use of our capital resources.</w:t>
      </w:r>
    </w:p>
    <w:p>
      <w:pPr>
        <w:spacing w:after="0" w:line="180" w:lineRule="exact"/>
        <w:rPr>
          <w:sz w:val="20"/>
          <w:szCs w:val="20"/>
          <w:color w:val="auto"/>
        </w:rPr>
      </w:pPr>
    </w:p>
    <w:p>
      <w:pPr>
        <w:ind w:left="120" w:firstLine="881"/>
        <w:spacing w:after="0" w:line="281" w:lineRule="auto"/>
        <w:rPr>
          <w:sz w:val="20"/>
          <w:szCs w:val="20"/>
          <w:color w:val="auto"/>
        </w:rPr>
      </w:pPr>
      <w:r>
        <w:rPr>
          <w:rFonts w:ascii="Times New Roman" w:cs="Times New Roman" w:eastAsia="Times New Roman" w:hAnsi="Times New Roman"/>
          <w:sz w:val="17"/>
          <w:szCs w:val="17"/>
          <w:color w:val="auto"/>
        </w:rPr>
        <w:t>In the event that we use a portion of the net proceeds from this offering for the acquisition or in-license of other products, product candidates, businesses or technologies, our cash resources could be depleted earlier than we currently expect. However, we have no current agreements or commitments for these possible expenditures. We plan to invest the net proceeds from this offering in bank and investment accounts with the primary goal of capital preservation. These include operating bank accounts, short-term interest-bearing investment-grade securities and money market accounts.</w:t>
      </w:r>
    </w:p>
    <w:p>
      <w:pPr>
        <w:spacing w:after="0" w:line="9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-90-</w:t>
      </w:r>
    </w:p>
    <w:p>
      <w:pPr>
        <w:sectPr>
          <w:pgSz w:w="11900" w:h="16838" w:orient="portrait"/>
          <w:cols w:equalWidth="0" w:num="1">
            <w:col w:w="11100"/>
          </w:cols>
          <w:pgMar w:left="320" w:top="455" w:right="479" w:bottom="1440" w:gutter="0" w:footer="0" w:header="0"/>
        </w:sectPr>
      </w:pPr>
    </w:p>
    <w:bookmarkStart w:id="93" w:name="page94"/>
    <w:bookmarkEnd w:id="9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ind w:left="120" w:firstLine="881"/>
        <w:spacing w:after="0" w:line="256" w:lineRule="auto"/>
        <w:rPr>
          <w:sz w:val="20"/>
          <w:szCs w:val="20"/>
          <w:color w:val="auto"/>
        </w:rPr>
      </w:pPr>
      <w:r>
        <w:rPr>
          <w:rFonts w:ascii="Times New Roman" w:cs="Times New Roman" w:eastAsia="Times New Roman" w:hAnsi="Times New Roman"/>
          <w:sz w:val="18"/>
          <w:szCs w:val="18"/>
          <w:color w:val="auto"/>
        </w:rPr>
        <w:t>We have never declared or paid any cash dividends on our capital stock and we do not currently intend to pay any cash dividends on our capital stock for the foreseeable future. We currently intend to retain all available funds and any future earnings to support operations and to finance the growth and development of our business. Any future determination to declare and pay dividends will be made at the discretion of our board of directors subject to applicable laws and will depend upon, among other factors, our results of operations, financial condition, business prospects, contractual restrictions, capital requirements and other factors our board of directors may deem relevant. Our future ability to pay cash dividends on our capital stock may also be limited by the terms of any future debt or preferred securities or any future credit facility.</w:t>
      </w:r>
    </w:p>
    <w:p>
      <w:pPr>
        <w:spacing w:after="0" w:line="12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-91-</w:t>
      </w:r>
    </w:p>
    <w:p>
      <w:pPr>
        <w:sectPr>
          <w:pgSz w:w="11900" w:h="16838" w:orient="portrait"/>
          <w:cols w:equalWidth="0" w:num="1">
            <w:col w:w="11040"/>
          </w:cols>
          <w:pgMar w:left="320" w:top="455" w:right="539" w:bottom="1440" w:gutter="0" w:footer="0" w:header="0"/>
        </w:sectPr>
      </w:pPr>
    </w:p>
    <w:bookmarkStart w:id="94" w:name="page95"/>
    <w:bookmarkEnd w:id="9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CAPITALIZATION</w:t>
      </w:r>
    </w:p>
    <w:p>
      <w:pPr>
        <w:spacing w:after="0" w:line="22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The following table sets forth our cash and cash equivalents and total capitalization as of June 30, 2020, as follows:</w:t>
      </w:r>
    </w:p>
    <w:p>
      <w:pPr>
        <w:spacing w:after="0" w:line="252" w:lineRule="exact"/>
        <w:rPr>
          <w:sz w:val="20"/>
          <w:szCs w:val="20"/>
          <w:color w:val="auto"/>
        </w:rPr>
      </w:pPr>
    </w:p>
    <w:p>
      <w:pPr>
        <w:ind w:left="1420" w:hanging="319"/>
        <w:spacing w:after="0"/>
        <w:tabs>
          <w:tab w:leader="none" w:pos="142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 actual basis;</w:t>
      </w:r>
    </w:p>
    <w:p>
      <w:pPr>
        <w:spacing w:after="0" w:line="252" w:lineRule="exact"/>
        <w:rPr>
          <w:rFonts w:ascii="Times New Roman" w:cs="Times New Roman" w:eastAsia="Times New Roman" w:hAnsi="Times New Roman"/>
          <w:sz w:val="18"/>
          <w:szCs w:val="18"/>
          <w:color w:val="auto"/>
        </w:rPr>
      </w:pPr>
    </w:p>
    <w:p>
      <w:pPr>
        <w:ind w:left="1420" w:right="20" w:hanging="319"/>
        <w:spacing w:after="0" w:line="258" w:lineRule="auto"/>
        <w:tabs>
          <w:tab w:leader="none" w:pos="142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 pro forma basis to give effect to: (i) the issuance of 21,221,280 shares of Series C preferred stock for gross cash proceeds of $40.0 million in September 2020; (ii) the automatic conversion of all outstanding shares of our preferred stock, which includes our Series C preferred stock issued in September 2020, into an aggregate of 82,498,619 shares of common stock; and (iii) the filing and effectiveness of our amended and restated certificate of incorporation, each of which will occur immediately prior to the completion of this offering; and</w:t>
      </w:r>
    </w:p>
    <w:p>
      <w:pPr>
        <w:spacing w:after="0" w:line="210"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 pro forma as adjusted basis to give effect to (i) the pro forma adjustments set forth above and (ii) receipt of estimated net</w:t>
      </w:r>
    </w:p>
    <w:p>
      <w:pPr>
        <w:sectPr>
          <w:pgSz w:w="11900" w:h="16838" w:orient="portrait"/>
          <w:cols w:equalWidth="0" w:num="1">
            <w:col w:w="11140"/>
          </w:cols>
          <w:pgMar w:left="320" w:top="455" w:right="439" w:bottom="1440" w:gutter="0" w:footer="0" w:header="0"/>
        </w:sectPr>
      </w:pPr>
    </w:p>
    <w:p>
      <w:pPr>
        <w:spacing w:after="0" w:line="27" w:lineRule="exact"/>
        <w:rPr>
          <w:sz w:val="20"/>
          <w:szCs w:val="20"/>
          <w:color w:val="auto"/>
        </w:rPr>
      </w:pPr>
    </w:p>
    <w:p>
      <w:pPr>
        <w:ind w:left="1420" w:right="320"/>
        <w:spacing w:after="0" w:line="250" w:lineRule="auto"/>
        <w:rPr>
          <w:sz w:val="20"/>
          <w:szCs w:val="20"/>
          <w:color w:val="auto"/>
        </w:rPr>
      </w:pPr>
      <w:r>
        <w:rPr>
          <w:rFonts w:ascii="Times New Roman" w:cs="Times New Roman" w:eastAsia="Times New Roman" w:hAnsi="Times New Roman"/>
          <w:sz w:val="18"/>
          <w:szCs w:val="18"/>
          <w:color w:val="auto"/>
        </w:rPr>
        <w:t>proceeds from the sale and issuance of shares of our common stock in this offering, at an assumed initial public offering price of $ per share, the midpoint of the price range set forth on the cover page of this prospectus, and after deducting the</w:t>
      </w:r>
    </w:p>
    <w:p>
      <w:pPr>
        <w:sectPr>
          <w:pgSz w:w="11900" w:h="16838" w:orient="portrait"/>
          <w:cols w:equalWidth="0" w:num="1">
            <w:col w:w="11140"/>
          </w:cols>
          <w:pgMar w:left="320" w:top="455" w:right="439" w:bottom="1440" w:gutter="0" w:footer="0" w:header="0"/>
          <w:type w:val="continuous"/>
        </w:sectPr>
      </w:pPr>
    </w:p>
    <w:p>
      <w:pPr>
        <w:spacing w:after="0" w:line="1"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estimated underwriting discounts and commissions and estimated offering expenses payable by us.</w:t>
      </w:r>
    </w:p>
    <w:p>
      <w:pPr>
        <w:spacing w:after="0" w:line="207" w:lineRule="exact"/>
        <w:rPr>
          <w:sz w:val="20"/>
          <w:szCs w:val="20"/>
          <w:color w:val="auto"/>
        </w:rPr>
      </w:pPr>
    </w:p>
    <w:p>
      <w:pPr>
        <w:ind w:left="120" w:right="80" w:firstLine="881"/>
        <w:spacing w:after="0" w:line="261" w:lineRule="auto"/>
        <w:rPr>
          <w:sz w:val="20"/>
          <w:szCs w:val="20"/>
          <w:color w:val="auto"/>
        </w:rPr>
      </w:pPr>
      <w:r>
        <w:rPr>
          <w:rFonts w:ascii="Times New Roman" w:cs="Times New Roman" w:eastAsia="Times New Roman" w:hAnsi="Times New Roman"/>
          <w:sz w:val="18"/>
          <w:szCs w:val="18"/>
          <w:color w:val="auto"/>
        </w:rPr>
        <w:t>The pro forma and pro forma as adjusted information set forth in the table below is illustrative only and will be adjusted based on the actual initial public offering price and other terms of this offering determined at pricing. This information should be read in conjunction with our financial statements and the related notes appearing elsewhere in this prospectus, as well as the sections of this prospectus titled “Selected Financial Data” and “Management’s Discussion and Analysis of Financial Condition and Results of Operations.”</w:t>
      </w:r>
    </w:p>
    <w:p>
      <w:pPr>
        <w:spacing w:after="0" w:line="200"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200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0" w:type="dxa"/>
            <w:vAlign w:val="bottom"/>
            <w:gridSpan w:val="6"/>
          </w:tcPr>
          <w:p>
            <w:pPr>
              <w:ind w:left="440"/>
              <w:spacing w:after="0"/>
              <w:rPr>
                <w:sz w:val="20"/>
                <w:szCs w:val="20"/>
                <w:color w:val="auto"/>
              </w:rPr>
            </w:pPr>
            <w:r>
              <w:rPr>
                <w:rFonts w:ascii="Times New Roman" w:cs="Times New Roman" w:eastAsia="Times New Roman" w:hAnsi="Times New Roman"/>
                <w:sz w:val="14"/>
                <w:szCs w:val="14"/>
                <w:b w:val="1"/>
                <w:bCs w:val="1"/>
                <w:color w:val="auto"/>
              </w:rPr>
              <w:t>As of June 30, 2020 (unaudited)</w:t>
            </w:r>
          </w:p>
        </w:tc>
        <w:tc>
          <w:tcPr>
            <w:tcW w:w="0" w:type="dxa"/>
            <w:vAlign w:val="bottom"/>
          </w:tcPr>
          <w:p>
            <w:pPr>
              <w:spacing w:after="0"/>
              <w:rPr>
                <w:sz w:val="1"/>
                <w:szCs w:val="1"/>
                <w:color w:val="auto"/>
              </w:rPr>
            </w:pPr>
          </w:p>
        </w:tc>
      </w:tr>
      <w:tr>
        <w:trPr>
          <w:trHeight w:val="117"/>
        </w:trPr>
        <w:tc>
          <w:tcPr>
            <w:tcW w:w="200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25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gridSpan w:val="2"/>
            <w:vMerge w:val="restart"/>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880" w:type="dxa"/>
            <w:vAlign w:val="bottom"/>
            <w:tcBorders>
              <w:top w:val="single" w:sz="8" w:color="auto"/>
            </w:tcBorders>
            <w:vMerge w:val="restart"/>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28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Pro Forma As</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0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88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Adjusted</w:t>
            </w:r>
            <w:r>
              <w:rPr>
                <w:rFonts w:ascii="Times New Roman" w:cs="Times New Roman" w:eastAsia="Times New Roman" w:hAnsi="Times New Roman"/>
                <w:sz w:val="12"/>
                <w:szCs w:val="12"/>
                <w:b w:val="1"/>
                <w:bCs w:val="1"/>
                <w:color w:val="auto"/>
              </w:rPr>
              <w:t>(1)</w:t>
            </w:r>
          </w:p>
        </w:tc>
        <w:tc>
          <w:tcPr>
            <w:tcW w:w="0" w:type="dxa"/>
            <w:vAlign w:val="bottom"/>
          </w:tcPr>
          <w:p>
            <w:pPr>
              <w:spacing w:after="0"/>
              <w:rPr>
                <w:sz w:val="1"/>
                <w:szCs w:val="1"/>
                <w:color w:val="auto"/>
              </w:rPr>
            </w:pPr>
          </w:p>
        </w:tc>
      </w:tr>
      <w:tr>
        <w:trPr>
          <w:trHeight w:val="196"/>
        </w:trPr>
        <w:tc>
          <w:tcPr>
            <w:tcW w:w="3900" w:type="dxa"/>
            <w:vAlign w:val="bottom"/>
            <w:tcBorders>
              <w:top w:val="single" w:sz="8" w:color="CCEEFF"/>
            </w:tcBorders>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tc>
        <w:tc>
          <w:tcPr>
            <w:tcW w:w="2520" w:type="dxa"/>
            <w:vAlign w:val="bottom"/>
            <w:tcBorders>
              <w:top w:val="single" w:sz="8" w:color="CCEEFF"/>
            </w:tcBorders>
            <w:shd w:val="clear" w:color="auto" w:fill="CCEEFF"/>
          </w:tcPr>
          <w:p>
            <w:pPr>
              <w:spacing w:after="0"/>
              <w:rPr>
                <w:sz w:val="17"/>
                <w:szCs w:val="17"/>
                <w:color w:val="auto"/>
              </w:rPr>
            </w:pPr>
          </w:p>
        </w:tc>
        <w:tc>
          <w:tcPr>
            <w:tcW w:w="13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90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53,135</w:t>
            </w:r>
          </w:p>
        </w:tc>
        <w:tc>
          <w:tcPr>
            <w:tcW w:w="880" w:type="dxa"/>
            <w:vAlign w:val="bottom"/>
          </w:tcPr>
          <w:p>
            <w:pPr>
              <w:jc w:val="right"/>
              <w:ind w:right="695"/>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7760" w:type="dxa"/>
            <w:vAlign w:val="bottom"/>
            <w:gridSpan w:val="4"/>
            <w:shd w:val="clear" w:color="auto" w:fill="CCEEFF"/>
          </w:tcPr>
          <w:p>
            <w:pPr>
              <w:spacing w:after="0" w:line="192" w:lineRule="exact"/>
              <w:rPr>
                <w:sz w:val="20"/>
                <w:szCs w:val="20"/>
                <w:color w:val="auto"/>
              </w:rPr>
            </w:pPr>
            <w:r>
              <w:rPr>
                <w:rFonts w:ascii="Times New Roman" w:cs="Times New Roman" w:eastAsia="Times New Roman" w:hAnsi="Times New Roman"/>
                <w:sz w:val="18"/>
                <w:szCs w:val="18"/>
                <w:color w:val="auto"/>
              </w:rPr>
              <w:t>Series A preferred stock, $0.0001 par value per share; 11,698,716 shares authorized issued and</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7760" w:type="dxa"/>
            <w:vAlign w:val="bottom"/>
            <w:gridSpan w:val="4"/>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outstanding, actual; no shares authorized, issued or outstanding, pro forma and pro forma as adjusted</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3,564</w:t>
            </w:r>
          </w:p>
        </w:tc>
        <w:tc>
          <w:tcPr>
            <w:tcW w:w="880" w:type="dxa"/>
            <w:vAlign w:val="bottom"/>
            <w:shd w:val="clear" w:color="auto" w:fill="CCEEFF"/>
          </w:tcPr>
          <w:p>
            <w:pPr>
              <w:jc w:val="right"/>
              <w:ind w:right="695"/>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7760" w:type="dxa"/>
            <w:vAlign w:val="bottom"/>
            <w:gridSpan w:val="4"/>
          </w:tcPr>
          <w:p>
            <w:pPr>
              <w:spacing w:after="0" w:line="198" w:lineRule="exact"/>
              <w:rPr>
                <w:sz w:val="20"/>
                <w:szCs w:val="20"/>
                <w:color w:val="auto"/>
              </w:rPr>
            </w:pPr>
            <w:r>
              <w:rPr>
                <w:rFonts w:ascii="Times New Roman" w:cs="Times New Roman" w:eastAsia="Times New Roman" w:hAnsi="Times New Roman"/>
                <w:sz w:val="18"/>
                <w:szCs w:val="18"/>
                <w:color w:val="auto"/>
              </w:rPr>
              <w:t>Series B preferred stock, $0.0001 par value; 50,000,000 shares authorized, and 49,578,623 shares issued</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76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and outstanding, actual; no shares authorized, issued or outstanding, pro forma and pro forma as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adjusted</w:t>
            </w:r>
          </w:p>
        </w:tc>
        <w:tc>
          <w:tcPr>
            <w:tcW w:w="190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59,838</w:t>
            </w: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(deficit) equity:</w:t>
            </w:r>
          </w:p>
        </w:tc>
        <w:tc>
          <w:tcPr>
            <w:tcW w:w="25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7760" w:type="dxa"/>
            <w:vAlign w:val="bottom"/>
            <w:gridSpan w:val="4"/>
          </w:tcPr>
          <w:p>
            <w:pPr>
              <w:ind w:left="360"/>
              <w:spacing w:after="0" w:line="198" w:lineRule="exact"/>
              <w:rPr>
                <w:sz w:val="20"/>
                <w:szCs w:val="20"/>
                <w:color w:val="auto"/>
              </w:rPr>
            </w:pPr>
            <w:r>
              <w:rPr>
                <w:rFonts w:ascii="Times New Roman" w:cs="Times New Roman" w:eastAsia="Times New Roman" w:hAnsi="Times New Roman"/>
                <w:sz w:val="18"/>
                <w:szCs w:val="18"/>
                <w:color w:val="auto"/>
              </w:rPr>
              <w:t>Common stock, $0.0001 par value; 103,000,000 shares authorized, 20,198,000 shares issued and</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42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rPr>
              <w:t>19,698,000 shares outstanding with 500,000 shares subject to repurchase, actual;</w:t>
            </w:r>
          </w:p>
        </w:tc>
        <w:tc>
          <w:tcPr>
            <w:tcW w:w="13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shares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authorized,</w:t>
            </w:r>
          </w:p>
        </w:tc>
        <w:tc>
          <w:tcPr>
            <w:tcW w:w="1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shares issued and</w:t>
            </w:r>
          </w:p>
        </w:tc>
        <w:tc>
          <w:tcPr>
            <w:tcW w:w="252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shares outstanding with</w:t>
            </w:r>
          </w:p>
        </w:tc>
        <w:tc>
          <w:tcPr>
            <w:tcW w:w="1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shares subject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to repurchase, pro forma; shares authorized,</w:t>
            </w:r>
          </w:p>
        </w:tc>
        <w:tc>
          <w:tcPr>
            <w:tcW w:w="252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shares issued and</w:t>
            </w:r>
          </w:p>
        </w:tc>
        <w:tc>
          <w:tcPr>
            <w:tcW w:w="13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shares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90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outstanding, pro forma as adjusted</w:t>
            </w:r>
          </w:p>
        </w:tc>
        <w:tc>
          <w:tcPr>
            <w:tcW w:w="25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w:t>
            </w: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9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5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204</w:t>
            </w: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Accumulated deficit</w:t>
            </w:r>
          </w:p>
        </w:tc>
        <w:tc>
          <w:tcPr>
            <w:tcW w:w="190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97"/>
              </w:rPr>
              <w:t>(11,241)</w:t>
            </w: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stockholders’ (deficit) equity</w:t>
            </w:r>
          </w:p>
        </w:tc>
        <w:tc>
          <w:tcPr>
            <w:tcW w:w="25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w w:val="97"/>
              </w:rPr>
              <w:t>(11,035)</w:t>
            </w: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capitalization</w:t>
            </w:r>
          </w:p>
        </w:tc>
        <w:tc>
          <w:tcPr>
            <w:tcW w:w="190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52,367</w:t>
            </w:r>
          </w:p>
        </w:tc>
        <w:tc>
          <w:tcPr>
            <w:tcW w:w="32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ind w:right="695"/>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Pr>
          <w:p>
            <w:pPr>
              <w:spacing w:after="0"/>
              <w:rPr>
                <w:sz w:val="19"/>
                <w:szCs w:val="19"/>
                <w:color w:val="auto"/>
              </w:rPr>
            </w:pPr>
          </w:p>
        </w:tc>
        <w:tc>
          <w:tcPr>
            <w:tcW w:w="88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520" w:type="dxa"/>
            <w:vAlign w:val="bottom"/>
            <w:vMerge w:val="restart"/>
          </w:tcPr>
          <w:p>
            <w:pPr>
              <w:jc w:val="right"/>
              <w:ind w:right="630"/>
              <w:spacing w:after="0"/>
              <w:rPr>
                <w:sz w:val="20"/>
                <w:szCs w:val="20"/>
                <w:color w:val="auto"/>
              </w:rPr>
            </w:pPr>
            <w:r>
              <w:rPr>
                <w:rFonts w:ascii="Times New Roman" w:cs="Times New Roman" w:eastAsia="Times New Roman" w:hAnsi="Times New Roman"/>
                <w:sz w:val="18"/>
                <w:szCs w:val="18"/>
                <w:color w:val="auto"/>
              </w:rPr>
              <w:t>-92-</w:t>
            </w:r>
          </w:p>
        </w:tc>
        <w:tc>
          <w:tcPr>
            <w:tcW w:w="1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520" w:type="dxa"/>
            <w:vAlign w:val="bottom"/>
            <w:vMerge w:val="continue"/>
          </w:tcPr>
          <w:p>
            <w:pPr>
              <w:spacing w:after="0"/>
              <w:rPr>
                <w:sz w:val="24"/>
                <w:szCs w:val="24"/>
                <w:color w:val="auto"/>
              </w:rPr>
            </w:pPr>
          </w:p>
        </w:tc>
        <w:tc>
          <w:tcPr>
            <w:tcW w:w="1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type w:val="continuous"/>
        </w:sectPr>
      </w:pPr>
    </w:p>
    <w:bookmarkStart w:id="95" w:name="page96"/>
    <w:bookmarkEnd w:id="9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294005</wp:posOffset>
            </wp:positionV>
            <wp:extent cx="77152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(1)</w:t>
            </w:r>
          </w:p>
        </w:tc>
        <w:tc>
          <w:tcPr>
            <w:tcW w:w="496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Each $1.00 increase (decrease) in the assumed initial public offering price of $</w:t>
            </w:r>
          </w:p>
        </w:tc>
        <w:tc>
          <w:tcPr>
            <w:tcW w:w="570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per share, which is the midpoint of the estimated offering price range set forth on the cover</w:t>
            </w:r>
          </w:p>
        </w:tc>
      </w:tr>
      <w:tr>
        <w:trPr>
          <w:trHeight w:val="149"/>
        </w:trPr>
        <w:tc>
          <w:tcPr>
            <w:tcW w:w="300" w:type="dxa"/>
            <w:vAlign w:val="bottom"/>
          </w:tcPr>
          <w:p>
            <w:pPr>
              <w:spacing w:after="0"/>
              <w:rPr>
                <w:sz w:val="12"/>
                <w:szCs w:val="12"/>
                <w:color w:val="auto"/>
              </w:rPr>
            </w:pPr>
          </w:p>
        </w:tc>
        <w:tc>
          <w:tcPr>
            <w:tcW w:w="10660" w:type="dxa"/>
            <w:vAlign w:val="bottom"/>
            <w:gridSpan w:val="5"/>
          </w:tcPr>
          <w:p>
            <w:pPr>
              <w:ind w:left="120"/>
              <w:spacing w:after="0" w:line="149" w:lineRule="exact"/>
              <w:rPr>
                <w:sz w:val="20"/>
                <w:szCs w:val="20"/>
                <w:color w:val="auto"/>
              </w:rPr>
            </w:pPr>
            <w:r>
              <w:rPr>
                <w:rFonts w:ascii="Times New Roman" w:cs="Times New Roman" w:eastAsia="Times New Roman" w:hAnsi="Times New Roman"/>
                <w:sz w:val="14"/>
                <w:szCs w:val="14"/>
                <w:color w:val="auto"/>
              </w:rPr>
              <w:t>page of this prospectus, would increase (decrease) our pro forma as adjusted amount of each of cash and cash equivalents, additional paid-in capital, total stockholders’ (deficit) equity</w:t>
            </w:r>
          </w:p>
        </w:tc>
      </w:tr>
      <w:tr>
        <w:trPr>
          <w:trHeight w:val="148"/>
        </w:trPr>
        <w:tc>
          <w:tcPr>
            <w:tcW w:w="300" w:type="dxa"/>
            <w:vAlign w:val="bottom"/>
          </w:tcPr>
          <w:p>
            <w:pPr>
              <w:spacing w:after="0"/>
              <w:rPr>
                <w:sz w:val="12"/>
                <w:szCs w:val="12"/>
                <w:color w:val="auto"/>
              </w:rPr>
            </w:pPr>
          </w:p>
        </w:tc>
        <w:tc>
          <w:tcPr>
            <w:tcW w:w="290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and total capitalization by approximately $</w:t>
            </w:r>
          </w:p>
        </w:tc>
        <w:tc>
          <w:tcPr>
            <w:tcW w:w="7760" w:type="dxa"/>
            <w:vAlign w:val="bottom"/>
            <w:gridSpan w:val="3"/>
          </w:tcPr>
          <w:p>
            <w:pPr>
              <w:ind w:left="300"/>
              <w:spacing w:after="0" w:line="149" w:lineRule="exact"/>
              <w:rPr>
                <w:sz w:val="20"/>
                <w:szCs w:val="20"/>
                <w:color w:val="auto"/>
              </w:rPr>
            </w:pPr>
            <w:r>
              <w:rPr>
                <w:rFonts w:ascii="Times New Roman" w:cs="Times New Roman" w:eastAsia="Times New Roman" w:hAnsi="Times New Roman"/>
                <w:sz w:val="14"/>
                <w:szCs w:val="14"/>
                <w:color w:val="auto"/>
              </w:rPr>
              <w:t>million, assuming that the number of shares of common stock offered by us, as set forth on the cover page of this prospectus,</w:t>
            </w:r>
          </w:p>
        </w:tc>
      </w:tr>
      <w:tr>
        <w:trPr>
          <w:trHeight w:val="148"/>
        </w:trPr>
        <w:tc>
          <w:tcPr>
            <w:tcW w:w="300" w:type="dxa"/>
            <w:vAlign w:val="bottom"/>
          </w:tcPr>
          <w:p>
            <w:pPr>
              <w:spacing w:after="0"/>
              <w:rPr>
                <w:sz w:val="12"/>
                <w:szCs w:val="12"/>
                <w:color w:val="auto"/>
              </w:rPr>
            </w:pPr>
          </w:p>
        </w:tc>
        <w:tc>
          <w:tcPr>
            <w:tcW w:w="10660" w:type="dxa"/>
            <w:vAlign w:val="bottom"/>
            <w:gridSpan w:val="5"/>
          </w:tcPr>
          <w:p>
            <w:pPr>
              <w:ind w:left="120"/>
              <w:spacing w:after="0" w:line="149" w:lineRule="exact"/>
              <w:rPr>
                <w:sz w:val="20"/>
                <w:szCs w:val="20"/>
                <w:color w:val="auto"/>
              </w:rPr>
            </w:pPr>
            <w:r>
              <w:rPr>
                <w:rFonts w:ascii="Times New Roman" w:cs="Times New Roman" w:eastAsia="Times New Roman" w:hAnsi="Times New Roman"/>
                <w:sz w:val="14"/>
                <w:szCs w:val="14"/>
                <w:color w:val="auto"/>
              </w:rPr>
              <w:t>remains the same, and after deducting estimated underwriting discounts and commissions payable by us. We may also increase (decrease) the number of shares we are offering. Each</w:t>
            </w:r>
          </w:p>
        </w:tc>
      </w:tr>
      <w:tr>
        <w:trPr>
          <w:trHeight w:val="148"/>
        </w:trPr>
        <w:tc>
          <w:tcPr>
            <w:tcW w:w="300" w:type="dxa"/>
            <w:vAlign w:val="bottom"/>
          </w:tcPr>
          <w:p>
            <w:pPr>
              <w:spacing w:after="0"/>
              <w:rPr>
                <w:sz w:val="12"/>
                <w:szCs w:val="12"/>
                <w:color w:val="auto"/>
              </w:rPr>
            </w:pPr>
          </w:p>
        </w:tc>
        <w:tc>
          <w:tcPr>
            <w:tcW w:w="10660" w:type="dxa"/>
            <w:vAlign w:val="bottom"/>
            <w:gridSpan w:val="5"/>
          </w:tcPr>
          <w:p>
            <w:pPr>
              <w:ind w:left="120"/>
              <w:spacing w:after="0" w:line="149" w:lineRule="exact"/>
              <w:rPr>
                <w:sz w:val="20"/>
                <w:szCs w:val="20"/>
                <w:color w:val="auto"/>
              </w:rPr>
            </w:pPr>
            <w:r>
              <w:rPr>
                <w:rFonts w:ascii="Times New Roman" w:cs="Times New Roman" w:eastAsia="Times New Roman" w:hAnsi="Times New Roman"/>
                <w:sz w:val="14"/>
                <w:szCs w:val="14"/>
                <w:color w:val="auto"/>
              </w:rPr>
              <w:t>increase (decrease) of 1.0 million shares in the number of shares of common stock offered by us would increase (decrease) our pro forma as adjusted amount of each of cash and cash</w:t>
            </w:r>
          </w:p>
        </w:tc>
      </w:tr>
      <w:tr>
        <w:trPr>
          <w:trHeight w:val="148"/>
        </w:trPr>
        <w:tc>
          <w:tcPr>
            <w:tcW w:w="300" w:type="dxa"/>
            <w:vAlign w:val="bottom"/>
          </w:tcPr>
          <w:p>
            <w:pPr>
              <w:spacing w:after="0"/>
              <w:rPr>
                <w:sz w:val="12"/>
                <w:szCs w:val="12"/>
                <w:color w:val="auto"/>
              </w:rPr>
            </w:pPr>
          </w:p>
        </w:tc>
        <w:tc>
          <w:tcPr>
            <w:tcW w:w="7140" w:type="dxa"/>
            <w:vAlign w:val="bottom"/>
            <w:gridSpan w:val="4"/>
          </w:tcPr>
          <w:p>
            <w:pPr>
              <w:ind w:left="120"/>
              <w:spacing w:after="0" w:line="149" w:lineRule="exact"/>
              <w:rPr>
                <w:sz w:val="20"/>
                <w:szCs w:val="20"/>
                <w:color w:val="auto"/>
              </w:rPr>
            </w:pPr>
            <w:r>
              <w:rPr>
                <w:rFonts w:ascii="Times New Roman" w:cs="Times New Roman" w:eastAsia="Times New Roman" w:hAnsi="Times New Roman"/>
                <w:sz w:val="14"/>
                <w:szCs w:val="14"/>
                <w:color w:val="auto"/>
              </w:rPr>
              <w:t>equivalents, additional paid-in capital, total stockholders’ (deficit) equity and total capitalization by approximately $</w:t>
            </w:r>
          </w:p>
        </w:tc>
        <w:tc>
          <w:tcPr>
            <w:tcW w:w="3520" w:type="dxa"/>
            <w:vAlign w:val="bottom"/>
          </w:tcPr>
          <w:p>
            <w:pPr>
              <w:ind w:left="300"/>
              <w:spacing w:after="0" w:line="149" w:lineRule="exact"/>
              <w:rPr>
                <w:sz w:val="20"/>
                <w:szCs w:val="20"/>
                <w:color w:val="auto"/>
              </w:rPr>
            </w:pPr>
            <w:r>
              <w:rPr>
                <w:rFonts w:ascii="Times New Roman" w:cs="Times New Roman" w:eastAsia="Times New Roman" w:hAnsi="Times New Roman"/>
                <w:sz w:val="14"/>
                <w:szCs w:val="14"/>
                <w:color w:val="auto"/>
              </w:rPr>
              <w:t>million, assuming the assumed initial public offering</w:t>
            </w:r>
          </w:p>
        </w:tc>
      </w:tr>
      <w:tr>
        <w:trPr>
          <w:trHeight w:val="149"/>
        </w:trPr>
        <w:tc>
          <w:tcPr>
            <w:tcW w:w="300" w:type="dxa"/>
            <w:vAlign w:val="bottom"/>
          </w:tcPr>
          <w:p>
            <w:pPr>
              <w:spacing w:after="0"/>
              <w:rPr>
                <w:sz w:val="12"/>
                <w:szCs w:val="12"/>
                <w:color w:val="auto"/>
              </w:rPr>
            </w:pPr>
          </w:p>
        </w:tc>
        <w:tc>
          <w:tcPr>
            <w:tcW w:w="98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price of $</w:t>
            </w:r>
          </w:p>
        </w:tc>
        <w:tc>
          <w:tcPr>
            <w:tcW w:w="9680" w:type="dxa"/>
            <w:vAlign w:val="bottom"/>
            <w:gridSpan w:val="4"/>
          </w:tcPr>
          <w:p>
            <w:pPr>
              <w:ind w:left="320"/>
              <w:spacing w:after="0" w:line="149" w:lineRule="exact"/>
              <w:rPr>
                <w:sz w:val="20"/>
                <w:szCs w:val="20"/>
                <w:color w:val="auto"/>
              </w:rPr>
            </w:pPr>
            <w:r>
              <w:rPr>
                <w:rFonts w:ascii="Times New Roman" w:cs="Times New Roman" w:eastAsia="Times New Roman" w:hAnsi="Times New Roman"/>
                <w:sz w:val="14"/>
                <w:szCs w:val="14"/>
                <w:color w:val="auto"/>
              </w:rPr>
              <w:t>per share, which is the midpoint of the estimated offering price range set forth on the cover page of this prospectus, remains the same, and after deducting</w:t>
            </w:r>
          </w:p>
        </w:tc>
      </w:tr>
      <w:tr>
        <w:trPr>
          <w:trHeight w:val="148"/>
        </w:trPr>
        <w:tc>
          <w:tcPr>
            <w:tcW w:w="300" w:type="dxa"/>
            <w:vAlign w:val="bottom"/>
          </w:tcPr>
          <w:p>
            <w:pPr>
              <w:spacing w:after="0"/>
              <w:rPr>
                <w:sz w:val="12"/>
                <w:szCs w:val="12"/>
                <w:color w:val="auto"/>
              </w:rPr>
            </w:pPr>
          </w:p>
        </w:tc>
        <w:tc>
          <w:tcPr>
            <w:tcW w:w="10660" w:type="dxa"/>
            <w:vAlign w:val="bottom"/>
            <w:gridSpan w:val="5"/>
          </w:tcPr>
          <w:p>
            <w:pPr>
              <w:ind w:left="120"/>
              <w:spacing w:after="0" w:line="149" w:lineRule="exact"/>
              <w:rPr>
                <w:sz w:val="20"/>
                <w:szCs w:val="20"/>
                <w:color w:val="auto"/>
              </w:rPr>
            </w:pPr>
            <w:r>
              <w:rPr>
                <w:rFonts w:ascii="Times New Roman" w:cs="Times New Roman" w:eastAsia="Times New Roman" w:hAnsi="Times New Roman"/>
                <w:sz w:val="14"/>
                <w:szCs w:val="14"/>
                <w:color w:val="auto"/>
              </w:rPr>
              <w:t>estimated underwriting discounts and commissions. The pro forma as adjusted information discussed above is illustrative only and will be adjusted based on the actual public offering</w:t>
            </w:r>
          </w:p>
        </w:tc>
      </w:tr>
      <w:tr>
        <w:trPr>
          <w:trHeight w:val="188"/>
        </w:trPr>
        <w:tc>
          <w:tcPr>
            <w:tcW w:w="300" w:type="dxa"/>
            <w:vAlign w:val="bottom"/>
          </w:tcPr>
          <w:p>
            <w:pPr>
              <w:spacing w:after="0"/>
              <w:rPr>
                <w:sz w:val="16"/>
                <w:szCs w:val="16"/>
                <w:color w:val="auto"/>
              </w:rPr>
            </w:pPr>
          </w:p>
        </w:tc>
        <w:tc>
          <w:tcPr>
            <w:tcW w:w="496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price and other terms of this offering determined at pricing.</w:t>
            </w:r>
          </w:p>
        </w:tc>
        <w:tc>
          <w:tcPr>
            <w:tcW w:w="2180" w:type="dxa"/>
            <w:vAlign w:val="bottom"/>
          </w:tcPr>
          <w:p>
            <w:pPr>
              <w:spacing w:after="0"/>
              <w:rPr>
                <w:sz w:val="16"/>
                <w:szCs w:val="16"/>
                <w:color w:val="auto"/>
              </w:rPr>
            </w:pPr>
          </w:p>
        </w:tc>
        <w:tc>
          <w:tcPr>
            <w:tcW w:w="3520" w:type="dxa"/>
            <w:vAlign w:val="bottom"/>
          </w:tcPr>
          <w:p>
            <w:pPr>
              <w:spacing w:after="0"/>
              <w:rPr>
                <w:sz w:val="16"/>
                <w:szCs w:val="16"/>
                <w:color w:val="auto"/>
              </w:rPr>
            </w:pPr>
          </w:p>
        </w:tc>
      </w:tr>
    </w:tbl>
    <w:p>
      <w:pPr>
        <w:spacing w:after="0" w:line="181" w:lineRule="exact"/>
        <w:rPr>
          <w:sz w:val="20"/>
          <w:szCs w:val="20"/>
          <w:color w:val="auto"/>
        </w:rPr>
      </w:pPr>
    </w:p>
    <w:p>
      <w:pPr>
        <w:jc w:val="both"/>
        <w:ind w:left="120" w:right="380" w:firstLine="881"/>
        <w:spacing w:after="0" w:line="261" w:lineRule="auto"/>
        <w:rPr>
          <w:sz w:val="20"/>
          <w:szCs w:val="20"/>
          <w:color w:val="auto"/>
        </w:rPr>
      </w:pPr>
      <w:r>
        <w:rPr>
          <w:rFonts w:ascii="Times New Roman" w:cs="Times New Roman" w:eastAsia="Times New Roman" w:hAnsi="Times New Roman"/>
          <w:sz w:val="18"/>
          <w:szCs w:val="18"/>
          <w:color w:val="auto"/>
        </w:rPr>
        <w:t>The number of shares of our common stock to be outstanding after this offering is based on 102,196,619 shares of our common stock outstanding as of June 30, 2020, assuming the conversion of all our outstanding shares of preferred stock, including 21,221,280 shares of Series C preferred stock issued in September 2020, into an aggregate of 82,498,619 shares of our common stock immediately prior to the completion of this offering, and excludes the following:</w:t>
      </w:r>
    </w:p>
    <w:p>
      <w:pPr>
        <w:spacing w:after="0" w:line="207" w:lineRule="exact"/>
        <w:rPr>
          <w:sz w:val="20"/>
          <w:szCs w:val="20"/>
          <w:color w:val="auto"/>
        </w:rPr>
      </w:pPr>
    </w:p>
    <w:p>
      <w:pPr>
        <w:ind w:left="1420" w:right="260" w:hanging="319"/>
        <w:spacing w:after="0" w:line="282" w:lineRule="auto"/>
        <w:tabs>
          <w:tab w:leader="none" w:pos="142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9,141,330 shares of common stock issuable upon the exercise of options outstanding as of June 30, 2020, with a weighted-average exercise price of $0.22 per share;</w:t>
      </w:r>
    </w:p>
    <w:p>
      <w:pPr>
        <w:spacing w:after="0" w:line="188" w:lineRule="exact"/>
        <w:rPr>
          <w:rFonts w:ascii="Times New Roman" w:cs="Times New Roman" w:eastAsia="Times New Roman" w:hAnsi="Times New Roman"/>
          <w:sz w:val="18"/>
          <w:szCs w:val="18"/>
          <w:color w:val="auto"/>
        </w:rPr>
      </w:pPr>
    </w:p>
    <w:p>
      <w:pPr>
        <w:ind w:left="2140" w:hanging="1039"/>
        <w:spacing w:after="0"/>
        <w:tabs>
          <w:tab w:leader="none" w:pos="214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common stock issuable upon the exercise of options granted after June 30, 2020, at a weighted-average exercise</w:t>
      </w:r>
    </w:p>
    <w:p>
      <w:pPr>
        <w:spacing w:after="0" w:line="27" w:lineRule="exact"/>
        <w:rPr>
          <w:sz w:val="20"/>
          <w:szCs w:val="20"/>
          <w:color w:val="auto"/>
        </w:rPr>
      </w:pPr>
    </w:p>
    <w:p>
      <w:pPr>
        <w:ind w:left="1420"/>
        <w:spacing w:after="0"/>
        <w:tabs>
          <w:tab w:leader="none" w:pos="2860" w:val="left"/>
        </w:tabs>
        <w:rPr>
          <w:sz w:val="20"/>
          <w:szCs w:val="20"/>
          <w:color w:val="auto"/>
        </w:rPr>
      </w:pPr>
      <w:r>
        <w:rPr>
          <w:rFonts w:ascii="Times New Roman" w:cs="Times New Roman" w:eastAsia="Times New Roman" w:hAnsi="Times New Roman"/>
          <w:sz w:val="18"/>
          <w:szCs w:val="18"/>
          <w:color w:val="auto"/>
        </w:rPr>
        <w:t>price of $</w:t>
      </w:r>
      <w:r>
        <w:rPr>
          <w:sz w:val="20"/>
          <w:szCs w:val="20"/>
          <w:color w:val="auto"/>
        </w:rPr>
        <w:tab/>
      </w:r>
      <w:r>
        <w:rPr>
          <w:rFonts w:ascii="Times New Roman" w:cs="Times New Roman" w:eastAsia="Times New Roman" w:hAnsi="Times New Roman"/>
          <w:sz w:val="17"/>
          <w:szCs w:val="17"/>
          <w:color w:val="auto"/>
        </w:rPr>
        <w:t>per share;</w:t>
      </w:r>
    </w:p>
    <w:p>
      <w:pPr>
        <w:spacing w:after="0" w:line="234" w:lineRule="exact"/>
        <w:rPr>
          <w:sz w:val="20"/>
          <w:szCs w:val="20"/>
          <w:color w:val="auto"/>
        </w:rPr>
      </w:pPr>
    </w:p>
    <w:p>
      <w:pPr>
        <w:ind w:left="1420" w:right="680" w:hanging="319"/>
        <w:spacing w:after="0" w:line="282" w:lineRule="auto"/>
        <w:tabs>
          <w:tab w:leader="none" w:pos="142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500,000 shares of common stock, legally issued upon the early exercise of certain stock options, which are subject to service conditions and the right of repurchase, that were outstanding as of June 30, 2020;</w:t>
      </w:r>
    </w:p>
    <w:p>
      <w:pPr>
        <w:spacing w:after="0" w:line="188" w:lineRule="exact"/>
        <w:rPr>
          <w:rFonts w:ascii="Times New Roman" w:cs="Times New Roman" w:eastAsia="Times New Roman" w:hAnsi="Times New Roman"/>
          <w:sz w:val="18"/>
          <w:szCs w:val="18"/>
          <w:color w:val="auto"/>
        </w:rPr>
      </w:pPr>
    </w:p>
    <w:p>
      <w:pPr>
        <w:ind w:left="1420" w:right="80" w:hanging="319"/>
        <w:spacing w:after="0" w:line="282" w:lineRule="auto"/>
        <w:tabs>
          <w:tab w:leader="none" w:pos="142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8,533,485 shares of common stock reserved for future issuance under our 2016 Plan, as of June 30, 2020, which shares will be added to the shares to be reserved under our 2020 Plan upon its effectiveness;</w:t>
      </w:r>
    </w:p>
    <w:p>
      <w:pPr>
        <w:spacing w:after="0" w:line="188" w:lineRule="exact"/>
        <w:rPr>
          <w:rFonts w:ascii="Times New Roman" w:cs="Times New Roman" w:eastAsia="Times New Roman" w:hAnsi="Times New Roman"/>
          <w:sz w:val="18"/>
          <w:szCs w:val="18"/>
          <w:color w:val="auto"/>
        </w:rPr>
      </w:pPr>
    </w:p>
    <w:p>
      <w:pPr>
        <w:ind w:left="1420" w:right="60" w:hanging="319"/>
        <w:spacing w:after="0" w:line="266" w:lineRule="auto"/>
        <w:tabs>
          <w:tab w:leader="none" w:pos="214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common stock reserved for future issuance under our 2020 Plan, which will become effective on the business day immediately prior to the date of effectiveness of the registration statement of which this prospectus forms a part, as well as any automatic increases in the number of shares of common stock reserved for future issuance under this plan; and</w:t>
      </w:r>
    </w:p>
    <w:p>
      <w:pPr>
        <w:spacing w:after="0" w:line="202" w:lineRule="exact"/>
        <w:rPr>
          <w:rFonts w:ascii="Times New Roman" w:cs="Times New Roman" w:eastAsia="Times New Roman" w:hAnsi="Times New Roman"/>
          <w:sz w:val="18"/>
          <w:szCs w:val="18"/>
          <w:color w:val="auto"/>
        </w:rPr>
      </w:pPr>
    </w:p>
    <w:p>
      <w:pPr>
        <w:jc w:val="both"/>
        <w:ind w:left="1420" w:right="460" w:hanging="319"/>
        <w:spacing w:after="0" w:line="266" w:lineRule="auto"/>
        <w:tabs>
          <w:tab w:leader="none" w:pos="214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common stock reserved for issuance under our 2020 ESPP, which will become effective on the business day immediately prior to the date of effectiveness of the registration statement of which this prospectus forms a part, as well as any automatic increases in the number of shares of common stock reserved for future issuance under this plan.</w:t>
      </w:r>
    </w:p>
    <w:p>
      <w:pPr>
        <w:spacing w:after="0" w:line="108" w:lineRule="exact"/>
        <w:rPr>
          <w:rFonts w:ascii="Times New Roman" w:cs="Times New Roman" w:eastAsia="Times New Roman" w:hAnsi="Times New Roman"/>
          <w:sz w:val="18"/>
          <w:szCs w:val="18"/>
          <w:color w:val="auto"/>
        </w:rPr>
      </w:pPr>
    </w:p>
    <w:p>
      <w:pPr>
        <w:ind w:left="5540" w:hanging="111"/>
        <w:spacing w:after="0"/>
        <w:tabs>
          <w:tab w:leader="none" w:pos="5540"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93 -</w:t>
      </w:r>
    </w:p>
    <w:p>
      <w:pPr>
        <w:sectPr>
          <w:pgSz w:w="11900" w:h="16838" w:orient="portrait"/>
          <w:cols w:equalWidth="0" w:num="1">
            <w:col w:w="11080"/>
          </w:cols>
          <w:pgMar w:left="320" w:top="455" w:right="499" w:bottom="1440" w:gutter="0" w:footer="0" w:header="0"/>
        </w:sectPr>
      </w:pPr>
    </w:p>
    <w:bookmarkStart w:id="96" w:name="page97"/>
    <w:bookmarkEnd w:id="9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DILUTION</w:t>
      </w:r>
    </w:p>
    <w:p>
      <w:pPr>
        <w:spacing w:after="0" w:line="229" w:lineRule="exact"/>
        <w:rPr>
          <w:sz w:val="20"/>
          <w:szCs w:val="20"/>
          <w:color w:val="auto"/>
        </w:rPr>
      </w:pPr>
    </w:p>
    <w:p>
      <w:pPr>
        <w:ind w:left="120" w:right="160" w:firstLine="881"/>
        <w:spacing w:after="0" w:line="266" w:lineRule="auto"/>
        <w:rPr>
          <w:sz w:val="20"/>
          <w:szCs w:val="20"/>
          <w:color w:val="auto"/>
        </w:rPr>
      </w:pPr>
      <w:r>
        <w:rPr>
          <w:rFonts w:ascii="Times New Roman" w:cs="Times New Roman" w:eastAsia="Times New Roman" w:hAnsi="Times New Roman"/>
          <w:sz w:val="18"/>
          <w:szCs w:val="18"/>
          <w:color w:val="auto"/>
        </w:rPr>
        <w:t>If you invest in our common stock in this offering, your ownership interest will be immediately diluted to the extent of the difference between the assumed initial public offering price per share of our common stock and the pro forma as adjusted net tangible book value per share of our common stock immediately after this offering.</w:t>
      </w:r>
    </w:p>
    <w:p>
      <w:pPr>
        <w:spacing w:after="0" w:line="176" w:lineRule="exact"/>
        <w:rPr>
          <w:sz w:val="20"/>
          <w:szCs w:val="20"/>
          <w:color w:val="auto"/>
        </w:rPr>
      </w:pPr>
    </w:p>
    <w:p>
      <w:pPr>
        <w:ind w:left="120" w:right="60" w:firstLine="881"/>
        <w:spacing w:after="0" w:line="261" w:lineRule="auto"/>
        <w:rPr>
          <w:sz w:val="20"/>
          <w:szCs w:val="20"/>
          <w:color w:val="auto"/>
        </w:rPr>
      </w:pPr>
      <w:r>
        <w:rPr>
          <w:rFonts w:ascii="Times New Roman" w:cs="Times New Roman" w:eastAsia="Times New Roman" w:hAnsi="Times New Roman"/>
          <w:sz w:val="18"/>
          <w:szCs w:val="18"/>
          <w:color w:val="auto"/>
        </w:rPr>
        <w:t>Historical net tangible book value (deficit) per share represents our total tangible assets (which excludes deferred offering costs) less our liabilities and preferred stock that is not included in equity divided by the total number of shares of common stock outstanding. As of June 30, 2020, our historical net tangible book value (deficit) was approximately $(11.1) million, or $(0.56) per share of common stock, based on 19,698,000 shares of common stock outstanding as of June 30, 2020 with 500,000 shares of unvested common stock subject to repurchase.</w:t>
      </w:r>
    </w:p>
    <w:p>
      <w:pPr>
        <w:spacing w:after="0" w:line="180" w:lineRule="exact"/>
        <w:rPr>
          <w:sz w:val="20"/>
          <w:szCs w:val="20"/>
          <w:color w:val="auto"/>
        </w:rPr>
      </w:pPr>
    </w:p>
    <w:p>
      <w:pPr>
        <w:ind w:left="120" w:right="20" w:firstLine="881"/>
        <w:spacing w:after="0" w:line="256" w:lineRule="auto"/>
        <w:rPr>
          <w:sz w:val="20"/>
          <w:szCs w:val="20"/>
          <w:color w:val="auto"/>
        </w:rPr>
      </w:pPr>
      <w:r>
        <w:rPr>
          <w:rFonts w:ascii="Times New Roman" w:cs="Times New Roman" w:eastAsia="Times New Roman" w:hAnsi="Times New Roman"/>
          <w:sz w:val="18"/>
          <w:szCs w:val="18"/>
          <w:color w:val="auto"/>
        </w:rPr>
        <w:t>Our pro forma net tangible book value as of June 30, 2020, was approximately $ million, or $ per share of common stock. Our pro forma tangible book value per share represents the amount of our total tangible assets (which excludes deferred offering costs) reduced by the amount of our total liabilities and divided by the total number of shares of our common stock outstanding as of June 30, 2020, after giving effect to (i) the issuance of 21,221,280 shares of Series C preferred stock for gross cash proceeds of $40.0 million in September 2020 and (ii) the conversion of all outstanding shares of our preferred stock into an aggregate of 82,498,619 shares of common stock, which includes our Series C preferred stock issued in September 2020, immediately prior to the completion of this offering.</w:t>
      </w:r>
    </w:p>
    <w:p>
      <w:pPr>
        <w:spacing w:after="0" w:line="187" w:lineRule="exact"/>
        <w:rPr>
          <w:sz w:val="20"/>
          <w:szCs w:val="20"/>
          <w:color w:val="auto"/>
        </w:rPr>
      </w:pPr>
    </w:p>
    <w:p>
      <w:pPr>
        <w:ind w:left="120" w:right="140" w:firstLine="881"/>
        <w:spacing w:after="0" w:line="261" w:lineRule="auto"/>
        <w:rPr>
          <w:sz w:val="20"/>
          <w:szCs w:val="20"/>
          <w:color w:val="auto"/>
        </w:rPr>
      </w:pPr>
      <w:r>
        <w:rPr>
          <w:rFonts w:ascii="Times New Roman" w:cs="Times New Roman" w:eastAsia="Times New Roman" w:hAnsi="Times New Roman"/>
          <w:sz w:val="18"/>
          <w:szCs w:val="18"/>
          <w:color w:val="auto"/>
        </w:rPr>
        <w:t>After giving effect to (i) the pro forma adjustments set forth above and (ii) our sale in this offering of shares of common stock at an assumed initial public offering price of $ per share, the midpoint of the estimated price range set forth on the cover page of this prospectus</w:t>
      </w:r>
    </w:p>
    <w:p>
      <w:pPr>
        <w:ind w:left="120"/>
        <w:spacing w:after="0"/>
        <w:rPr>
          <w:sz w:val="20"/>
          <w:szCs w:val="20"/>
          <w:color w:val="auto"/>
        </w:rPr>
      </w:pPr>
      <w:r>
        <w:rPr>
          <w:rFonts w:ascii="Times New Roman" w:cs="Times New Roman" w:eastAsia="Times New Roman" w:hAnsi="Times New Roman"/>
          <w:sz w:val="18"/>
          <w:szCs w:val="18"/>
          <w:color w:val="auto"/>
        </w:rPr>
        <w:t>and after deducting estimated underwriting discounts and commissions and estimated offering expenses, our pro forma as adjusted net tangible book</w:t>
      </w:r>
    </w:p>
    <w:p>
      <w:pPr>
        <w:spacing w:after="0" w:line="200" w:lineRule="exact"/>
        <w:rPr>
          <w:sz w:val="20"/>
          <w:szCs w:val="20"/>
          <w:color w:val="auto"/>
        </w:rPr>
      </w:pPr>
    </w:p>
    <w:p>
      <w:pPr>
        <w:spacing w:after="0" w:line="205" w:lineRule="exact"/>
        <w:rPr>
          <w:sz w:val="20"/>
          <w:szCs w:val="20"/>
          <w:color w:val="auto"/>
        </w:rPr>
      </w:pPr>
    </w:p>
    <w:p>
      <w:pPr>
        <w:ind w:left="120" w:right="260"/>
        <w:spacing w:after="0" w:line="261" w:lineRule="auto"/>
        <w:rPr>
          <w:sz w:val="20"/>
          <w:szCs w:val="20"/>
          <w:color w:val="auto"/>
        </w:rPr>
      </w:pPr>
      <w:r>
        <w:rPr>
          <w:rFonts w:ascii="Times New Roman" w:cs="Times New Roman" w:eastAsia="Times New Roman" w:hAnsi="Times New Roman"/>
          <w:sz w:val="18"/>
          <w:szCs w:val="18"/>
          <w:color w:val="auto"/>
        </w:rPr>
        <w:t>value as of June 30, 2020 would have been approximately $ million, or $ per share of our common stock. This represents an immediate increase in pro forma as adjusted net tangible book value of $ per share to our existing stockholders and an immediate dilution of</w:t>
      </w:r>
    </w:p>
    <w:p>
      <w:pPr>
        <w:ind w:left="120" w:right="160" w:hanging="4"/>
        <w:spacing w:after="0" w:line="255" w:lineRule="auto"/>
        <w:tabs>
          <w:tab w:leader="none" w:pos="93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 share to investors purchasing common stock in this offering. Net tangible book value dilution per share to new investors participating in this offering represents the difference between the amount per share paid by purchaser of common stock in this offering and the pro forma as adjusted net tangible book value per share of common stock immediately after completion of this offering.</w:t>
      </w:r>
    </w:p>
    <w:p>
      <w:pPr>
        <w:spacing w:after="0" w:line="186"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The following table illustrates this dilution to new investors on a per share basis:</w:t>
      </w:r>
    </w:p>
    <w:p>
      <w:pPr>
        <w:spacing w:after="0" w:line="270"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Assumed initial public offering price per share</w:t>
            </w:r>
          </w:p>
        </w:tc>
        <w:tc>
          <w:tcPr>
            <w:tcW w:w="332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r>
      <w:tr>
        <w:trPr>
          <w:trHeight w:val="216"/>
        </w:trPr>
        <w:tc>
          <w:tcPr>
            <w:tcW w:w="69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Historical net tangible book value (deficit) per share as of June 30, 2020</w:t>
            </w:r>
          </w:p>
        </w:tc>
        <w:tc>
          <w:tcPr>
            <w:tcW w:w="2840" w:type="dxa"/>
            <w:vAlign w:val="bottom"/>
          </w:tcPr>
          <w:p>
            <w:pPr>
              <w:spacing w:after="0"/>
              <w:rPr>
                <w:sz w:val="18"/>
                <w:szCs w:val="18"/>
                <w:color w:val="auto"/>
              </w:rPr>
            </w:pPr>
          </w:p>
        </w:tc>
        <w:tc>
          <w:tcPr>
            <w:tcW w:w="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$(0.56)</w:t>
            </w: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974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Increase (decrease) in historical net tangible book value per share attributable to conversion of our preferred stock</w:t>
            </w: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69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Pro forma net tangible book value (deficit) per share as of June 30, 2020</w:t>
            </w:r>
          </w:p>
        </w:tc>
        <w:tc>
          <w:tcPr>
            <w:tcW w:w="28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974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Increase in pro forma net tangible book value per share attributable to new investors in this offering</w:t>
            </w:r>
          </w:p>
        </w:tc>
        <w:tc>
          <w:tcPr>
            <w:tcW w:w="4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30"/>
        </w:trPr>
        <w:tc>
          <w:tcPr>
            <w:tcW w:w="6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 forma as adjusted net tangible book value per share immediately after this offering</w:t>
            </w:r>
          </w:p>
        </w:tc>
        <w:tc>
          <w:tcPr>
            <w:tcW w:w="28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216"/>
        </w:trPr>
        <w:tc>
          <w:tcPr>
            <w:tcW w:w="6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Dilution per share to new investors purchasing shares in this offering</w:t>
            </w:r>
          </w:p>
        </w:tc>
        <w:tc>
          <w:tcPr>
            <w:tcW w:w="284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r>
      <w:tr>
        <w:trPr>
          <w:trHeight w:val="20"/>
        </w:trPr>
        <w:tc>
          <w:tcPr>
            <w:tcW w:w="6900" w:type="dxa"/>
            <w:vAlign w:val="bottom"/>
            <w:gridSpan w:val="2"/>
          </w:tcPr>
          <w:p>
            <w:pPr>
              <w:spacing w:after="0" w:line="20" w:lineRule="exact"/>
              <w:rPr>
                <w:sz w:val="1"/>
                <w:szCs w:val="1"/>
                <w:color w:val="auto"/>
              </w:rPr>
            </w:pPr>
          </w:p>
        </w:tc>
        <w:tc>
          <w:tcPr>
            <w:tcW w:w="3640" w:type="dxa"/>
            <w:vAlign w:val="bottom"/>
            <w:gridSpan w:val="3"/>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08"/>
        </w:trPr>
        <w:tc>
          <w:tcPr>
            <w:tcW w:w="690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Each $1.00 increase (decrease) in the assumed initial public offering price of $</w:t>
            </w:r>
          </w:p>
        </w:tc>
        <w:tc>
          <w:tcPr>
            <w:tcW w:w="4120" w:type="dxa"/>
            <w:vAlign w:val="bottom"/>
            <w:gridSpan w:val="5"/>
          </w:tcPr>
          <w:p>
            <w:pPr>
              <w:ind w:left="360"/>
              <w:spacing w:after="0"/>
              <w:rPr>
                <w:sz w:val="20"/>
                <w:szCs w:val="20"/>
                <w:color w:val="auto"/>
              </w:rPr>
            </w:pPr>
            <w:r>
              <w:rPr>
                <w:rFonts w:ascii="Times New Roman" w:cs="Times New Roman" w:eastAsia="Times New Roman" w:hAnsi="Times New Roman"/>
                <w:sz w:val="18"/>
                <w:szCs w:val="18"/>
                <w:color w:val="auto"/>
              </w:rPr>
              <w:t>per share, the midpoint of the estimated price range</w:t>
            </w:r>
          </w:p>
        </w:tc>
      </w:tr>
      <w:tr>
        <w:trPr>
          <w:trHeight w:val="216"/>
        </w:trPr>
        <w:tc>
          <w:tcPr>
            <w:tcW w:w="97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set forth on the cover page of this prospectus, would increase (decrease) the pro forma as adjusted net tangible book value, by $</w:t>
            </w:r>
          </w:p>
        </w:tc>
        <w:tc>
          <w:tcPr>
            <w:tcW w:w="128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per share and</w:t>
            </w:r>
          </w:p>
        </w:tc>
      </w:tr>
      <w:tr>
        <w:trPr>
          <w:trHeight w:val="234"/>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the dilution per share to new investors by $</w:t>
            </w:r>
          </w:p>
        </w:tc>
        <w:tc>
          <w:tcPr>
            <w:tcW w:w="7440" w:type="dxa"/>
            <w:vAlign w:val="bottom"/>
            <w:gridSpan w:val="6"/>
          </w:tcPr>
          <w:p>
            <w:pPr>
              <w:ind w:left="240"/>
              <w:spacing w:after="0"/>
              <w:rPr>
                <w:sz w:val="20"/>
                <w:szCs w:val="20"/>
                <w:color w:val="auto"/>
              </w:rPr>
            </w:pPr>
            <w:r>
              <w:rPr>
                <w:rFonts w:ascii="Times New Roman" w:cs="Times New Roman" w:eastAsia="Times New Roman" w:hAnsi="Times New Roman"/>
                <w:sz w:val="18"/>
                <w:szCs w:val="18"/>
                <w:color w:val="auto"/>
              </w:rPr>
              <w:t>per share, assuming the number of shares offered by us, as set forth on the cover page of</w:t>
            </w:r>
          </w:p>
        </w:tc>
      </w:tr>
      <w:tr>
        <w:trPr>
          <w:trHeight w:val="365"/>
        </w:trPr>
        <w:tc>
          <w:tcPr>
            <w:tcW w:w="3580" w:type="dxa"/>
            <w:vAlign w:val="bottom"/>
          </w:tcPr>
          <w:p>
            <w:pPr>
              <w:spacing w:after="0"/>
              <w:rPr>
                <w:sz w:val="24"/>
                <w:szCs w:val="24"/>
                <w:color w:val="auto"/>
              </w:rPr>
            </w:pPr>
          </w:p>
        </w:tc>
        <w:tc>
          <w:tcPr>
            <w:tcW w:w="3320" w:type="dxa"/>
            <w:vAlign w:val="bottom"/>
          </w:tcPr>
          <w:p>
            <w:pPr>
              <w:jc w:val="right"/>
              <w:ind w:right="1110"/>
              <w:spacing w:after="0"/>
              <w:rPr>
                <w:sz w:val="20"/>
                <w:szCs w:val="20"/>
                <w:color w:val="auto"/>
              </w:rPr>
            </w:pPr>
            <w:r>
              <w:rPr>
                <w:rFonts w:ascii="Times New Roman" w:cs="Times New Roman" w:eastAsia="Times New Roman" w:hAnsi="Times New Roman"/>
                <w:sz w:val="18"/>
                <w:szCs w:val="18"/>
                <w:color w:val="auto"/>
              </w:rPr>
              <w:t>-94-</w:t>
            </w:r>
          </w:p>
        </w:tc>
        <w:tc>
          <w:tcPr>
            <w:tcW w:w="28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140"/>
          </w:cols>
          <w:pgMar w:left="320" w:top="455" w:right="439" w:bottom="1440" w:gutter="0" w:footer="0" w:header="0"/>
        </w:sectPr>
      </w:pPr>
    </w:p>
    <w:bookmarkStart w:id="97" w:name="page98"/>
    <w:bookmarkEnd w:id="9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this prospectus, remains the same, after deducting estimated underwriting discounts and commissions and estimated offering expenses payable by us.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may also increase (decrease) the number of shares we are offering.</w:t>
      </w:r>
    </w:p>
    <w:p>
      <w:pPr>
        <w:spacing w:after="0" w:line="20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If the underwriters’ option to purchase additional shares in this offering is exercised in full, the pro forma as adjusted net tangible book</w:t>
      </w:r>
    </w:p>
    <w:p>
      <w:pPr>
        <w:spacing w:after="0" w:line="27" w:lineRule="exact"/>
        <w:rPr>
          <w:sz w:val="20"/>
          <w:szCs w:val="20"/>
          <w:color w:val="auto"/>
        </w:rPr>
      </w:pPr>
    </w:p>
    <w:p>
      <w:pPr>
        <w:ind w:left="120" w:right="220"/>
        <w:spacing w:after="0" w:line="260" w:lineRule="auto"/>
        <w:rPr>
          <w:sz w:val="20"/>
          <w:szCs w:val="20"/>
          <w:color w:val="auto"/>
        </w:rPr>
      </w:pPr>
      <w:r>
        <w:rPr>
          <w:rFonts w:ascii="Times New Roman" w:cs="Times New Roman" w:eastAsia="Times New Roman" w:hAnsi="Times New Roman"/>
          <w:sz w:val="18"/>
          <w:szCs w:val="18"/>
          <w:color w:val="auto"/>
        </w:rPr>
        <w:t>value would be $ per share, the increase in the pro forma net tangible book value per share for existing stockholders would be $ per share and the dilution to new investors participating in this offering would be $ per share.</w:t>
      </w:r>
    </w:p>
    <w:p>
      <w:pPr>
        <w:spacing w:after="0" w:line="181" w:lineRule="exact"/>
        <w:rPr>
          <w:sz w:val="20"/>
          <w:szCs w:val="20"/>
          <w:color w:val="auto"/>
        </w:rPr>
      </w:pPr>
    </w:p>
    <w:p>
      <w:pPr>
        <w:ind w:left="120" w:right="120" w:firstLine="881"/>
        <w:spacing w:after="0" w:line="257" w:lineRule="auto"/>
        <w:rPr>
          <w:sz w:val="20"/>
          <w:szCs w:val="20"/>
          <w:color w:val="auto"/>
        </w:rPr>
      </w:pPr>
      <w:r>
        <w:rPr>
          <w:rFonts w:ascii="Times New Roman" w:cs="Times New Roman" w:eastAsia="Times New Roman" w:hAnsi="Times New Roman"/>
          <w:sz w:val="18"/>
          <w:szCs w:val="18"/>
          <w:color w:val="auto"/>
        </w:rPr>
        <w:t>We may also increase or decrease the number of shares we are offering. An increase (decrease) of 1,000,000 shares in the number of shares we are offering would increase (decrease) our pro forma as adjusted net tangible book value by approximately $ million, or $ per share, and the pro forma dilution per share to investors in this offering by $ per share, assuming that the assumed initial public offering price</w:t>
      </w:r>
    </w:p>
    <w:p>
      <w:pPr>
        <w:spacing w:after="0" w:line="1" w:lineRule="exact"/>
        <w:rPr>
          <w:sz w:val="20"/>
          <w:szCs w:val="20"/>
          <w:color w:val="auto"/>
        </w:rPr>
      </w:pPr>
    </w:p>
    <w:p>
      <w:pPr>
        <w:jc w:val="both"/>
        <w:ind w:left="120" w:right="40"/>
        <w:spacing w:after="0" w:line="255" w:lineRule="auto"/>
        <w:rPr>
          <w:sz w:val="20"/>
          <w:szCs w:val="20"/>
          <w:color w:val="auto"/>
        </w:rPr>
      </w:pPr>
      <w:r>
        <w:rPr>
          <w:rFonts w:ascii="Times New Roman" w:cs="Times New Roman" w:eastAsia="Times New Roman" w:hAnsi="Times New Roman"/>
          <w:sz w:val="18"/>
          <w:szCs w:val="18"/>
          <w:color w:val="auto"/>
        </w:rPr>
        <w:t>remains the same, and after deducting estimated underwriting discounts and commissions and estimated offering expenses payable by us. The pro forma information discussed above is illustrative only and will change based on the actual initial public offering price, number of shares and other terms of this offering determined at pricing.</w:t>
      </w:r>
    </w:p>
    <w:p>
      <w:pPr>
        <w:spacing w:after="0" w:line="186" w:lineRule="exact"/>
        <w:rPr>
          <w:sz w:val="20"/>
          <w:szCs w:val="20"/>
          <w:color w:val="auto"/>
        </w:rPr>
      </w:pPr>
    </w:p>
    <w:p>
      <w:pPr>
        <w:jc w:val="both"/>
        <w:ind w:left="120" w:right="40" w:firstLine="881"/>
        <w:spacing w:after="0" w:line="276" w:lineRule="auto"/>
        <w:rPr>
          <w:sz w:val="20"/>
          <w:szCs w:val="20"/>
          <w:color w:val="auto"/>
        </w:rPr>
      </w:pPr>
      <w:r>
        <w:rPr>
          <w:rFonts w:ascii="Times New Roman" w:cs="Times New Roman" w:eastAsia="Times New Roman" w:hAnsi="Times New Roman"/>
          <w:sz w:val="17"/>
          <w:szCs w:val="17"/>
          <w:color w:val="auto"/>
        </w:rPr>
        <w:t>The table below summarizes, as of June 30, 2020, on a pro forma as adjusted basis, the number of shares of our common stock, the total consideration, and the average price per share (i) paid to us by our existing stockholders and (ii) to be paid by new investors participating in this offering</w:t>
      </w:r>
    </w:p>
    <w:p>
      <w:pPr>
        <w:spacing w:after="0" w:line="1" w:lineRule="exact"/>
        <w:rPr>
          <w:sz w:val="20"/>
          <w:szCs w:val="20"/>
          <w:color w:val="auto"/>
        </w:rPr>
      </w:pPr>
    </w:p>
    <w:p>
      <w:pPr>
        <w:ind w:left="120" w:right="820"/>
        <w:spacing w:after="0" w:line="260" w:lineRule="auto"/>
        <w:rPr>
          <w:sz w:val="20"/>
          <w:szCs w:val="20"/>
          <w:color w:val="auto"/>
        </w:rPr>
      </w:pPr>
      <w:r>
        <w:rPr>
          <w:rFonts w:ascii="Times New Roman" w:cs="Times New Roman" w:eastAsia="Times New Roman" w:hAnsi="Times New Roman"/>
          <w:sz w:val="18"/>
          <w:szCs w:val="18"/>
          <w:color w:val="auto"/>
        </w:rPr>
        <w:t>at an assumed initial public offering price of $ per share, the midpoint of the estimated price range set forth on the cover page of this prospectus, before deducting estimated underwriting discounts and commissions and estimated offering expenses payable by us.</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480" w:type="dxa"/>
            <w:vAlign w:val="bottom"/>
          </w:tcPr>
          <w:p>
            <w:pPr>
              <w:spacing w:after="0"/>
              <w:rPr>
                <w:sz w:val="13"/>
                <w:szCs w:val="13"/>
                <w:color w:val="auto"/>
              </w:rPr>
            </w:pPr>
          </w:p>
        </w:tc>
        <w:tc>
          <w:tcPr>
            <w:tcW w:w="1420" w:type="dxa"/>
            <w:vAlign w:val="bottom"/>
            <w:gridSpan w:val="3"/>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Shares Purchased</w:t>
            </w:r>
          </w:p>
        </w:tc>
        <w:tc>
          <w:tcPr>
            <w:tcW w:w="500" w:type="dxa"/>
            <w:vAlign w:val="bottom"/>
            <w:vMerge w:val="restart"/>
          </w:tcPr>
          <w:p>
            <w:pPr>
              <w:spacing w:after="0"/>
              <w:rPr>
                <w:sz w:val="13"/>
                <w:szCs w:val="13"/>
                <w:color w:val="auto"/>
              </w:rPr>
            </w:pPr>
          </w:p>
        </w:tc>
        <w:tc>
          <w:tcPr>
            <w:tcW w:w="142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Total Consideration</w:t>
            </w:r>
          </w:p>
        </w:tc>
        <w:tc>
          <w:tcPr>
            <w:tcW w:w="32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65"/>
        </w:trPr>
        <w:tc>
          <w:tcPr>
            <w:tcW w:w="6480" w:type="dxa"/>
            <w:vAlign w:val="bottom"/>
          </w:tcPr>
          <w:p>
            <w:pPr>
              <w:spacing w:after="0"/>
              <w:rPr>
                <w:sz w:val="13"/>
                <w:szCs w:val="13"/>
                <w:color w:val="auto"/>
              </w:rPr>
            </w:pPr>
          </w:p>
        </w:tc>
        <w:tc>
          <w:tcPr>
            <w:tcW w:w="1420" w:type="dxa"/>
            <w:vAlign w:val="bottom"/>
            <w:tcBorders>
              <w:bottom w:val="single" w:sz="8" w:color="auto"/>
            </w:tcBorders>
            <w:gridSpan w:val="3"/>
            <w:vMerge w:val="continue"/>
          </w:tcPr>
          <w:p>
            <w:pPr>
              <w:spacing w:after="0"/>
              <w:rPr>
                <w:sz w:val="13"/>
                <w:szCs w:val="13"/>
                <w:color w:val="auto"/>
              </w:rPr>
            </w:pPr>
          </w:p>
        </w:tc>
        <w:tc>
          <w:tcPr>
            <w:tcW w:w="500" w:type="dxa"/>
            <w:vAlign w:val="bottom"/>
            <w:vMerge w:val="continue"/>
          </w:tcPr>
          <w:p>
            <w:pPr>
              <w:spacing w:after="0"/>
              <w:rPr>
                <w:sz w:val="13"/>
                <w:szCs w:val="13"/>
                <w:color w:val="auto"/>
              </w:rPr>
            </w:pPr>
          </w:p>
        </w:tc>
        <w:tc>
          <w:tcPr>
            <w:tcW w:w="1420" w:type="dxa"/>
            <w:vAlign w:val="bottom"/>
            <w:tcBorders>
              <w:bottom w:val="single" w:sz="8" w:color="auto"/>
            </w:tcBorders>
            <w:gridSpan w:val="3"/>
            <w:vMerge w:val="continue"/>
          </w:tcPr>
          <w:p>
            <w:pPr>
              <w:spacing w:after="0"/>
              <w:rPr>
                <w:sz w:val="13"/>
                <w:szCs w:val="13"/>
                <w:color w:val="auto"/>
              </w:rPr>
            </w:pPr>
          </w:p>
        </w:tc>
        <w:tc>
          <w:tcPr>
            <w:tcW w:w="32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gridSpan w:val="2"/>
          </w:tcPr>
          <w:p>
            <w:pPr>
              <w:jc w:val="center"/>
              <w:ind w:right="40"/>
              <w:spacing w:after="0" w:line="160"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17"/>
        </w:trPr>
        <w:tc>
          <w:tcPr>
            <w:tcW w:w="6480" w:type="dxa"/>
            <w:vAlign w:val="bottom"/>
          </w:tcPr>
          <w:p>
            <w:pPr>
              <w:spacing w:after="0"/>
              <w:rPr>
                <w:sz w:val="10"/>
                <w:szCs w:val="10"/>
                <w:color w:val="auto"/>
              </w:rPr>
            </w:pPr>
          </w:p>
        </w:tc>
        <w:tc>
          <w:tcPr>
            <w:tcW w:w="58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360" w:type="dxa"/>
            <w:vAlign w:val="bottom"/>
          </w:tcPr>
          <w:p>
            <w:pPr>
              <w:spacing w:after="0"/>
              <w:rPr>
                <w:sz w:val="10"/>
                <w:szCs w:val="10"/>
                <w:color w:val="auto"/>
              </w:rPr>
            </w:pPr>
          </w:p>
        </w:tc>
        <w:tc>
          <w:tcPr>
            <w:tcW w:w="980" w:type="dxa"/>
            <w:vAlign w:val="bottom"/>
            <w:gridSpan w:val="2"/>
            <w:vMerge w:val="restart"/>
          </w:tcPr>
          <w:p>
            <w:pPr>
              <w:jc w:val="right"/>
              <w:ind w:right="41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5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340" w:type="dxa"/>
            <w:vAlign w:val="bottom"/>
          </w:tcPr>
          <w:p>
            <w:pPr>
              <w:spacing w:after="0"/>
              <w:rPr>
                <w:sz w:val="10"/>
                <w:szCs w:val="10"/>
                <w:color w:val="auto"/>
              </w:rPr>
            </w:pPr>
          </w:p>
        </w:tc>
        <w:tc>
          <w:tcPr>
            <w:tcW w:w="860" w:type="dxa"/>
            <w:vAlign w:val="bottom"/>
            <w:gridSpan w:val="2"/>
            <w:vMerge w:val="restart"/>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180" w:type="dxa"/>
            <w:vAlign w:val="bottom"/>
          </w:tcPr>
          <w:p>
            <w:pPr>
              <w:spacing w:after="0"/>
              <w:rPr>
                <w:sz w:val="10"/>
                <w:szCs w:val="10"/>
                <w:color w:val="auto"/>
              </w:rPr>
            </w:pPr>
          </w:p>
        </w:tc>
        <w:tc>
          <w:tcPr>
            <w:tcW w:w="700" w:type="dxa"/>
            <w:vAlign w:val="bottom"/>
            <w:gridSpan w:val="2"/>
          </w:tcPr>
          <w:p>
            <w:pPr>
              <w:jc w:val="center"/>
              <w:ind w:right="60"/>
              <w:spacing w:after="0" w:line="118" w:lineRule="exact"/>
              <w:rPr>
                <w:sz w:val="20"/>
                <w:szCs w:val="20"/>
                <w:color w:val="auto"/>
              </w:rPr>
            </w:pPr>
            <w:r>
              <w:rPr>
                <w:rFonts w:ascii="Times New Roman" w:cs="Times New Roman" w:eastAsia="Times New Roman" w:hAnsi="Times New Roman"/>
                <w:sz w:val="13"/>
                <w:szCs w:val="13"/>
                <w:b w:val="1"/>
                <w:bCs w:val="1"/>
                <w:color w:val="auto"/>
              </w:rPr>
              <w:t>Price Per</w:t>
            </w:r>
          </w:p>
        </w:tc>
        <w:tc>
          <w:tcPr>
            <w:tcW w:w="0" w:type="dxa"/>
            <w:vAlign w:val="bottom"/>
          </w:tcPr>
          <w:p>
            <w:pPr>
              <w:spacing w:after="0"/>
              <w:rPr>
                <w:sz w:val="1"/>
                <w:szCs w:val="1"/>
                <w:color w:val="auto"/>
              </w:rPr>
            </w:pPr>
          </w:p>
        </w:tc>
      </w:tr>
      <w:tr>
        <w:trPr>
          <w:trHeight w:val="173"/>
        </w:trPr>
        <w:tc>
          <w:tcPr>
            <w:tcW w:w="648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54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0" w:type="dxa"/>
            <w:vAlign w:val="bottom"/>
          </w:tcPr>
          <w:p>
            <w:pPr>
              <w:spacing w:after="0"/>
              <w:rPr>
                <w:sz w:val="1"/>
                <w:szCs w:val="1"/>
                <w:color w:val="auto"/>
              </w:rPr>
            </w:pPr>
          </w:p>
        </w:tc>
      </w:tr>
      <w:tr>
        <w:trPr>
          <w:trHeight w:val="210"/>
        </w:trPr>
        <w:tc>
          <w:tcPr>
            <w:tcW w:w="64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Existing stockholders</w:t>
            </w:r>
          </w:p>
        </w:tc>
        <w:tc>
          <w:tcPr>
            <w:tcW w:w="58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79"/>
              </w:rPr>
              <w:t>%</w:t>
            </w:r>
          </w:p>
        </w:tc>
        <w:tc>
          <w:tcPr>
            <w:tcW w:w="5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93"/>
              </w:rPr>
              <w:t>%</w:t>
            </w:r>
          </w:p>
        </w:tc>
        <w:tc>
          <w:tcPr>
            <w:tcW w:w="18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ind w:right="465"/>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New investors</w:t>
            </w:r>
          </w:p>
        </w:tc>
        <w:tc>
          <w:tcPr>
            <w:tcW w:w="58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0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1340" w:type="dxa"/>
            <w:vAlign w:val="bottom"/>
            <w:gridSpan w:val="3"/>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100%</w:t>
            </w:r>
          </w:p>
        </w:tc>
        <w:tc>
          <w:tcPr>
            <w:tcW w:w="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3"/>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100%</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140" w:firstLine="881"/>
        <w:spacing w:after="0" w:line="276" w:lineRule="auto"/>
        <w:rPr>
          <w:sz w:val="20"/>
          <w:szCs w:val="20"/>
          <w:color w:val="auto"/>
        </w:rPr>
      </w:pPr>
      <w:r>
        <w:rPr>
          <w:rFonts w:ascii="Times New Roman" w:cs="Times New Roman" w:eastAsia="Times New Roman" w:hAnsi="Times New Roman"/>
          <w:sz w:val="17"/>
          <w:szCs w:val="17"/>
          <w:color w:val="auto"/>
        </w:rPr>
        <w:t>In addition, if the underwriters’ option to purchase additional shares is exercised in full, the number of shares held by existing stockholders will be reduced to % of the total number of shares of common stock to be outstanding upon completion of this offering, and the number of shares of</w:t>
      </w:r>
    </w:p>
    <w:p>
      <w:pPr>
        <w:spacing w:after="0" w:line="1" w:lineRule="exact"/>
        <w:rPr>
          <w:sz w:val="20"/>
          <w:szCs w:val="20"/>
          <w:color w:val="auto"/>
        </w:rPr>
      </w:pPr>
    </w:p>
    <w:p>
      <w:pPr>
        <w:ind w:left="120" w:right="160"/>
        <w:spacing w:after="0" w:line="260" w:lineRule="auto"/>
        <w:rPr>
          <w:sz w:val="20"/>
          <w:szCs w:val="20"/>
          <w:color w:val="auto"/>
        </w:rPr>
      </w:pPr>
      <w:r>
        <w:rPr>
          <w:rFonts w:ascii="Times New Roman" w:cs="Times New Roman" w:eastAsia="Times New Roman" w:hAnsi="Times New Roman"/>
          <w:sz w:val="18"/>
          <w:szCs w:val="18"/>
          <w:color w:val="auto"/>
        </w:rPr>
        <w:t>common stock held by new investors participating in this offering will be further increased to % of the total number of shares of common stock to be outstanding upon completion of the offering.</w:t>
      </w:r>
    </w:p>
    <w:p>
      <w:pPr>
        <w:spacing w:after="0" w:line="181" w:lineRule="exact"/>
        <w:rPr>
          <w:sz w:val="20"/>
          <w:szCs w:val="20"/>
          <w:color w:val="auto"/>
        </w:rPr>
      </w:pPr>
    </w:p>
    <w:p>
      <w:pPr>
        <w:ind w:left="120" w:right="60" w:firstLine="881"/>
        <w:spacing w:after="0" w:line="261" w:lineRule="auto"/>
        <w:rPr>
          <w:sz w:val="20"/>
          <w:szCs w:val="20"/>
          <w:color w:val="auto"/>
        </w:rPr>
      </w:pPr>
      <w:r>
        <w:rPr>
          <w:rFonts w:ascii="Times New Roman" w:cs="Times New Roman" w:eastAsia="Times New Roman" w:hAnsi="Times New Roman"/>
          <w:sz w:val="18"/>
          <w:szCs w:val="18"/>
          <w:color w:val="auto"/>
        </w:rPr>
        <w:t>Each $1.00 increase (decrease) in the assumed initial public offering price of $ per share would increase (decrease) total consideration paid by new investors by $ and increase (decrease) the percent of total consideration paid by new investors by %, assuming the</w:t>
      </w:r>
    </w:p>
    <w:p>
      <w:pPr>
        <w:ind w:left="120" w:right="160"/>
        <w:spacing w:after="0" w:line="264" w:lineRule="auto"/>
        <w:rPr>
          <w:sz w:val="20"/>
          <w:szCs w:val="20"/>
          <w:color w:val="auto"/>
        </w:rPr>
      </w:pPr>
      <w:r>
        <w:rPr>
          <w:rFonts w:ascii="Times New Roman" w:cs="Times New Roman" w:eastAsia="Times New Roman" w:hAnsi="Times New Roman"/>
          <w:sz w:val="17"/>
          <w:szCs w:val="17"/>
          <w:color w:val="auto"/>
        </w:rPr>
        <w:t>number of shares we are offering, as set forth on the cover page of this prospectus, remains the same, after deducting estimated underwriting discounts and commissions. We may also increase or decrease the number of shares we are offering. An increase (decrease) of 1,000,000 in the number of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120" w:right="260"/>
        <w:spacing w:after="0" w:line="282" w:lineRule="auto"/>
        <w:rPr>
          <w:sz w:val="20"/>
          <w:szCs w:val="20"/>
          <w:color w:val="auto"/>
        </w:rPr>
      </w:pPr>
      <w:r>
        <w:rPr>
          <w:rFonts w:ascii="Times New Roman" w:cs="Times New Roman" w:eastAsia="Times New Roman" w:hAnsi="Times New Roman"/>
          <w:sz w:val="18"/>
          <w:szCs w:val="18"/>
          <w:color w:val="auto"/>
        </w:rPr>
        <w:t>offered by us would increase (decrease) total consideration paid by new investors by $ , assuming that the assumed initial price to the public remains the same, and after deducting the estimated underwriting discounts and commissions.</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-95-</w:t>
      </w:r>
    </w:p>
    <w:p>
      <w:pPr>
        <w:sectPr>
          <w:pgSz w:w="11900" w:h="16838" w:orient="portrait"/>
          <w:cols w:equalWidth="0" w:num="1">
            <w:col w:w="11140"/>
          </w:cols>
          <w:pgMar w:left="320" w:top="455" w:right="439" w:bottom="1440" w:gutter="0" w:footer="0" w:header="0"/>
        </w:sectPr>
      </w:pPr>
    </w:p>
    <w:bookmarkStart w:id="98" w:name="page99"/>
    <w:bookmarkEnd w:id="9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firstLine="881"/>
        <w:spacing w:after="0" w:line="261" w:lineRule="auto"/>
        <w:rPr>
          <w:sz w:val="20"/>
          <w:szCs w:val="20"/>
          <w:color w:val="auto"/>
        </w:rPr>
      </w:pPr>
      <w:r>
        <w:rPr>
          <w:rFonts w:ascii="Times New Roman" w:cs="Times New Roman" w:eastAsia="Times New Roman" w:hAnsi="Times New Roman"/>
          <w:sz w:val="18"/>
          <w:szCs w:val="18"/>
          <w:color w:val="auto"/>
        </w:rPr>
        <w:t>The number of shares of common stock to be outstanding after this offering is based on 102,196,619 shares of common stock outstanding as of June 30, 2020, assuming the conversion of all our outstanding shares of preferred stock, including 21,221,280 shares of Series C preferred stock issued in September 2020, into an aggregate of 82,498,619 shares of our common stock immediately prior to the completion of this offering, and excludes the following:</w:t>
      </w:r>
    </w:p>
    <w:p>
      <w:pPr>
        <w:spacing w:after="0" w:line="207" w:lineRule="exact"/>
        <w:rPr>
          <w:sz w:val="20"/>
          <w:szCs w:val="20"/>
          <w:color w:val="auto"/>
        </w:rPr>
      </w:pPr>
    </w:p>
    <w:p>
      <w:pPr>
        <w:ind w:left="1420" w:right="340" w:hanging="319"/>
        <w:spacing w:after="0" w:line="282" w:lineRule="auto"/>
        <w:tabs>
          <w:tab w:leader="none" w:pos="142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9,141,330 shares of common stock issuable upon the exercise of options outstanding as of June 30, 2020 with a weighted-average exercise price of $0.22 per share;</w:t>
      </w:r>
    </w:p>
    <w:p>
      <w:pPr>
        <w:spacing w:after="0" w:line="188" w:lineRule="exact"/>
        <w:rPr>
          <w:rFonts w:ascii="Times New Roman" w:cs="Times New Roman" w:eastAsia="Times New Roman" w:hAnsi="Times New Roman"/>
          <w:sz w:val="18"/>
          <w:szCs w:val="18"/>
          <w:color w:val="auto"/>
        </w:rPr>
      </w:pPr>
    </w:p>
    <w:p>
      <w:pPr>
        <w:ind w:left="2140" w:hanging="1039"/>
        <w:spacing w:after="0"/>
        <w:tabs>
          <w:tab w:leader="none" w:pos="214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common stock issuable upon the exercise of options granted after June 30, 2020 with a weighted-average exercise</w:t>
      </w:r>
    </w:p>
    <w:p>
      <w:pPr>
        <w:spacing w:after="0" w:line="27" w:lineRule="exact"/>
        <w:rPr>
          <w:sz w:val="20"/>
          <w:szCs w:val="20"/>
          <w:color w:val="auto"/>
        </w:rPr>
      </w:pPr>
    </w:p>
    <w:p>
      <w:pPr>
        <w:ind w:left="1420"/>
        <w:spacing w:after="0"/>
        <w:tabs>
          <w:tab w:leader="none" w:pos="2820" w:val="left"/>
        </w:tabs>
        <w:rPr>
          <w:sz w:val="20"/>
          <w:szCs w:val="20"/>
          <w:color w:val="auto"/>
        </w:rPr>
      </w:pPr>
      <w:r>
        <w:rPr>
          <w:rFonts w:ascii="Times New Roman" w:cs="Times New Roman" w:eastAsia="Times New Roman" w:hAnsi="Times New Roman"/>
          <w:sz w:val="18"/>
          <w:szCs w:val="18"/>
          <w:color w:val="auto"/>
        </w:rPr>
        <w:t>price of $</w:t>
      </w:r>
      <w:r>
        <w:rPr>
          <w:sz w:val="20"/>
          <w:szCs w:val="20"/>
          <w:color w:val="auto"/>
        </w:rPr>
        <w:tab/>
      </w:r>
      <w:r>
        <w:rPr>
          <w:rFonts w:ascii="Times New Roman" w:cs="Times New Roman" w:eastAsia="Times New Roman" w:hAnsi="Times New Roman"/>
          <w:sz w:val="17"/>
          <w:szCs w:val="17"/>
          <w:color w:val="auto"/>
        </w:rPr>
        <w:t>per share;</w:t>
      </w:r>
    </w:p>
    <w:p>
      <w:pPr>
        <w:spacing w:after="0" w:line="234" w:lineRule="exact"/>
        <w:rPr>
          <w:sz w:val="20"/>
          <w:szCs w:val="20"/>
          <w:color w:val="auto"/>
        </w:rPr>
      </w:pPr>
    </w:p>
    <w:p>
      <w:pPr>
        <w:ind w:left="1420" w:right="700" w:hanging="319"/>
        <w:spacing w:after="0" w:line="282" w:lineRule="auto"/>
        <w:tabs>
          <w:tab w:leader="none" w:pos="142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500,000 shares of common stock, legally issued upon the early exercise of certain stock options, which are subject to service conditions and the right of repurchase, that were outstanding as of June 30, 2020;</w:t>
      </w:r>
    </w:p>
    <w:p>
      <w:pPr>
        <w:spacing w:after="0" w:line="188" w:lineRule="exact"/>
        <w:rPr>
          <w:rFonts w:ascii="Times New Roman" w:cs="Times New Roman" w:eastAsia="Times New Roman" w:hAnsi="Times New Roman"/>
          <w:sz w:val="18"/>
          <w:szCs w:val="18"/>
          <w:color w:val="auto"/>
        </w:rPr>
      </w:pPr>
    </w:p>
    <w:p>
      <w:pPr>
        <w:ind w:left="1420" w:right="100" w:hanging="319"/>
        <w:spacing w:after="0" w:line="282" w:lineRule="auto"/>
        <w:tabs>
          <w:tab w:leader="none" w:pos="142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8,533,485 shares of common stock reserved for future issuance under our 2016 Plan, as of June 30, 2020, which shares will be added to the shares to be reserved under our 2020 Plan upon its effectiveness;</w:t>
      </w:r>
    </w:p>
    <w:p>
      <w:pPr>
        <w:spacing w:after="0" w:line="188" w:lineRule="exact"/>
        <w:rPr>
          <w:rFonts w:ascii="Times New Roman" w:cs="Times New Roman" w:eastAsia="Times New Roman" w:hAnsi="Times New Roman"/>
          <w:sz w:val="18"/>
          <w:szCs w:val="18"/>
          <w:color w:val="auto"/>
        </w:rPr>
      </w:pPr>
    </w:p>
    <w:p>
      <w:pPr>
        <w:ind w:left="1420" w:right="80" w:hanging="319"/>
        <w:spacing w:after="0" w:line="266" w:lineRule="auto"/>
        <w:tabs>
          <w:tab w:leader="none" w:pos="214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common stock reserved for future issuance under our 2020 Plan, which will become effective on the business day immediately prior to the date of effectiveness of the registration statement of which this prospectus forms a part, as well as any automatic increases in the number of shares of common stock reserved for future issuance under this plan; and</w:t>
      </w:r>
    </w:p>
    <w:p>
      <w:pPr>
        <w:spacing w:after="0" w:line="202" w:lineRule="exact"/>
        <w:rPr>
          <w:rFonts w:ascii="Times New Roman" w:cs="Times New Roman" w:eastAsia="Times New Roman" w:hAnsi="Times New Roman"/>
          <w:sz w:val="18"/>
          <w:szCs w:val="18"/>
          <w:color w:val="auto"/>
        </w:rPr>
      </w:pPr>
    </w:p>
    <w:p>
      <w:pPr>
        <w:ind w:left="1420" w:right="440" w:hanging="319"/>
        <w:spacing w:after="0" w:line="266" w:lineRule="auto"/>
        <w:tabs>
          <w:tab w:leader="none" w:pos="2185"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common stock reserved for issuance under our 2020 ESPP, which will become effective on the business day immediately prior to the date of effectiveness of the registration statement of which this prospectus forms a part, as well as any automatic increases in the number of shares of common stock reserved for future issuance under this plan.</w:t>
      </w:r>
    </w:p>
    <w:p>
      <w:pPr>
        <w:spacing w:after="0" w:line="176" w:lineRule="exact"/>
        <w:rPr>
          <w:sz w:val="20"/>
          <w:szCs w:val="20"/>
          <w:color w:val="auto"/>
        </w:rPr>
      </w:pPr>
    </w:p>
    <w:p>
      <w:pPr>
        <w:ind w:left="120" w:right="40" w:firstLine="881"/>
        <w:spacing w:after="0" w:line="282" w:lineRule="auto"/>
        <w:rPr>
          <w:sz w:val="20"/>
          <w:szCs w:val="20"/>
          <w:color w:val="auto"/>
        </w:rPr>
      </w:pPr>
      <w:r>
        <w:rPr>
          <w:rFonts w:ascii="Times New Roman" w:cs="Times New Roman" w:eastAsia="Times New Roman" w:hAnsi="Times New Roman"/>
          <w:sz w:val="18"/>
          <w:szCs w:val="18"/>
          <w:color w:val="auto"/>
        </w:rPr>
        <w:t>To the extent that any outstanding options are exercised or new awards are granted under our equity compensation plans, new investors will experience further dilution.</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-96-</w:t>
      </w:r>
    </w:p>
    <w:p>
      <w:pPr>
        <w:sectPr>
          <w:pgSz w:w="11900" w:h="16838" w:orient="portrait"/>
          <w:cols w:equalWidth="0" w:num="1">
            <w:col w:w="11100"/>
          </w:cols>
          <w:pgMar w:left="320" w:top="455" w:right="479" w:bottom="1440" w:gutter="0" w:footer="0" w:header="0"/>
        </w:sectPr>
      </w:pPr>
    </w:p>
    <w:bookmarkStart w:id="99" w:name="page100"/>
    <w:bookmarkEnd w:id="9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SELECTED FINANCIAL DATA</w:t>
      </w:r>
    </w:p>
    <w:p>
      <w:pPr>
        <w:spacing w:after="0" w:line="229" w:lineRule="exact"/>
        <w:rPr>
          <w:sz w:val="20"/>
          <w:szCs w:val="20"/>
          <w:color w:val="auto"/>
        </w:rPr>
      </w:pPr>
    </w:p>
    <w:p>
      <w:pPr>
        <w:ind w:left="120" w:right="500" w:firstLine="881"/>
        <w:spacing w:after="0" w:line="282" w:lineRule="auto"/>
        <w:rPr>
          <w:sz w:val="20"/>
          <w:szCs w:val="20"/>
          <w:color w:val="auto"/>
        </w:rPr>
      </w:pPr>
      <w:r>
        <w:rPr>
          <w:rFonts w:ascii="Times New Roman" w:cs="Times New Roman" w:eastAsia="Times New Roman" w:hAnsi="Times New Roman"/>
          <w:sz w:val="18"/>
          <w:szCs w:val="18"/>
          <w:color w:val="auto"/>
        </w:rPr>
        <w:t>The following selected financial data should be read in conjunction with the section titled “Management’s Discussion and Analysis of Financial Condition and Results of Operations” and the financial statements and related notes included elsewhere in this prospectus.</w:t>
      </w:r>
    </w:p>
    <w:p>
      <w:pPr>
        <w:spacing w:after="0" w:line="162" w:lineRule="exact"/>
        <w:rPr>
          <w:sz w:val="20"/>
          <w:szCs w:val="20"/>
          <w:color w:val="auto"/>
        </w:rPr>
      </w:pPr>
    </w:p>
    <w:p>
      <w:pPr>
        <w:ind w:left="120" w:right="20" w:firstLine="881"/>
        <w:spacing w:after="0" w:line="254" w:lineRule="auto"/>
        <w:rPr>
          <w:sz w:val="20"/>
          <w:szCs w:val="20"/>
          <w:color w:val="auto"/>
        </w:rPr>
      </w:pPr>
      <w:r>
        <w:rPr>
          <w:rFonts w:ascii="Times New Roman" w:cs="Times New Roman" w:eastAsia="Times New Roman" w:hAnsi="Times New Roman"/>
          <w:sz w:val="18"/>
          <w:szCs w:val="18"/>
          <w:color w:val="auto"/>
        </w:rPr>
        <w:t>The statements of operations data for the years ended December 31, 2018 and 2019 and the balance sheet data as of December 31, 2018 and 2019 are derived from our audited financial statements and related notes included elsewhere in this prospectus. We derived the statements of operations data for the six months ended June 30, 2019 and 2020 and the balance sheet data as of June 30, 2020 from the unaudited interim financial statements and related notes included elsewhere in this prospectus. The unaudited interim financial statements have been prepared in accordance with United States generally accepted accounting principles and, in the opinion of management, reflect all adjustments, which include only normal, recurring adjustments that are necessary to state fairly the unaudited interim financial statements. Our historical results are not necessarily indicative of the results to be expected in the future, and the results for the six months ended June 30, 2020, are not necessarily indicative of results that may be expected for the full year or any other period. The selected financial data in this section are not intended to replace our financial statements and the related notes and are qualified in their entirety by the financial statements and related notes included elsewhere in this prospectus.</w:t>
      </w:r>
    </w:p>
    <w:p>
      <w:pPr>
        <w:spacing w:after="0" w:line="209"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50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700" w:type="dxa"/>
            <w:vAlign w:val="bottom"/>
            <w:gridSpan w:val="6"/>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60" w:type="dxa"/>
            <w:vAlign w:val="bottom"/>
            <w:gridSpan w:val="6"/>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50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18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14"/>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5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50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(unaudited)</w:t>
            </w: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(unaudited)</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50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400" w:type="dxa"/>
            <w:vAlign w:val="bottom"/>
            <w:gridSpan w:val="8"/>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amounts)</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Statement of Operations Data</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901</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3,162</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2,066</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3,249</w:t>
            </w:r>
          </w:p>
        </w:tc>
        <w:tc>
          <w:tcPr>
            <w:tcW w:w="0" w:type="dxa"/>
            <w:vAlign w:val="bottom"/>
          </w:tcPr>
          <w:p>
            <w:pPr>
              <w:spacing w:after="0"/>
              <w:rPr>
                <w:sz w:val="1"/>
                <w:szCs w:val="1"/>
                <w:color w:val="auto"/>
              </w:rPr>
            </w:pPr>
          </w:p>
        </w:tc>
      </w:tr>
      <w:tr>
        <w:trPr>
          <w:trHeight w:val="216"/>
        </w:trPr>
        <w:tc>
          <w:tcPr>
            <w:tcW w:w="5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449</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1,136</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514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2,132</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0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1,350</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4,298</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2,580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5,381</w:t>
            </w:r>
          </w:p>
        </w:tc>
        <w:tc>
          <w:tcPr>
            <w:tcW w:w="0" w:type="dxa"/>
            <w:vAlign w:val="bottom"/>
          </w:tcPr>
          <w:p>
            <w:pPr>
              <w:spacing w:after="0"/>
              <w:rPr>
                <w:sz w:val="1"/>
                <w:szCs w:val="1"/>
                <w:color w:val="auto"/>
              </w:rPr>
            </w:pPr>
          </w:p>
        </w:tc>
      </w:tr>
      <w:tr>
        <w:trPr>
          <w:trHeight w:val="205"/>
        </w:trPr>
        <w:tc>
          <w:tcPr>
            <w:tcW w:w="50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Loss from operations before other income (expense) and income</w:t>
            </w:r>
          </w:p>
        </w:tc>
        <w:tc>
          <w:tcPr>
            <w:tcW w:w="3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5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taxes</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(1,350)</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(4,298)</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(2,580)</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(5,381)</w:t>
            </w: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income (expense), net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32</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174</w:t>
            </w: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Loss on extinguishment of convertible notes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(255)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0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Change in fair value of derivative liabilities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(76)</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0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other income (expense)</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32</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(371)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174</w:t>
            </w:r>
          </w:p>
        </w:tc>
        <w:tc>
          <w:tcPr>
            <w:tcW w:w="0" w:type="dxa"/>
            <w:vAlign w:val="bottom"/>
          </w:tcPr>
          <w:p>
            <w:pPr>
              <w:spacing w:after="0"/>
              <w:rPr>
                <w:sz w:val="1"/>
                <w:szCs w:val="1"/>
                <w:color w:val="auto"/>
              </w:rPr>
            </w:pPr>
          </w:p>
        </w:tc>
      </w:tr>
      <w:tr>
        <w:trPr>
          <w:trHeight w:val="20"/>
        </w:trPr>
        <w:tc>
          <w:tcPr>
            <w:tcW w:w="50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060" w:type="dxa"/>
            <w:vAlign w:val="bottom"/>
            <w:vMerge w:val="continue"/>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(1,319)</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(4,670)</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(2,576)</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(5,207)</w:t>
            </w:r>
          </w:p>
        </w:tc>
        <w:tc>
          <w:tcPr>
            <w:tcW w:w="0" w:type="dxa"/>
            <w:vAlign w:val="bottom"/>
          </w:tcPr>
          <w:p>
            <w:pPr>
              <w:spacing w:after="0"/>
              <w:rPr>
                <w:sz w:val="1"/>
                <w:szCs w:val="1"/>
                <w:color w:val="auto"/>
              </w:rPr>
            </w:pPr>
          </w:p>
        </w:tc>
      </w:tr>
      <w:tr>
        <w:trPr>
          <w:trHeight w:val="20"/>
        </w:trPr>
        <w:tc>
          <w:tcPr>
            <w:tcW w:w="50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loss per share attributable to common stockholders, basic and</w:t>
            </w: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06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 xml:space="preserve">diluted </w:t>
            </w:r>
            <w:r>
              <w:rPr>
                <w:rFonts w:ascii="Times New Roman" w:cs="Times New Roman" w:eastAsia="Times New Roman" w:hAnsi="Times New Roman"/>
                <w:sz w:val="15"/>
                <w:szCs w:val="15"/>
                <w:color w:val="auto"/>
              </w:rPr>
              <w:t>(1)</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(0.10)</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(0.26)</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(0.16)</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(0.26)</w:t>
            </w: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060" w:type="dxa"/>
            <w:vAlign w:val="bottom"/>
            <w:shd w:val="clear" w:color="auto" w:fill="CCEEFF"/>
          </w:tcPr>
          <w:p>
            <w:pPr>
              <w:spacing w:after="0" w:line="192" w:lineRule="exact"/>
              <w:rPr>
                <w:sz w:val="20"/>
                <w:szCs w:val="20"/>
                <w:color w:val="auto"/>
              </w:rPr>
            </w:pPr>
            <w:r>
              <w:rPr>
                <w:rFonts w:ascii="Times New Roman" w:cs="Times New Roman" w:eastAsia="Times New Roman" w:hAnsi="Times New Roman"/>
                <w:sz w:val="18"/>
                <w:szCs w:val="18"/>
                <w:color w:val="auto"/>
              </w:rPr>
              <w:t>Weighted-average shares used in computing net loss per share</w:t>
            </w: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xml:space="preserve">attributable to common stockholders, basic and diluted </w:t>
            </w:r>
            <w:r>
              <w:rPr>
                <w:rFonts w:ascii="Times New Roman" w:cs="Times New Roman" w:eastAsia="Times New Roman" w:hAnsi="Times New Roman"/>
                <w:sz w:val="15"/>
                <w:szCs w:val="15"/>
                <w:color w:val="auto"/>
              </w:rPr>
              <w:t>(1)</w:t>
            </w:r>
          </w:p>
        </w:tc>
        <w:tc>
          <w:tcPr>
            <w:tcW w:w="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6"/>
              </w:rPr>
              <w:t>13,068,854</w:t>
            </w:r>
          </w:p>
        </w:tc>
        <w:tc>
          <w:tcPr>
            <w:tcW w:w="4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w w:val="96"/>
              </w:rPr>
              <w:t>17,728,991</w:t>
            </w: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w w:val="96"/>
              </w:rPr>
              <w:t>16,580,269</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6"/>
              </w:rPr>
              <w:t>19,689,426</w:t>
            </w:r>
          </w:p>
        </w:tc>
        <w:tc>
          <w:tcPr>
            <w:tcW w:w="0" w:type="dxa"/>
            <w:vAlign w:val="bottom"/>
          </w:tcPr>
          <w:p>
            <w:pPr>
              <w:spacing w:after="0"/>
              <w:rPr>
                <w:sz w:val="1"/>
                <w:szCs w:val="1"/>
                <w:color w:val="auto"/>
              </w:rPr>
            </w:pPr>
          </w:p>
        </w:tc>
      </w:tr>
      <w:tr>
        <w:trPr>
          <w:trHeight w:val="20"/>
        </w:trPr>
        <w:tc>
          <w:tcPr>
            <w:tcW w:w="50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Pro forma net loss per share attributable to common stockholders,</w:t>
            </w: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06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 xml:space="preserve">basic and diluted (unaudited) </w:t>
            </w:r>
            <w:r>
              <w:rPr>
                <w:rFonts w:ascii="Times New Roman" w:cs="Times New Roman" w:eastAsia="Times New Roman" w:hAnsi="Times New Roman"/>
                <w:sz w:val="15"/>
                <w:szCs w:val="15"/>
                <w:color w:val="auto"/>
              </w:rPr>
              <w:t>(1)</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120"/>
        <w:spacing w:after="0"/>
        <w:rPr>
          <w:sz w:val="20"/>
          <w:szCs w:val="20"/>
          <w:color w:val="auto"/>
        </w:rPr>
      </w:pPr>
      <w:r>
        <w:rPr>
          <w:rFonts w:ascii="Times New Roman" w:cs="Times New Roman" w:eastAsia="Times New Roman" w:hAnsi="Times New Roman"/>
          <w:sz w:val="18"/>
          <w:szCs w:val="18"/>
          <w:color w:val="auto"/>
        </w:rPr>
        <w:t>Weighted-average shares used in computing pro forma net loss 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-121920</wp:posOffset>
            </wp:positionV>
            <wp:extent cx="6995160" cy="41148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995160" cy="411480"/>
                    </a:xfrm>
                    <a:prstGeom prst="rect">
                      <a:avLst/>
                    </a:prstGeom>
                    <a:noFill/>
                  </pic:spPr>
                </pic:pic>
              </a:graphicData>
            </a:graphic>
          </wp:anchor>
        </w:drawing>
      </w:r>
    </w:p>
    <w:p>
      <w:pPr>
        <w:spacing w:after="0" w:line="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share attributable to common stockholders, basic and diluted</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 xml:space="preserve">(unaudited) </w:t>
      </w:r>
      <w:r>
        <w:rPr>
          <w:rFonts w:ascii="Times New Roman" w:cs="Times New Roman" w:eastAsia="Times New Roman" w:hAnsi="Times New Roman"/>
          <w:sz w:val="15"/>
          <w:szCs w:val="15"/>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5715</wp:posOffset>
            </wp:positionV>
            <wp:extent cx="57467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74675" cy="8890"/>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22860</wp:posOffset>
            </wp:positionV>
            <wp:extent cx="57467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74675" cy="8255"/>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5715</wp:posOffset>
            </wp:positionV>
            <wp:extent cx="57467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74675" cy="8890"/>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22860</wp:posOffset>
            </wp:positionV>
            <wp:extent cx="57467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74675" cy="8255"/>
                    </a:xfrm>
                    <a:prstGeom prst="rect">
                      <a:avLst/>
                    </a:prstGeom>
                    <a:noFill/>
                  </pic:spPr>
                </pic:pic>
              </a:graphicData>
            </a:graphic>
          </wp:anchor>
        </w:drawing>
      </w:r>
    </w:p>
    <w:p>
      <w:pPr>
        <w:spacing w:after="0" w:line="17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-97-</w:t>
      </w:r>
    </w:p>
    <w:p>
      <w:pPr>
        <w:sectPr>
          <w:pgSz w:w="11900" w:h="16838" w:orient="portrait"/>
          <w:cols w:equalWidth="0" w:num="1">
            <w:col w:w="11140"/>
          </w:cols>
          <w:pgMar w:left="320" w:top="455" w:right="439" w:bottom="1440" w:gutter="0" w:footer="0" w:header="0"/>
        </w:sectPr>
      </w:pPr>
    </w:p>
    <w:bookmarkStart w:id="100" w:name="page101"/>
    <w:bookmarkEnd w:id="10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294005</wp:posOffset>
            </wp:positionV>
            <wp:extent cx="77152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540" w:right="60" w:hanging="424"/>
        <w:spacing w:after="0" w:line="261" w:lineRule="auto"/>
        <w:tabs>
          <w:tab w:leader="none" w:pos="540" w:val="left"/>
        </w:tabs>
        <w:numPr>
          <w:ilvl w:val="0"/>
          <w:numId w:val="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calculation of our basic and diluted net loss per share, unaudited basic and diluted pro forma net loss per share and weighted-average number of shares used in the computation of the per share amounts, see Note 6 and Note 7 to our financial statements included elsewhere in this prospectus.</w:t>
      </w:r>
    </w:p>
    <w:p>
      <w:pPr>
        <w:spacing w:after="0" w:line="188"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8040" w:type="dxa"/>
            <w:vAlign w:val="bottom"/>
          </w:tcPr>
          <w:p>
            <w:pPr>
              <w:spacing w:after="0"/>
              <w:rPr>
                <w:sz w:val="15"/>
                <w:szCs w:val="15"/>
                <w:color w:val="auto"/>
              </w:rPr>
            </w:pPr>
          </w:p>
        </w:tc>
        <w:tc>
          <w:tcPr>
            <w:tcW w:w="2000" w:type="dxa"/>
            <w:vAlign w:val="bottom"/>
            <w:gridSpan w:val="3"/>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9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As of June 30,</w:t>
            </w:r>
          </w:p>
        </w:tc>
      </w:tr>
      <w:tr>
        <w:trPr>
          <w:trHeight w:val="142"/>
        </w:trPr>
        <w:tc>
          <w:tcPr>
            <w:tcW w:w="8040" w:type="dxa"/>
            <w:vAlign w:val="bottom"/>
          </w:tcPr>
          <w:p>
            <w:pPr>
              <w:spacing w:after="0"/>
              <w:rPr>
                <w:sz w:val="12"/>
                <w:szCs w:val="12"/>
                <w:color w:val="auto"/>
              </w:rPr>
            </w:pPr>
          </w:p>
        </w:tc>
        <w:tc>
          <w:tcPr>
            <w:tcW w:w="800" w:type="dxa"/>
            <w:vAlign w:val="bottom"/>
            <w:tcBorders>
              <w:top w:val="single" w:sz="8" w:color="auto"/>
              <w:bottom w:val="single" w:sz="8" w:color="auto"/>
            </w:tcBorders>
          </w:tcPr>
          <w:p>
            <w:pPr>
              <w:jc w:val="right"/>
              <w:ind w:right="294"/>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780" w:type="dxa"/>
            <w:vAlign w:val="bottom"/>
            <w:tcBorders>
              <w:top w:val="single" w:sz="8" w:color="auto"/>
              <w:bottom w:val="single" w:sz="8" w:color="auto"/>
            </w:tcBorders>
          </w:tcPr>
          <w:p>
            <w:pPr>
              <w:jc w:val="right"/>
              <w:ind w:right="74"/>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420" w:type="dxa"/>
            <w:vAlign w:val="bottom"/>
            <w:tcBorders>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92"/>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Pr>
          <w:p>
            <w:pPr>
              <w:spacing w:after="0"/>
              <w:rPr>
                <w:sz w:val="12"/>
                <w:szCs w:val="12"/>
                <w:color w:val="auto"/>
              </w:rPr>
            </w:pPr>
          </w:p>
        </w:tc>
      </w:tr>
      <w:tr>
        <w:trPr>
          <w:trHeight w:val="142"/>
        </w:trPr>
        <w:tc>
          <w:tcPr>
            <w:tcW w:w="80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0" w:type="dxa"/>
            <w:vAlign w:val="bottom"/>
            <w:gridSpan w:val="2"/>
          </w:tcPr>
          <w:p>
            <w:pPr>
              <w:jc w:val="right"/>
              <w:ind w:right="12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8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Sheet Data</w:t>
            </w:r>
          </w:p>
        </w:tc>
        <w:tc>
          <w:tcPr>
            <w:tcW w:w="8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04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800" w:type="dxa"/>
            <w:vAlign w:val="bottom"/>
          </w:tcPr>
          <w:p>
            <w:pPr>
              <w:jc w:val="right"/>
              <w:ind w:right="154"/>
              <w:spacing w:after="0"/>
              <w:rPr>
                <w:sz w:val="20"/>
                <w:szCs w:val="20"/>
                <w:color w:val="auto"/>
              </w:rPr>
            </w:pPr>
            <w:r>
              <w:rPr>
                <w:rFonts w:ascii="Times New Roman" w:cs="Times New Roman" w:eastAsia="Times New Roman" w:hAnsi="Times New Roman"/>
                <w:sz w:val="18"/>
                <w:szCs w:val="18"/>
                <w:color w:val="auto"/>
                <w:w w:val="99"/>
              </w:rPr>
              <w:t>$ 2,355</w:t>
            </w:r>
          </w:p>
        </w:tc>
        <w:tc>
          <w:tcPr>
            <w:tcW w:w="12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$57,952</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53,135</w:t>
            </w:r>
          </w:p>
        </w:tc>
      </w:tr>
      <w:tr>
        <w:trPr>
          <w:trHeight w:val="216"/>
        </w:trPr>
        <w:tc>
          <w:tcPr>
            <w:tcW w:w="8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Working capital </w:t>
            </w:r>
            <w:r>
              <w:rPr>
                <w:rFonts w:ascii="Times New Roman" w:cs="Times New Roman" w:eastAsia="Times New Roman" w:hAnsi="Times New Roman"/>
                <w:sz w:val="15"/>
                <w:szCs w:val="15"/>
                <w:color w:val="auto"/>
              </w:rPr>
              <w:t>(1)</w:t>
            </w:r>
          </w:p>
        </w:tc>
        <w:tc>
          <w:tcPr>
            <w:tcW w:w="80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8"/>
                <w:szCs w:val="18"/>
                <w:color w:val="auto"/>
              </w:rPr>
              <w:t>2,204</w:t>
            </w:r>
          </w:p>
        </w:tc>
        <w:tc>
          <w:tcPr>
            <w:tcW w:w="12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57,211</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51,631</w:t>
            </w:r>
          </w:p>
        </w:tc>
      </w:tr>
      <w:tr>
        <w:trPr>
          <w:trHeight w:val="216"/>
        </w:trPr>
        <w:tc>
          <w:tcPr>
            <w:tcW w:w="804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800" w:type="dxa"/>
            <w:vAlign w:val="bottom"/>
          </w:tcPr>
          <w:p>
            <w:pPr>
              <w:jc w:val="right"/>
              <w:ind w:right="154"/>
              <w:spacing w:after="0"/>
              <w:rPr>
                <w:sz w:val="20"/>
                <w:szCs w:val="20"/>
                <w:color w:val="auto"/>
              </w:rPr>
            </w:pPr>
            <w:r>
              <w:rPr>
                <w:rFonts w:ascii="Times New Roman" w:cs="Times New Roman" w:eastAsia="Times New Roman" w:hAnsi="Times New Roman"/>
                <w:sz w:val="18"/>
                <w:szCs w:val="18"/>
                <w:color w:val="auto"/>
              </w:rPr>
              <w:t>2,389</w:t>
            </w:r>
          </w:p>
        </w:tc>
        <w:tc>
          <w:tcPr>
            <w:tcW w:w="12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58,316</w:t>
            </w:r>
          </w:p>
        </w:tc>
        <w:tc>
          <w:tcPr>
            <w:tcW w:w="18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56,239</w:t>
            </w:r>
          </w:p>
        </w:tc>
      </w:tr>
      <w:tr>
        <w:trPr>
          <w:trHeight w:val="216"/>
        </w:trPr>
        <w:tc>
          <w:tcPr>
            <w:tcW w:w="8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800" w:type="dxa"/>
            <w:vAlign w:val="bottom"/>
            <w:shd w:val="clear" w:color="auto" w:fill="CCEEFF"/>
          </w:tcPr>
          <w:p>
            <w:pPr>
              <w:jc w:val="right"/>
              <w:ind w:right="154"/>
              <w:spacing w:after="0"/>
              <w:rPr>
                <w:sz w:val="20"/>
                <w:szCs w:val="20"/>
                <w:color w:val="auto"/>
              </w:rPr>
            </w:pPr>
            <w:r>
              <w:rPr>
                <w:rFonts w:ascii="Times New Roman" w:cs="Times New Roman" w:eastAsia="Times New Roman" w:hAnsi="Times New Roman"/>
                <w:sz w:val="18"/>
                <w:szCs w:val="18"/>
                <w:color w:val="auto"/>
              </w:rPr>
              <w:t>179</w:t>
            </w:r>
          </w:p>
        </w:tc>
        <w:tc>
          <w:tcPr>
            <w:tcW w:w="12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919</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3,872</w:t>
            </w:r>
          </w:p>
        </w:tc>
      </w:tr>
      <w:tr>
        <w:trPr>
          <w:trHeight w:val="216"/>
        </w:trPr>
        <w:tc>
          <w:tcPr>
            <w:tcW w:w="8040" w:type="dxa"/>
            <w:vAlign w:val="bottom"/>
          </w:tcPr>
          <w:p>
            <w:pPr>
              <w:spacing w:after="0"/>
              <w:rPr>
                <w:sz w:val="20"/>
                <w:szCs w:val="20"/>
                <w:color w:val="auto"/>
              </w:rPr>
            </w:pPr>
            <w:r>
              <w:rPr>
                <w:rFonts w:ascii="Times New Roman" w:cs="Times New Roman" w:eastAsia="Times New Roman" w:hAnsi="Times New Roman"/>
                <w:sz w:val="18"/>
                <w:szCs w:val="18"/>
                <w:color w:val="auto"/>
              </w:rPr>
              <w:t>Preferred stock</w:t>
            </w:r>
          </w:p>
        </w:tc>
        <w:tc>
          <w:tcPr>
            <w:tcW w:w="800" w:type="dxa"/>
            <w:vAlign w:val="bottom"/>
          </w:tcPr>
          <w:p>
            <w:pPr>
              <w:jc w:val="right"/>
              <w:ind w:right="154"/>
              <w:spacing w:after="0"/>
              <w:rPr>
                <w:sz w:val="20"/>
                <w:szCs w:val="20"/>
                <w:color w:val="auto"/>
              </w:rPr>
            </w:pPr>
            <w:r>
              <w:rPr>
                <w:rFonts w:ascii="Times New Roman" w:cs="Times New Roman" w:eastAsia="Times New Roman" w:hAnsi="Times New Roman"/>
                <w:sz w:val="18"/>
                <w:szCs w:val="18"/>
                <w:color w:val="auto"/>
              </w:rPr>
              <w:t>3,564</w:t>
            </w:r>
          </w:p>
        </w:tc>
        <w:tc>
          <w:tcPr>
            <w:tcW w:w="12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63,402</w:t>
            </w:r>
          </w:p>
        </w:tc>
        <w:tc>
          <w:tcPr>
            <w:tcW w:w="18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63,402</w:t>
            </w:r>
          </w:p>
        </w:tc>
      </w:tr>
      <w:tr>
        <w:trPr>
          <w:trHeight w:val="216"/>
        </w:trPr>
        <w:tc>
          <w:tcPr>
            <w:tcW w:w="8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80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(1,364)</w:t>
            </w:r>
          </w:p>
        </w:tc>
        <w:tc>
          <w:tcPr>
            <w:tcW w:w="12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(6,034)</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(11,241)</w:t>
            </w:r>
          </w:p>
        </w:tc>
      </w:tr>
      <w:tr>
        <w:trPr>
          <w:trHeight w:val="234"/>
        </w:trPr>
        <w:tc>
          <w:tcPr>
            <w:tcW w:w="8040" w:type="dxa"/>
            <w:vAlign w:val="bottom"/>
          </w:tcPr>
          <w:p>
            <w:pPr>
              <w:spacing w:after="0"/>
              <w:rPr>
                <w:sz w:val="20"/>
                <w:szCs w:val="20"/>
                <w:color w:val="auto"/>
              </w:rPr>
            </w:pPr>
            <w:r>
              <w:rPr>
                <w:rFonts w:ascii="Times New Roman" w:cs="Times New Roman" w:eastAsia="Times New Roman" w:hAnsi="Times New Roman"/>
                <w:sz w:val="18"/>
                <w:szCs w:val="18"/>
                <w:color w:val="auto"/>
              </w:rPr>
              <w:t>Total stockholders’ deficit</w:t>
            </w:r>
          </w:p>
        </w:tc>
        <w:tc>
          <w:tcPr>
            <w:tcW w:w="80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(1,354)</w:t>
            </w:r>
          </w:p>
        </w:tc>
        <w:tc>
          <w:tcPr>
            <w:tcW w:w="12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(6,005)</w:t>
            </w:r>
          </w:p>
        </w:tc>
        <w:tc>
          <w:tcPr>
            <w:tcW w:w="180" w:type="dxa"/>
            <w:vAlign w:val="bottom"/>
          </w:tcPr>
          <w:p>
            <w:pPr>
              <w:spacing w:after="0"/>
              <w:rPr>
                <w:sz w:val="20"/>
                <w:szCs w:val="20"/>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(11,035)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74295</wp:posOffset>
            </wp:positionV>
            <wp:extent cx="77152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26" w:lineRule="exact"/>
        <w:rPr>
          <w:sz w:val="20"/>
          <w:szCs w:val="20"/>
          <w:color w:val="auto"/>
        </w:rPr>
      </w:pPr>
    </w:p>
    <w:p>
      <w:pPr>
        <w:ind w:left="540" w:hanging="424"/>
        <w:spacing w:after="0"/>
        <w:tabs>
          <w:tab w:leader="none" w:pos="540" w:val="left"/>
        </w:tabs>
        <w:numPr>
          <w:ilvl w:val="0"/>
          <w:numId w:val="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We define working capital as current assets </w:t>
      </w:r>
      <w:r>
        <w:rPr>
          <w:rFonts w:ascii="Times New Roman" w:cs="Times New Roman" w:eastAsia="Times New Roman" w:hAnsi="Times New Roman"/>
          <w:sz w:val="14"/>
          <w:szCs w:val="14"/>
          <w:i w:val="1"/>
          <w:iCs w:val="1"/>
          <w:color w:val="auto"/>
        </w:rPr>
        <w:t>less</w:t>
      </w:r>
      <w:r>
        <w:rPr>
          <w:rFonts w:ascii="Times New Roman" w:cs="Times New Roman" w:eastAsia="Times New Roman" w:hAnsi="Times New Roman"/>
          <w:sz w:val="14"/>
          <w:szCs w:val="14"/>
          <w:color w:val="auto"/>
        </w:rPr>
        <w:t xml:space="preserve"> current liabilities as of the balance sheet date.</w:t>
      </w:r>
    </w:p>
    <w:p>
      <w:pPr>
        <w:spacing w:after="0" w:line="20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In September 2020, we issued and sold 21,221,280 shares of our Series C preferred stock and received gross cash proceeds of $40.0 million.</w:t>
      </w:r>
    </w:p>
    <w:p>
      <w:pPr>
        <w:spacing w:after="0" w:line="158"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-98-</w:t>
      </w:r>
    </w:p>
    <w:p>
      <w:pPr>
        <w:sectPr>
          <w:pgSz w:w="11900" w:h="16838" w:orient="portrait"/>
          <w:cols w:equalWidth="0" w:num="1">
            <w:col w:w="11140"/>
          </w:cols>
          <w:pgMar w:left="320" w:top="455" w:right="439" w:bottom="1440" w:gutter="0" w:footer="0" w:header="0"/>
        </w:sectPr>
      </w:pPr>
    </w:p>
    <w:bookmarkStart w:id="101" w:name="page102"/>
    <w:bookmarkEnd w:id="10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227" w:lineRule="exact"/>
        <w:rPr>
          <w:sz w:val="20"/>
          <w:szCs w:val="20"/>
          <w:color w:val="auto"/>
        </w:rPr>
      </w:pPr>
    </w:p>
    <w:p>
      <w:pPr>
        <w:ind w:left="120" w:right="80" w:firstLine="881"/>
        <w:spacing w:after="0" w:line="257"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our “Selected Financial Data” and our financial statements and the related notes to those statements included elsewhere in this prospectus. In addition to historical financial information, the following discussion and analysis contains forward-looking statements that involve risks, uncertainties and assumptions. Our actual results and timing of selected events may differ materially from those anticipated in these forward-looking statements as a result of many factors, including, but not limited to, those discussed under the section titled “Risk Factors” and elsewhere in this prospectus. See the section titled “Special Note Regarding Forward-Looking Statements” elsewhere in this prospectus.</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Overview of our Business</w:t>
      </w:r>
    </w:p>
    <w:p>
      <w:pPr>
        <w:spacing w:after="0" w:line="229" w:lineRule="exact"/>
        <w:rPr>
          <w:sz w:val="20"/>
          <w:szCs w:val="20"/>
          <w:color w:val="auto"/>
        </w:rPr>
      </w:pPr>
    </w:p>
    <w:p>
      <w:pPr>
        <w:ind w:left="120" w:firstLine="881"/>
        <w:spacing w:after="0" w:line="252" w:lineRule="auto"/>
        <w:rPr>
          <w:sz w:val="20"/>
          <w:szCs w:val="20"/>
          <w:color w:val="auto"/>
        </w:rPr>
      </w:pPr>
      <w:r>
        <w:rPr>
          <w:rFonts w:ascii="Times New Roman" w:cs="Times New Roman" w:eastAsia="Times New Roman" w:hAnsi="Times New Roman"/>
          <w:sz w:val="18"/>
          <w:szCs w:val="18"/>
          <w:color w:val="auto"/>
        </w:rPr>
        <w:t>We are a late clinical-stage biopharmaceutical company focused on the development and commercialization of therapeutic candidates to address large market opportunities initially in ophthalmic conditions where there are limited treatment alternatives. Our lead product candidate, TP-03, is a novel therapeutic in Phase 2b/3 that is being developed for the treatment of blepharitis caused by the infestation of Demodex mites, which is referred to as Demodex blepharitis. Blepharitis (“Blephar” is a reference to eyelid and “itis” is a reference to inflammation) is a condition characterized by inflammation of the eyelid margin, redness and ocular irritation, including a specific type of eyelash dandruff called collarettes in Demodex blepharitis. The healthy interaction of the eyelid and the surface of the eyeball is crucial to ocular health. Poorly controlled and progressive blepharitis can lead to worsening of corneal damage over time and, in extreme cases, blindness. According to published studies, there are an estimated 20 million patients in the United States who suffer from blepharitis, with approximately 45%, or approximately nine million, of cases caused by Demodex infestation. Further, our estimates indicate the possibility that the number of Demodex blepharitis cases may be as high as approximately 25 million, based on our internal research indicating approximately 58% of patients presenting to eye care clinics have collarettes and a published study estimating that at least 45 million people annually visit an eye care clinic. To date, we have completed four Phase 2 trials for TP-03 in Demodex blepharitis, all of which met their primary, secondary and/or exploratory endpoints, as applicable, and during which TP-03 was well tolerated. We have commenced our Phase 2b/3 trial, Saturn-1, in September 2020, and intend to commence our Phase 3 trial, Saturn-2, in 2021, both with primary and secondary endpoints consistent with those of our Europa and Io Phase 2 trials. If successful, we expect these trials to support the submission of an NDA to the FDA for TP-03 for the treatment of Demodex blepharitis. Furthermore, we intend to pursue marketing authorizations in jurisdictions outside the United States, including Europe and Japan. We believe that, if approved, TP-03 has the potential to be the first FDA-approved therapeutic and become the standard of care for the treatment of Demodex blepharitis.</w:t>
      </w:r>
    </w:p>
    <w:p>
      <w:pPr>
        <w:spacing w:after="0" w:line="193" w:lineRule="exact"/>
        <w:rPr>
          <w:sz w:val="20"/>
          <w:szCs w:val="20"/>
          <w:color w:val="auto"/>
        </w:rPr>
      </w:pPr>
    </w:p>
    <w:p>
      <w:pPr>
        <w:ind w:left="120" w:right="180" w:firstLine="881"/>
        <w:spacing w:after="0" w:line="261" w:lineRule="auto"/>
        <w:rPr>
          <w:sz w:val="20"/>
          <w:szCs w:val="20"/>
          <w:color w:val="auto"/>
        </w:rPr>
      </w:pPr>
      <w:r>
        <w:rPr>
          <w:rFonts w:ascii="Times New Roman" w:cs="Times New Roman" w:eastAsia="Times New Roman" w:hAnsi="Times New Roman"/>
          <w:sz w:val="18"/>
          <w:szCs w:val="18"/>
          <w:color w:val="auto"/>
        </w:rPr>
        <w:t>Our current therapeutic strategy is focused on the clinical development of, for the first time in human medicine, the novel drug, lotilaner, which is designed to paralyze and eradicate mites and other parasites through the inhibition of parasite-specific GABA-Cl channels. We are advancing our pipeline to address a number of diseases across therapeutic categories including eye care, dermatology and other diseases with high, unmet needs. These diseases include Demodex blepharitis, MGD, rosacea, Lyme disease and malaria.</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Corporate and Financial Overview</w:t>
      </w:r>
    </w:p>
    <w:p>
      <w:pPr>
        <w:spacing w:after="0" w:line="229" w:lineRule="exact"/>
        <w:rPr>
          <w:sz w:val="20"/>
          <w:szCs w:val="20"/>
          <w:color w:val="auto"/>
        </w:rPr>
      </w:pPr>
    </w:p>
    <w:p>
      <w:pPr>
        <w:ind w:left="120" w:right="60" w:firstLine="881"/>
        <w:spacing w:after="0" w:line="258" w:lineRule="auto"/>
        <w:rPr>
          <w:sz w:val="20"/>
          <w:szCs w:val="20"/>
          <w:color w:val="auto"/>
        </w:rPr>
      </w:pPr>
      <w:r>
        <w:rPr>
          <w:rFonts w:ascii="Times New Roman" w:cs="Times New Roman" w:eastAsia="Times New Roman" w:hAnsi="Times New Roman"/>
          <w:sz w:val="18"/>
          <w:szCs w:val="18"/>
          <w:color w:val="auto"/>
        </w:rPr>
        <w:t>We were incorporated as a Delaware corporation in November 2016, and our headquarters is located in Irvine, California. Since our inception in November 2016, we have devoted substantially all of our resources to organizing and staffing our company, acquiring intellectual property, clinical development of our product candidates, building our research and development capabilities, raising capital, and enhancing our corporate infrastructure. To date we have financed our operations through private placements of preferred stock and convertible promissory notes. From inception through June 30, 2020, we have raised net proceeds of approximately $61.0 million through private placements of preferred stock.</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-99-</w:t>
      </w:r>
    </w:p>
    <w:p>
      <w:pPr>
        <w:sectPr>
          <w:pgSz w:w="11900" w:h="16838" w:orient="portrait"/>
          <w:cols w:equalWidth="0" w:num="1">
            <w:col w:w="11120"/>
          </w:cols>
          <w:pgMar w:left="320" w:top="455" w:right="459" w:bottom="1440" w:gutter="0" w:footer="0" w:header="0"/>
        </w:sectPr>
      </w:pPr>
    </w:p>
    <w:bookmarkStart w:id="102" w:name="page103"/>
    <w:bookmarkEnd w:id="10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firstLine="881"/>
        <w:spacing w:after="0" w:line="256" w:lineRule="auto"/>
        <w:rPr>
          <w:sz w:val="20"/>
          <w:szCs w:val="20"/>
          <w:color w:val="auto"/>
        </w:rPr>
      </w:pPr>
      <w:r>
        <w:rPr>
          <w:rFonts w:ascii="Times New Roman" w:cs="Times New Roman" w:eastAsia="Times New Roman" w:hAnsi="Times New Roman"/>
          <w:sz w:val="18"/>
          <w:szCs w:val="18"/>
          <w:color w:val="auto"/>
        </w:rPr>
        <w:t>We have incurred significant net operating losses in every year since our inception and expect to continue to incur significant operating expenses and increasing operating losses for the foreseeable future. Our net losses were $1.3 million and $4.7 million for the years ended December 31, 2018 and 2019, respectively. Our net losses were $2.6 million and $5.2 million for the six months ended June 30, 2019 and 2020, respectively. Our net losses may fluctuate significantly from quarter to quarter and year to year and could be substantial. As of December 31, 2019 and June 30, 2020, we had an accumulated deficit of $6.0 million and $11.2 million, respectively, from research and development and general and administrative activities since our inception. We anticipate that our operating expenses will increase significantly as we:</w:t>
      </w:r>
    </w:p>
    <w:p>
      <w:pPr>
        <w:spacing w:after="0" w:line="214" w:lineRule="exact"/>
        <w:rPr>
          <w:sz w:val="20"/>
          <w:szCs w:val="20"/>
          <w:color w:val="auto"/>
        </w:rPr>
      </w:pPr>
    </w:p>
    <w:p>
      <w:pPr>
        <w:ind w:left="1420" w:right="140" w:hanging="319"/>
        <w:spacing w:after="0" w:line="282" w:lineRule="auto"/>
        <w:tabs>
          <w:tab w:leader="none" w:pos="142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additional clinical trials of our lead product candidate, TP-03, for the treatment of Demodex blepharitis including our Phase 2b/3 trial, Saturn-1, and our Phase 3 trial, Saturn-2;</w:t>
      </w:r>
    </w:p>
    <w:p>
      <w:pPr>
        <w:spacing w:after="0" w:line="188" w:lineRule="exact"/>
        <w:rPr>
          <w:rFonts w:ascii="Times New Roman" w:cs="Times New Roman" w:eastAsia="Times New Roman" w:hAnsi="Times New Roman"/>
          <w:sz w:val="18"/>
          <w:szCs w:val="18"/>
          <w:color w:val="auto"/>
        </w:rPr>
      </w:pPr>
    </w:p>
    <w:p>
      <w:pPr>
        <w:ind w:left="1420" w:right="360" w:hanging="319"/>
        <w:spacing w:after="0" w:line="282" w:lineRule="auto"/>
        <w:tabs>
          <w:tab w:leader="none" w:pos="142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the clinical development of TP-03 for the treatment of MGD, TP-04 for the potential treatment of rosacea and TP-05 for potential Lyme prophylaxis and community malaria reduction;</w:t>
      </w:r>
    </w:p>
    <w:p>
      <w:pPr>
        <w:spacing w:after="0" w:line="188"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regulatory and marketing approvals for product candidates that successfully complete clinical development, if any;</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our own salesforce in the United States to commercialize our products for which we obtain regulatory approval;</w:t>
      </w:r>
    </w:p>
    <w:p>
      <w:pPr>
        <w:spacing w:after="0" w:line="252" w:lineRule="exact"/>
        <w:rPr>
          <w:rFonts w:ascii="Times New Roman" w:cs="Times New Roman" w:eastAsia="Times New Roman" w:hAnsi="Times New Roman"/>
          <w:sz w:val="18"/>
          <w:szCs w:val="18"/>
          <w:color w:val="auto"/>
        </w:rPr>
      </w:pPr>
    </w:p>
    <w:p>
      <w:pPr>
        <w:ind w:left="1420" w:right="100" w:hanging="319"/>
        <w:spacing w:after="0" w:line="282" w:lineRule="auto"/>
        <w:tabs>
          <w:tab w:leader="none" w:pos="142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with contract manufacturers to ensure a sufficient supply chain capacity to provide commercial quantities of any products for which we may obtain marketing approval;</w:t>
      </w:r>
    </w:p>
    <w:p>
      <w:pPr>
        <w:spacing w:after="0" w:line="188"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expand and protect our intellectual property portfolio;</w:t>
      </w:r>
    </w:p>
    <w:p>
      <w:pPr>
        <w:spacing w:after="0" w:line="252" w:lineRule="exact"/>
        <w:rPr>
          <w:rFonts w:ascii="Times New Roman" w:cs="Times New Roman" w:eastAsia="Times New Roman" w:hAnsi="Times New Roman"/>
          <w:sz w:val="18"/>
          <w:szCs w:val="18"/>
          <w:color w:val="auto"/>
        </w:rPr>
      </w:pPr>
    </w:p>
    <w:p>
      <w:pPr>
        <w:ind w:left="1420" w:right="80" w:hanging="319"/>
        <w:spacing w:after="0" w:line="282" w:lineRule="auto"/>
        <w:tabs>
          <w:tab w:leader="none" w:pos="142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additional staff, including clinical, scientific, technical, regulatory, marketing, operations, financial, and other support personnel, to execute our business plan; and</w:t>
      </w:r>
    </w:p>
    <w:p>
      <w:pPr>
        <w:spacing w:after="0" w:line="188" w:lineRule="exact"/>
        <w:rPr>
          <w:rFonts w:ascii="Times New Roman" w:cs="Times New Roman" w:eastAsia="Times New Roman" w:hAnsi="Times New Roman"/>
          <w:sz w:val="18"/>
          <w:szCs w:val="18"/>
          <w:color w:val="auto"/>
        </w:rPr>
      </w:pPr>
    </w:p>
    <w:p>
      <w:pPr>
        <w:ind w:left="1420" w:right="320" w:hanging="319"/>
        <w:spacing w:after="0" w:line="282" w:lineRule="auto"/>
        <w:tabs>
          <w:tab w:leader="none" w:pos="142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information systems and personnel to support our product development and potential future commercialization efforts, and to enable us to operate as a public company.</w:t>
      </w:r>
    </w:p>
    <w:p>
      <w:pPr>
        <w:spacing w:after="0" w:line="162" w:lineRule="exact"/>
        <w:rPr>
          <w:sz w:val="20"/>
          <w:szCs w:val="20"/>
          <w:color w:val="auto"/>
        </w:rPr>
      </w:pPr>
    </w:p>
    <w:p>
      <w:pPr>
        <w:ind w:left="120" w:right="40" w:firstLine="881"/>
        <w:spacing w:after="0" w:line="254" w:lineRule="auto"/>
        <w:rPr>
          <w:sz w:val="20"/>
          <w:szCs w:val="20"/>
          <w:color w:val="auto"/>
        </w:rPr>
      </w:pPr>
      <w:r>
        <w:rPr>
          <w:rFonts w:ascii="Times New Roman" w:cs="Times New Roman" w:eastAsia="Times New Roman" w:hAnsi="Times New Roman"/>
          <w:sz w:val="18"/>
          <w:szCs w:val="18"/>
          <w:color w:val="auto"/>
        </w:rPr>
        <w:t>We do not have any products approved for sale and we have not yet generated any revenue from product sales or other sources. We do not expect to generate revenues from product sales unless and until we successfully complete clinical development and obtain regulatory approval for a product candidate and commercially launch such product. Until such time as we can generate significant revenue from product sales, if ever, we expect to finance our operations through private or public equity or debt financings, or collaborations, strategic alliances, or licensing arrangements with third parties. Adequate funding may not be available to us when needed on acceptable terms, or at all. If we raise additional funds through collaborations, strategic alliances, or licensing arrangements with third parties, we may have to relinquish valuable rights to our intellectual property, future revenue streams, research programs or product candidates or grant licenses on terms that may not be favorable to us. If we are unable to raise additional capital or enter into such agreements as and when needed, we could be forced to significantly delay, scale back, or discontinue our product development and/or commercialization plans, which would negatively and adversely affect our financial condition.</w:t>
      </w:r>
    </w:p>
    <w:p>
      <w:pPr>
        <w:spacing w:after="0" w:line="188" w:lineRule="exact"/>
        <w:rPr>
          <w:sz w:val="20"/>
          <w:szCs w:val="20"/>
          <w:color w:val="auto"/>
        </w:rPr>
      </w:pPr>
    </w:p>
    <w:p>
      <w:pPr>
        <w:ind w:left="120" w:right="40" w:firstLine="881"/>
        <w:spacing w:after="0" w:line="261" w:lineRule="auto"/>
        <w:rPr>
          <w:sz w:val="20"/>
          <w:szCs w:val="20"/>
          <w:color w:val="auto"/>
        </w:rPr>
      </w:pPr>
      <w:r>
        <w:rPr>
          <w:rFonts w:ascii="Times New Roman" w:cs="Times New Roman" w:eastAsia="Times New Roman" w:hAnsi="Times New Roman"/>
          <w:sz w:val="18"/>
          <w:szCs w:val="18"/>
          <w:color w:val="auto"/>
        </w:rPr>
        <w:t>Because of the numerous risks and uncertainties associated with drug product development, we are unable to accurately predict the timing or amount of increased expenses or when or if we will be able to achieve or maintain profitability. Even if we are able to generate revenue from product sales, we may not become profitable. If we fail to become profitable or are unable to sustain profitability on a continuing basis, then we may be unable to continue our operations at planned levels.</w:t>
      </w:r>
    </w:p>
    <w:p>
      <w:pPr>
        <w:spacing w:after="0" w:line="180" w:lineRule="exact"/>
        <w:rPr>
          <w:sz w:val="20"/>
          <w:szCs w:val="20"/>
          <w:color w:val="auto"/>
        </w:rPr>
      </w:pPr>
    </w:p>
    <w:p>
      <w:pPr>
        <w:ind w:left="120" w:right="940" w:firstLine="881"/>
        <w:spacing w:after="0" w:line="282" w:lineRule="auto"/>
        <w:rPr>
          <w:sz w:val="20"/>
          <w:szCs w:val="20"/>
          <w:color w:val="auto"/>
        </w:rPr>
      </w:pPr>
      <w:r>
        <w:rPr>
          <w:rFonts w:ascii="Times New Roman" w:cs="Times New Roman" w:eastAsia="Times New Roman" w:hAnsi="Times New Roman"/>
          <w:sz w:val="18"/>
          <w:szCs w:val="18"/>
          <w:color w:val="auto"/>
        </w:rPr>
        <w:t>As of June 30, 2020, our aggregate cash and cash equivalents was $53.1 million. In September 2020, we received an additional $40.0 million in gross cash proceeds by issuing an aggregate of 21,221,280 shares of our</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-100-</w:t>
      </w:r>
    </w:p>
    <w:p>
      <w:pPr>
        <w:sectPr>
          <w:pgSz w:w="11900" w:h="16838" w:orient="portrait"/>
          <w:cols w:equalWidth="0" w:num="1">
            <w:col w:w="11080"/>
          </w:cols>
          <w:pgMar w:left="320" w:top="455" w:right="499" w:bottom="1440" w:gutter="0" w:footer="0" w:header="0"/>
        </w:sectPr>
      </w:pPr>
    </w:p>
    <w:bookmarkStart w:id="103" w:name="page104"/>
    <w:bookmarkEnd w:id="10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Series C preferred stock. We believe that the net proceeds from this offering together with our existing cash and cash equivalents will enable us to fund</w:t>
      </w:r>
    </w:p>
    <w:p>
      <w:pPr>
        <w:spacing w:after="0" w:line="27" w:lineRule="exact"/>
        <w:rPr>
          <w:sz w:val="20"/>
          <w:szCs w:val="20"/>
          <w:color w:val="auto"/>
        </w:rPr>
      </w:pPr>
    </w:p>
    <w:p>
      <w:pPr>
        <w:ind w:left="120"/>
        <w:spacing w:after="0"/>
        <w:tabs>
          <w:tab w:leader="none" w:pos="6060" w:val="left"/>
          <w:tab w:leader="none" w:pos="6700" w:val="left"/>
        </w:tabs>
        <w:rPr>
          <w:sz w:val="20"/>
          <w:szCs w:val="20"/>
          <w:color w:val="auto"/>
        </w:rPr>
      </w:pPr>
      <w:r>
        <w:rPr>
          <w:rFonts w:ascii="Times New Roman" w:cs="Times New Roman" w:eastAsia="Times New Roman" w:hAnsi="Times New Roman"/>
          <w:sz w:val="18"/>
          <w:szCs w:val="18"/>
          <w:color w:val="auto"/>
        </w:rPr>
        <w:t>our operating expenses and capital expenditure requirements through the</w:t>
      </w:r>
      <w:r>
        <w:rPr>
          <w:sz w:val="20"/>
          <w:szCs w:val="20"/>
          <w:color w:val="auto"/>
        </w:rPr>
        <w:tab/>
      </w:r>
      <w:r>
        <w:rPr>
          <w:rFonts w:ascii="Times New Roman" w:cs="Times New Roman" w:eastAsia="Times New Roman" w:hAnsi="Times New Roman"/>
          <w:sz w:val="18"/>
          <w:szCs w:val="18"/>
          <w:color w:val="auto"/>
        </w:rPr>
        <w:t>of 202</w:t>
      </w:r>
      <w:r>
        <w:rPr>
          <w:sz w:val="20"/>
          <w:szCs w:val="20"/>
          <w:color w:val="auto"/>
        </w:rPr>
        <w:tab/>
      </w:r>
      <w:r>
        <w:rPr>
          <w:rFonts w:ascii="Times New Roman" w:cs="Times New Roman" w:eastAsia="Times New Roman" w:hAnsi="Times New Roman"/>
          <w:sz w:val="17"/>
          <w:szCs w:val="17"/>
          <w:color w:val="auto"/>
        </w:rPr>
        <w:t>– see “Liquidity and Capital Resources.”</w:t>
      </w:r>
    </w:p>
    <w:p>
      <w:pPr>
        <w:spacing w:after="0" w:line="2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Impact of the COVID-19 Pandemic on our Operations</w:t>
      </w:r>
    </w:p>
    <w:p>
      <w:pPr>
        <w:spacing w:after="0" w:line="229" w:lineRule="exact"/>
        <w:rPr>
          <w:sz w:val="20"/>
          <w:szCs w:val="20"/>
          <w:color w:val="auto"/>
        </w:rPr>
      </w:pPr>
    </w:p>
    <w:p>
      <w:pPr>
        <w:ind w:left="120" w:right="100" w:firstLine="881"/>
        <w:spacing w:after="0" w:line="266" w:lineRule="auto"/>
        <w:rPr>
          <w:sz w:val="20"/>
          <w:szCs w:val="20"/>
          <w:color w:val="auto"/>
        </w:rPr>
      </w:pPr>
      <w:r>
        <w:rPr>
          <w:rFonts w:ascii="Times New Roman" w:cs="Times New Roman" w:eastAsia="Times New Roman" w:hAnsi="Times New Roman"/>
          <w:sz w:val="18"/>
          <w:szCs w:val="18"/>
          <w:color w:val="auto"/>
        </w:rPr>
        <w:t>Efforts to contain the spread of COVID-19 in the United States (including in California where our corporate headquarters and laboratory facility are located) and other countries have included quarantines, shelter-in-place orders, and various other government restrictions in order to control the spread of this virus.</w:t>
      </w:r>
    </w:p>
    <w:p>
      <w:pPr>
        <w:spacing w:after="0" w:line="176" w:lineRule="exact"/>
        <w:rPr>
          <w:sz w:val="20"/>
          <w:szCs w:val="20"/>
          <w:color w:val="auto"/>
        </w:rPr>
      </w:pPr>
    </w:p>
    <w:p>
      <w:pPr>
        <w:ind w:left="120" w:firstLine="881"/>
        <w:spacing w:after="0" w:line="261" w:lineRule="auto"/>
        <w:rPr>
          <w:sz w:val="20"/>
          <w:szCs w:val="20"/>
          <w:color w:val="auto"/>
        </w:rPr>
      </w:pPr>
      <w:r>
        <w:rPr>
          <w:rFonts w:ascii="Times New Roman" w:cs="Times New Roman" w:eastAsia="Times New Roman" w:hAnsi="Times New Roman"/>
          <w:sz w:val="18"/>
          <w:szCs w:val="18"/>
          <w:color w:val="auto"/>
        </w:rPr>
        <w:t>We have been carefully monitoring the COVID-19 pandemic as it continues to progress and its potential impact on our business. We have taken important steps to ensure the workplace safety of our employees when working within our laboratory and administrative offices, or when traveling to our clinical trial sites. We have also implemented an interim work-from-home policy and we may take further actions as may be required by federal, state or local authorities.</w:t>
      </w:r>
    </w:p>
    <w:p>
      <w:pPr>
        <w:spacing w:after="0" w:line="180" w:lineRule="exact"/>
        <w:rPr>
          <w:sz w:val="20"/>
          <w:szCs w:val="20"/>
          <w:color w:val="auto"/>
        </w:rPr>
      </w:pPr>
    </w:p>
    <w:p>
      <w:pPr>
        <w:ind w:left="120" w:right="140" w:firstLine="881"/>
        <w:spacing w:after="0" w:line="261" w:lineRule="auto"/>
        <w:rPr>
          <w:sz w:val="20"/>
          <w:szCs w:val="20"/>
          <w:color w:val="auto"/>
        </w:rPr>
      </w:pPr>
      <w:r>
        <w:rPr>
          <w:rFonts w:ascii="Times New Roman" w:cs="Times New Roman" w:eastAsia="Times New Roman" w:hAnsi="Times New Roman"/>
          <w:sz w:val="18"/>
          <w:szCs w:val="18"/>
          <w:color w:val="auto"/>
        </w:rPr>
        <w:t>To date, we have been able to continue our key business activities and advance our clinical programs. However, in the future, it is possible that our clinical development timelines and business plans could be adversely affected. We maintain regular communication with our vendors and clinical sites to appropriately plan for, and mitigate, the impact of the COVID-19 pandemic on our operations. However, the ultimate effect from this pandemic on our development timelines for TP-03 and our other product candidates is inherently uncertain.</w:t>
      </w:r>
    </w:p>
    <w:p>
      <w:pPr>
        <w:spacing w:after="0" w:line="180"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See “Risk Factors” for a further discussion of the potential adverse impact of COVID-19 on our business, results of operations and financial</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condition.</w:t>
      </w:r>
    </w:p>
    <w:p>
      <w:pPr>
        <w:spacing w:after="0" w:line="2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In-License Agreements for Lotilaner</w:t>
      </w:r>
    </w:p>
    <w:p>
      <w:pPr>
        <w:spacing w:after="0" w:line="229" w:lineRule="exact"/>
        <w:rPr>
          <w:sz w:val="20"/>
          <w:szCs w:val="20"/>
          <w:color w:val="auto"/>
        </w:rPr>
      </w:pPr>
    </w:p>
    <w:p>
      <w:pPr>
        <w:ind w:left="120" w:right="180" w:firstLine="881"/>
        <w:spacing w:after="0" w:line="266" w:lineRule="auto"/>
        <w:rPr>
          <w:sz w:val="20"/>
          <w:szCs w:val="20"/>
          <w:color w:val="auto"/>
        </w:rPr>
      </w:pPr>
      <w:r>
        <w:rPr>
          <w:rFonts w:ascii="Times New Roman" w:cs="Times New Roman" w:eastAsia="Times New Roman" w:hAnsi="Times New Roman"/>
          <w:sz w:val="18"/>
          <w:szCs w:val="18"/>
          <w:color w:val="auto"/>
        </w:rPr>
        <w:t>In January 2019, we entered into the Eye and Derm Elanco Agreement with Elanco granting us a worldwide, sublicensable license for the development and marketing rights of lotilaner for the treatment or cure of any eye or skin disease or condition in humans. We plan to utilize these license rights in developing and marketing our TP-03 and TP-04 product candidates.</w:t>
      </w:r>
    </w:p>
    <w:p>
      <w:pPr>
        <w:spacing w:after="0" w:line="176" w:lineRule="exact"/>
        <w:rPr>
          <w:sz w:val="20"/>
          <w:szCs w:val="20"/>
          <w:color w:val="auto"/>
        </w:rPr>
      </w:pPr>
    </w:p>
    <w:p>
      <w:pPr>
        <w:ind w:left="120" w:right="600" w:firstLine="881"/>
        <w:spacing w:after="0" w:line="282" w:lineRule="auto"/>
        <w:rPr>
          <w:sz w:val="20"/>
          <w:szCs w:val="20"/>
          <w:color w:val="auto"/>
        </w:rPr>
      </w:pPr>
      <w:r>
        <w:rPr>
          <w:rFonts w:ascii="Times New Roman" w:cs="Times New Roman" w:eastAsia="Times New Roman" w:hAnsi="Times New Roman"/>
          <w:sz w:val="18"/>
          <w:szCs w:val="18"/>
          <w:color w:val="auto"/>
        </w:rPr>
        <w:t>We made an upfront cash payment at contract execution, which we recorded within “research and development” expense within our statements of operations for the year ended December 31, 2019 and six months ended June 30, 2019.</w:t>
      </w:r>
    </w:p>
    <w:p>
      <w:pPr>
        <w:spacing w:after="0" w:line="162" w:lineRule="exact"/>
        <w:rPr>
          <w:sz w:val="20"/>
          <w:szCs w:val="20"/>
          <w:color w:val="auto"/>
        </w:rPr>
      </w:pPr>
    </w:p>
    <w:p>
      <w:pPr>
        <w:ind w:left="120" w:right="280" w:firstLine="881"/>
        <w:spacing w:after="0" w:line="261" w:lineRule="auto"/>
        <w:rPr>
          <w:sz w:val="20"/>
          <w:szCs w:val="20"/>
          <w:color w:val="auto"/>
        </w:rPr>
      </w:pPr>
      <w:r>
        <w:rPr>
          <w:rFonts w:ascii="Times New Roman" w:cs="Times New Roman" w:eastAsia="Times New Roman" w:hAnsi="Times New Roman"/>
          <w:sz w:val="18"/>
          <w:szCs w:val="18"/>
          <w:color w:val="auto"/>
        </w:rPr>
        <w:t>The value of remaining clinical milestone payments that may become contractually due to Elanco for the Demodex blepharitis or MGD indications aggregate to $3.0 million, $1.0 million of which was paid in the third quarter of 2020; and aggregate to $3.0 million for the rosacea indication. We may also be required to pay Elanco up to an aggregate of $79.0 million for various commercialization and sales-threshold milestones. Also, we will be obligated to pay Elanco tiered single-digit royalties on our worldwide net sales of these products.</w:t>
      </w:r>
    </w:p>
    <w:p>
      <w:pPr>
        <w:spacing w:after="0" w:line="180" w:lineRule="exact"/>
        <w:rPr>
          <w:sz w:val="20"/>
          <w:szCs w:val="20"/>
          <w:color w:val="auto"/>
        </w:rPr>
      </w:pPr>
    </w:p>
    <w:p>
      <w:pPr>
        <w:jc w:val="both"/>
        <w:ind w:left="120" w:firstLine="881"/>
        <w:spacing w:after="0" w:line="266" w:lineRule="auto"/>
        <w:rPr>
          <w:sz w:val="20"/>
          <w:szCs w:val="20"/>
          <w:color w:val="auto"/>
        </w:rPr>
      </w:pPr>
      <w:r>
        <w:rPr>
          <w:rFonts w:ascii="Times New Roman" w:cs="Times New Roman" w:eastAsia="Times New Roman" w:hAnsi="Times New Roman"/>
          <w:sz w:val="18"/>
          <w:szCs w:val="18"/>
          <w:color w:val="auto"/>
        </w:rPr>
        <w:t>In September 2020, we entered into the All Human Uses Elanco Agreement with Elanco granting us a worldwide, sublicensable licenses for the development and marketing rights of lotilaner for all other applications in humans (i.e., in addition to the treatment or cure of any eye or skin disease or condition in humans). We plan to utilize these license rights in developing and marketing our TP-05 product candidates.</w:t>
      </w:r>
    </w:p>
    <w:p>
      <w:pPr>
        <w:spacing w:after="0" w:line="176" w:lineRule="exact"/>
        <w:rPr>
          <w:sz w:val="20"/>
          <w:szCs w:val="20"/>
          <w:color w:val="auto"/>
        </w:rPr>
      </w:pPr>
    </w:p>
    <w:p>
      <w:pPr>
        <w:ind w:left="120" w:right="60" w:firstLine="881"/>
        <w:spacing w:after="0" w:line="261" w:lineRule="auto"/>
        <w:rPr>
          <w:sz w:val="20"/>
          <w:szCs w:val="20"/>
          <w:color w:val="auto"/>
        </w:rPr>
      </w:pPr>
      <w:r>
        <w:rPr>
          <w:rFonts w:ascii="Times New Roman" w:cs="Times New Roman" w:eastAsia="Times New Roman" w:hAnsi="Times New Roman"/>
          <w:sz w:val="18"/>
          <w:szCs w:val="18"/>
          <w:color w:val="auto"/>
        </w:rPr>
        <w:t>We made an initial equity grant of approximately 1.7 million shares of our common stock to Elanco at contract execution. If the All Human Uses Elanco Agreement is not terminated, or if we have not provided notice to terminate the All Human Uses Elanco Agreement, within 18 months of its effective date, we will be required to issue Elanco additional shares of our common stock equating to $3.0 million of aggregate value in accordance with the terms of the All Human Uses Elanco Agreement.</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-101-</w:t>
      </w:r>
    </w:p>
    <w:p>
      <w:pPr>
        <w:sectPr>
          <w:pgSz w:w="11900" w:h="16838" w:orient="portrait"/>
          <w:cols w:equalWidth="0" w:num="1">
            <w:col w:w="11100"/>
          </w:cols>
          <w:pgMar w:left="320" w:top="455" w:right="479" w:bottom="1440" w:gutter="0" w:footer="0" w:header="0"/>
        </w:sectPr>
      </w:pPr>
    </w:p>
    <w:bookmarkStart w:id="104" w:name="page105"/>
    <w:bookmarkEnd w:id="10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40" w:firstLine="881"/>
        <w:spacing w:after="0" w:line="261" w:lineRule="auto"/>
        <w:rPr>
          <w:sz w:val="20"/>
          <w:szCs w:val="20"/>
          <w:color w:val="auto"/>
        </w:rPr>
      </w:pPr>
      <w:r>
        <w:rPr>
          <w:rFonts w:ascii="Times New Roman" w:cs="Times New Roman" w:eastAsia="Times New Roman" w:hAnsi="Times New Roman"/>
          <w:sz w:val="18"/>
          <w:szCs w:val="18"/>
          <w:color w:val="auto"/>
        </w:rPr>
        <w:t>The value of remaining clinical milestone payments that may become contractually due to Elanco for the treatment of malaria aggregate to $3.0 million; and aggregate to $1.5 million for the indications other than malaria. We may also be required to pay Elanco up to an aggregate of</w:t>
      </w:r>
    </w:p>
    <w:p>
      <w:pPr>
        <w:ind w:left="120" w:right="60"/>
        <w:spacing w:after="0" w:line="253" w:lineRule="auto"/>
        <w:rPr>
          <w:sz w:val="20"/>
          <w:szCs w:val="20"/>
          <w:color w:val="auto"/>
        </w:rPr>
      </w:pPr>
      <w:r>
        <w:rPr>
          <w:rFonts w:ascii="Times New Roman" w:cs="Times New Roman" w:eastAsia="Times New Roman" w:hAnsi="Times New Roman"/>
          <w:sz w:val="18"/>
          <w:szCs w:val="18"/>
          <w:color w:val="auto"/>
        </w:rPr>
        <w:t>$77.0 million for various commercialization and sales threshold milestones under the current terms of the All Human Uses Elanco Agreement. Also, we will be obligated under the terms of the All Human Uses Elanco Agreement to pay Elanco tiered single-digit royalties on net sales of these products including in the United States, Canada, the countries of the European Economic Area (which, for clarity, shall be deemed to include the United Kingdom), Australia, New Zealand and Japan.</w:t>
      </w:r>
    </w:p>
    <w:p>
      <w:pPr>
        <w:spacing w:after="0" w:line="1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Components of our Results of Operations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Our operating expenses since inception have consisted solely of research and development expenses and general and administrative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expenses.</w:t>
      </w:r>
    </w:p>
    <w:p>
      <w:pPr>
        <w:spacing w:after="0" w:line="2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22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Our research and development expenses consist of expenses incurred in connection with the development of our product candidates,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including:</w:t>
      </w:r>
    </w:p>
    <w:p>
      <w:pPr>
        <w:spacing w:after="0" w:line="234" w:lineRule="exact"/>
        <w:rPr>
          <w:sz w:val="20"/>
          <w:szCs w:val="20"/>
          <w:color w:val="auto"/>
        </w:rPr>
      </w:pPr>
    </w:p>
    <w:p>
      <w:pPr>
        <w:ind w:left="1420" w:hanging="319"/>
        <w:spacing w:after="0"/>
        <w:tabs>
          <w:tab w:leader="none" w:pos="142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paid to third parties to conduct certain research and development activities on our behalf, including under agreements with CROs;</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under licensing agreements, such as our upfront in-license fee for lotilaner;</w:t>
      </w:r>
    </w:p>
    <w:p>
      <w:pPr>
        <w:spacing w:after="0" w:line="252" w:lineRule="exact"/>
        <w:rPr>
          <w:rFonts w:ascii="Times New Roman" w:cs="Times New Roman" w:eastAsia="Times New Roman" w:hAnsi="Times New Roman"/>
          <w:sz w:val="18"/>
          <w:szCs w:val="18"/>
          <w:color w:val="auto"/>
        </w:rPr>
      </w:pPr>
    </w:p>
    <w:p>
      <w:pPr>
        <w:ind w:left="1420" w:right="240" w:hanging="319"/>
        <w:spacing w:after="0" w:line="282" w:lineRule="auto"/>
        <w:tabs>
          <w:tab w:leader="none" w:pos="142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consulting costs and certain allocated payroll and employee-related expenses (including stock-based compensation and salaries) for personnel engaged in research and development functions;</w:t>
      </w:r>
    </w:p>
    <w:p>
      <w:pPr>
        <w:spacing w:after="0" w:line="188"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compliance with clinical regulatory requirements;</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procuring drug products for use in our preclinical studies and clinical trials; and</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facilities expenses, which include direct and allocated expenses for rent of our laboratory.</w:t>
      </w:r>
    </w:p>
    <w:p>
      <w:pPr>
        <w:spacing w:after="0" w:line="225" w:lineRule="exact"/>
        <w:rPr>
          <w:sz w:val="20"/>
          <w:szCs w:val="20"/>
          <w:color w:val="auto"/>
        </w:rPr>
      </w:pPr>
    </w:p>
    <w:p>
      <w:pPr>
        <w:ind w:left="120" w:right="140" w:firstLine="881"/>
        <w:spacing w:after="0" w:line="266" w:lineRule="auto"/>
        <w:rPr>
          <w:sz w:val="20"/>
          <w:szCs w:val="20"/>
          <w:color w:val="auto"/>
        </w:rPr>
      </w:pPr>
      <w:r>
        <w:rPr>
          <w:rFonts w:ascii="Times New Roman" w:cs="Times New Roman" w:eastAsia="Times New Roman" w:hAnsi="Times New Roman"/>
          <w:sz w:val="18"/>
          <w:szCs w:val="18"/>
          <w:color w:val="auto"/>
        </w:rPr>
        <w:t>We expense both internal and external research and development expenses as incurred or as certain upfront or milestone payments become contractually due to licensors upon achievement of clinical or regulatory events. We recognize external research and development costs based on an evaluation of the progress to completion of specific tasks or patient dosing using information provided to us by our service providers.</w:t>
      </w:r>
    </w:p>
    <w:p>
      <w:pPr>
        <w:spacing w:after="0" w:line="176" w:lineRule="exact"/>
        <w:rPr>
          <w:sz w:val="20"/>
          <w:szCs w:val="20"/>
          <w:color w:val="auto"/>
        </w:rPr>
      </w:pPr>
    </w:p>
    <w:p>
      <w:pPr>
        <w:ind w:left="120" w:right="80" w:firstLine="881"/>
        <w:spacing w:after="0" w:line="256" w:lineRule="auto"/>
        <w:rPr>
          <w:sz w:val="20"/>
          <w:szCs w:val="20"/>
          <w:color w:val="auto"/>
        </w:rPr>
      </w:pPr>
      <w:r>
        <w:rPr>
          <w:rFonts w:ascii="Times New Roman" w:cs="Times New Roman" w:eastAsia="Times New Roman" w:hAnsi="Times New Roman"/>
          <w:sz w:val="18"/>
          <w:szCs w:val="18"/>
          <w:color w:val="auto"/>
        </w:rPr>
        <w:t>We track our external research and development expenses on a program-by-program basis, such as fees paid to CROs, CMOs and research laboratories in connection with our pre-clinical development, process development, manufacturing and clinical development activities. However, we do not track our internal research and development expenses on a program-by-program basis as they primarily relate to compensation, early research and other costs which are deployed across multiple projects under development. For the years ended December 31, 2018 and 2019 and for the six months ended June 30, 2019 and 2020, substantially all of our research and development expenses are attributable to our TP-03 program for Demodex blepharitis.</w:t>
      </w:r>
    </w:p>
    <w:p>
      <w:pPr>
        <w:spacing w:after="0" w:line="187" w:lineRule="exact"/>
        <w:rPr>
          <w:sz w:val="20"/>
          <w:szCs w:val="20"/>
          <w:color w:val="auto"/>
        </w:rPr>
      </w:pPr>
    </w:p>
    <w:p>
      <w:pPr>
        <w:ind w:left="120" w:firstLine="881"/>
        <w:spacing w:after="0" w:line="289" w:lineRule="auto"/>
        <w:rPr>
          <w:sz w:val="20"/>
          <w:szCs w:val="20"/>
          <w:color w:val="auto"/>
        </w:rPr>
      </w:pPr>
      <w:r>
        <w:rPr>
          <w:rFonts w:ascii="Times New Roman" w:cs="Times New Roman" w:eastAsia="Times New Roman" w:hAnsi="Times New Roman"/>
          <w:sz w:val="17"/>
          <w:szCs w:val="17"/>
          <w:color w:val="auto"/>
        </w:rPr>
        <w:t>Research and development activities are central to our business model. Product candidates in later stages of clinical development, such as TP-03, generally have higher development costs than those in earlier stages of clinical development, primarily due to the increased size and duration of later-stage clinical trials. We expect our research and development expenses to increase substantially following this offering and in the future, as we seek</w:t>
      </w:r>
    </w:p>
    <w:p>
      <w:pPr>
        <w:spacing w:after="0" w:line="9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-102-</w:t>
      </w:r>
    </w:p>
    <w:p>
      <w:pPr>
        <w:sectPr>
          <w:pgSz w:w="11900" w:h="16838" w:orient="portrait"/>
          <w:cols w:equalWidth="0" w:num="1">
            <w:col w:w="11120"/>
          </w:cols>
          <w:pgMar w:left="320" w:top="455" w:right="459" w:bottom="1440" w:gutter="0" w:footer="0" w:header="0"/>
        </w:sectPr>
      </w:pPr>
    </w:p>
    <w:bookmarkStart w:id="105" w:name="page106"/>
    <w:bookmarkEnd w:id="10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56" w:lineRule="auto"/>
        <w:rPr>
          <w:sz w:val="20"/>
          <w:szCs w:val="20"/>
          <w:color w:val="auto"/>
        </w:rPr>
      </w:pPr>
      <w:r>
        <w:rPr>
          <w:rFonts w:ascii="Times New Roman" w:cs="Times New Roman" w:eastAsia="Times New Roman" w:hAnsi="Times New Roman"/>
          <w:sz w:val="18"/>
          <w:szCs w:val="18"/>
          <w:color w:val="auto"/>
        </w:rPr>
        <w:t>to initiate and progress additional clinical trials for our product candidates, including TP-03 for the potential treatment of MGD, TP-04 for the potential treatment of rosacea and TP-05 for potential Lyme prophylaxis and community malaria reduction, complete our clinical programs, pursue regulatory approval of our product candidates, and prepare for the possible commercialization of these product candidates. The successful development of our product candidates is highly uncertain. As this time, we cannot precisely estimate the aggregate costs required to complete significant portions of our clinical programs or additional costs associated with the validation of our contract manufacturers and suppliers as required by the FDA. See “Risk Factors” for a discussion of risks and uncertainties associated with our research and development projects.</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229" w:lineRule="exact"/>
        <w:rPr>
          <w:sz w:val="20"/>
          <w:szCs w:val="20"/>
          <w:color w:val="auto"/>
        </w:rPr>
      </w:pPr>
    </w:p>
    <w:p>
      <w:pPr>
        <w:ind w:left="120" w:firstLine="881"/>
        <w:spacing w:after="0" w:line="266" w:lineRule="auto"/>
        <w:rPr>
          <w:sz w:val="20"/>
          <w:szCs w:val="20"/>
          <w:color w:val="auto"/>
        </w:rPr>
      </w:pPr>
      <w:r>
        <w:rPr>
          <w:rFonts w:ascii="Times New Roman" w:cs="Times New Roman" w:eastAsia="Times New Roman" w:hAnsi="Times New Roman"/>
          <w:sz w:val="18"/>
          <w:szCs w:val="18"/>
          <w:color w:val="auto"/>
        </w:rPr>
        <w:t>Our general and administrative expenses consist of personnel-related costs including payroll, benefits, and stock-based compensation for our executive, finance, and other administrative functions. Other general and administrative expenses include consulting fees, legal services, rent and other facilities costs, and other general operating expenses not otherwise classified as research and development expenses.</w:t>
      </w:r>
    </w:p>
    <w:p>
      <w:pPr>
        <w:spacing w:after="0" w:line="176" w:lineRule="exact"/>
        <w:rPr>
          <w:sz w:val="20"/>
          <w:szCs w:val="20"/>
          <w:color w:val="auto"/>
        </w:rPr>
      </w:pPr>
    </w:p>
    <w:p>
      <w:pPr>
        <w:ind w:left="120" w:right="180" w:firstLine="881"/>
        <w:spacing w:after="0" w:line="258" w:lineRule="auto"/>
        <w:rPr>
          <w:sz w:val="20"/>
          <w:szCs w:val="20"/>
          <w:color w:val="auto"/>
        </w:rPr>
      </w:pPr>
      <w:r>
        <w:rPr>
          <w:rFonts w:ascii="Times New Roman" w:cs="Times New Roman" w:eastAsia="Times New Roman" w:hAnsi="Times New Roman"/>
          <w:sz w:val="18"/>
          <w:szCs w:val="18"/>
          <w:color w:val="auto"/>
        </w:rPr>
        <w:t>We expect that our general and administrative expenses will increase substantially in the future as a result of expanding our operations, including hiring personal, preparing for potential commercialization of our product candidates, and additional facility occupancy costs, as well various incremental costs associated with being a public company (including increased legal and accounting fees, regulatory costs associated with maintaining compliance with the rules of the Nasdaq Stock Market and SEC regulations, investor relations activities, directors and officers liability insurance premiums, and other accompanying compliance and governance costs).</w:t>
      </w:r>
    </w:p>
    <w:p>
      <w:pPr>
        <w:spacing w:after="0" w:line="1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Other Income (Expense), Net</w:t>
      </w:r>
    </w:p>
    <w:p>
      <w:pPr>
        <w:spacing w:after="0" w:line="229" w:lineRule="exact"/>
        <w:rPr>
          <w:sz w:val="20"/>
          <w:szCs w:val="20"/>
          <w:color w:val="auto"/>
        </w:rPr>
      </w:pPr>
    </w:p>
    <w:p>
      <w:pPr>
        <w:ind w:left="120" w:right="60" w:firstLine="881"/>
        <w:spacing w:after="0" w:line="258" w:lineRule="auto"/>
        <w:rPr>
          <w:sz w:val="20"/>
          <w:szCs w:val="20"/>
          <w:color w:val="auto"/>
        </w:rPr>
      </w:pPr>
      <w:r>
        <w:rPr>
          <w:rFonts w:ascii="Times New Roman" w:cs="Times New Roman" w:eastAsia="Times New Roman" w:hAnsi="Times New Roman"/>
          <w:sz w:val="18"/>
          <w:szCs w:val="18"/>
          <w:color w:val="auto"/>
        </w:rPr>
        <w:t>Other income (expense), net consists primarily of interest expense on our convertible promissory notes, other expense from the change in fair value of the derivative liabilities associated with the promissory notes and losses recorded on the extinguishment of convertible promissory notes. Interest expense is comprised of coupon interest, amortization of debt issuance costs, and non-cash accretion of an estimated discount on the convertible promissory notes (as part of the separate recognition of an embedded derivative liability). Our recognized interest expense was partially offset by interest income earned on our cash and cash equivalents.</w:t>
      </w:r>
    </w:p>
    <w:p>
      <w:pPr>
        <w:spacing w:after="0" w:line="1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Income Tax Provision</w:t>
      </w:r>
    </w:p>
    <w:p>
      <w:pPr>
        <w:spacing w:after="0" w:line="229" w:lineRule="exact"/>
        <w:rPr>
          <w:sz w:val="20"/>
          <w:szCs w:val="20"/>
          <w:color w:val="auto"/>
        </w:rPr>
      </w:pPr>
    </w:p>
    <w:p>
      <w:pPr>
        <w:ind w:left="120" w:right="40" w:firstLine="881"/>
        <w:spacing w:after="0" w:line="268" w:lineRule="auto"/>
        <w:rPr>
          <w:sz w:val="20"/>
          <w:szCs w:val="20"/>
          <w:color w:val="auto"/>
        </w:rPr>
      </w:pPr>
      <w:r>
        <w:rPr>
          <w:rFonts w:ascii="Times New Roman" w:cs="Times New Roman" w:eastAsia="Times New Roman" w:hAnsi="Times New Roman"/>
          <w:sz w:val="17"/>
          <w:szCs w:val="17"/>
          <w:color w:val="auto"/>
        </w:rPr>
        <w:t>Since our inception, we have not recorded any U.S. federal or state income tax benefits for the net operating losses we have incurred in each year, or for our earned research and development tax credits, due to our uncertainty of realizing a benefit from either. As of December 31, 2019, we had deferred tax assets, including federal and state net operating loss carryforwards, of $1.4 million. As a result of the Tax Cuts and Jobs Act of 2017, net operating losses (for U.S. income tax purposes) generated prior to December 31, 2018 can be carried forward for up to 20 years, while net operating losses generated after December 31, 2017 can be carried forward indefinitely, but are limited to 80% utilization against taxable income. Our California net operating losses will begin to expire in 2037. At December 31, 2019, we had federal and California research and development tax credits of</w:t>
      </w:r>
    </w:p>
    <w:p>
      <w:pPr>
        <w:spacing w:after="0" w:line="5" w:lineRule="exact"/>
        <w:rPr>
          <w:sz w:val="20"/>
          <w:szCs w:val="20"/>
          <w:color w:val="auto"/>
        </w:rPr>
      </w:pPr>
    </w:p>
    <w:p>
      <w:pPr>
        <w:ind w:left="120" w:right="700"/>
        <w:spacing w:after="0" w:line="260" w:lineRule="auto"/>
        <w:rPr>
          <w:sz w:val="20"/>
          <w:szCs w:val="20"/>
          <w:color w:val="auto"/>
        </w:rPr>
      </w:pPr>
      <w:r>
        <w:rPr>
          <w:rFonts w:ascii="Times New Roman" w:cs="Times New Roman" w:eastAsia="Times New Roman" w:hAnsi="Times New Roman"/>
          <w:sz w:val="18"/>
          <w:szCs w:val="18"/>
          <w:color w:val="auto"/>
        </w:rPr>
        <w:t>$0.1 million each. The federal research and development tax credits begin to expire in 2037 unless previously utilized, and the California credit carryforwards are available indefinitely.</w:t>
      </w:r>
    </w:p>
    <w:p>
      <w:pPr>
        <w:spacing w:after="0" w:line="1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-103-</w:t>
      </w:r>
    </w:p>
    <w:p>
      <w:pPr>
        <w:sectPr>
          <w:pgSz w:w="11900" w:h="16838" w:orient="portrait"/>
          <w:cols w:equalWidth="0" w:num="1">
            <w:col w:w="11140"/>
          </w:cols>
          <w:pgMar w:left="320" w:top="455" w:right="439" w:bottom="1440" w:gutter="0" w:footer="0" w:header="0"/>
        </w:sectPr>
      </w:pPr>
    </w:p>
    <w:bookmarkStart w:id="106" w:name="page107"/>
    <w:bookmarkEnd w:id="10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Result of Operations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Six Months Ended June 30, 2019 and 2020</w:t>
      </w:r>
    </w:p>
    <w:p>
      <w:pPr>
        <w:spacing w:after="0" w:line="22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periods indicated:</w:t>
      </w:r>
    </w:p>
    <w:p>
      <w:pPr>
        <w:spacing w:after="0" w:line="23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560" w:type="dxa"/>
            <w:vAlign w:val="bottom"/>
          </w:tcPr>
          <w:p>
            <w:pPr>
              <w:spacing w:after="0"/>
              <w:rPr>
                <w:sz w:val="13"/>
                <w:szCs w:val="13"/>
                <w:color w:val="auto"/>
              </w:rPr>
            </w:pPr>
          </w:p>
        </w:tc>
        <w:tc>
          <w:tcPr>
            <w:tcW w:w="1780" w:type="dxa"/>
            <w:vAlign w:val="bottom"/>
            <w:gridSpan w:val="6"/>
          </w:tcPr>
          <w:p>
            <w:pPr>
              <w:jc w:val="right"/>
              <w:ind w:right="401"/>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8560" w:type="dxa"/>
            <w:vAlign w:val="bottom"/>
          </w:tcPr>
          <w:p>
            <w:pPr>
              <w:spacing w:after="0"/>
              <w:rPr>
                <w:sz w:val="15"/>
                <w:szCs w:val="15"/>
                <w:color w:val="auto"/>
              </w:rPr>
            </w:pPr>
          </w:p>
        </w:tc>
        <w:tc>
          <w:tcPr>
            <w:tcW w:w="1780" w:type="dxa"/>
            <w:vAlign w:val="bottom"/>
            <w:gridSpan w:val="6"/>
          </w:tcPr>
          <w:p>
            <w:pPr>
              <w:jc w:val="right"/>
              <w:ind w:right="721"/>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80" w:type="dxa"/>
            <w:vAlign w:val="bottom"/>
            <w:gridSpan w:val="2"/>
            <w:vMerge w:val="restart"/>
          </w:tcPr>
          <w:p>
            <w:pPr>
              <w:jc w:val="right"/>
              <w:ind w:right="81"/>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8560" w:type="dxa"/>
            <w:vAlign w:val="bottom"/>
          </w:tcPr>
          <w:p>
            <w:pPr>
              <w:spacing w:after="0"/>
              <w:rPr>
                <w:sz w:val="12"/>
                <w:szCs w:val="12"/>
                <w:color w:val="auto"/>
              </w:rPr>
            </w:pPr>
          </w:p>
        </w:tc>
        <w:tc>
          <w:tcPr>
            <w:tcW w:w="560" w:type="dxa"/>
            <w:vAlign w:val="bottom"/>
            <w:tcBorders>
              <w:top w:val="single" w:sz="8" w:color="auto"/>
            </w:tcBorders>
          </w:tcPr>
          <w:p>
            <w:pPr>
              <w:jc w:val="right"/>
              <w:ind w:right="55"/>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gridSpan w:val="2"/>
          </w:tcPr>
          <w:p>
            <w:pPr>
              <w:jc w:val="right"/>
              <w:ind w:right="50"/>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32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560" w:type="dxa"/>
            <w:vAlign w:val="bottom"/>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gridSpan w:val="3"/>
          </w:tcPr>
          <w:p>
            <w:pPr>
              <w:jc w:val="right"/>
              <w:ind w:right="101"/>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5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9"/>
              </w:rPr>
              <w:t>$ 2,066</w:t>
            </w:r>
          </w:p>
        </w:tc>
        <w:tc>
          <w:tcPr>
            <w:tcW w:w="100" w:type="dxa"/>
            <w:vAlign w:val="bottom"/>
          </w:tcPr>
          <w:p>
            <w:pPr>
              <w:spacing w:after="0"/>
              <w:rPr>
                <w:sz w:val="18"/>
                <w:szCs w:val="18"/>
                <w:color w:val="auto"/>
              </w:rPr>
            </w:pPr>
          </w:p>
        </w:tc>
        <w:tc>
          <w:tcPr>
            <w:tcW w:w="1100" w:type="dxa"/>
            <w:vAlign w:val="bottom"/>
            <w:gridSpan w:val="3"/>
          </w:tcPr>
          <w:p>
            <w:pPr>
              <w:jc w:val="right"/>
              <w:ind w:right="241"/>
              <w:spacing w:after="0"/>
              <w:rPr>
                <w:sz w:val="20"/>
                <w:szCs w:val="20"/>
                <w:color w:val="auto"/>
              </w:rPr>
            </w:pPr>
            <w:r>
              <w:rPr>
                <w:rFonts w:ascii="Times New Roman" w:cs="Times New Roman" w:eastAsia="Times New Roman" w:hAnsi="Times New Roman"/>
                <w:sz w:val="18"/>
                <w:szCs w:val="18"/>
                <w:color w:val="auto"/>
              </w:rPr>
              <w:t>$ 3,249</w:t>
            </w:r>
          </w:p>
        </w:tc>
        <w:tc>
          <w:tcPr>
            <w:tcW w:w="6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w w:val="99"/>
              </w:rPr>
              <w:t>$ 1,183</w:t>
            </w:r>
          </w:p>
        </w:tc>
        <w:tc>
          <w:tcPr>
            <w:tcW w:w="0" w:type="dxa"/>
            <w:vAlign w:val="bottom"/>
          </w:tcPr>
          <w:p>
            <w:pPr>
              <w:spacing w:after="0"/>
              <w:rPr>
                <w:sz w:val="1"/>
                <w:szCs w:val="1"/>
                <w:color w:val="auto"/>
              </w:rPr>
            </w:pPr>
          </w:p>
        </w:tc>
      </w:tr>
      <w:tr>
        <w:trPr>
          <w:trHeight w:val="216"/>
        </w:trPr>
        <w:tc>
          <w:tcPr>
            <w:tcW w:w="8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6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514</w:t>
            </w:r>
          </w:p>
        </w:tc>
        <w:tc>
          <w:tcPr>
            <w:tcW w:w="1100" w:type="dxa"/>
            <w:vAlign w:val="bottom"/>
            <w:gridSpan w:val="3"/>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2,132</w:t>
            </w:r>
          </w:p>
        </w:tc>
        <w:tc>
          <w:tcPr>
            <w:tcW w:w="6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1,618</w:t>
            </w:r>
          </w:p>
        </w:tc>
        <w:tc>
          <w:tcPr>
            <w:tcW w:w="0" w:type="dxa"/>
            <w:vAlign w:val="bottom"/>
          </w:tcPr>
          <w:p>
            <w:pPr>
              <w:spacing w:after="0"/>
              <w:rPr>
                <w:sz w:val="1"/>
                <w:szCs w:val="1"/>
                <w:color w:val="auto"/>
              </w:rPr>
            </w:pPr>
          </w:p>
        </w:tc>
      </w:tr>
      <w:tr>
        <w:trPr>
          <w:trHeight w:val="230"/>
        </w:trPr>
        <w:tc>
          <w:tcPr>
            <w:tcW w:w="85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2,580</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5,381</w:t>
            </w:r>
          </w:p>
        </w:tc>
        <w:tc>
          <w:tcPr>
            <w:tcW w:w="320" w:type="dxa"/>
            <w:vAlign w:val="bottom"/>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 before other income (expense) and income taxes</w:t>
            </w:r>
          </w:p>
        </w:tc>
        <w:tc>
          <w:tcPr>
            <w:tcW w:w="6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(2,580)</w:t>
            </w:r>
          </w:p>
        </w:tc>
        <w:tc>
          <w:tcPr>
            <w:tcW w:w="1100" w:type="dxa"/>
            <w:vAlign w:val="bottom"/>
            <w:gridSpan w:val="3"/>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(5,381)</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(2,801)</w:t>
            </w:r>
          </w:p>
        </w:tc>
        <w:tc>
          <w:tcPr>
            <w:tcW w:w="0" w:type="dxa"/>
            <w:vAlign w:val="bottom"/>
          </w:tcPr>
          <w:p>
            <w:pPr>
              <w:spacing w:after="0"/>
              <w:rPr>
                <w:sz w:val="1"/>
                <w:szCs w:val="1"/>
                <w:color w:val="auto"/>
              </w:rPr>
            </w:pPr>
          </w:p>
        </w:tc>
      </w:tr>
      <w:tr>
        <w:trPr>
          <w:trHeight w:val="223"/>
        </w:trPr>
        <w:tc>
          <w:tcPr>
            <w:tcW w:w="856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56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income (expense), net</w:t>
            </w:r>
          </w:p>
        </w:tc>
        <w:tc>
          <w:tcPr>
            <w:tcW w:w="6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w:t>
            </w:r>
          </w:p>
        </w:tc>
        <w:tc>
          <w:tcPr>
            <w:tcW w:w="1100" w:type="dxa"/>
            <w:vAlign w:val="bottom"/>
            <w:gridSpan w:val="3"/>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174</w:t>
            </w:r>
          </w:p>
        </w:tc>
        <w:tc>
          <w:tcPr>
            <w:tcW w:w="6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169</w:t>
            </w:r>
          </w:p>
        </w:tc>
        <w:tc>
          <w:tcPr>
            <w:tcW w:w="0" w:type="dxa"/>
            <w:vAlign w:val="bottom"/>
          </w:tcPr>
          <w:p>
            <w:pPr>
              <w:spacing w:after="0"/>
              <w:rPr>
                <w:sz w:val="1"/>
                <w:szCs w:val="1"/>
                <w:color w:val="auto"/>
              </w:rPr>
            </w:pPr>
          </w:p>
        </w:tc>
      </w:tr>
      <w:tr>
        <w:trPr>
          <w:trHeight w:val="230"/>
        </w:trPr>
        <w:tc>
          <w:tcPr>
            <w:tcW w:w="85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income (expense), net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320" w:type="dxa"/>
            <w:vAlign w:val="bottom"/>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6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1"/>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3"/>
        </w:trPr>
        <w:tc>
          <w:tcPr>
            <w:tcW w:w="856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(2,576</w:t>
            </w:r>
          </w:p>
        </w:tc>
        <w:tc>
          <w:tcPr>
            <w:tcW w:w="1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(5,207</w:t>
            </w:r>
          </w:p>
        </w:tc>
        <w:tc>
          <w:tcPr>
            <w:tcW w:w="32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(2,631</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85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22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Research and development expenses increased by $1.2 million for the six months ended June 30, 2020. The increase was primarily due to</w:t>
      </w:r>
    </w:p>
    <w:p>
      <w:pPr>
        <w:spacing w:after="0" w:line="27" w:lineRule="exact"/>
        <w:rPr>
          <w:sz w:val="20"/>
          <w:szCs w:val="20"/>
          <w:color w:val="auto"/>
        </w:rPr>
      </w:pPr>
    </w:p>
    <w:p>
      <w:pPr>
        <w:ind w:left="120" w:right="180" w:hanging="4"/>
        <w:spacing w:after="0" w:line="255" w:lineRule="auto"/>
        <w:tabs>
          <w:tab w:leader="none" w:pos="335"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manufacturing and development activities of $0.8 million to support our clinical studies, and (ii) increased payroll and personnel-related expenses (including stock-based compensation) of $0.4 million due to additional clinical and formulation development employees to drive our product development initiatives.</w:t>
      </w:r>
    </w:p>
    <w:p>
      <w:pPr>
        <w:spacing w:after="0" w:line="1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229" w:lineRule="exact"/>
        <w:rPr>
          <w:sz w:val="20"/>
          <w:szCs w:val="20"/>
          <w:color w:val="auto"/>
        </w:rPr>
      </w:pPr>
    </w:p>
    <w:p>
      <w:pPr>
        <w:jc w:val="both"/>
        <w:ind w:left="120" w:right="120" w:firstLine="881"/>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increased by $1.6 million for the six months ended June 30, 2020. The increase was primarily due to $0.8 million increase in payroll and personnel-related expenses (including stock-based compensation) for employee additions and $0.7 million increase from market research activities and other professional services.</w:t>
      </w:r>
    </w:p>
    <w:p>
      <w:pPr>
        <w:spacing w:after="0" w:line="1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Interest Income (Expense), Net</w:t>
      </w:r>
    </w:p>
    <w:p>
      <w:pPr>
        <w:spacing w:after="0" w:line="229" w:lineRule="exact"/>
        <w:rPr>
          <w:sz w:val="20"/>
          <w:szCs w:val="20"/>
          <w:color w:val="auto"/>
        </w:rPr>
      </w:pPr>
    </w:p>
    <w:p>
      <w:pPr>
        <w:ind w:left="120" w:right="400" w:firstLine="881"/>
        <w:spacing w:after="0" w:line="282" w:lineRule="auto"/>
        <w:rPr>
          <w:sz w:val="20"/>
          <w:szCs w:val="20"/>
          <w:color w:val="auto"/>
        </w:rPr>
      </w:pPr>
      <w:r>
        <w:rPr>
          <w:rFonts w:ascii="Times New Roman" w:cs="Times New Roman" w:eastAsia="Times New Roman" w:hAnsi="Times New Roman"/>
          <w:sz w:val="18"/>
          <w:szCs w:val="18"/>
          <w:color w:val="auto"/>
        </w:rPr>
        <w:t>The increase in interest income (expense), net of $0.2 million was primarily due to interest earned on our money market funds from the proceeds from the issuance of our Series B convertible preferred stock in December 2019.</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-104-</w:t>
      </w:r>
    </w:p>
    <w:p>
      <w:pPr>
        <w:sectPr>
          <w:pgSz w:w="11900" w:h="16838" w:orient="portrait"/>
          <w:cols w:equalWidth="0" w:num="1">
            <w:col w:w="11140"/>
          </w:cols>
          <w:pgMar w:left="320" w:top="455" w:right="439" w:bottom="1440" w:gutter="0" w:footer="0" w:header="0"/>
        </w:sectPr>
      </w:pPr>
    </w:p>
    <w:bookmarkStart w:id="107" w:name="page108"/>
    <w:bookmarkEnd w:id="10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Years Ended December 31, 2018 and 2019</w:t>
      </w:r>
    </w:p>
    <w:p>
      <w:pPr>
        <w:spacing w:after="0" w:line="22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years ended December 31, 2018 and 2019 (in thousands):</w:t>
      </w:r>
    </w:p>
    <w:p>
      <w:pPr>
        <w:spacing w:after="0" w:line="23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80" w:type="dxa"/>
            <w:vAlign w:val="bottom"/>
            <w:gridSpan w:val="6"/>
          </w:tcPr>
          <w:p>
            <w:pPr>
              <w:jc w:val="right"/>
              <w:ind w:right="621"/>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8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80" w:type="dxa"/>
            <w:vAlign w:val="bottom"/>
            <w:gridSpan w:val="6"/>
          </w:tcPr>
          <w:p>
            <w:pPr>
              <w:jc w:val="right"/>
              <w:ind w:right="56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680" w:type="dxa"/>
            <w:vAlign w:val="bottom"/>
            <w:gridSpan w:val="2"/>
            <w:vMerge w:val="restart"/>
          </w:tcPr>
          <w:p>
            <w:pPr>
              <w:jc w:val="right"/>
              <w:ind w:right="81"/>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85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ind w:right="54"/>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gridSpan w:val="2"/>
          </w:tcPr>
          <w:p>
            <w:pPr>
              <w:jc w:val="right"/>
              <w:ind w:right="50"/>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32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5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gridSpan w:val="3"/>
          </w:tcPr>
          <w:p>
            <w:pPr>
              <w:jc w:val="right"/>
              <w:ind w:right="101"/>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5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901</w:t>
            </w:r>
          </w:p>
        </w:tc>
        <w:tc>
          <w:tcPr>
            <w:tcW w:w="1100" w:type="dxa"/>
            <w:vAlign w:val="bottom"/>
            <w:gridSpan w:val="3"/>
          </w:tcPr>
          <w:p>
            <w:pPr>
              <w:jc w:val="right"/>
              <w:ind w:right="241"/>
              <w:spacing w:after="0"/>
              <w:rPr>
                <w:sz w:val="20"/>
                <w:szCs w:val="20"/>
                <w:color w:val="auto"/>
              </w:rPr>
            </w:pPr>
            <w:r>
              <w:rPr>
                <w:rFonts w:ascii="Times New Roman" w:cs="Times New Roman" w:eastAsia="Times New Roman" w:hAnsi="Times New Roman"/>
                <w:sz w:val="18"/>
                <w:szCs w:val="18"/>
                <w:color w:val="auto"/>
              </w:rPr>
              <w:t>$ 3,162</w:t>
            </w:r>
          </w:p>
        </w:tc>
        <w:tc>
          <w:tcPr>
            <w:tcW w:w="6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w w:val="99"/>
              </w:rPr>
              <w:t>$ 2,261</w:t>
            </w:r>
          </w:p>
        </w:tc>
        <w:tc>
          <w:tcPr>
            <w:tcW w:w="0" w:type="dxa"/>
            <w:vAlign w:val="bottom"/>
          </w:tcPr>
          <w:p>
            <w:pPr>
              <w:spacing w:after="0"/>
              <w:rPr>
                <w:sz w:val="1"/>
                <w:szCs w:val="1"/>
                <w:color w:val="auto"/>
              </w:rPr>
            </w:pPr>
          </w:p>
        </w:tc>
      </w:tr>
      <w:tr>
        <w:trPr>
          <w:trHeight w:val="216"/>
        </w:trPr>
        <w:tc>
          <w:tcPr>
            <w:tcW w:w="8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449</w:t>
            </w:r>
          </w:p>
        </w:tc>
        <w:tc>
          <w:tcPr>
            <w:tcW w:w="1100" w:type="dxa"/>
            <w:vAlign w:val="bottom"/>
            <w:gridSpan w:val="3"/>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1,136</w:t>
            </w:r>
          </w:p>
        </w:tc>
        <w:tc>
          <w:tcPr>
            <w:tcW w:w="6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687</w:t>
            </w:r>
          </w:p>
        </w:tc>
        <w:tc>
          <w:tcPr>
            <w:tcW w:w="0" w:type="dxa"/>
            <w:vAlign w:val="bottom"/>
          </w:tcPr>
          <w:p>
            <w:pPr>
              <w:spacing w:after="0"/>
              <w:rPr>
                <w:sz w:val="1"/>
                <w:szCs w:val="1"/>
                <w:color w:val="auto"/>
              </w:rPr>
            </w:pPr>
          </w:p>
        </w:tc>
      </w:tr>
      <w:tr>
        <w:trPr>
          <w:trHeight w:val="230"/>
        </w:trPr>
        <w:tc>
          <w:tcPr>
            <w:tcW w:w="85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0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1,350</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4,298</w:t>
            </w:r>
          </w:p>
        </w:tc>
        <w:tc>
          <w:tcPr>
            <w:tcW w:w="320" w:type="dxa"/>
            <w:vAlign w:val="bottom"/>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 before other income (expense) and income taxes</w:t>
            </w:r>
          </w:p>
        </w:tc>
        <w:tc>
          <w:tcPr>
            <w:tcW w:w="10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5"/>
              </w:rPr>
              <w:t>(1,350)</w:t>
            </w:r>
          </w:p>
        </w:tc>
        <w:tc>
          <w:tcPr>
            <w:tcW w:w="1100" w:type="dxa"/>
            <w:vAlign w:val="bottom"/>
            <w:gridSpan w:val="3"/>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(4,298)</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(2,948)</w:t>
            </w:r>
          </w:p>
        </w:tc>
        <w:tc>
          <w:tcPr>
            <w:tcW w:w="0" w:type="dxa"/>
            <w:vAlign w:val="bottom"/>
          </w:tcPr>
          <w:p>
            <w:pPr>
              <w:spacing w:after="0"/>
              <w:rPr>
                <w:sz w:val="1"/>
                <w:szCs w:val="1"/>
                <w:color w:val="auto"/>
              </w:rPr>
            </w:pPr>
          </w:p>
        </w:tc>
      </w:tr>
      <w:tr>
        <w:trPr>
          <w:trHeight w:val="223"/>
        </w:trPr>
        <w:tc>
          <w:tcPr>
            <w:tcW w:w="856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income (expense), net</w:t>
            </w: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(40)</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16"/>
        </w:trPr>
        <w:tc>
          <w:tcPr>
            <w:tcW w:w="8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Loss on extinguishment of convertible notes</w:t>
            </w:r>
          </w:p>
        </w:tc>
        <w:tc>
          <w:tcPr>
            <w:tcW w:w="100" w:type="dxa"/>
            <w:vAlign w:val="bottom"/>
          </w:tcPr>
          <w:p>
            <w:pPr>
              <w:spacing w:after="0"/>
              <w:rPr>
                <w:sz w:val="18"/>
                <w:szCs w:val="18"/>
                <w:color w:val="auto"/>
              </w:rPr>
            </w:pPr>
          </w:p>
        </w:tc>
        <w:tc>
          <w:tcPr>
            <w:tcW w:w="5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tcPr>
          <w:p>
            <w:pPr>
              <w:jc w:val="right"/>
              <w:ind w:right="181"/>
              <w:spacing w:after="0"/>
              <w:rPr>
                <w:sz w:val="20"/>
                <w:szCs w:val="20"/>
                <w:color w:val="auto"/>
              </w:rPr>
            </w:pPr>
            <w:r>
              <w:rPr>
                <w:rFonts w:ascii="Times New Roman" w:cs="Times New Roman" w:eastAsia="Times New Roman" w:hAnsi="Times New Roman"/>
                <w:sz w:val="18"/>
                <w:szCs w:val="18"/>
                <w:color w:val="auto"/>
              </w:rPr>
              <w:t>(255)</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0" w:type="dxa"/>
            <w:vAlign w:val="bottom"/>
          </w:tcPr>
          <w:p>
            <w:pPr>
              <w:spacing w:after="0"/>
              <w:rPr>
                <w:sz w:val="1"/>
                <w:szCs w:val="1"/>
                <w:color w:val="auto"/>
              </w:rPr>
            </w:pPr>
          </w:p>
        </w:tc>
      </w:tr>
      <w:tr>
        <w:trPr>
          <w:trHeight w:val="216"/>
        </w:trPr>
        <w:tc>
          <w:tcPr>
            <w:tcW w:w="8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 in fair value of derivative liabilities</w:t>
            </w:r>
          </w:p>
        </w:tc>
        <w:tc>
          <w:tcPr>
            <w:tcW w:w="10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(76)</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30"/>
        </w:trPr>
        <w:tc>
          <w:tcPr>
            <w:tcW w:w="85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income (expense), net</w:t>
            </w:r>
          </w:p>
        </w:tc>
        <w:tc>
          <w:tcPr>
            <w:tcW w:w="10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320" w:type="dxa"/>
            <w:vAlign w:val="bottom"/>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0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c>
          <w:tcPr>
            <w:tcW w:w="1100" w:type="dxa"/>
            <w:vAlign w:val="bottom"/>
            <w:gridSpan w:val="3"/>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w:t>
            </w:r>
          </w:p>
        </w:tc>
        <w:tc>
          <w:tcPr>
            <w:tcW w:w="6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856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4"/>
              </w:rPr>
              <w:t>(1,319</w:t>
            </w:r>
          </w:p>
        </w:tc>
        <w:tc>
          <w:tcPr>
            <w:tcW w:w="1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(4,670</w:t>
            </w:r>
          </w:p>
        </w:tc>
        <w:tc>
          <w:tcPr>
            <w:tcW w:w="32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(3,351</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8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22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Research and development expenses increased by $2.3 million for the year ended December 31, 2019. The increase was primarily due to</w:t>
      </w:r>
    </w:p>
    <w:p>
      <w:pPr>
        <w:spacing w:after="0" w:line="27" w:lineRule="exact"/>
        <w:rPr>
          <w:sz w:val="20"/>
          <w:szCs w:val="20"/>
          <w:color w:val="auto"/>
        </w:rPr>
      </w:pPr>
    </w:p>
    <w:p>
      <w:pPr>
        <w:ind w:left="120" w:right="660" w:hanging="4"/>
        <w:spacing w:after="0" w:line="255" w:lineRule="auto"/>
        <w:tabs>
          <w:tab w:leader="none" w:pos="335"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one-time upfront payment of $1.0 million for the Eye and Derm Elanco Agreement, (ii) increased payroll and personnel related expenses (including stock-based compensation) of $0.9 million due to additional clinical and formulation development employees to drive our product development initiatives, and (iii) increased clinical study site costs of $0.3 million.</w:t>
      </w:r>
    </w:p>
    <w:p>
      <w:pPr>
        <w:spacing w:after="0" w:line="1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229" w:lineRule="exact"/>
        <w:rPr>
          <w:sz w:val="20"/>
          <w:szCs w:val="20"/>
          <w:color w:val="auto"/>
        </w:rPr>
      </w:pPr>
    </w:p>
    <w:p>
      <w:pPr>
        <w:ind w:left="120" w:right="120" w:firstLine="881"/>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increased by $0.7 million for the year ended December 31, 2019. The increase was primarily due to $0.5 million increase in payroll and personnel-related expenses (including stock-based compensation) for employee additions and $0.2 million increase primarily from legal service costs and market research activities.</w:t>
      </w:r>
    </w:p>
    <w:p>
      <w:pPr>
        <w:spacing w:after="0" w:line="1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Interest Income (Expense), Net</w:t>
      </w:r>
    </w:p>
    <w:p>
      <w:pPr>
        <w:spacing w:after="0" w:line="229" w:lineRule="exact"/>
        <w:rPr>
          <w:sz w:val="20"/>
          <w:szCs w:val="20"/>
          <w:color w:val="auto"/>
        </w:rPr>
      </w:pPr>
    </w:p>
    <w:p>
      <w:pPr>
        <w:jc w:val="both"/>
        <w:ind w:left="120" w:right="100" w:firstLine="881"/>
        <w:spacing w:after="0" w:line="266" w:lineRule="auto"/>
        <w:rPr>
          <w:sz w:val="20"/>
          <w:szCs w:val="20"/>
          <w:color w:val="auto"/>
        </w:rPr>
      </w:pPr>
      <w:r>
        <w:rPr>
          <w:rFonts w:ascii="Times New Roman" w:cs="Times New Roman" w:eastAsia="Times New Roman" w:hAnsi="Times New Roman"/>
          <w:sz w:val="18"/>
          <w:szCs w:val="18"/>
          <w:color w:val="auto"/>
        </w:rPr>
        <w:t>The change in interest income (expense), net was primarily due to convertible promissory notes issued to our co-founders and certain other related parties, aggregating $2.0 million in principal value (see below). During the year ended December 31, 2019 interest expense recognized for these notes was $0.1 million and was partially offset by interest income on our cash and cash equivalents.</w:t>
      </w:r>
    </w:p>
    <w:p>
      <w:pPr>
        <w:spacing w:after="0" w:line="1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Change in Fair Value of Derivative Liabilities</w:t>
      </w:r>
    </w:p>
    <w:p>
      <w:pPr>
        <w:spacing w:after="0" w:line="229" w:lineRule="exact"/>
        <w:rPr>
          <w:sz w:val="20"/>
          <w:szCs w:val="20"/>
          <w:color w:val="auto"/>
        </w:rPr>
      </w:pPr>
    </w:p>
    <w:p>
      <w:pPr>
        <w:ind w:left="120" w:right="620" w:firstLine="881"/>
        <w:spacing w:after="0" w:line="282" w:lineRule="auto"/>
        <w:rPr>
          <w:sz w:val="20"/>
          <w:szCs w:val="20"/>
          <w:color w:val="auto"/>
        </w:rPr>
      </w:pPr>
      <w:r>
        <w:rPr>
          <w:rFonts w:ascii="Times New Roman" w:cs="Times New Roman" w:eastAsia="Times New Roman" w:hAnsi="Times New Roman"/>
          <w:sz w:val="18"/>
          <w:szCs w:val="18"/>
          <w:color w:val="auto"/>
        </w:rPr>
        <w:t>During May, August, and October 2019, we issued convertible promissory notes to our co-founders and certain other related parties, aggregating $2.0 million in principal value. These notes contained stock-settled</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-105-</w:t>
      </w:r>
    </w:p>
    <w:p>
      <w:pPr>
        <w:sectPr>
          <w:pgSz w:w="11900" w:h="16838" w:orient="portrait"/>
          <w:cols w:equalWidth="0" w:num="1">
            <w:col w:w="11140"/>
          </w:cols>
          <w:pgMar w:left="320" w:top="455" w:right="439" w:bottom="1440" w:gutter="0" w:footer="0" w:header="0"/>
        </w:sectPr>
      </w:pPr>
    </w:p>
    <w:bookmarkStart w:id="108" w:name="page109"/>
    <w:bookmarkEnd w:id="10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56" w:lineRule="auto"/>
        <w:rPr>
          <w:sz w:val="20"/>
          <w:szCs w:val="20"/>
          <w:color w:val="auto"/>
        </w:rPr>
      </w:pPr>
      <w:r>
        <w:rPr>
          <w:rFonts w:ascii="Times New Roman" w:cs="Times New Roman" w:eastAsia="Times New Roman" w:hAnsi="Times New Roman"/>
          <w:sz w:val="18"/>
          <w:szCs w:val="18"/>
          <w:color w:val="auto"/>
        </w:rPr>
        <w:t>redemption features that were required to be separately accounted for as derivative liabilities on the balance sheet until December 13, 2019 when we completed a qualified equity financing and these then-outstanding notes converted at the option of the holder into 2.0 million shares of Series B Preferred Stock. Change in fair value of derivative liabilities consists of non-cash changes in the fair value of these stock-settled redemption features. We classified the rights as a derivative liability on our balance sheet that was initially recorded at fair value and that we remeasured to fair value at December 13, 2019, and we recognized changes in the fair value of the derivative associated with the rights as a component of other income (expense) in our statement of operations.</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Loss on Extinguishment of Convertible Notes</w:t>
      </w:r>
    </w:p>
    <w:p>
      <w:pPr>
        <w:spacing w:after="0" w:line="229" w:lineRule="exact"/>
        <w:rPr>
          <w:sz w:val="20"/>
          <w:szCs w:val="20"/>
          <w:color w:val="auto"/>
        </w:rPr>
      </w:pPr>
    </w:p>
    <w:p>
      <w:pPr>
        <w:ind w:left="120" w:right="60" w:firstLine="881"/>
        <w:spacing w:after="0" w:line="266" w:lineRule="auto"/>
        <w:rPr>
          <w:sz w:val="20"/>
          <w:szCs w:val="20"/>
          <w:color w:val="auto"/>
        </w:rPr>
      </w:pPr>
      <w:r>
        <w:rPr>
          <w:rFonts w:ascii="Times New Roman" w:cs="Times New Roman" w:eastAsia="Times New Roman" w:hAnsi="Times New Roman"/>
          <w:sz w:val="18"/>
          <w:szCs w:val="18"/>
          <w:color w:val="auto"/>
        </w:rPr>
        <w:t>The loss on extinguishment of convertible notes was due to the extinguishment of convertible promissory notes issued to our co-founders and certain other related parties, aggregating $2.0 million in principal value (see below). On December 13, 2019 we completed the issuance of Series B Preferred Stock upon which the then-outstanding notes, along with accrued interest, converted into 2.0 million shares of Series B Preferred Stock.</w:t>
      </w:r>
    </w:p>
    <w:p>
      <w:pPr>
        <w:spacing w:after="0" w:line="1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229" w:lineRule="exact"/>
        <w:rPr>
          <w:sz w:val="20"/>
          <w:szCs w:val="20"/>
          <w:color w:val="auto"/>
        </w:rPr>
      </w:pPr>
    </w:p>
    <w:p>
      <w:pPr>
        <w:ind w:left="120" w:right="40" w:firstLine="881"/>
        <w:spacing w:after="0" w:line="256" w:lineRule="auto"/>
        <w:rPr>
          <w:sz w:val="20"/>
          <w:szCs w:val="20"/>
          <w:color w:val="auto"/>
        </w:rPr>
      </w:pPr>
      <w:r>
        <w:rPr>
          <w:rFonts w:ascii="Times New Roman" w:cs="Times New Roman" w:eastAsia="Times New Roman" w:hAnsi="Times New Roman"/>
          <w:sz w:val="18"/>
          <w:szCs w:val="18"/>
          <w:color w:val="auto"/>
        </w:rPr>
        <w:t>Since our inception in 2016 through June 30, 2020, our operations have been substantially financed by net cash proceeds of $61.0 million from private placements of Series A and Series B preferred stock. In September 2020, we issued 21,221,280 shares of our Series C preferred stock for gross cash proceeds of $40.0 million. We will continue to be dependent upon equity, debt financing, and/or other forms of capital raises at least until we are able to generate significant positive cash flows from our operations. As of June 30, 2020, we had cash and cash equivalents of $53.1 million, which does not include the $40.0 million gross cash proceeds we received in September 2020 from selling shares of our Series C preferred stock. We have no ongoing material financing commitments, such as lines of credit or guarantees, that are expected to affect our liquidity over the next five years.</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Funding Requirements</w:t>
      </w:r>
    </w:p>
    <w:p>
      <w:pPr>
        <w:spacing w:after="0" w:line="229" w:lineRule="exact"/>
        <w:rPr>
          <w:sz w:val="20"/>
          <w:szCs w:val="20"/>
          <w:color w:val="auto"/>
        </w:rPr>
      </w:pPr>
    </w:p>
    <w:p>
      <w:pPr>
        <w:jc w:val="both"/>
        <w:ind w:left="120" w:right="20" w:firstLine="881"/>
        <w:spacing w:after="0" w:line="266" w:lineRule="auto"/>
        <w:rPr>
          <w:sz w:val="20"/>
          <w:szCs w:val="20"/>
          <w:color w:val="auto"/>
        </w:rPr>
      </w:pPr>
      <w:r>
        <w:rPr>
          <w:rFonts w:ascii="Times New Roman" w:cs="Times New Roman" w:eastAsia="Times New Roman" w:hAnsi="Times New Roman"/>
          <w:sz w:val="18"/>
          <w:szCs w:val="18"/>
          <w:color w:val="auto"/>
        </w:rPr>
        <w:t>Our primary use of cash is to fund operating expenditures, consisting of research and development expenses (including activities within our pre-clinical, clinical, regulatory, and drug manufacturing initiatives) and general and administrative expenses. Our use of cash is impacted by the timing and extent of the required payments for each of these activities.</w:t>
      </w:r>
    </w:p>
    <w:p>
      <w:pPr>
        <w:spacing w:after="0" w:line="176" w:lineRule="exact"/>
        <w:rPr>
          <w:sz w:val="20"/>
          <w:szCs w:val="20"/>
          <w:color w:val="auto"/>
        </w:rPr>
      </w:pPr>
    </w:p>
    <w:p>
      <w:pPr>
        <w:jc w:val="both"/>
        <w:ind w:left="120" w:right="160" w:firstLine="881"/>
        <w:spacing w:after="0" w:line="289" w:lineRule="auto"/>
        <w:rPr>
          <w:sz w:val="20"/>
          <w:szCs w:val="20"/>
          <w:color w:val="auto"/>
        </w:rPr>
      </w:pPr>
      <w:r>
        <w:rPr>
          <w:rFonts w:ascii="Times New Roman" w:cs="Times New Roman" w:eastAsia="Times New Roman" w:hAnsi="Times New Roman"/>
          <w:sz w:val="17"/>
          <w:szCs w:val="17"/>
          <w:color w:val="auto"/>
        </w:rPr>
        <w:t>We believe that the net proceeds from this offering, in combination with our existing cash and cash equivalents, will enable us to fund our operating expenses and capital expenditure requirements into 20 . We have based these estimates on our current assumptions that may require future adjustments based on our ongoing business decisions. Accordingly, we may require additional capital resources earlier than we currently expect.</w:t>
      </w:r>
    </w:p>
    <w:p>
      <w:pPr>
        <w:spacing w:after="0" w:line="158" w:lineRule="exact"/>
        <w:rPr>
          <w:sz w:val="20"/>
          <w:szCs w:val="20"/>
          <w:color w:val="auto"/>
        </w:rPr>
      </w:pPr>
    </w:p>
    <w:p>
      <w:pPr>
        <w:ind w:left="120" w:firstLine="881"/>
        <w:spacing w:after="0" w:line="255" w:lineRule="auto"/>
        <w:rPr>
          <w:sz w:val="20"/>
          <w:szCs w:val="20"/>
          <w:color w:val="auto"/>
        </w:rPr>
      </w:pPr>
      <w:r>
        <w:rPr>
          <w:rFonts w:ascii="Times New Roman" w:cs="Times New Roman" w:eastAsia="Times New Roman" w:hAnsi="Times New Roman"/>
          <w:sz w:val="18"/>
          <w:szCs w:val="18"/>
          <w:color w:val="auto"/>
        </w:rPr>
        <w:t>To date, we have not generated any revenue. We do not expect to generate any product revenue unless and until we (1) complete development of any of our product candidates; (2) obtain applicable regulatory approvals; and (3) successfully commercialize or enter into collaborative agreements for our product candidates. We do not know with certainty when, or if, any of these items will ultimately occur. We expect to incur continuing significant losses for the foreseeable future and our losses to increase as we ramp up our clinical development programs and begin activities related to commercial launch readiness. We may encounter unforeseen expenses, difficulties, complications, delays and other currently unknown factors that could adversely affect our business. Moreover, following the completion of this offering, we will incur material incremental costs in operating as a publicly traded company.</w:t>
      </w:r>
    </w:p>
    <w:p>
      <w:pPr>
        <w:spacing w:after="0" w:line="12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-106-</w:t>
      </w:r>
    </w:p>
    <w:p>
      <w:pPr>
        <w:sectPr>
          <w:pgSz w:w="11900" w:h="16838" w:orient="portrait"/>
          <w:cols w:equalWidth="0" w:num="1">
            <w:col w:w="11080"/>
          </w:cols>
          <w:pgMar w:left="320" w:top="455" w:right="499" w:bottom="1440" w:gutter="0" w:footer="0" w:header="0"/>
        </w:sectPr>
      </w:pPr>
    </w:p>
    <w:bookmarkStart w:id="109" w:name="page110"/>
    <w:bookmarkEnd w:id="10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60" w:firstLine="881"/>
        <w:spacing w:after="0" w:line="282" w:lineRule="auto"/>
        <w:rPr>
          <w:sz w:val="20"/>
          <w:szCs w:val="20"/>
          <w:color w:val="auto"/>
        </w:rPr>
      </w:pPr>
      <w:r>
        <w:rPr>
          <w:rFonts w:ascii="Times New Roman" w:cs="Times New Roman" w:eastAsia="Times New Roman" w:hAnsi="Times New Roman"/>
          <w:sz w:val="18"/>
          <w:szCs w:val="18"/>
          <w:color w:val="auto"/>
        </w:rPr>
        <w:t>We will require additional capital to develop our product candidates and fund our operations into the foreseeable future. We anticipate that we will eventually need to raise substantial additional capital, the requirements for which will depend on many factors, including:</w:t>
      </w:r>
    </w:p>
    <w:p>
      <w:pPr>
        <w:spacing w:after="0" w:line="189" w:lineRule="exact"/>
        <w:rPr>
          <w:sz w:val="20"/>
          <w:szCs w:val="20"/>
          <w:color w:val="auto"/>
        </w:rPr>
      </w:pPr>
    </w:p>
    <w:p>
      <w:pPr>
        <w:ind w:left="1420" w:right="260" w:hanging="319"/>
        <w:spacing w:after="0" w:line="282" w:lineRule="auto"/>
        <w:tabs>
          <w:tab w:leader="none" w:pos="142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timing, rate of progress and costs of our drug discovery efforts, preclinical development activities, laboratory testing and clinical trials for our product candidates;</w:t>
      </w:r>
    </w:p>
    <w:p>
      <w:pPr>
        <w:spacing w:after="0" w:line="188"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scope of clinical programs we decide to pursue;</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timing and outcome of preparing for and undergoing regulatory review of our product candidates;</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and costs of development and commercial manufacturing activities;</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timing associated with commercializing our product candidates, if they receive marketing approval;</w:t>
      </w:r>
    </w:p>
    <w:p>
      <w:pPr>
        <w:spacing w:after="0" w:line="252" w:lineRule="exact"/>
        <w:rPr>
          <w:rFonts w:ascii="Times New Roman" w:cs="Times New Roman" w:eastAsia="Times New Roman" w:hAnsi="Times New Roman"/>
          <w:sz w:val="18"/>
          <w:szCs w:val="18"/>
          <w:color w:val="auto"/>
        </w:rPr>
      </w:pPr>
    </w:p>
    <w:p>
      <w:pPr>
        <w:ind w:left="1420" w:hanging="319"/>
        <w:spacing w:after="0" w:line="282" w:lineRule="auto"/>
        <w:tabs>
          <w:tab w:leader="none" w:pos="142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revenue, if any, received from commercial sales of our product candidates, should any of our product candidates receive marketing approval;</w:t>
      </w:r>
    </w:p>
    <w:p>
      <w:pPr>
        <w:spacing w:after="0" w:line="188" w:lineRule="exact"/>
        <w:rPr>
          <w:rFonts w:ascii="Times New Roman" w:cs="Times New Roman" w:eastAsia="Times New Roman" w:hAnsi="Times New Roman"/>
          <w:sz w:val="18"/>
          <w:szCs w:val="18"/>
          <w:color w:val="auto"/>
        </w:rPr>
      </w:pPr>
    </w:p>
    <w:p>
      <w:pPr>
        <w:ind w:left="1420" w:right="380" w:hanging="319"/>
        <w:spacing w:after="0" w:line="282" w:lineRule="auto"/>
        <w:tabs>
          <w:tab w:leader="none" w:pos="142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achievement of milestones or occurrence of other developments that trigger payments under any collaboration agreements we might have at such time;</w:t>
      </w:r>
    </w:p>
    <w:p>
      <w:pPr>
        <w:spacing w:after="0" w:line="188"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acquire or in-license other product candidates and technologies;</w:t>
      </w:r>
    </w:p>
    <w:p>
      <w:pPr>
        <w:spacing w:after="0" w:line="252" w:lineRule="exact"/>
        <w:rPr>
          <w:rFonts w:ascii="Times New Roman" w:cs="Times New Roman" w:eastAsia="Times New Roman" w:hAnsi="Times New Roman"/>
          <w:sz w:val="18"/>
          <w:szCs w:val="18"/>
          <w:color w:val="auto"/>
        </w:rPr>
      </w:pPr>
    </w:p>
    <w:p>
      <w:pPr>
        <w:ind w:left="1420" w:right="540" w:hanging="319"/>
        <w:spacing w:after="0" w:line="282" w:lineRule="auto"/>
        <w:tabs>
          <w:tab w:leader="none" w:pos="142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preparing, filing and prosecuting patent applications, maintaining and enforcing our intellectual property rights and defending intellectual property-related claims;</w:t>
      </w:r>
    </w:p>
    <w:p>
      <w:pPr>
        <w:spacing w:after="0" w:line="188"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collaborations on favorable terms, if at all;</w:t>
      </w:r>
    </w:p>
    <w:p>
      <w:pPr>
        <w:spacing w:after="0" w:line="252" w:lineRule="exact"/>
        <w:rPr>
          <w:rFonts w:ascii="Times New Roman" w:cs="Times New Roman" w:eastAsia="Times New Roman" w:hAnsi="Times New Roman"/>
          <w:sz w:val="18"/>
          <w:szCs w:val="18"/>
          <w:color w:val="auto"/>
        </w:rPr>
      </w:pPr>
    </w:p>
    <w:p>
      <w:pPr>
        <w:ind w:left="1420" w:right="40" w:hanging="319"/>
        <w:spacing w:after="0" w:line="282" w:lineRule="auto"/>
        <w:tabs>
          <w:tab w:leader="none" w:pos="142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efforts to enhance operational systems and our ability to attract, hire and retain qualified personnel, including personnel to support the development of our product candidates and, ultimately, the sale of our products, following FDA approval;</w:t>
      </w:r>
    </w:p>
    <w:p>
      <w:pPr>
        <w:spacing w:after="0" w:line="188"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implementation of various computerized information systems;</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 of COVID-19 on our clinical development or operations; and</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being a public company.</w:t>
      </w:r>
    </w:p>
    <w:p>
      <w:pPr>
        <w:spacing w:after="0" w:line="225" w:lineRule="exact"/>
        <w:rPr>
          <w:sz w:val="20"/>
          <w:szCs w:val="20"/>
          <w:color w:val="auto"/>
        </w:rPr>
      </w:pPr>
    </w:p>
    <w:p>
      <w:pPr>
        <w:ind w:left="120" w:firstLine="881"/>
        <w:spacing w:after="0" w:line="255" w:lineRule="auto"/>
        <w:rPr>
          <w:sz w:val="20"/>
          <w:szCs w:val="20"/>
          <w:color w:val="auto"/>
        </w:rPr>
      </w:pPr>
      <w:r>
        <w:rPr>
          <w:rFonts w:ascii="Times New Roman" w:cs="Times New Roman" w:eastAsia="Times New Roman" w:hAnsi="Times New Roman"/>
          <w:sz w:val="18"/>
          <w:szCs w:val="18"/>
          <w:color w:val="auto"/>
        </w:rPr>
        <w:t>A change in the outcome of any of these or other variables with respect to the development of any of our product candidates could significantly change the costs and timing associated with the development of that product candidate. Furthermore, our operating plans may change in the future, and we will continue to require additional capital to meet operational needs and capital requirements associated with such operating plans. If we raise additional funds by issuing equity securities, our stockholders may experience dilution. Any future debt financing into which we enter may impose upon us additional covenants that restrict our operations, including limitations on our ability to incur liens or additional debt, pay dividends, repurchase our common stock, make certain investments or engage in certain merger, consolidation or asset sale transactions. Any debt financing or additional equity that we raise may contain terms that are not favorable to us or our stockholders.</w:t>
      </w:r>
    </w:p>
    <w:p>
      <w:pPr>
        <w:spacing w:after="0" w:line="189" w:lineRule="exact"/>
        <w:rPr>
          <w:sz w:val="20"/>
          <w:szCs w:val="20"/>
          <w:color w:val="auto"/>
        </w:rPr>
      </w:pPr>
    </w:p>
    <w:p>
      <w:pPr>
        <w:ind w:left="120" w:right="100" w:firstLine="881"/>
        <w:spacing w:after="0" w:line="282" w:lineRule="auto"/>
        <w:rPr>
          <w:sz w:val="20"/>
          <w:szCs w:val="20"/>
          <w:color w:val="auto"/>
        </w:rPr>
      </w:pPr>
      <w:r>
        <w:rPr>
          <w:rFonts w:ascii="Times New Roman" w:cs="Times New Roman" w:eastAsia="Times New Roman" w:hAnsi="Times New Roman"/>
          <w:sz w:val="18"/>
          <w:szCs w:val="18"/>
          <w:color w:val="auto"/>
        </w:rPr>
        <w:t>Adequate funding may not be available to us on acceptable terms or at all. Our potential inability to raise capital when needed could have a negative impact on our financial condition and our ability to pursue our</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-107-</w:t>
      </w:r>
    </w:p>
    <w:p>
      <w:pPr>
        <w:sectPr>
          <w:pgSz w:w="11900" w:h="16838" w:orient="portrait"/>
          <w:cols w:equalWidth="0" w:num="1">
            <w:col w:w="11120"/>
          </w:cols>
          <w:pgMar w:left="320" w:top="455" w:right="459" w:bottom="1440" w:gutter="0" w:footer="0" w:header="0"/>
        </w:sectPr>
      </w:pPr>
    </w:p>
    <w:bookmarkStart w:id="110" w:name="page111"/>
    <w:bookmarkEnd w:id="1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business strategies. If we are unable to raise additional funds as required, we may need to delay, reduce, or terminate some or all development programs and clinical trials. We may also be required to sell or license our rights to product candidates in certain territories or indications that we would otherwise prefer to develop and commercialize ourselves. If we are required to enter into collaborations and other arrangements to address our liquidity needs, we may have to give up certain rights that limit our ability to develop and commercialize our product candidates or may have other terms that are not favorable to us or our stockholders, which could materially and adversely affect our business and financial prospects. See the section of this prospectus titled “Risk Factors” for additional risks associated with our substantial capital requirements.</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Convertible Notes</w:t>
      </w:r>
    </w:p>
    <w:p>
      <w:pPr>
        <w:spacing w:after="0" w:line="229" w:lineRule="exact"/>
        <w:rPr>
          <w:sz w:val="20"/>
          <w:szCs w:val="20"/>
          <w:color w:val="auto"/>
        </w:rPr>
      </w:pPr>
    </w:p>
    <w:p>
      <w:pPr>
        <w:ind w:left="120" w:right="180" w:firstLine="881"/>
        <w:spacing w:after="0" w:line="282" w:lineRule="auto"/>
        <w:rPr>
          <w:sz w:val="20"/>
          <w:szCs w:val="20"/>
          <w:color w:val="auto"/>
        </w:rPr>
      </w:pPr>
      <w:r>
        <w:rPr>
          <w:rFonts w:ascii="Times New Roman" w:cs="Times New Roman" w:eastAsia="Times New Roman" w:hAnsi="Times New Roman"/>
          <w:sz w:val="18"/>
          <w:szCs w:val="18"/>
          <w:color w:val="auto"/>
        </w:rPr>
        <w:t>From May 2019 through October 2019, we issued convertible promissory notes with an aggregate principal amount of $2.0 million. These notes were fully converted into an aggregate of 1,991,052 shares of Series B Preferred Stock in December 2019.</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Summary Statement of Cash Flows</w:t>
      </w:r>
    </w:p>
    <w:p>
      <w:pPr>
        <w:spacing w:after="0" w:line="22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The following table sets forth the primary sources and uses of cash, cash equivalents and restricted cash for each of the periods presented</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below:</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640" w:type="dxa"/>
            <w:vAlign w:val="bottom"/>
          </w:tcPr>
          <w:p>
            <w:pPr>
              <w:spacing w:after="0"/>
              <w:rPr>
                <w:sz w:val="13"/>
                <w:szCs w:val="13"/>
                <w:color w:val="auto"/>
              </w:rPr>
            </w:pPr>
          </w:p>
        </w:tc>
        <w:tc>
          <w:tcPr>
            <w:tcW w:w="1800" w:type="dxa"/>
            <w:vAlign w:val="bottom"/>
            <w:gridSpan w:val="4"/>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580" w:type="dxa"/>
            <w:vAlign w:val="bottom"/>
            <w:gridSpan w:val="4"/>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73"/>
        </w:trPr>
        <w:tc>
          <w:tcPr>
            <w:tcW w:w="7640" w:type="dxa"/>
            <w:vAlign w:val="bottom"/>
          </w:tcPr>
          <w:p>
            <w:pPr>
              <w:spacing w:after="0"/>
              <w:rPr>
                <w:sz w:val="15"/>
                <w:szCs w:val="15"/>
                <w:color w:val="auto"/>
              </w:rPr>
            </w:pPr>
          </w:p>
        </w:tc>
        <w:tc>
          <w:tcPr>
            <w:tcW w:w="1800" w:type="dxa"/>
            <w:vAlign w:val="bottom"/>
            <w:gridSpan w:val="4"/>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580" w:type="dxa"/>
            <w:vAlign w:val="bottom"/>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June 30,</w:t>
            </w:r>
          </w:p>
        </w:tc>
      </w:tr>
      <w:tr>
        <w:trPr>
          <w:trHeight w:val="142"/>
        </w:trPr>
        <w:tc>
          <w:tcPr>
            <w:tcW w:w="7640" w:type="dxa"/>
            <w:vAlign w:val="bottom"/>
          </w:tcPr>
          <w:p>
            <w:pPr>
              <w:spacing w:after="0"/>
              <w:rPr>
                <w:sz w:val="12"/>
                <w:szCs w:val="12"/>
                <w:color w:val="auto"/>
              </w:rPr>
            </w:pPr>
          </w:p>
        </w:tc>
        <w:tc>
          <w:tcPr>
            <w:tcW w:w="560" w:type="dxa"/>
            <w:vAlign w:val="bottom"/>
            <w:tcBorders>
              <w:top w:val="single" w:sz="8" w:color="auto"/>
              <w:bottom w:val="single" w:sz="8" w:color="auto"/>
            </w:tcBorders>
          </w:tcPr>
          <w:p>
            <w:pPr>
              <w:jc w:val="right"/>
              <w:ind w:right="59"/>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32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74"/>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32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ind w:right="59"/>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32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54"/>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Pr>
          <w:p>
            <w:pPr>
              <w:spacing w:after="0"/>
              <w:rPr>
                <w:sz w:val="12"/>
                <w:szCs w:val="12"/>
                <w:color w:val="auto"/>
              </w:rPr>
            </w:pPr>
          </w:p>
        </w:tc>
      </w:tr>
      <w:tr>
        <w:trPr>
          <w:trHeight w:val="142"/>
        </w:trPr>
        <w:tc>
          <w:tcPr>
            <w:tcW w:w="7640" w:type="dxa"/>
            <w:vAlign w:val="bottom"/>
          </w:tcPr>
          <w:p>
            <w:pPr>
              <w:spacing w:after="0"/>
              <w:rPr>
                <w:sz w:val="12"/>
                <w:szCs w:val="12"/>
                <w:color w:val="auto"/>
              </w:rPr>
            </w:pPr>
          </w:p>
        </w:tc>
        <w:tc>
          <w:tcPr>
            <w:tcW w:w="1480" w:type="dxa"/>
            <w:vAlign w:val="bottom"/>
            <w:gridSpan w:val="3"/>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320" w:type="dxa"/>
            <w:vAlign w:val="bottom"/>
          </w:tcPr>
          <w:p>
            <w:pPr>
              <w:spacing w:after="0"/>
              <w:rPr>
                <w:sz w:val="12"/>
                <w:szCs w:val="12"/>
                <w:color w:val="auto"/>
              </w:rPr>
            </w:pPr>
          </w:p>
        </w:tc>
        <w:tc>
          <w:tcPr>
            <w:tcW w:w="1460" w:type="dxa"/>
            <w:vAlign w:val="bottom"/>
            <w:gridSpan w:val="3"/>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12"/>
                <w:szCs w:val="12"/>
                <w:color w:val="auto"/>
              </w:rPr>
            </w:pPr>
          </w:p>
        </w:tc>
      </w:tr>
      <w:tr>
        <w:trPr>
          <w:trHeight w:val="216"/>
        </w:trPr>
        <w:tc>
          <w:tcPr>
            <w:tcW w:w="7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provided by:</w:t>
            </w: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activities</w:t>
            </w: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97"/>
              </w:rPr>
              <w:t>$(1,183)</w:t>
            </w: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96"/>
              </w:rPr>
              <w:t>$ (3,673)</w:t>
            </w:r>
          </w:p>
        </w:tc>
        <w:tc>
          <w:tcPr>
            <w:tcW w:w="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$(2,297)</w:t>
            </w: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7"/>
              </w:rPr>
              <w:t>$(4,553)</w:t>
            </w:r>
          </w:p>
        </w:tc>
      </w:tr>
      <w:tr>
        <w:trPr>
          <w:trHeight w:val="216"/>
        </w:trPr>
        <w:tc>
          <w:tcPr>
            <w:tcW w:w="7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Investing activities</w:t>
            </w: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w:t>
            </w: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(175)</w:t>
            </w: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(145)</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(371)</w:t>
            </w:r>
          </w:p>
        </w:tc>
      </w:tr>
      <w:tr>
        <w:trPr>
          <w:trHeight w:val="216"/>
        </w:trPr>
        <w:tc>
          <w:tcPr>
            <w:tcW w:w="7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Financing activities</w:t>
            </w: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3,564</w:t>
            </w: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59,445</w:t>
            </w: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500</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107</w:t>
            </w:r>
          </w:p>
        </w:tc>
      </w:tr>
      <w:tr>
        <w:trPr>
          <w:trHeight w:val="27"/>
        </w:trPr>
        <w:tc>
          <w:tcPr>
            <w:tcW w:w="76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7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increase in cash, cash equivalents and restricted cash</w:t>
            </w:r>
          </w:p>
        </w:tc>
        <w:tc>
          <w:tcPr>
            <w:tcW w:w="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w w:val="99"/>
              </w:rPr>
              <w:t>$ 2,374</w:t>
            </w:r>
          </w:p>
        </w:tc>
        <w:tc>
          <w:tcPr>
            <w:tcW w:w="9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55,597</w:t>
            </w: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(1,942)</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(4,817)</w:t>
            </w:r>
          </w:p>
        </w:tc>
      </w:tr>
      <w:tr>
        <w:trPr>
          <w:trHeight w:val="20"/>
        </w:trPr>
        <w:tc>
          <w:tcPr>
            <w:tcW w:w="76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i w:val="1"/>
          <w:iCs w:val="1"/>
          <w:color w:val="auto"/>
        </w:rPr>
        <w:t>Net Cash Used in Operating Activities</w:t>
      </w:r>
    </w:p>
    <w:p>
      <w:pPr>
        <w:spacing w:after="0" w:line="227" w:lineRule="exact"/>
        <w:rPr>
          <w:sz w:val="20"/>
          <w:szCs w:val="20"/>
          <w:color w:val="auto"/>
        </w:rPr>
      </w:pPr>
    </w:p>
    <w:p>
      <w:pPr>
        <w:ind w:left="120" w:right="360" w:firstLine="881"/>
        <w:spacing w:after="0" w:line="282" w:lineRule="auto"/>
        <w:rPr>
          <w:sz w:val="20"/>
          <w:szCs w:val="20"/>
          <w:color w:val="auto"/>
        </w:rPr>
      </w:pPr>
      <w:r>
        <w:rPr>
          <w:rFonts w:ascii="Times New Roman" w:cs="Times New Roman" w:eastAsia="Times New Roman" w:hAnsi="Times New Roman"/>
          <w:sz w:val="18"/>
          <w:szCs w:val="18"/>
          <w:color w:val="auto"/>
        </w:rPr>
        <w:t>Net cash used in operating activities was $1.2 million for the year ended December 31, 2018, which was primarily due to our net loss of $1.3 million, partially offset by an increase in accrued liabilities of $0.1 million associated with clinical and manufacturing activities.</w:t>
      </w:r>
    </w:p>
    <w:p>
      <w:pPr>
        <w:spacing w:after="0" w:line="162" w:lineRule="exact"/>
        <w:rPr>
          <w:sz w:val="20"/>
          <w:szCs w:val="20"/>
          <w:color w:val="auto"/>
        </w:rPr>
      </w:pPr>
    </w:p>
    <w:p>
      <w:pPr>
        <w:ind w:left="120" w:right="40" w:firstLine="881"/>
        <w:spacing w:after="0" w:line="266" w:lineRule="auto"/>
        <w:rPr>
          <w:sz w:val="20"/>
          <w:szCs w:val="20"/>
          <w:color w:val="auto"/>
        </w:rPr>
      </w:pPr>
      <w:r>
        <w:rPr>
          <w:rFonts w:ascii="Times New Roman" w:cs="Times New Roman" w:eastAsia="Times New Roman" w:hAnsi="Times New Roman"/>
          <w:sz w:val="18"/>
          <w:szCs w:val="18"/>
          <w:color w:val="auto"/>
        </w:rPr>
        <w:t>Net cash used in operating activities was $3.7 million for the year ended December 31, 2019, which primarily consisted of our net loss of $4.7 million, partially offset by non-cash items totaling $0.5 million and a net increase in liabilities of $0.5 million associated with accounts payable and accrued bonuses.</w:t>
      </w:r>
    </w:p>
    <w:p>
      <w:pPr>
        <w:spacing w:after="0" w:line="176" w:lineRule="exact"/>
        <w:rPr>
          <w:sz w:val="20"/>
          <w:szCs w:val="20"/>
          <w:color w:val="auto"/>
        </w:rPr>
      </w:pPr>
    </w:p>
    <w:p>
      <w:pPr>
        <w:ind w:left="120" w:right="200" w:firstLine="881"/>
        <w:spacing w:after="0" w:line="282" w:lineRule="auto"/>
        <w:rPr>
          <w:sz w:val="20"/>
          <w:szCs w:val="20"/>
          <w:color w:val="auto"/>
        </w:rPr>
      </w:pPr>
      <w:r>
        <w:rPr>
          <w:rFonts w:ascii="Times New Roman" w:cs="Times New Roman" w:eastAsia="Times New Roman" w:hAnsi="Times New Roman"/>
          <w:sz w:val="18"/>
          <w:szCs w:val="18"/>
          <w:color w:val="auto"/>
        </w:rPr>
        <w:t>Net cash used in operating activities was $2.3 million for the six months ended June 30, 2019, which primarily consisted of our net loss of $2.6 million, partially offset by a net increase in liabilities of $0.2 million associated with accounts payable and other accrued liabilities.</w:t>
      </w:r>
    </w:p>
    <w:p>
      <w:pPr>
        <w:spacing w:after="0" w:line="162" w:lineRule="exact"/>
        <w:rPr>
          <w:sz w:val="20"/>
          <w:szCs w:val="20"/>
          <w:color w:val="auto"/>
        </w:rPr>
      </w:pPr>
    </w:p>
    <w:p>
      <w:pPr>
        <w:ind w:left="120" w:right="40" w:firstLine="881"/>
        <w:spacing w:after="0" w:line="266" w:lineRule="auto"/>
        <w:rPr>
          <w:sz w:val="20"/>
          <w:szCs w:val="20"/>
          <w:color w:val="auto"/>
        </w:rPr>
      </w:pPr>
      <w:r>
        <w:rPr>
          <w:rFonts w:ascii="Times New Roman" w:cs="Times New Roman" w:eastAsia="Times New Roman" w:hAnsi="Times New Roman"/>
          <w:sz w:val="18"/>
          <w:szCs w:val="18"/>
          <w:color w:val="auto"/>
        </w:rPr>
        <w:t>Net cash used in operating activities was $4.6 million for the six months ended June 30, 2020, which primarily consisted of our net loss of $5.2 million, partially offset by non-cash items totaling $0.2 million and a net increase in liabilities of $0.4 million associated with accounts payable and other accrued liabilities.</w:t>
      </w:r>
    </w:p>
    <w:p>
      <w:pPr>
        <w:spacing w:after="0" w:line="174"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i w:val="1"/>
          <w:iCs w:val="1"/>
          <w:color w:val="auto"/>
        </w:rPr>
        <w:t>Net Cash Used in Investing Activities</w:t>
      </w:r>
    </w:p>
    <w:p>
      <w:pPr>
        <w:spacing w:after="0" w:line="22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Net cash used in investing activities was $7 thousand for the year ended December 31, 2018, which consisted of property and equipment</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purchases.</w:t>
      </w:r>
    </w:p>
    <w:p>
      <w:pPr>
        <w:spacing w:after="0" w:line="13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-108-</w:t>
      </w:r>
    </w:p>
    <w:p>
      <w:pPr>
        <w:sectPr>
          <w:pgSz w:w="11900" w:h="16838" w:orient="portrait"/>
          <w:cols w:equalWidth="0" w:num="1">
            <w:col w:w="11140"/>
          </w:cols>
          <w:pgMar w:left="320" w:top="455" w:right="439" w:bottom="1440" w:gutter="0" w:footer="0" w:header="0"/>
        </w:sectPr>
      </w:pPr>
    </w:p>
    <w:bookmarkStart w:id="111" w:name="page112"/>
    <w:bookmarkEnd w:id="1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300" w:firstLine="881"/>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was $0.2 million for the year ended December 31, 2019, which consisted of property and equipment purchases and tenant improvements to our leased laboratory and administrative offices.</w:t>
      </w:r>
    </w:p>
    <w:p>
      <w:pPr>
        <w:spacing w:after="0" w:line="162" w:lineRule="exact"/>
        <w:rPr>
          <w:sz w:val="20"/>
          <w:szCs w:val="20"/>
          <w:color w:val="auto"/>
        </w:rPr>
      </w:pPr>
    </w:p>
    <w:p>
      <w:pPr>
        <w:ind w:left="120" w:right="240" w:firstLine="881"/>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was $0.1 million for the six months ended June 30, 2019, which consisted of property and equipment purchases and tenant improvements to our leased laboratory and administrative offices.</w:t>
      </w:r>
    </w:p>
    <w:p>
      <w:pPr>
        <w:spacing w:after="0" w:line="162" w:lineRule="exact"/>
        <w:rPr>
          <w:sz w:val="20"/>
          <w:szCs w:val="20"/>
          <w:color w:val="auto"/>
        </w:rPr>
      </w:pPr>
    </w:p>
    <w:p>
      <w:pPr>
        <w:ind w:left="120" w:right="240" w:firstLine="881"/>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was $0.4 million for the six months ended June 30, 2020, which consisted of property and equipment purchases and tenant improvements to our new leased laboratory and administrative offices.</w:t>
      </w:r>
    </w:p>
    <w:p>
      <w:pPr>
        <w:spacing w:after="0" w:line="160"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i w:val="1"/>
          <w:iCs w:val="1"/>
          <w:color w:val="auto"/>
        </w:rPr>
        <w:t>Net Cash Provided by Financing Activities</w:t>
      </w:r>
    </w:p>
    <w:p>
      <w:pPr>
        <w:spacing w:after="0" w:line="22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Net cash provided by financing activities was $3.6 million for the year ended December 31, 2018 due to our issuance of Series A preferred</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stock.</w:t>
      </w:r>
    </w:p>
    <w:p>
      <w:pPr>
        <w:spacing w:after="0" w:line="207" w:lineRule="exact"/>
        <w:rPr>
          <w:sz w:val="20"/>
          <w:szCs w:val="20"/>
          <w:color w:val="auto"/>
        </w:rPr>
      </w:pPr>
    </w:p>
    <w:p>
      <w:pPr>
        <w:ind w:left="120" w:right="60" w:firstLine="881"/>
        <w:spacing w:after="0" w:line="282" w:lineRule="auto"/>
        <w:rPr>
          <w:sz w:val="20"/>
          <w:szCs w:val="20"/>
          <w:color w:val="auto"/>
        </w:rPr>
      </w:pPr>
      <w:r>
        <w:rPr>
          <w:rFonts w:ascii="Times New Roman" w:cs="Times New Roman" w:eastAsia="Times New Roman" w:hAnsi="Times New Roman"/>
          <w:sz w:val="18"/>
          <w:szCs w:val="18"/>
          <w:color w:val="auto"/>
        </w:rPr>
        <w:t>Net cash provided by financing activities was $59.4 million for the year ended December 31, 2019 due to our issuance of Series B preferred stock for net proceeds of $57.5 million and issuance of convertible promissory notes for proceeds of $2.0 million.</w:t>
      </w:r>
    </w:p>
    <w:p>
      <w:pPr>
        <w:spacing w:after="0" w:line="162" w:lineRule="exact"/>
        <w:rPr>
          <w:sz w:val="20"/>
          <w:szCs w:val="20"/>
          <w:color w:val="auto"/>
        </w:rPr>
      </w:pPr>
    </w:p>
    <w:p>
      <w:pPr>
        <w:ind w:left="120" w:right="580" w:firstLine="881"/>
        <w:spacing w:after="0" w:line="282" w:lineRule="auto"/>
        <w:rPr>
          <w:sz w:val="20"/>
          <w:szCs w:val="20"/>
          <w:color w:val="auto"/>
        </w:rPr>
      </w:pPr>
      <w:r>
        <w:rPr>
          <w:rFonts w:ascii="Times New Roman" w:cs="Times New Roman" w:eastAsia="Times New Roman" w:hAnsi="Times New Roman"/>
          <w:sz w:val="18"/>
          <w:szCs w:val="18"/>
          <w:color w:val="auto"/>
        </w:rPr>
        <w:t>Net cash provided by financing activities was $0.5 million for the six months ended June 30, 2019 due to our issuance of convertible promissory notes for proceeds of $0.5 million.</w:t>
      </w:r>
    </w:p>
    <w:p>
      <w:pPr>
        <w:spacing w:after="0" w:line="162" w:lineRule="exact"/>
        <w:rPr>
          <w:sz w:val="20"/>
          <w:szCs w:val="20"/>
          <w:color w:val="auto"/>
        </w:rPr>
      </w:pPr>
    </w:p>
    <w:p>
      <w:pPr>
        <w:ind w:left="120" w:right="200" w:firstLine="881"/>
        <w:spacing w:after="0" w:line="282" w:lineRule="auto"/>
        <w:rPr>
          <w:sz w:val="20"/>
          <w:szCs w:val="20"/>
          <w:color w:val="auto"/>
        </w:rPr>
      </w:pPr>
      <w:r>
        <w:rPr>
          <w:rFonts w:ascii="Times New Roman" w:cs="Times New Roman" w:eastAsia="Times New Roman" w:hAnsi="Times New Roman"/>
          <w:sz w:val="18"/>
          <w:szCs w:val="18"/>
          <w:color w:val="auto"/>
        </w:rPr>
        <w:t>Net cash provided by financing activities was $0.1 million for the six months ended June 30, 2020 due to proceeds from the early exercise of stock options of $0.1 million.</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22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The following table summarizes our contractual obligations as of December 31, 2019:</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482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80" w:type="dxa"/>
            <w:vAlign w:val="bottom"/>
            <w:tcBorders>
              <w:bottom w:val="single" w:sz="8" w:color="auto"/>
            </w:tcBorders>
            <w:gridSpan w:val="9"/>
          </w:tcPr>
          <w:p>
            <w:pPr>
              <w:ind w:left="320"/>
              <w:spacing w:after="0"/>
              <w:rPr>
                <w:sz w:val="20"/>
                <w:szCs w:val="20"/>
                <w:color w:val="auto"/>
              </w:rPr>
            </w:pPr>
            <w:r>
              <w:rPr>
                <w:rFonts w:ascii="Times New Roman" w:cs="Times New Roman" w:eastAsia="Times New Roman" w:hAnsi="Times New Roman"/>
                <w:sz w:val="14"/>
                <w:szCs w:val="14"/>
                <w:b w:val="1"/>
                <w:bCs w:val="1"/>
                <w:color w:val="auto"/>
              </w:rPr>
              <w:t>Payments Due by Period</w:t>
            </w:r>
          </w:p>
        </w:tc>
        <w:tc>
          <w:tcPr>
            <w:tcW w:w="1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820" w:type="dxa"/>
            <w:vAlign w:val="bottom"/>
          </w:tcPr>
          <w:p>
            <w:pPr>
              <w:spacing w:after="0"/>
              <w:rPr>
                <w:sz w:val="10"/>
                <w:szCs w:val="10"/>
                <w:color w:val="auto"/>
              </w:rPr>
            </w:pPr>
          </w:p>
        </w:tc>
        <w:tc>
          <w:tcPr>
            <w:tcW w:w="2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gridSpan w:val="2"/>
          </w:tcPr>
          <w:p>
            <w:pPr>
              <w:jc w:val="right"/>
              <w:ind w:right="380"/>
              <w:spacing w:after="0" w:line="118" w:lineRule="exact"/>
              <w:rPr>
                <w:sz w:val="20"/>
                <w:szCs w:val="20"/>
                <w:color w:val="auto"/>
              </w:rPr>
            </w:pPr>
            <w:r>
              <w:rPr>
                <w:rFonts w:ascii="Times New Roman" w:cs="Times New Roman" w:eastAsia="Times New Roman" w:hAnsi="Times New Roman"/>
                <w:sz w:val="13"/>
                <w:szCs w:val="13"/>
                <w:b w:val="1"/>
                <w:bCs w:val="1"/>
                <w:color w:val="auto"/>
              </w:rPr>
              <w:t>Less</w:t>
            </w:r>
          </w:p>
        </w:tc>
        <w:tc>
          <w:tcPr>
            <w:tcW w:w="62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1 to 3</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3 to 5</w:t>
            </w:r>
          </w:p>
        </w:tc>
        <w:tc>
          <w:tcPr>
            <w:tcW w:w="100" w:type="dxa"/>
            <w:vAlign w:val="bottom"/>
          </w:tcPr>
          <w:p>
            <w:pPr>
              <w:spacing w:after="0"/>
              <w:rPr>
                <w:sz w:val="10"/>
                <w:szCs w:val="10"/>
                <w:color w:val="auto"/>
              </w:rPr>
            </w:pPr>
          </w:p>
        </w:tc>
        <w:tc>
          <w:tcPr>
            <w:tcW w:w="640" w:type="dxa"/>
            <w:vAlign w:val="bottom"/>
            <w:gridSpan w:val="2"/>
          </w:tcPr>
          <w:p>
            <w:pPr>
              <w:jc w:val="center"/>
              <w:ind w:right="220"/>
              <w:spacing w:after="0" w:line="118" w:lineRule="exact"/>
              <w:rPr>
                <w:sz w:val="20"/>
                <w:szCs w:val="20"/>
                <w:color w:val="auto"/>
              </w:rPr>
            </w:pPr>
            <w:r>
              <w:rPr>
                <w:rFonts w:ascii="Times New Roman" w:cs="Times New Roman" w:eastAsia="Times New Roman" w:hAnsi="Times New Roman"/>
                <w:sz w:val="13"/>
                <w:szCs w:val="13"/>
                <w:b w:val="1"/>
                <w:bCs w:val="1"/>
                <w:color w:val="auto"/>
              </w:rPr>
              <w:t>More</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8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than</w:t>
            </w:r>
          </w:p>
        </w:tc>
        <w:tc>
          <w:tcPr>
            <w:tcW w:w="62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than</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482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780" w:type="dxa"/>
            <w:vAlign w:val="bottom"/>
            <w:gridSpan w:val="3"/>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1 year</w:t>
            </w:r>
          </w:p>
        </w:tc>
        <w:tc>
          <w:tcPr>
            <w:tcW w:w="62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years</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years</w:t>
            </w:r>
          </w:p>
        </w:tc>
        <w:tc>
          <w:tcPr>
            <w:tcW w:w="74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5 years</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8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gridSpan w:val="4"/>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Operating lease obligations </w:t>
            </w:r>
            <w:r>
              <w:rPr>
                <w:rFonts w:ascii="Times New Roman" w:cs="Times New Roman" w:eastAsia="Times New Roman" w:hAnsi="Times New Roman"/>
                <w:sz w:val="15"/>
                <w:szCs w:val="15"/>
                <w:color w:val="auto"/>
              </w:rPr>
              <w:t>(1)</w:t>
            </w:r>
          </w:p>
        </w:tc>
        <w:tc>
          <w:tcPr>
            <w:tcW w:w="2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106</w:t>
            </w:r>
          </w:p>
        </w:tc>
        <w:tc>
          <w:tcPr>
            <w:tcW w:w="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183</w:t>
            </w: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Contingent milestone obligations </w:t>
            </w:r>
            <w:r>
              <w:rPr>
                <w:rFonts w:ascii="Times New Roman" w:cs="Times New Roman" w:eastAsia="Times New Roman" w:hAnsi="Times New Roman"/>
                <w:sz w:val="15"/>
                <w:szCs w:val="15"/>
                <w:color w:val="auto"/>
              </w:rPr>
              <w:t>(2)</w:t>
            </w: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w w:val="93"/>
              </w:rPr>
              <w:t>2,000</w:t>
            </w:r>
          </w:p>
        </w:tc>
        <w:tc>
          <w:tcPr>
            <w:tcW w:w="100" w:type="dxa"/>
            <w:vAlign w:val="bottom"/>
          </w:tcPr>
          <w:p>
            <w:pPr>
              <w:spacing w:after="0"/>
              <w:rPr>
                <w:sz w:val="18"/>
                <w:szCs w:val="18"/>
                <w:color w:val="auto"/>
              </w:rPr>
            </w:pP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3"/>
              </w:rPr>
              <w:t>6,000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11,000</w:t>
            </w:r>
          </w:p>
        </w:tc>
        <w:tc>
          <w:tcPr>
            <w:tcW w:w="10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66,000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96"/>
              </w:rPr>
              <w:t>85,000</w:t>
            </w: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6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w w:val="93"/>
              </w:rPr>
              <w:t>2,077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3"/>
              </w:rPr>
              <w:t>6,106</w:t>
            </w:r>
          </w:p>
        </w:tc>
        <w:tc>
          <w:tcPr>
            <w:tcW w:w="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11,000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66,000</w:t>
            </w:r>
          </w:p>
        </w:tc>
        <w:tc>
          <w:tcPr>
            <w:tcW w:w="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6"/>
              </w:rPr>
              <w:t>85,183</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94615</wp:posOffset>
            </wp:positionV>
            <wp:extent cx="77152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0" w:lineRule="exact"/>
        <w:rPr>
          <w:sz w:val="20"/>
          <w:szCs w:val="20"/>
          <w:color w:val="auto"/>
        </w:rPr>
      </w:pPr>
    </w:p>
    <w:p>
      <w:pPr>
        <w:ind w:left="540" w:hanging="424"/>
        <w:spacing w:after="0"/>
        <w:tabs>
          <w:tab w:leader="none" w:pos="540" w:val="left"/>
        </w:tabs>
        <w:numPr>
          <w:ilvl w:val="0"/>
          <w:numId w:val="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operating lease obligations are related to the facility lease for our corporate headquarters and research and development facility in Irvine, California, expiring April 30, 2022.</w:t>
      </w:r>
    </w:p>
    <w:p>
      <w:pPr>
        <w:spacing w:after="0" w:line="230" w:lineRule="exact"/>
        <w:rPr>
          <w:rFonts w:ascii="Times New Roman" w:cs="Times New Roman" w:eastAsia="Times New Roman" w:hAnsi="Times New Roman"/>
          <w:sz w:val="14"/>
          <w:szCs w:val="14"/>
          <w:color w:val="auto"/>
        </w:rPr>
      </w:pPr>
    </w:p>
    <w:p>
      <w:pPr>
        <w:ind w:left="540" w:right="40" w:hanging="424"/>
        <w:spacing w:after="0"/>
        <w:tabs>
          <w:tab w:leader="none" w:pos="540" w:val="left"/>
        </w:tabs>
        <w:numPr>
          <w:ilvl w:val="0"/>
          <w:numId w:val="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Milestone obligations are contingent upon our achievement of specified development, regulatory and sales milestones. Given the unpredictability of the drug development process, and the impossibility of predicting the success of current and future clinical trials and the timing of achievement (if at all) of sales milestones, these values assume that all development, regulatory, and sales milestones under our in-license agreement with Elanco are successfully met. These values in each column represent the composite best estimates for each achievement date. If any or all milestones are met, we believe that the corresponding increase in value from the related drug program will exceed the amount of our milestone obligation.</w:t>
      </w:r>
    </w:p>
    <w:p>
      <w:pPr>
        <w:spacing w:after="0" w:line="319" w:lineRule="exact"/>
        <w:rPr>
          <w:sz w:val="20"/>
          <w:szCs w:val="20"/>
          <w:color w:val="auto"/>
        </w:rPr>
      </w:pPr>
    </w:p>
    <w:p>
      <w:pPr>
        <w:ind w:left="120" w:right="20" w:firstLine="881"/>
        <w:spacing w:after="0" w:line="261" w:lineRule="auto"/>
        <w:rPr>
          <w:sz w:val="20"/>
          <w:szCs w:val="20"/>
          <w:color w:val="auto"/>
        </w:rPr>
      </w:pPr>
      <w:r>
        <w:rPr>
          <w:rFonts w:ascii="Times New Roman" w:cs="Times New Roman" w:eastAsia="Times New Roman" w:hAnsi="Times New Roman"/>
          <w:sz w:val="18"/>
          <w:szCs w:val="18"/>
          <w:color w:val="auto"/>
        </w:rPr>
        <w:t>We enter into contracts in the normal course of business with (i) clinical research organizations and clinical sites, (ii) contract manufacturers for pre-clinical and clinical drug supply, (iii) regulatory consultants and (iv) various other vendors in operating our business. These contracts generally provide for termination provisions with notice, and therefore we believe that our non-cancelable obligations under these agreements were not material as of December 31, 2019.</w:t>
      </w:r>
    </w:p>
    <w:p>
      <w:pPr>
        <w:spacing w:after="0" w:line="11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-109-</w:t>
      </w:r>
    </w:p>
    <w:p>
      <w:pPr>
        <w:sectPr>
          <w:pgSz w:w="11900" w:h="16838" w:orient="portrait"/>
          <w:cols w:equalWidth="0" w:num="1">
            <w:col w:w="11140"/>
          </w:cols>
          <w:pgMar w:left="320" w:top="455" w:right="439" w:bottom="1440" w:gutter="0" w:footer="0" w:header="0"/>
        </w:sectPr>
      </w:pPr>
    </w:p>
    <w:bookmarkStart w:id="112" w:name="page113"/>
    <w:bookmarkEnd w:id="1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The following table summarizes our contractual obligations as of June 30, 2020:</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70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80" w:type="dxa"/>
            <w:vAlign w:val="bottom"/>
            <w:tcBorders>
              <w:bottom w:val="single" w:sz="8" w:color="auto"/>
            </w:tcBorders>
            <w:gridSpan w:val="9"/>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Payments Due by Period</w:t>
            </w:r>
          </w:p>
        </w:tc>
        <w:tc>
          <w:tcPr>
            <w:tcW w:w="1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70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gridSpan w:val="3"/>
          </w:tcPr>
          <w:p>
            <w:pPr>
              <w:jc w:val="center"/>
              <w:ind w:right="360"/>
              <w:spacing w:after="0" w:line="118" w:lineRule="exact"/>
              <w:rPr>
                <w:sz w:val="20"/>
                <w:szCs w:val="20"/>
                <w:color w:val="auto"/>
              </w:rPr>
            </w:pPr>
            <w:r>
              <w:rPr>
                <w:rFonts w:ascii="Times New Roman" w:cs="Times New Roman" w:eastAsia="Times New Roman" w:hAnsi="Times New Roman"/>
                <w:sz w:val="13"/>
                <w:szCs w:val="13"/>
                <w:b w:val="1"/>
                <w:bCs w:val="1"/>
                <w:color w:val="auto"/>
              </w:rPr>
              <w:t>Less</w:t>
            </w:r>
          </w:p>
        </w:tc>
        <w:tc>
          <w:tcPr>
            <w:tcW w:w="62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1 to 3</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3 to 5</w:t>
            </w:r>
          </w:p>
        </w:tc>
        <w:tc>
          <w:tcPr>
            <w:tcW w:w="100" w:type="dxa"/>
            <w:vAlign w:val="bottom"/>
          </w:tcPr>
          <w:p>
            <w:pPr>
              <w:spacing w:after="0"/>
              <w:rPr>
                <w:sz w:val="10"/>
                <w:szCs w:val="10"/>
                <w:color w:val="auto"/>
              </w:rPr>
            </w:pPr>
          </w:p>
        </w:tc>
        <w:tc>
          <w:tcPr>
            <w:tcW w:w="640" w:type="dxa"/>
            <w:vAlign w:val="bottom"/>
            <w:gridSpan w:val="2"/>
          </w:tcPr>
          <w:p>
            <w:pPr>
              <w:jc w:val="center"/>
              <w:ind w:right="220"/>
              <w:spacing w:after="0" w:line="118" w:lineRule="exact"/>
              <w:rPr>
                <w:sz w:val="20"/>
                <w:szCs w:val="20"/>
                <w:color w:val="auto"/>
              </w:rPr>
            </w:pPr>
            <w:r>
              <w:rPr>
                <w:rFonts w:ascii="Times New Roman" w:cs="Times New Roman" w:eastAsia="Times New Roman" w:hAnsi="Times New Roman"/>
                <w:sz w:val="13"/>
                <w:szCs w:val="13"/>
                <w:b w:val="1"/>
                <w:bCs w:val="1"/>
                <w:color w:val="auto"/>
              </w:rPr>
              <w:t>More</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7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3"/>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than</w:t>
            </w:r>
          </w:p>
        </w:tc>
        <w:tc>
          <w:tcPr>
            <w:tcW w:w="62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than</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70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gridSpan w:val="4"/>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1 year</w:t>
            </w:r>
          </w:p>
        </w:tc>
        <w:tc>
          <w:tcPr>
            <w:tcW w:w="62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years</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years</w:t>
            </w:r>
          </w:p>
        </w:tc>
        <w:tc>
          <w:tcPr>
            <w:tcW w:w="74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5 years</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7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gridSpan w:val="4"/>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Operating lease obligations </w:t>
            </w:r>
            <w:r>
              <w:rPr>
                <w:rFonts w:ascii="Times New Roman" w:cs="Times New Roman" w:eastAsia="Times New Roman" w:hAnsi="Times New Roman"/>
                <w:sz w:val="15"/>
                <w:szCs w:val="15"/>
                <w:color w:val="auto"/>
              </w:rPr>
              <w:t>(1)</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194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623</w:t>
            </w:r>
          </w:p>
        </w:tc>
        <w:tc>
          <w:tcPr>
            <w:tcW w:w="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221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1,038</w:t>
            </w:r>
          </w:p>
        </w:tc>
        <w:tc>
          <w:tcPr>
            <w:tcW w:w="0" w:type="dxa"/>
            <w:vAlign w:val="bottom"/>
          </w:tcPr>
          <w:p>
            <w:pPr>
              <w:spacing w:after="0"/>
              <w:rPr>
                <w:sz w:val="1"/>
                <w:szCs w:val="1"/>
                <w:color w:val="auto"/>
              </w:rPr>
            </w:pPr>
          </w:p>
        </w:tc>
      </w:tr>
      <w:tr>
        <w:trPr>
          <w:trHeight w:val="216"/>
        </w:trPr>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Contingent milestone obligations </w:t>
            </w:r>
            <w:r>
              <w:rPr>
                <w:rFonts w:ascii="Times New Roman" w:cs="Times New Roman" w:eastAsia="Times New Roman" w:hAnsi="Times New Roman"/>
                <w:sz w:val="15"/>
                <w:szCs w:val="15"/>
                <w:color w:val="auto"/>
              </w:rPr>
              <w:t>(2)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2,000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3"/>
              </w:rPr>
              <w:t>6,000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96"/>
              </w:rPr>
              <w:t>11,000</w:t>
            </w:r>
          </w:p>
        </w:tc>
        <w:tc>
          <w:tcPr>
            <w:tcW w:w="10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66,000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96"/>
              </w:rPr>
              <w:t>85,000</w:t>
            </w:r>
          </w:p>
        </w:tc>
        <w:tc>
          <w:tcPr>
            <w:tcW w:w="0" w:type="dxa"/>
            <w:vAlign w:val="bottom"/>
          </w:tcPr>
          <w:p>
            <w:pPr>
              <w:spacing w:after="0"/>
              <w:rPr>
                <w:sz w:val="1"/>
                <w:szCs w:val="1"/>
                <w:color w:val="auto"/>
              </w:rPr>
            </w:pPr>
          </w:p>
        </w:tc>
      </w:tr>
      <w:tr>
        <w:trPr>
          <w:trHeight w:val="216"/>
        </w:trPr>
        <w:tc>
          <w:tcPr>
            <w:tcW w:w="7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Purchase obligations </w:t>
            </w:r>
            <w:r>
              <w:rPr>
                <w:rFonts w:ascii="Times New Roman" w:cs="Times New Roman" w:eastAsia="Times New Roman" w:hAnsi="Times New Roman"/>
                <w:sz w:val="15"/>
                <w:szCs w:val="15"/>
                <w:color w:val="auto"/>
              </w:rPr>
              <w:t>(3)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1,118</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1,118</w:t>
            </w:r>
          </w:p>
        </w:tc>
        <w:tc>
          <w:tcPr>
            <w:tcW w:w="0" w:type="dxa"/>
            <w:vAlign w:val="bottom"/>
          </w:tcPr>
          <w:p>
            <w:pPr>
              <w:spacing w:after="0"/>
              <w:rPr>
                <w:sz w:val="1"/>
                <w:szCs w:val="1"/>
                <w:color w:val="auto"/>
              </w:rPr>
            </w:pPr>
          </w:p>
        </w:tc>
      </w:tr>
      <w:tr>
        <w:trPr>
          <w:trHeight w:val="223"/>
        </w:trPr>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4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3"/>
              </w:rPr>
              <w:t>3,312</w:t>
            </w:r>
          </w:p>
        </w:tc>
        <w:tc>
          <w:tcPr>
            <w:tcW w:w="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6,623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11,221</w:t>
            </w: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66,000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87,156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0" w:lineRule="exact"/>
        <w:rPr>
          <w:sz w:val="20"/>
          <w:szCs w:val="20"/>
          <w:color w:val="auto"/>
        </w:rPr>
      </w:pPr>
    </w:p>
    <w:p>
      <w:pPr>
        <w:ind w:left="540" w:right="160" w:hanging="424"/>
        <w:spacing w:after="0" w:line="261" w:lineRule="auto"/>
        <w:tabs>
          <w:tab w:leader="none" w:pos="540" w:val="left"/>
        </w:tabs>
        <w:numPr>
          <w:ilvl w:val="0"/>
          <w:numId w:val="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operating lease obligations are related to the facility lease for our corporate headquarters and research and development facility in Irvine, California, expiring April 30, 2022 and January 31, 2024.</w:t>
      </w:r>
    </w:p>
    <w:p>
      <w:pPr>
        <w:spacing w:after="0" w:line="189" w:lineRule="exact"/>
        <w:rPr>
          <w:rFonts w:ascii="Times New Roman" w:cs="Times New Roman" w:eastAsia="Times New Roman" w:hAnsi="Times New Roman"/>
          <w:sz w:val="14"/>
          <w:szCs w:val="14"/>
          <w:color w:val="auto"/>
        </w:rPr>
      </w:pPr>
    </w:p>
    <w:p>
      <w:pPr>
        <w:ind w:left="540" w:right="40" w:hanging="424"/>
        <w:spacing w:after="0"/>
        <w:tabs>
          <w:tab w:leader="none" w:pos="540" w:val="left"/>
        </w:tabs>
        <w:numPr>
          <w:ilvl w:val="0"/>
          <w:numId w:val="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Milestone obligations are contingent upon our achievement of specified development, regulatory and sales milestones. Given the unpredictability of the drug development process, and the impossibility of predicting the success of current and future clinical trials and the timing of achievement (if at all) of sales milestones, these values assume that all development, regulatory, and sales milestones under our in-license agreement with Elanco are successfully met. These values in each column represent the composite best estimates for each achievement date. If any or all milestones are met, we believe that the corresponding increase in value from the related drug program will exceed the amount of our milestone obligation.</w:t>
      </w:r>
    </w:p>
    <w:p>
      <w:pPr>
        <w:spacing w:after="0" w:line="341" w:lineRule="exact"/>
        <w:rPr>
          <w:rFonts w:ascii="Times New Roman" w:cs="Times New Roman" w:eastAsia="Times New Roman" w:hAnsi="Times New Roman"/>
          <w:sz w:val="14"/>
          <w:szCs w:val="14"/>
          <w:color w:val="auto"/>
        </w:rPr>
      </w:pPr>
    </w:p>
    <w:p>
      <w:pPr>
        <w:ind w:left="540" w:right="180" w:hanging="424"/>
        <w:spacing w:after="0" w:line="236" w:lineRule="auto"/>
        <w:tabs>
          <w:tab w:leader="none" w:pos="540" w:val="left"/>
        </w:tabs>
        <w:numPr>
          <w:ilvl w:val="0"/>
          <w:numId w:val="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Purchase obligations represent the amount of open purchase orders and contractual commitments to vendors for products and services that have not been delivered or rendered, as of June 30, 2020. We enter contracts in the normal course of business with clinical research organizations and clinical sites and with contract manufacturers for pre-clinical and clinical drug supply, as well as with various other vendors in operating our business. These contracts generally provide for termination provisions with notice. The values in each column represent the obligations that are non-cancelable as of June 30, 2020.</w:t>
      </w:r>
    </w:p>
    <w:p>
      <w:pPr>
        <w:spacing w:after="0" w:line="17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Critical Accounting Policies, Significant Judgments and Use of Estimates</w:t>
      </w:r>
    </w:p>
    <w:p>
      <w:pPr>
        <w:spacing w:after="0" w:line="229" w:lineRule="exact"/>
        <w:rPr>
          <w:sz w:val="20"/>
          <w:szCs w:val="20"/>
          <w:color w:val="auto"/>
        </w:rPr>
      </w:pPr>
    </w:p>
    <w:p>
      <w:pPr>
        <w:ind w:left="120" w:right="60" w:firstLine="881"/>
        <w:spacing w:after="0" w:line="255" w:lineRule="auto"/>
        <w:rPr>
          <w:sz w:val="20"/>
          <w:szCs w:val="20"/>
          <w:color w:val="auto"/>
        </w:rPr>
      </w:pPr>
      <w:r>
        <w:rPr>
          <w:rFonts w:ascii="Times New Roman" w:cs="Times New Roman" w:eastAsia="Times New Roman" w:hAnsi="Times New Roman"/>
          <w:sz w:val="18"/>
          <w:szCs w:val="18"/>
          <w:color w:val="auto"/>
        </w:rPr>
        <w:t>Our management’s discussion and analysis of financial condition and results of operations is based on our financial statements, which have been prepared in accordance with U.S. generally accepted accounting principles, or GAAP. The preparation of these financial statements requires us to make estimates and assumptions that affect the reported amounts of assets and liabilities and the disclosure of contingent assets and liabilities at the date of the financial statements, as well as the reported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materially from these estimates under different assumptions or conditions.</w:t>
      </w:r>
    </w:p>
    <w:p>
      <w:pPr>
        <w:spacing w:after="0" w:line="189" w:lineRule="exact"/>
        <w:rPr>
          <w:sz w:val="20"/>
          <w:szCs w:val="20"/>
          <w:color w:val="auto"/>
        </w:rPr>
      </w:pPr>
    </w:p>
    <w:p>
      <w:pPr>
        <w:ind w:left="120" w:right="220" w:firstLine="881"/>
        <w:spacing w:after="0" w:line="282" w:lineRule="auto"/>
        <w:rPr>
          <w:sz w:val="20"/>
          <w:szCs w:val="20"/>
          <w:color w:val="auto"/>
        </w:rPr>
      </w:pPr>
      <w:r>
        <w:rPr>
          <w:rFonts w:ascii="Times New Roman" w:cs="Times New Roman" w:eastAsia="Times New Roman" w:hAnsi="Times New Roman"/>
          <w:sz w:val="18"/>
          <w:szCs w:val="18"/>
          <w:color w:val="auto"/>
        </w:rPr>
        <w:t>While our significant accounting policies are described in the notes to our financial statements also included in this registration statement, we believe these critical accounting policies are the most important to understanding and evaluating our reported financial results.</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229" w:lineRule="exact"/>
        <w:rPr>
          <w:sz w:val="20"/>
          <w:szCs w:val="20"/>
          <w:color w:val="auto"/>
        </w:rPr>
      </w:pPr>
    </w:p>
    <w:p>
      <w:pPr>
        <w:ind w:left="120" w:right="40" w:firstLine="881"/>
        <w:spacing w:after="0" w:line="261" w:lineRule="auto"/>
        <w:rPr>
          <w:sz w:val="20"/>
          <w:szCs w:val="20"/>
          <w:color w:val="auto"/>
        </w:rPr>
      </w:pPr>
      <w:r>
        <w:rPr>
          <w:rFonts w:ascii="Times New Roman" w:cs="Times New Roman" w:eastAsia="Times New Roman" w:hAnsi="Times New Roman"/>
          <w:sz w:val="18"/>
          <w:szCs w:val="18"/>
          <w:color w:val="auto"/>
        </w:rPr>
        <w:t>Research and development costs are expensed as incurred or as certain upfront or milestone payments become contractually due to licensors upon the achievement of clinical or regulatory events. These expenses also include internal costs directly attributable to in-development programs, including cost of certain salaries, payroll taxes, employee benefits, and stock-based compensation expense, as well as laboratory and clinical supplies, pre-clinical and clinical trial related expenses, and the cost of services provided by outside contractors.</w:t>
      </w:r>
    </w:p>
    <w:p>
      <w:pPr>
        <w:spacing w:after="0" w:line="180" w:lineRule="exact"/>
        <w:rPr>
          <w:sz w:val="20"/>
          <w:szCs w:val="20"/>
          <w:color w:val="auto"/>
        </w:rPr>
      </w:pPr>
    </w:p>
    <w:p>
      <w:pPr>
        <w:ind w:left="120" w:right="20" w:firstLine="881"/>
        <w:spacing w:after="0" w:line="261" w:lineRule="auto"/>
        <w:rPr>
          <w:sz w:val="20"/>
          <w:szCs w:val="20"/>
          <w:color w:val="auto"/>
        </w:rPr>
      </w:pPr>
      <w:r>
        <w:rPr>
          <w:rFonts w:ascii="Times New Roman" w:cs="Times New Roman" w:eastAsia="Times New Roman" w:hAnsi="Times New Roman"/>
          <w:sz w:val="18"/>
          <w:szCs w:val="18"/>
          <w:color w:val="auto"/>
        </w:rPr>
        <w:t>We have entered, and may continue to enter into, license agreements to access and utilize certain technology. In each case, we evaluate if the assets acquired in a transaction represent the acquisition of an asset or a business, as defined under applicable GAAP. Our only executed in-license agreement was evaluated and determined to represent an asset acquisition. Because this asset had not yet received regulatory approval and has no alternative future use, its fair value was immediately recognized as research and development expense.</w:t>
      </w:r>
    </w:p>
    <w:p>
      <w:pPr>
        <w:spacing w:after="0" w:line="11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-110-</w:t>
      </w:r>
    </w:p>
    <w:p>
      <w:pPr>
        <w:sectPr>
          <w:pgSz w:w="11900" w:h="16838" w:orient="portrait"/>
          <w:cols w:equalWidth="0" w:num="1">
            <w:col w:w="11140"/>
          </w:cols>
          <w:pgMar w:left="320" w:top="455" w:right="439" w:bottom="1440" w:gutter="0" w:footer="0" w:header="0"/>
        </w:sectPr>
      </w:pPr>
    </w:p>
    <w:bookmarkStart w:id="113" w:name="page114"/>
    <w:bookmarkEnd w:id="1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60" w:firstLine="881"/>
        <w:spacing w:after="0" w:line="258" w:lineRule="auto"/>
        <w:rPr>
          <w:sz w:val="20"/>
          <w:szCs w:val="20"/>
          <w:color w:val="auto"/>
        </w:rPr>
      </w:pPr>
      <w:r>
        <w:rPr>
          <w:rFonts w:ascii="Times New Roman" w:cs="Times New Roman" w:eastAsia="Times New Roman" w:hAnsi="Times New Roman"/>
          <w:sz w:val="18"/>
          <w:szCs w:val="18"/>
          <w:color w:val="auto"/>
        </w:rPr>
        <w:t>We make research and development expense accrual estimates as of each balance sheet date, based on facts known to us at that time. This process involves reviewing open contracts and purchase orders, communicating with our personnel to identify services that have been performed on our behalf, and estimating the level of service performed and the associated cost incurred for the service when we have not yet been invoiced or otherwise notified of the actual cost. We periodically confirm the accuracy of our estimates with the service providers, including CROs, and record adjustments, if necessary. To date, there have been no material differences between our estimates of such expenses and the amounts actually incurred.</w:t>
      </w:r>
    </w:p>
    <w:p>
      <w:pPr>
        <w:spacing w:after="0" w:line="1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29" w:lineRule="exact"/>
        <w:rPr>
          <w:sz w:val="20"/>
          <w:szCs w:val="20"/>
          <w:color w:val="auto"/>
        </w:rPr>
      </w:pPr>
    </w:p>
    <w:p>
      <w:pPr>
        <w:ind w:left="120" w:firstLine="881"/>
        <w:spacing w:after="0" w:line="266" w:lineRule="auto"/>
        <w:rPr>
          <w:sz w:val="20"/>
          <w:szCs w:val="20"/>
          <w:color w:val="auto"/>
        </w:rPr>
      </w:pPr>
      <w:r>
        <w:rPr>
          <w:rFonts w:ascii="Times New Roman" w:cs="Times New Roman" w:eastAsia="Times New Roman" w:hAnsi="Times New Roman"/>
          <w:sz w:val="18"/>
          <w:szCs w:val="18"/>
          <w:color w:val="auto"/>
        </w:rPr>
        <w:t>We measure and recognize compensation expense for all options based on the estimated fair value of the award on the grant date. We use the Black-Scholes option-pricing model to estimate the fair value of awarded stock options. The fair value is recognized as expense on a straight-line or ratable basis over the requisite or implicit service period.</w:t>
      </w:r>
    </w:p>
    <w:p>
      <w:pPr>
        <w:spacing w:after="0" w:line="176" w:lineRule="exact"/>
        <w:rPr>
          <w:sz w:val="20"/>
          <w:szCs w:val="20"/>
          <w:color w:val="auto"/>
        </w:rPr>
      </w:pPr>
    </w:p>
    <w:p>
      <w:pPr>
        <w:ind w:left="120" w:right="20" w:firstLine="881"/>
        <w:spacing w:after="0" w:line="261" w:lineRule="auto"/>
        <w:rPr>
          <w:sz w:val="20"/>
          <w:szCs w:val="20"/>
          <w:color w:val="auto"/>
        </w:rPr>
      </w:pPr>
      <w:r>
        <w:rPr>
          <w:rFonts w:ascii="Times New Roman" w:cs="Times New Roman" w:eastAsia="Times New Roman" w:hAnsi="Times New Roman"/>
          <w:sz w:val="18"/>
          <w:szCs w:val="18"/>
          <w:color w:val="auto"/>
        </w:rPr>
        <w:t>The determination of the grant date fair value of options using an option pricing model is affected principally by our estimated fair value of shares of our common stock and requires management to make a number of other assumptions, including the (a) the fair value of Tarsus common stock on the date of the option grant, (b) the expected term of the stock option until its exercise by the recipient, (c) our stock price volatility over the expected term, (d) the prevailing risk-free interest rate over the expected term, and (e) our expected dividend payments over the expected term.</w:t>
      </w:r>
    </w:p>
    <w:p>
      <w:pPr>
        <w:spacing w:after="0" w:line="180" w:lineRule="exact"/>
        <w:rPr>
          <w:sz w:val="20"/>
          <w:szCs w:val="20"/>
          <w:color w:val="auto"/>
        </w:rPr>
      </w:pPr>
    </w:p>
    <w:p>
      <w:pPr>
        <w:jc w:val="both"/>
        <w:ind w:left="120" w:right="40" w:firstLine="881"/>
        <w:spacing w:after="0" w:line="266" w:lineRule="auto"/>
        <w:rPr>
          <w:sz w:val="20"/>
          <w:szCs w:val="20"/>
          <w:color w:val="auto"/>
        </w:rPr>
      </w:pPr>
      <w:r>
        <w:rPr>
          <w:rFonts w:ascii="Times New Roman" w:cs="Times New Roman" w:eastAsia="Times New Roman" w:hAnsi="Times New Roman"/>
          <w:sz w:val="18"/>
          <w:szCs w:val="18"/>
          <w:color w:val="auto"/>
        </w:rPr>
        <w:t>The assumptions used in our Black-Scholes option-pricing model represent management’s best estimates at the time of measurement. These estimates are complex and involve several variables, uncertainties, and assumptions and the application of management’s judgment. If any assumptions change, our stock-based compensation expense could be materially different in the future.</w:t>
      </w:r>
    </w:p>
    <w:p>
      <w:pPr>
        <w:spacing w:after="0" w:line="1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Fair Value of Common Stock</w:t>
      </w:r>
    </w:p>
    <w:p>
      <w:pPr>
        <w:spacing w:after="0" w:line="229" w:lineRule="exact"/>
        <w:rPr>
          <w:sz w:val="20"/>
          <w:szCs w:val="20"/>
          <w:color w:val="auto"/>
        </w:rPr>
      </w:pPr>
    </w:p>
    <w:p>
      <w:pPr>
        <w:ind w:left="120" w:firstLine="881"/>
        <w:spacing w:after="0" w:line="253" w:lineRule="auto"/>
        <w:rPr>
          <w:sz w:val="20"/>
          <w:szCs w:val="20"/>
          <w:color w:val="auto"/>
        </w:rPr>
      </w:pPr>
      <w:r>
        <w:rPr>
          <w:rFonts w:ascii="Times New Roman" w:cs="Times New Roman" w:eastAsia="Times New Roman" w:hAnsi="Times New Roman"/>
          <w:sz w:val="18"/>
          <w:szCs w:val="18"/>
          <w:color w:val="auto"/>
        </w:rPr>
        <w:t xml:space="preserve">We are required to periodically estimate the fair value of our common stock in order properly apply the Black-Scholes option pricing model to value our issued stock options to employees, board members, and consultants. The fair value of our common stock is the most subjective input into this option pricing model. The fair value of our common stock underlying our stock-based awards at the time of issuance was derived with the assistance of an independent and qualified valuation expert. All options to purchase shares of our common stock are intended to be granted with an exercise price per share no less than the fair value per share of our common stock on the date of grant, based on the information known to us on the date of grant. In the absence of a public trading market for our common stock, the estimated fair value of our common stock has been determined by our board of directors, with input from management, taking into consideration our most recently available third-party valuations of our common stock at the time of the grants, as well as our board of directors’ assessment of additional objective and subjective factors that it believed were relevant and which may have changed from the date of the most recent valuation report through the date of the grant. Third-party valuations, or valuation reports, were performed in accordance with the guidance outlined in the American Institute of Certified Public Accountants’ </w:t>
      </w:r>
      <w:r>
        <w:rPr>
          <w:rFonts w:ascii="Times New Roman" w:cs="Times New Roman" w:eastAsia="Times New Roman" w:hAnsi="Times New Roman"/>
          <w:sz w:val="18"/>
          <w:szCs w:val="18"/>
          <w:i w:val="1"/>
          <w:iCs w:val="1"/>
          <w:color w:val="auto"/>
        </w:rPr>
        <w:t>Accounting and Valuation Guide, Valuation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Privately-Held-Company Equity Securities Issued as Compensation, or the Practice Aid</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ind w:left="120" w:right="20" w:firstLine="881"/>
        <w:spacing w:after="0" w:line="282" w:lineRule="auto"/>
        <w:rPr>
          <w:sz w:val="20"/>
          <w:szCs w:val="20"/>
          <w:color w:val="auto"/>
        </w:rPr>
      </w:pPr>
      <w:r>
        <w:rPr>
          <w:rFonts w:ascii="Times New Roman" w:cs="Times New Roman" w:eastAsia="Times New Roman" w:hAnsi="Times New Roman"/>
          <w:sz w:val="18"/>
          <w:szCs w:val="18"/>
          <w:color w:val="auto"/>
        </w:rPr>
        <w:t>In addition to contemporaneous third-party valuation reports, our board of directors also considered various objective and subjective factors, along with input from management, to determine the fair value of our common stock, including:</w:t>
      </w:r>
    </w:p>
    <w:p>
      <w:pPr>
        <w:spacing w:after="0" w:line="189" w:lineRule="exact"/>
        <w:rPr>
          <w:sz w:val="20"/>
          <w:szCs w:val="20"/>
          <w:color w:val="auto"/>
        </w:rPr>
      </w:pPr>
    </w:p>
    <w:p>
      <w:pPr>
        <w:ind w:left="1420" w:right="220" w:hanging="319"/>
        <w:spacing w:after="0" w:line="266" w:lineRule="auto"/>
        <w:tabs>
          <w:tab w:leader="none" w:pos="142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of our Series A preferred stock, Series B preferred stock and Series C preferred stock sold to investors in arm’s length transactions and the rights, preferences and privileges of such preferred stock as compared to those of our common stock, including the liquidation preferences of such preferred stock;</w:t>
      </w:r>
    </w:p>
    <w:p>
      <w:pPr>
        <w:spacing w:after="0" w:line="108" w:lineRule="exact"/>
        <w:rPr>
          <w:rFonts w:ascii="Times New Roman" w:cs="Times New Roman" w:eastAsia="Times New Roman" w:hAnsi="Times New Roman"/>
          <w:sz w:val="18"/>
          <w:szCs w:val="18"/>
          <w:color w:val="auto"/>
        </w:rPr>
      </w:pPr>
    </w:p>
    <w:p>
      <w:pPr>
        <w:ind w:left="5500" w:hanging="109"/>
        <w:spacing w:after="0"/>
        <w:tabs>
          <w:tab w:leader="none" w:pos="5500"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111 -</w:t>
      </w:r>
    </w:p>
    <w:p>
      <w:pPr>
        <w:sectPr>
          <w:pgSz w:w="11900" w:h="16838" w:orient="portrait"/>
          <w:cols w:equalWidth="0" w:num="1">
            <w:col w:w="11120"/>
          </w:cols>
          <w:pgMar w:left="320" w:top="455" w:right="459" w:bottom="1440" w:gutter="0" w:footer="0" w:header="0"/>
        </w:sectPr>
      </w:pPr>
    </w:p>
    <w:bookmarkStart w:id="114" w:name="page115"/>
    <w:bookmarkEnd w:id="1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420" w:right="800" w:hanging="319"/>
        <w:spacing w:after="0" w:line="282" w:lineRule="auto"/>
        <w:tabs>
          <w:tab w:leader="none" w:pos="142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results of operations, financial position and the status of research and development and clinical development efforts and achievement of enterprise milestones;</w:t>
      </w:r>
    </w:p>
    <w:p>
      <w:pPr>
        <w:spacing w:after="0" w:line="188"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composition of, and changes to, our management team and board of directors;</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lack of liquidity of our common stock as a private company;</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stage of development, business strategy and the material risks related to our business and industry;</w:t>
      </w:r>
    </w:p>
    <w:p>
      <w:pPr>
        <w:spacing w:after="0" w:line="252" w:lineRule="exact"/>
        <w:rPr>
          <w:rFonts w:ascii="Times New Roman" w:cs="Times New Roman" w:eastAsia="Times New Roman" w:hAnsi="Times New Roman"/>
          <w:sz w:val="18"/>
          <w:szCs w:val="18"/>
          <w:color w:val="auto"/>
        </w:rPr>
      </w:pPr>
    </w:p>
    <w:p>
      <w:pPr>
        <w:ind w:left="1420" w:right="160" w:hanging="319"/>
        <w:spacing w:after="0" w:line="282" w:lineRule="auto"/>
        <w:tabs>
          <w:tab w:leader="none" w:pos="142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valuation of publicly-traded companies in the life sciences and biotechnology sectors, as well as recently completed mergers and acquisitions of peer companies;</w:t>
      </w:r>
    </w:p>
    <w:p>
      <w:pPr>
        <w:spacing w:after="0" w:line="188"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external market conditions affecting the life sciences and biotechnology industry sectors;</w:t>
      </w:r>
    </w:p>
    <w:p>
      <w:pPr>
        <w:spacing w:after="0" w:line="252" w:lineRule="exact"/>
        <w:rPr>
          <w:rFonts w:ascii="Times New Roman" w:cs="Times New Roman" w:eastAsia="Times New Roman" w:hAnsi="Times New Roman"/>
          <w:sz w:val="18"/>
          <w:szCs w:val="18"/>
          <w:color w:val="auto"/>
        </w:rPr>
      </w:pPr>
    </w:p>
    <w:p>
      <w:pPr>
        <w:ind w:left="1420" w:hanging="319"/>
        <w:spacing w:after="0" w:line="282" w:lineRule="auto"/>
        <w:tabs>
          <w:tab w:leader="none" w:pos="142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likelihood of achieving a liquidity event for the holders of our common stock, such as an initial public offering, or IPO, or a sale of our company, given prevailing market conditions; and</w:t>
      </w:r>
    </w:p>
    <w:p>
      <w:pPr>
        <w:spacing w:after="0" w:line="188"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state of the IPO market for similarly situated privately held biotechnology companies.</w:t>
      </w:r>
    </w:p>
    <w:p>
      <w:pPr>
        <w:spacing w:after="0" w:line="225" w:lineRule="exact"/>
        <w:rPr>
          <w:sz w:val="20"/>
          <w:szCs w:val="20"/>
          <w:color w:val="auto"/>
        </w:rPr>
      </w:pPr>
    </w:p>
    <w:p>
      <w:pPr>
        <w:ind w:left="120" w:right="180" w:firstLine="881"/>
        <w:spacing w:after="0" w:line="312" w:lineRule="auto"/>
        <w:rPr>
          <w:sz w:val="20"/>
          <w:szCs w:val="20"/>
          <w:color w:val="auto"/>
        </w:rPr>
      </w:pPr>
      <w:r>
        <w:rPr>
          <w:rFonts w:ascii="Times New Roman" w:cs="Times New Roman" w:eastAsia="Times New Roman" w:hAnsi="Times New Roman"/>
          <w:sz w:val="17"/>
          <w:szCs w:val="17"/>
          <w:color w:val="auto"/>
        </w:rPr>
        <w:t>The Practice Aid identifies various available methods for allocating enterprise value across classes and series of capital stock to determine the estimated fair value of common stock at each valuation date. In accordance with the Practice Aid, we considered the following methods:</w:t>
      </w:r>
    </w:p>
    <w:p>
      <w:pPr>
        <w:spacing w:after="0" w:line="167" w:lineRule="exact"/>
        <w:rPr>
          <w:sz w:val="20"/>
          <w:szCs w:val="20"/>
          <w:color w:val="auto"/>
        </w:rPr>
      </w:pPr>
    </w:p>
    <w:p>
      <w:pPr>
        <w:ind w:left="1420" w:right="40" w:hanging="319"/>
        <w:spacing w:after="0" w:line="266" w:lineRule="auto"/>
        <w:tabs>
          <w:tab w:leader="none" w:pos="142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Hybrid Option Pricing Method. Under the hybrid option pricing method, or OPM, shares are valued by taking into account the preferred stockholders’ liquidation preferences, participation rights, dividend policy, and conversion rights to determine how proceeds from a liquidity event shall be distributed among the various ownership classes at a future date.</w:t>
      </w:r>
    </w:p>
    <w:p>
      <w:pPr>
        <w:spacing w:after="0" w:line="202" w:lineRule="exact"/>
        <w:rPr>
          <w:rFonts w:ascii="Times New Roman" w:cs="Times New Roman" w:eastAsia="Times New Roman" w:hAnsi="Times New Roman"/>
          <w:sz w:val="18"/>
          <w:szCs w:val="18"/>
          <w:color w:val="auto"/>
        </w:rPr>
      </w:pPr>
    </w:p>
    <w:p>
      <w:pPr>
        <w:ind w:left="1420" w:right="240" w:hanging="319"/>
        <w:spacing w:after="0" w:line="266" w:lineRule="auto"/>
        <w:tabs>
          <w:tab w:leader="none" w:pos="142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Probability-Weighted Expected Return Method. The probability-weighted expected return method, or PWERM, is a scenario-based analysis that estimates value per share based on the probability-weighted present value of expected future investment returns, considering each of the possible outcomes available to us, as well as the economic and control rights of each share class.</w:t>
      </w:r>
    </w:p>
    <w:p>
      <w:pPr>
        <w:spacing w:after="0" w:line="176" w:lineRule="exact"/>
        <w:rPr>
          <w:sz w:val="20"/>
          <w:szCs w:val="20"/>
          <w:color w:val="auto"/>
        </w:rPr>
      </w:pPr>
    </w:p>
    <w:p>
      <w:pPr>
        <w:ind w:left="120" w:firstLine="881"/>
        <w:spacing w:after="0" w:line="256" w:lineRule="auto"/>
        <w:rPr>
          <w:sz w:val="20"/>
          <w:szCs w:val="20"/>
          <w:color w:val="auto"/>
        </w:rPr>
      </w:pPr>
      <w:r>
        <w:rPr>
          <w:rFonts w:ascii="Times New Roman" w:cs="Times New Roman" w:eastAsia="Times New Roman" w:hAnsi="Times New Roman"/>
          <w:sz w:val="18"/>
          <w:szCs w:val="18"/>
          <w:color w:val="auto"/>
        </w:rPr>
        <w:t>Based on our early stage of development and other relevant factors, we determined that an OPM was the most appropriate method for allocating our enterprise value to determine the estimated fair value of our common stock for the valuation performed on May 31, 2018. For the valuation performed after this date which valued our common stock as of March 19, 2020, we also used an OPM method to determine the estimated fair value of our common stock. In determining the estimated fair value of our common stock, our board of directors also considered the fact that our stockholders could not freely trade our common stock in the public markets. Accordingly, we applied discounts to reflect the lack of marketability of our common stock based on the weighted-average expected time to liquidity.</w:t>
      </w:r>
    </w:p>
    <w:p>
      <w:pPr>
        <w:spacing w:after="0" w:line="187" w:lineRule="exact"/>
        <w:rPr>
          <w:sz w:val="20"/>
          <w:szCs w:val="20"/>
          <w:color w:val="auto"/>
        </w:rPr>
      </w:pPr>
    </w:p>
    <w:p>
      <w:pPr>
        <w:ind w:left="120" w:firstLine="881"/>
        <w:spacing w:after="0" w:line="266" w:lineRule="auto"/>
        <w:rPr>
          <w:sz w:val="20"/>
          <w:szCs w:val="20"/>
          <w:color w:val="auto"/>
        </w:rPr>
      </w:pPr>
      <w:r>
        <w:rPr>
          <w:rFonts w:ascii="Times New Roman" w:cs="Times New Roman" w:eastAsia="Times New Roman" w:hAnsi="Times New Roman"/>
          <w:sz w:val="18"/>
          <w:szCs w:val="18"/>
          <w:color w:val="auto"/>
        </w:rPr>
        <w:t>The assumptions underlying these valuations represented management’s best estimate, which involved inherent uncertainties and the application of management’s judgment. As a result, if we had used different assumptions or estimates, the fair value of our common stock and our stock-based compensation expense could have been materially different.</w:t>
      </w:r>
    </w:p>
    <w:p>
      <w:pPr>
        <w:spacing w:after="0" w:line="176" w:lineRule="exact"/>
        <w:rPr>
          <w:sz w:val="20"/>
          <w:szCs w:val="20"/>
          <w:color w:val="auto"/>
        </w:rPr>
      </w:pPr>
    </w:p>
    <w:p>
      <w:pPr>
        <w:ind w:left="120" w:right="20" w:firstLine="881"/>
        <w:spacing w:after="0" w:line="289" w:lineRule="auto"/>
        <w:rPr>
          <w:sz w:val="20"/>
          <w:szCs w:val="20"/>
          <w:color w:val="auto"/>
        </w:rPr>
      </w:pPr>
      <w:r>
        <w:rPr>
          <w:rFonts w:ascii="Times New Roman" w:cs="Times New Roman" w:eastAsia="Times New Roman" w:hAnsi="Times New Roman"/>
          <w:sz w:val="17"/>
          <w:szCs w:val="17"/>
          <w:color w:val="auto"/>
        </w:rPr>
        <w:t>Once a public trading market for our common stock has been established in connection with the closing of this offering, it will no longer be necessary for our board of directors to estimate the fair value of our common stock in connection with our accounting for granted stock options and other such awards we may grant, as the fair value of our common stock will be determined based on the daily quoted market price of our common stock.</w:t>
      </w:r>
    </w:p>
    <w:p>
      <w:pPr>
        <w:spacing w:after="0" w:line="9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-112-</w:t>
      </w:r>
    </w:p>
    <w:p>
      <w:pPr>
        <w:sectPr>
          <w:pgSz w:w="11900" w:h="16838" w:orient="portrait"/>
          <w:cols w:equalWidth="0" w:num="1">
            <w:col w:w="11120"/>
          </w:cols>
          <w:pgMar w:left="320" w:top="455" w:right="459" w:bottom="1440" w:gutter="0" w:footer="0" w:header="0"/>
        </w:sectPr>
      </w:pPr>
    </w:p>
    <w:bookmarkStart w:id="115" w:name="page116"/>
    <w:bookmarkEnd w:id="1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sz w:val="20"/>
          <w:szCs w:val="20"/>
          <w:color w:val="auto"/>
        </w:rPr>
      </w:pPr>
    </w:p>
    <w:p>
      <w:pPr>
        <w:ind w:left="120" w:right="60" w:firstLine="881"/>
        <w:spacing w:after="0" w:line="282" w:lineRule="auto"/>
        <w:rPr>
          <w:sz w:val="20"/>
          <w:szCs w:val="20"/>
          <w:color w:val="auto"/>
        </w:rPr>
      </w:pPr>
      <w:r>
        <w:rPr>
          <w:rFonts w:ascii="Times New Roman" w:cs="Times New Roman" w:eastAsia="Times New Roman" w:hAnsi="Times New Roman"/>
          <w:sz w:val="18"/>
          <w:szCs w:val="18"/>
          <w:color w:val="auto"/>
        </w:rPr>
        <w:t>A description of recent accounting pronouncements that may potentially impact our financial position, results of operations or cash flows is disclosed in the notes to which they relate within our financial statements also included in this registration statement.</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Since our inception, we have not engaged in any off-balance sheet arrangements, as defined in the rules and regulations of the SEC.</w:t>
      </w:r>
    </w:p>
    <w:p>
      <w:pPr>
        <w:spacing w:after="0" w:line="2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Indemnification Agreements</w:t>
      </w:r>
    </w:p>
    <w:p>
      <w:pPr>
        <w:spacing w:after="0" w:line="229" w:lineRule="exact"/>
        <w:rPr>
          <w:sz w:val="20"/>
          <w:szCs w:val="20"/>
          <w:color w:val="auto"/>
        </w:rPr>
      </w:pPr>
    </w:p>
    <w:p>
      <w:pPr>
        <w:ind w:left="120" w:right="100" w:firstLine="881"/>
        <w:spacing w:after="0" w:line="261" w:lineRule="auto"/>
        <w:rPr>
          <w:sz w:val="20"/>
          <w:szCs w:val="20"/>
          <w:color w:val="auto"/>
        </w:rPr>
      </w:pPr>
      <w:r>
        <w:rPr>
          <w:rFonts w:ascii="Times New Roman" w:cs="Times New Roman" w:eastAsia="Times New Roman" w:hAnsi="Times New Roman"/>
          <w:sz w:val="18"/>
          <w:szCs w:val="18"/>
          <w:color w:val="auto"/>
        </w:rPr>
        <w:t>As permitted under Delaware law and in accordance with our bylaws, we indemnify our officers and directors for certain events or occurrences while the officer or director is or was serving in such capacity. We are also party to indemnification agreements with our officers and directors. We believe the fair value of the indemnification rights and agreements is minimal. Accordingly, we have not recorded any liabilities for these indemnification rights and agreements as of December 31, 2019 or June 30, 2020.</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JOBS Act Accounting Election</w:t>
      </w:r>
    </w:p>
    <w:p>
      <w:pPr>
        <w:spacing w:after="0" w:line="229" w:lineRule="exact"/>
        <w:rPr>
          <w:sz w:val="20"/>
          <w:szCs w:val="20"/>
          <w:color w:val="auto"/>
        </w:rPr>
      </w:pPr>
    </w:p>
    <w:p>
      <w:pPr>
        <w:ind w:left="120" w:right="40" w:firstLine="881"/>
        <w:spacing w:after="0" w:line="266" w:lineRule="auto"/>
        <w:rPr>
          <w:sz w:val="20"/>
          <w:szCs w:val="20"/>
          <w:color w:val="auto"/>
        </w:rPr>
      </w:pPr>
      <w:r>
        <w:rPr>
          <w:rFonts w:ascii="Times New Roman" w:cs="Times New Roman" w:eastAsia="Times New Roman" w:hAnsi="Times New Roman"/>
          <w:sz w:val="18"/>
          <w:szCs w:val="18"/>
          <w:color w:val="auto"/>
        </w:rPr>
        <w:t>The JOBS Act permits an “emerging growth company” such as us to take advantage of an extended transition period to comply with new or revised accounting standards applicable to public companies. We have irrevocably elected to opt out of this provision and, as a result, we will comply with new or revised accounting standards as required when they are adopted.</w:t>
      </w:r>
    </w:p>
    <w:p>
      <w:pPr>
        <w:spacing w:after="0" w:line="176" w:lineRule="exact"/>
        <w:rPr>
          <w:sz w:val="20"/>
          <w:szCs w:val="20"/>
          <w:color w:val="auto"/>
        </w:rPr>
      </w:pPr>
    </w:p>
    <w:p>
      <w:pPr>
        <w:ind w:left="120" w:firstLine="881"/>
        <w:spacing w:after="0" w:line="261" w:lineRule="auto"/>
        <w:rPr>
          <w:sz w:val="20"/>
          <w:szCs w:val="20"/>
          <w:color w:val="auto"/>
        </w:rPr>
      </w:pPr>
      <w:r>
        <w:rPr>
          <w:rFonts w:ascii="Times New Roman" w:cs="Times New Roman" w:eastAsia="Times New Roman" w:hAnsi="Times New Roman"/>
          <w:sz w:val="18"/>
          <w:szCs w:val="18"/>
          <w:color w:val="auto"/>
        </w:rPr>
        <w:t>We will remain an emerging growth company until the earliest of (1) the last day of our first fiscal year (a) following the fifth anniversary of the completion of this offering, (b) in which we have total annual gross revenues of at least $1.07 billion or (c) in which we are deemed to be a large accelerated filer, which means the market value of our common stock that is held by non-affiliates exceeds $700 million of the prior June 30th and (2) the date on which we have issued more than $1.0 billion in non-convertible debt securities during the prior three-year period.</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Quantitative and Qualitative Disclosures about Market Risk</w:t>
      </w:r>
    </w:p>
    <w:p>
      <w:pPr>
        <w:spacing w:after="0" w:line="229" w:lineRule="exact"/>
        <w:rPr>
          <w:sz w:val="20"/>
          <w:szCs w:val="20"/>
          <w:color w:val="auto"/>
        </w:rPr>
      </w:pPr>
    </w:p>
    <w:p>
      <w:pPr>
        <w:ind w:left="120" w:right="40" w:firstLine="881"/>
        <w:spacing w:after="0" w:line="258" w:lineRule="auto"/>
        <w:rPr>
          <w:sz w:val="20"/>
          <w:szCs w:val="20"/>
          <w:color w:val="auto"/>
        </w:rPr>
      </w:pPr>
      <w:r>
        <w:rPr>
          <w:rFonts w:ascii="Times New Roman" w:cs="Times New Roman" w:eastAsia="Times New Roman" w:hAnsi="Times New Roman"/>
          <w:sz w:val="18"/>
          <w:szCs w:val="18"/>
          <w:color w:val="auto"/>
        </w:rPr>
        <w:t>The market risk inherent in our financial instruments and in our financial position represents the potential loss arising from adverse changes in interest rates. As of June 30, 2020, we had cash and cash equivalents of $53.1 million, consisting of interest-bearing money market accounts, for which the fair market value would be affected by changes in the general level of United States interest rates. However, due to the short-term maturities and the low-risk profile of our investments, an immediate 100 basis point change in interest rates would not have a material effect on the fair market value of our cash and cash equivalents.</w:t>
      </w:r>
    </w:p>
    <w:p>
      <w:pPr>
        <w:spacing w:after="0" w:line="183" w:lineRule="exact"/>
        <w:rPr>
          <w:sz w:val="20"/>
          <w:szCs w:val="20"/>
          <w:color w:val="auto"/>
        </w:rPr>
      </w:pPr>
    </w:p>
    <w:p>
      <w:pPr>
        <w:ind w:left="120" w:right="60" w:firstLine="881"/>
        <w:spacing w:after="0" w:line="282" w:lineRule="auto"/>
        <w:rPr>
          <w:sz w:val="20"/>
          <w:szCs w:val="20"/>
          <w:color w:val="auto"/>
        </w:rPr>
      </w:pPr>
      <w:r>
        <w:rPr>
          <w:rFonts w:ascii="Times New Roman" w:cs="Times New Roman" w:eastAsia="Times New Roman" w:hAnsi="Times New Roman"/>
          <w:sz w:val="18"/>
          <w:szCs w:val="18"/>
          <w:color w:val="auto"/>
        </w:rPr>
        <w:t>We do not believe that inflation, interest rate changes, or exchange rate fluctuations had a significant impact on our results of operations for any periods presented herein.</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-113-</w:t>
      </w:r>
    </w:p>
    <w:p>
      <w:pPr>
        <w:sectPr>
          <w:pgSz w:w="11900" w:h="16838" w:orient="portrait"/>
          <w:cols w:equalWidth="0" w:num="1">
            <w:col w:w="11100"/>
          </w:cols>
          <w:pgMar w:left="320" w:top="455" w:right="479" w:bottom="1440" w:gutter="0" w:footer="0" w:header="0"/>
        </w:sectPr>
      </w:pPr>
    </w:p>
    <w:bookmarkStart w:id="116" w:name="page117"/>
    <w:bookmarkEnd w:id="1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BUSINESS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left="120" w:firstLine="881"/>
        <w:spacing w:after="0" w:line="252" w:lineRule="auto"/>
        <w:rPr>
          <w:sz w:val="20"/>
          <w:szCs w:val="20"/>
          <w:color w:val="auto"/>
        </w:rPr>
      </w:pPr>
      <w:r>
        <w:rPr>
          <w:rFonts w:ascii="Times New Roman" w:cs="Times New Roman" w:eastAsia="Times New Roman" w:hAnsi="Times New Roman"/>
          <w:sz w:val="18"/>
          <w:szCs w:val="18"/>
          <w:color w:val="auto"/>
        </w:rPr>
        <w:t>We are a late clinical-stage biopharmaceutical company focused on the development and commercialization of therapeutic candidates to address large market opportunities initially in ophthalmic conditions where there are limited treatment alternatives. Our lead product candidate, TP-03, is a novel therapeutic in Phase 2b/3 that is being developed for the treatment of blepharitis caused by the infestation of Demodex mites, which is referred to as Demodex blepharitis. Blepharitis (“Blephar” is a reference to eyelid and “itis” is a reference to inflammation) is a condition characterized by inflammation of the eyelid margin, redness and ocular irritation, including a specific type of eyelash dandruff called collarettes in Demodex blepharitis. The healthy interaction of the eyelid and the surface of the eyeball is crucial to ocular health. Poorly controlled and progressive blepharitis can lead to worsening of corneal damage over time and, in extreme cases, blindness. According to published studies, there are an estimated 20 million patients in the United States who suffer from blepharitis, with approximately 45%, or approximately nine million, of cases caused by Demodex infestation. Further, our estimates indicate the possibility that the number of Demodex blepharitis cases may be as high as approximately 25 million, based on our internal research indicating approximately 58% of patients presenting to eye care clinics have collarettes and a published study estimating that at least 45 million people annually visit an eye care clinic. To date, we have completed four Phase 2 trials for TP-03 in Demodex blepharitis, all of which showed statistically significant cure and eradication rates, all of which met their primary, secondary and/or exploratory endpoints, as applicable, and during which TP-03 was well tolerated. We have commenced our Phase 2b/3 trial, Saturn-1, in September 2020, and intend to commence our Phase 3 trial, Saturn-2, in 2021, both with primary and secondary endpoints consistent with those of our Europa and Io Phase 2 trials. If successful, we expect these trials to support the submission of an NDA to the FDA for TP-03 for the treatment of Demodex blepharitis. Furthermore, we intend to pursue marketing authorizations in jurisdictions outside the United States, including Europe and Japan. We believe that, if approved, TP-03 has the potential to be the first FDA-approved therapeutic and become the standard of care for the treatment of Demodex blepharitis.</w:t>
      </w:r>
    </w:p>
    <w:p>
      <w:pPr>
        <w:spacing w:after="0" w:line="193" w:lineRule="exact"/>
        <w:rPr>
          <w:sz w:val="20"/>
          <w:szCs w:val="20"/>
          <w:color w:val="auto"/>
        </w:rPr>
      </w:pPr>
    </w:p>
    <w:p>
      <w:pPr>
        <w:ind w:left="120" w:right="180" w:firstLine="881"/>
        <w:spacing w:after="0" w:line="261" w:lineRule="auto"/>
        <w:rPr>
          <w:sz w:val="20"/>
          <w:szCs w:val="20"/>
          <w:color w:val="auto"/>
        </w:rPr>
      </w:pPr>
      <w:r>
        <w:rPr>
          <w:rFonts w:ascii="Times New Roman" w:cs="Times New Roman" w:eastAsia="Times New Roman" w:hAnsi="Times New Roman"/>
          <w:sz w:val="18"/>
          <w:szCs w:val="18"/>
          <w:color w:val="auto"/>
        </w:rPr>
        <w:t>Our current therapeutic strategy is focused on the clinical development of, for the first time in human medicine, the novel drug, lotilaner, which is designed to paralyze and eradicate mites and other parasites through the inhibition of parasite-specific GABA-Cl channels. We are advancing our pipeline to address a number of diseases across therapeutic categories including eye care, dermatology and other diseases with high, unmet needs. These diseases include Demodex blepharitis, MGD, rosacea, Lyme disease and malaria.</w:t>
      </w:r>
    </w:p>
    <w:p>
      <w:pPr>
        <w:spacing w:after="0" w:line="180"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The following pipeline chart presents our wholly-owned product candidates and clinical development status:</w:t>
      </w:r>
    </w:p>
    <w:p>
      <w:pPr>
        <w:spacing w:after="0" w:line="2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Figure 1: Pipeline Chart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173990</wp:posOffset>
            </wp:positionV>
            <wp:extent cx="5186045" cy="192024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186045" cy="1920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540" w:hanging="424"/>
        <w:spacing w:after="0"/>
        <w:tabs>
          <w:tab w:leader="none" w:pos="540" w:val="left"/>
        </w:tabs>
        <w:numPr>
          <w:ilvl w:val="0"/>
          <w:numId w:val="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Anticipated milestones are subject to the impact of the ongoing COVID-19 pandemic on our business and those of our partners.</w:t>
      </w:r>
    </w:p>
    <w:p>
      <w:pPr>
        <w:spacing w:after="0" w:line="140" w:lineRule="exact"/>
        <w:rPr>
          <w:rFonts w:ascii="Times New Roman" w:cs="Times New Roman" w:eastAsia="Times New Roman" w:hAnsi="Times New Roman"/>
          <w:sz w:val="14"/>
          <w:szCs w:val="14"/>
          <w:color w:val="auto"/>
        </w:rPr>
      </w:pPr>
    </w:p>
    <w:p>
      <w:pPr>
        <w:ind w:left="5500" w:hanging="112"/>
        <w:spacing w:after="0"/>
        <w:tabs>
          <w:tab w:leader="none" w:pos="5500"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114 -</w:t>
      </w:r>
    </w:p>
    <w:p>
      <w:pPr>
        <w:sectPr>
          <w:pgSz w:w="11900" w:h="16838" w:orient="portrait"/>
          <w:cols w:equalWidth="0" w:num="1">
            <w:col w:w="11120"/>
          </w:cols>
          <w:pgMar w:left="320" w:top="455" w:right="459" w:bottom="1440" w:gutter="0" w:footer="0" w:header="0"/>
        </w:sectPr>
      </w:pPr>
    </w:p>
    <w:bookmarkStart w:id="117" w:name="page118"/>
    <w:bookmarkEnd w:id="1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540" w:right="240" w:hanging="424"/>
        <w:spacing w:after="0" w:line="233" w:lineRule="auto"/>
        <w:tabs>
          <w:tab w:leader="none" w:pos="540" w:val="left"/>
        </w:tabs>
        <w:numPr>
          <w:ilvl w:val="0"/>
          <w:numId w:val="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intend to rely on preclinical studies and clinical safety assessments from the Demodex blepharitis program. We have not conducted and do not intend to conduct any preclinical studies with TP-03 for the treatment of MGD in order to advance to Phase 2a.</w:t>
      </w:r>
    </w:p>
    <w:p>
      <w:pPr>
        <w:ind w:left="540" w:hanging="424"/>
        <w:spacing w:after="0" w:line="221" w:lineRule="auto"/>
        <w:tabs>
          <w:tab w:leader="none" w:pos="540" w:val="left"/>
        </w:tabs>
        <w:numPr>
          <w:ilvl w:val="0"/>
          <w:numId w:val="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We intend to leverage all preclinical, Phase 2 and Phase 3 data from the TP-03 Demodex blepharitis program. We intend to conduct </w:t>
      </w:r>
      <w:r>
        <w:rPr>
          <w:rFonts w:ascii="Times New Roman" w:cs="Times New Roman" w:eastAsia="Times New Roman" w:hAnsi="Times New Roman"/>
          <w:sz w:val="14"/>
          <w:szCs w:val="14"/>
          <w:i w:val="1"/>
          <w:iCs w:val="1"/>
          <w:color w:val="auto"/>
        </w:rPr>
        <w:t>in vitro</w:t>
      </w:r>
      <w:r>
        <w:rPr>
          <w:rFonts w:ascii="Times New Roman" w:cs="Times New Roman" w:eastAsia="Times New Roman" w:hAnsi="Times New Roman"/>
          <w:sz w:val="14"/>
          <w:szCs w:val="14"/>
          <w:color w:val="auto"/>
        </w:rPr>
        <w:t xml:space="preserve"> or </w:t>
      </w:r>
      <w:r>
        <w:rPr>
          <w:rFonts w:ascii="Times New Roman" w:cs="Times New Roman" w:eastAsia="Times New Roman" w:hAnsi="Times New Roman"/>
          <w:sz w:val="14"/>
          <w:szCs w:val="14"/>
          <w:i w:val="1"/>
          <w:iCs w:val="1"/>
          <w:color w:val="auto"/>
        </w:rPr>
        <w:t>in vivo</w:t>
      </w:r>
      <w:r>
        <w:rPr>
          <w:rFonts w:ascii="Times New Roman" w:cs="Times New Roman" w:eastAsia="Times New Roman" w:hAnsi="Times New Roman"/>
          <w:sz w:val="14"/>
          <w:szCs w:val="14"/>
          <w:color w:val="auto"/>
        </w:rPr>
        <w:t xml:space="preserve"> bioequivalence studies with our</w:t>
      </w:r>
    </w:p>
    <w:p>
      <w:pPr>
        <w:ind w:left="540"/>
        <w:spacing w:after="0" w:line="221" w:lineRule="auto"/>
        <w:rPr>
          <w:sz w:val="20"/>
          <w:szCs w:val="20"/>
          <w:color w:val="auto"/>
        </w:rPr>
      </w:pPr>
      <w:r>
        <w:rPr>
          <w:rFonts w:ascii="Times New Roman" w:cs="Times New Roman" w:eastAsia="Times New Roman" w:hAnsi="Times New Roman"/>
          <w:sz w:val="14"/>
          <w:szCs w:val="14"/>
          <w:color w:val="auto"/>
        </w:rPr>
        <w:t>preservative-free formulation to compare it to the current preserved formulation of TP-03 in Demodex blepharitis after NDA submission and file a supplement.</w:t>
      </w:r>
    </w:p>
    <w:p>
      <w:pPr>
        <w:spacing w:after="0" w:line="1" w:lineRule="exact"/>
        <w:rPr>
          <w:sz w:val="20"/>
          <w:szCs w:val="20"/>
          <w:color w:val="auto"/>
        </w:rPr>
      </w:pPr>
    </w:p>
    <w:p>
      <w:pPr>
        <w:ind w:left="540" w:right="60" w:hanging="424"/>
        <w:spacing w:after="0" w:line="221" w:lineRule="auto"/>
        <w:tabs>
          <w:tab w:leader="none" w:pos="540" w:val="left"/>
        </w:tabs>
        <w:numPr>
          <w:ilvl w:val="0"/>
          <w:numId w:val="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intend to leverage systemic preclinical data from our TP-03 program and augment with additional dermal preclinical studies to select formulation in order to advance to Phase 1/2, which we intend to conduct outside the United States. We may need to address this approach with the FDA if we were to conduct a clinical trial in the United States. We have not conducted any preclinical studies in rosacea with TP-04 to date.</w:t>
      </w:r>
    </w:p>
    <w:p>
      <w:pPr>
        <w:spacing w:after="0" w:line="1" w:lineRule="exact"/>
        <w:rPr>
          <w:sz w:val="20"/>
          <w:szCs w:val="20"/>
          <w:color w:val="auto"/>
        </w:rPr>
      </w:pPr>
    </w:p>
    <w:p>
      <w:pPr>
        <w:ind w:left="540" w:hanging="424"/>
        <w:spacing w:after="0"/>
        <w:tabs>
          <w:tab w:leader="none" w:pos="540" w:val="left"/>
        </w:tabs>
        <w:numPr>
          <w:ilvl w:val="0"/>
          <w:numId w:val="1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relation to Lyme disease and malaria, we intend to leverage oral systemic preclinical data from our TP-03 program as well as third-party oral systemic preclinical studies for Lyme disease or community malaria reduction, respectively (and will not conduct our own preclinical studies for Lyme disease and malaria). The formulations used in preclinical studies use the common approach of a gavage that is scaled as appropriate for use in animals. However, human administration, while continuing to be oral, will take the form of a tablet or capsule. Subject to FDA feedback from our planned pre-IND meeting, we intend to conduct Phase 1/2 trials in these indications based on these preclinical studies. In relation to malaria, we may conduct our Phase 1/2 trial outside the United States. While we plan to discuss this approach for Lyme disease in a planned pre-IND meeting with the FDA, the FDA may reject our use of data from these preclinical studies and require us to conduct additional preclinical studies before advancing to clinical trials, which may delay our expected timelines for approval and increase costs.</w:t>
      </w:r>
    </w:p>
    <w:p>
      <w:pPr>
        <w:spacing w:after="0" w:line="27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Blepharitis: A Significant, Underserved and Underdiagnosed Market</w:t>
      </w:r>
    </w:p>
    <w:p>
      <w:pPr>
        <w:spacing w:after="0" w:line="229" w:lineRule="exact"/>
        <w:rPr>
          <w:sz w:val="20"/>
          <w:szCs w:val="20"/>
          <w:color w:val="auto"/>
        </w:rPr>
      </w:pPr>
    </w:p>
    <w:p>
      <w:pPr>
        <w:ind w:left="120" w:right="60" w:firstLine="881"/>
        <w:spacing w:after="0" w:line="252" w:lineRule="auto"/>
        <w:rPr>
          <w:sz w:val="20"/>
          <w:szCs w:val="20"/>
          <w:color w:val="auto"/>
        </w:rPr>
      </w:pPr>
      <w:r>
        <w:rPr>
          <w:rFonts w:ascii="Times New Roman" w:cs="Times New Roman" w:eastAsia="Times New Roman" w:hAnsi="Times New Roman"/>
          <w:sz w:val="18"/>
          <w:szCs w:val="18"/>
          <w:color w:val="auto"/>
        </w:rPr>
        <w:t>Blepharitis is a common, chronic ophthalmic condition characterized by inflammation of the eyelid margin, redness and ocular irritation. It is also a progressive disease that often manifests with more severe symptoms if left untreated, such as blurring of vision, missing eyelashes, corneal damage and, in extreme cases, blindness. According to published studies, an estimated 20 million patients suffer from blepharitis in the United States, and there is growing recognition within the ophthalmic community about Demodex mites as an underlying cause of blepharitis. Demodex mites are the most common ectoparasite found on humans. Demodex mites potentially cause approximately 45%, or approximately nine million, of blepharitis cases in the United States and we believe that the number of Demodex blepharitis patients in the United States may be as high as approximately 25 million based on our internal research indicating approximately 58% of patients presenting to eye care clinics have collarettes and a published study estimating that at least 45 million people annually visit an eye care clinic. In addition, there is growing awareness among ECPs of a specific type of debris found at the base of the eyelashes, known as collarettes, or cylindrical dandruff, which are highly correlated with Demodex infestation. Collarettes are composed of partially digested epithelial cells, mite waste products and eggs among other things and can be easily diagnosed by ECPs with a standard eye examination. Demodex blepharitis increases progressively with aging, which is the main risk factor for the condition. These aging patients commonly present to the offices of ECPs for other ophthalmic conditions besides blepharitis, such as cataract surgery and contact lens discomfort. Accordingly, we believe that there is significant opportunity to increase the diagnosis rate of Demodex blepharitis through ECP and patient education that encourages examination of the condition in standard practice.</w:t>
      </w:r>
    </w:p>
    <w:p>
      <w:pPr>
        <w:spacing w:after="0" w:line="197" w:lineRule="exact"/>
        <w:rPr>
          <w:sz w:val="20"/>
          <w:szCs w:val="20"/>
          <w:color w:val="auto"/>
        </w:rPr>
      </w:pPr>
    </w:p>
    <w:p>
      <w:pPr>
        <w:ind w:left="120" w:right="180" w:firstLine="881"/>
        <w:spacing w:after="0" w:line="256" w:lineRule="auto"/>
        <w:rPr>
          <w:sz w:val="20"/>
          <w:szCs w:val="20"/>
          <w:color w:val="auto"/>
        </w:rPr>
      </w:pPr>
      <w:r>
        <w:rPr>
          <w:rFonts w:ascii="Times New Roman" w:cs="Times New Roman" w:eastAsia="Times New Roman" w:hAnsi="Times New Roman"/>
          <w:sz w:val="18"/>
          <w:szCs w:val="18"/>
          <w:color w:val="auto"/>
        </w:rPr>
        <w:t>Despite the high prevalence of patients with Demodex blepharitis and growing awareness of the condition amongst ECPs, there are no FDA-approved therapeutics for the treatment of blepharitis or for Demodex blepharitis. Although we believe blepharitis and Demodex blepharitis are significantly underdiagnosed conditions, with limited treatment alternatives, there are already an estimated 2.1 million annual blepharitis diagnoses in the United States with blepharitis classified per the ICD-10-CM. Demodex blepharitis is currently treated with a variety of over the counter remedies such as tea tree oil, lid wipes and artificial tears, as well as off-label prescription products, which often show sub-optimal efficacy, are poorly tolerated and lead to significant irritation and dissatisfaction for patients, and do not eradicate the Demodex mites.</w:t>
      </w:r>
    </w:p>
    <w:p>
      <w:pPr>
        <w:spacing w:after="0" w:line="187" w:lineRule="exact"/>
        <w:rPr>
          <w:sz w:val="20"/>
          <w:szCs w:val="20"/>
          <w:color w:val="auto"/>
        </w:rPr>
      </w:pPr>
    </w:p>
    <w:p>
      <w:pPr>
        <w:ind w:left="120" w:right="120" w:firstLine="881"/>
        <w:spacing w:after="0" w:line="255" w:lineRule="auto"/>
        <w:rPr>
          <w:sz w:val="20"/>
          <w:szCs w:val="20"/>
          <w:color w:val="auto"/>
        </w:rPr>
      </w:pPr>
      <w:r>
        <w:rPr>
          <w:rFonts w:ascii="Times New Roman" w:cs="Times New Roman" w:eastAsia="Times New Roman" w:hAnsi="Times New Roman"/>
          <w:sz w:val="18"/>
          <w:szCs w:val="18"/>
          <w:color w:val="auto"/>
        </w:rPr>
        <w:t>We have conducted epidemiology and market research on the prevalence of blepharitis and potential adoption of TP-03. Our research indicates approximately 58% of patients presenting to ECP offices have collarettes and, based on Gao (2005), all patients with collarettes were also found to have Demodex. This further validates the accessible opportunity to increase diagnosis rates among patients. In addition, our market research suggests the potential for a high level of adoption of TP-03, if approved. In our surveys, we interviewed 50 ECPs, 96% of whom indicated they would prescribe TP-03 as a first-line treatment for Demodex blepharitis after exposure to the TP-03 target product profile. See the section titled “Market Opportunity in Blepharitis—Our Market Research Studies and Surveys” for more information regarding our surveys. Further, patients continue to have underlying risk of</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-115-</w:t>
      </w:r>
    </w:p>
    <w:p>
      <w:pPr>
        <w:sectPr>
          <w:pgSz w:w="11900" w:h="16838" w:orient="portrait"/>
          <w:cols w:equalWidth="0" w:num="1">
            <w:col w:w="11120"/>
          </w:cols>
          <w:pgMar w:left="320" w:top="455" w:right="459" w:bottom="1440" w:gutter="0" w:footer="0" w:header="0"/>
        </w:sectPr>
      </w:pPr>
    </w:p>
    <w:bookmarkStart w:id="118" w:name="page119"/>
    <w:bookmarkEnd w:id="1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Demodex infestation, so there could be a recurrence based on the presence of Demodex mites in the skin even after eradication of Demodex mites from the eyelid. Our Phase 2 data from the Mars and Jupiter clinical trials followed patients to one year after treatment and showed meaningful recurrence of Demodex blepharitis within six to nine months, which increased considerably one year after treatment. We believe this data suggests TP-03, if approved, may be used on a chronic, intermittent basis in Demodex blepharitis.</w:t>
      </w:r>
    </w:p>
    <w:p>
      <w:pPr>
        <w:spacing w:after="0" w:line="180" w:lineRule="exact"/>
        <w:rPr>
          <w:sz w:val="20"/>
          <w:szCs w:val="20"/>
          <w:color w:val="auto"/>
        </w:rPr>
      </w:pPr>
    </w:p>
    <w:p>
      <w:pPr>
        <w:ind w:left="120" w:right="80" w:firstLine="881"/>
        <w:spacing w:after="0" w:line="253" w:lineRule="auto"/>
        <w:rPr>
          <w:sz w:val="20"/>
          <w:szCs w:val="20"/>
          <w:color w:val="auto"/>
        </w:rPr>
      </w:pPr>
      <w:r>
        <w:rPr>
          <w:rFonts w:ascii="Times New Roman" w:cs="Times New Roman" w:eastAsia="Times New Roman" w:hAnsi="Times New Roman"/>
          <w:sz w:val="18"/>
          <w:szCs w:val="18"/>
          <w:color w:val="auto"/>
        </w:rPr>
        <w:t>We believe the blepharitis market has the potential to be analogous to other ophthalmic markets that grew significantly once there was a product to address the large, latent demand for an effective therapy, such as dry eye. For example, another ocular surface disease, dry eye, had no approved therapeutic for the condition until 2003. With the approval of a therapeutic to treat dry eye in 2003 and concurrent ECP and patient education, the diagnosis rate increased by approximately 12 times, growing from 500,000 annual diagnoses in 2003 to over six million annual diagnoses in 2015. Annual diagnoses rates have been maintained at similar levels since 2015. Blepharitis already has 2.1 million diagnoses per year with blepharitis classified per the ICD-10-CM, despite no approved therapies to help with market awareness, but we believe there is potential for significant market expansion. The markets may be analogous because both Demodex blepharitis and dry eye are diseases that affect the front of the eye, are treated by ECPs, can cause an inflamed ocular surface or eyelids and have similar patient demographics. The potential market for Demodex blepharitis, however, may not be analogous to the market for dry eye due to differences in symptoms, regulatory approval and market dynamics and certain other factors. See “Risk Factors – Risk Related to Development and Commercialization of Our Product Candidates—The market for blepharitis and Demodex blepharitis may be not be similar to the market for dry eye.” for additional information and risks related to the comparison of the Demodex blepharitis market to that of dry eye.</w:t>
      </w:r>
    </w:p>
    <w:p>
      <w:pPr>
        <w:spacing w:after="0" w:line="190" w:lineRule="exact"/>
        <w:rPr>
          <w:sz w:val="20"/>
          <w:szCs w:val="20"/>
          <w:color w:val="auto"/>
        </w:rPr>
      </w:pPr>
    </w:p>
    <w:p>
      <w:pPr>
        <w:ind w:left="120" w:right="160" w:firstLine="881"/>
        <w:spacing w:after="0" w:line="282" w:lineRule="auto"/>
        <w:rPr>
          <w:sz w:val="20"/>
          <w:szCs w:val="20"/>
          <w:color w:val="auto"/>
        </w:rPr>
      </w:pPr>
      <w:r>
        <w:rPr>
          <w:rFonts w:ascii="Times New Roman" w:cs="Times New Roman" w:eastAsia="Times New Roman" w:hAnsi="Times New Roman"/>
          <w:sz w:val="18"/>
          <w:szCs w:val="18"/>
          <w:color w:val="auto"/>
        </w:rPr>
        <w:t>We believe there is a significant opportunity to increase the diagnosis rate of Demodex blepharitis and build a significant new market with the approval of a safe and effective therapeutic alternative that addresses the underlying cause of the condition.</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Our Approach: TP-03</w:t>
      </w:r>
    </w:p>
    <w:p>
      <w:pPr>
        <w:spacing w:after="0" w:line="229" w:lineRule="exact"/>
        <w:rPr>
          <w:sz w:val="20"/>
          <w:szCs w:val="20"/>
          <w:color w:val="auto"/>
        </w:rPr>
      </w:pPr>
    </w:p>
    <w:p>
      <w:pPr>
        <w:jc w:val="both"/>
        <w:ind w:left="120" w:right="300" w:firstLine="881"/>
        <w:spacing w:after="0" w:line="266" w:lineRule="auto"/>
        <w:rPr>
          <w:sz w:val="20"/>
          <w:szCs w:val="20"/>
          <w:color w:val="auto"/>
        </w:rPr>
      </w:pPr>
      <w:r>
        <w:rPr>
          <w:rFonts w:ascii="Times New Roman" w:cs="Times New Roman" w:eastAsia="Times New Roman" w:hAnsi="Times New Roman"/>
          <w:sz w:val="18"/>
          <w:szCs w:val="18"/>
          <w:color w:val="auto"/>
        </w:rPr>
        <w:t>We are developing TP-03, formulated as an eye drop, which we believe, if approved, has the potential to become the standard of care for Demodex blepharitis. TP-03 is a novel therapeutic based on the drug, lotilaner, which is designed to paralyze and eradicate mites and other parasites through the inhibition of parasite-specific GABA-Cl channels.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-116-</w:t>
      </w:r>
    </w:p>
    <w:p>
      <w:pPr>
        <w:sectPr>
          <w:pgSz w:w="11900" w:h="16838" w:orient="portrait"/>
          <w:cols w:equalWidth="0" w:num="1">
            <w:col w:w="11120"/>
          </w:cols>
          <w:pgMar w:left="320" w:top="455" w:right="459" w:bottom="1440" w:gutter="0" w:footer="0" w:header="0"/>
        </w:sectPr>
      </w:pPr>
    </w:p>
    <w:bookmarkStart w:id="119" w:name="page120"/>
    <w:bookmarkEnd w:id="1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The following figure provides the characteristics of TP-03 in the Saturn-1 Phase 2b/3 clinical trial:</w:t>
      </w:r>
    </w:p>
    <w:p>
      <w:pPr>
        <w:spacing w:after="0" w:line="22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Figure 2: Characteristics of TP-03 in the Saturn-1 Phase 2b/3 Clinical Trial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173990</wp:posOffset>
            </wp:positionV>
            <wp:extent cx="5194935" cy="234886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194935" cy="2348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120" w:firstLine="881"/>
        <w:spacing w:after="0" w:line="252" w:lineRule="auto"/>
        <w:rPr>
          <w:sz w:val="20"/>
          <w:szCs w:val="20"/>
          <w:color w:val="auto"/>
        </w:rPr>
      </w:pPr>
      <w:r>
        <w:rPr>
          <w:rFonts w:ascii="Times New Roman" w:cs="Times New Roman" w:eastAsia="Times New Roman" w:hAnsi="Times New Roman"/>
          <w:sz w:val="18"/>
          <w:szCs w:val="18"/>
          <w:color w:val="auto"/>
        </w:rPr>
        <w:t xml:space="preserve">We have completed four Phase 2 clinical trials to date, along with one additional </w:t>
      </w:r>
      <w:r>
        <w:rPr>
          <w:rFonts w:ascii="Times New Roman" w:cs="Times New Roman" w:eastAsia="Times New Roman" w:hAnsi="Times New Roman"/>
          <w:sz w:val="18"/>
          <w:szCs w:val="18"/>
          <w:i w:val="1"/>
          <w:iCs w:val="1"/>
          <w:color w:val="auto"/>
        </w:rPr>
        <w:t>ex vivo</w:t>
      </w:r>
      <w:r>
        <w:rPr>
          <w:rFonts w:ascii="Times New Roman" w:cs="Times New Roman" w:eastAsia="Times New Roman" w:hAnsi="Times New Roman"/>
          <w:sz w:val="18"/>
          <w:szCs w:val="18"/>
          <w:color w:val="auto"/>
        </w:rPr>
        <w:t xml:space="preserve"> study. Key efficacy endpoints for our Mars and Jupiter clinical trials included collarette grade and mite density and key efficacy endpoints for our Io and Europa clinical trials included collarette cure rate based on collarette grade, which we refer to herein as collarette cure rate, and mite eradication rate. TP-03 met its primary, secondary and/or exploratory endpoints, as applicable, in such trials, and showed statistically significant cure and eradication rates in our two most recent trials, Io and Europa. TP-03 was generally well tolerated throughout these trials. The Phase 2a Mars trial was a smaller single arm trial evaluating the safety and efficacy of TP-03 with a 28-day twice per day, or BID, dosing regimen, with exploratory endpoints including collarette grade and mite density. We utilized the data from the exploratory endpoints to determine collarette cure rate, defined as 10 or fewer collarettes, and mite eradication rate, defined as zero mites per lash. Both collarette cure and mite eradication rates were assessed at 28 days, which were 86% and 57%, respectively. The Phase 2b Jupiter trial was a larger randomized, controlled double-blind trial with mite density and collarette grade as primary and secondary endpoints, respectively. Similarly to the Mars trial, we utilized the collarette grade and mite density data to determine collarette cure and mite eradication rates, which were both defined consistently with those used in the Mars trial. The efficacy observed in the Jupiter trial appeared consistent with the Mars trial, with a collarette cure rate of 88%, and mite eradication rate of 66%, which were statistically significant compared to the vehicle control. We subsequently conducted the Io Phase 2a and Europa Phase 2b trials to evaluate the safety and efficacy of TP-03 formulation for the treatment of Demodex blepharitis. The design of the Io trial took into account feedback from the FDA, and accordingly we defined collarette cure rate as a more stringent standard of two or fewer collarettes on the eyelid, with a treatment duration of 42 days. In the Io trial, we utilized for the first time in clinical trials the formulation of TP-03 that is expected to support our NDA submission for Demodex blepharitis. The change in formulation consisted of replacing LAK with sorbate as the preservative as well as adding a chelating agent. The key differences between the Io and Europa trials, were that Io was a smaller single-arm trial, while Europa was a slightly larger randomized vehicle-controlled trial. The endpoints achieved in Io and Europa were consistent across both trials, with a collarette cure rate of 72% and 80%, respectively, and a mite eradication rate of 78% and 73%, respectively. The achievement of primary, secondary and/or exploratory endpoints, as applicable, in such trials, and safety results across our comprehensive Phase 2 program provided us with the basis to design and initiate our pivotal Phase 2b/3 and Phase 3 clinical trials for TP-03 for the treatment of Demodex blepharitis.</w:t>
      </w:r>
    </w:p>
    <w:p>
      <w:pPr>
        <w:spacing w:after="0" w:line="12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-117-</w:t>
      </w:r>
    </w:p>
    <w:p>
      <w:pPr>
        <w:sectPr>
          <w:pgSz w:w="11900" w:h="16838" w:orient="portrait"/>
          <w:cols w:equalWidth="0" w:num="1">
            <w:col w:w="11060"/>
          </w:cols>
          <w:pgMar w:left="320" w:top="455" w:right="519" w:bottom="1440" w:gutter="0" w:footer="0" w:header="0"/>
        </w:sectPr>
      </w:pPr>
    </w:p>
    <w:bookmarkStart w:id="120" w:name="page121"/>
    <w:bookmarkEnd w:id="1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The following figure provides a summary of our completed and planned clinical investigations evaluating TP-03 for Demodex blepharitis:</w:t>
      </w:r>
    </w:p>
    <w:p>
      <w:pPr>
        <w:spacing w:after="0" w:line="2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Figure 3: Our Completed and Planned Clinical Investigations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19685</wp:posOffset>
            </wp:positionV>
            <wp:extent cx="5177790" cy="298323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177790" cy="2983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both"/>
        <w:ind w:left="540" w:right="200" w:hanging="424"/>
        <w:spacing w:after="0" w:line="233" w:lineRule="auto"/>
        <w:tabs>
          <w:tab w:leader="none" w:pos="540" w:val="left"/>
        </w:tabs>
        <w:numPr>
          <w:ilvl w:val="0"/>
          <w:numId w:val="1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Mars and Jupiter trials used collarette grade as an endpoint, which has been translated into a collarette cure (defined as £10 collarettes). This is different from the collarette cure (defined as £2 collarettes) endpoint used in Io, Europa, Saturn-1 and the planned Saturn-2 trials. The Mars and Jupiter trials also used mite density as an endpoint, which is different</w:t>
      </w:r>
    </w:p>
    <w:p>
      <w:pPr>
        <w:ind w:left="540"/>
        <w:spacing w:after="0" w:line="222" w:lineRule="auto"/>
        <w:rPr>
          <w:sz w:val="20"/>
          <w:szCs w:val="20"/>
          <w:color w:val="auto"/>
        </w:rPr>
      </w:pPr>
      <w:r>
        <w:rPr>
          <w:rFonts w:ascii="Times New Roman" w:cs="Times New Roman" w:eastAsia="Times New Roman" w:hAnsi="Times New Roman"/>
          <w:sz w:val="14"/>
          <w:szCs w:val="14"/>
          <w:color w:val="auto"/>
        </w:rPr>
        <w:t>from mite eradication. Mite density is translated into mite eradication, which is defined as zero mites per lash consistently throughout trials.</w:t>
      </w:r>
    </w:p>
    <w:p>
      <w:pPr>
        <w:ind w:left="540" w:hanging="424"/>
        <w:spacing w:after="0" w:line="221" w:lineRule="auto"/>
        <w:tabs>
          <w:tab w:leader="none" w:pos="540" w:val="left"/>
        </w:tabs>
        <w:numPr>
          <w:ilvl w:val="0"/>
          <w:numId w:val="10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Primary endpoint in Io, Europa, Saturn-1 and intended in Saturn-2 is collarette cure based on collarette grade.</w:t>
      </w:r>
    </w:p>
    <w:p>
      <w:pPr>
        <w:ind w:left="540" w:hanging="424"/>
        <w:spacing w:after="0" w:line="221" w:lineRule="auto"/>
        <w:tabs>
          <w:tab w:leader="none" w:pos="540" w:val="left"/>
        </w:tabs>
        <w:numPr>
          <w:ilvl w:val="0"/>
          <w:numId w:val="10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connection with our IND application, a no-objection letter was received from the FDA regarding the trial design of the Saturn-1 trial.</w:t>
      </w:r>
    </w:p>
    <w:p>
      <w:pPr>
        <w:spacing w:after="0" w:line="1" w:lineRule="exact"/>
        <w:rPr>
          <w:sz w:val="20"/>
          <w:szCs w:val="20"/>
          <w:color w:val="auto"/>
        </w:rPr>
      </w:pPr>
    </w:p>
    <w:p>
      <w:pPr>
        <w:ind w:left="540" w:hanging="424"/>
        <w:spacing w:after="0"/>
        <w:tabs>
          <w:tab w:leader="none" w:pos="540" w:val="left"/>
        </w:tabs>
        <w:numPr>
          <w:ilvl w:val="0"/>
          <w:numId w:val="1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Saturn-2 design is highly comparable to that of Saturn-1 with respect to which the FDA raised “no-objection” and we expect to update the IND protocol prior to commencing Saturn-2.</w:t>
      </w:r>
    </w:p>
    <w:p>
      <w:pPr>
        <w:spacing w:after="0" w:line="192" w:lineRule="exact"/>
        <w:rPr>
          <w:sz w:val="20"/>
          <w:szCs w:val="20"/>
          <w:color w:val="auto"/>
        </w:rPr>
      </w:pPr>
    </w:p>
    <w:p>
      <w:pPr>
        <w:ind w:left="120" w:right="60" w:firstLine="881"/>
        <w:spacing w:after="0" w:line="254" w:lineRule="auto"/>
        <w:rPr>
          <w:sz w:val="20"/>
          <w:szCs w:val="20"/>
          <w:color w:val="auto"/>
        </w:rPr>
      </w:pPr>
      <w:r>
        <w:rPr>
          <w:rFonts w:ascii="Times New Roman" w:cs="Times New Roman" w:eastAsia="Times New Roman" w:hAnsi="Times New Roman"/>
          <w:sz w:val="18"/>
          <w:szCs w:val="18"/>
          <w:color w:val="auto"/>
        </w:rPr>
        <w:t>We plan to evaluate TP-03 in two pivotal registration trials, referred to as Saturn-1 and Saturn-2. Saturn-1 is a Phase 2b/3, randomized, controlled, double-blind trial to evaluate the safety and efficacy of TP-03 that is expected to enroll at least 350 Demodex blepharitis patients in multiple centers in the United States. We commenced Saturn-1 in September 2020 and top-line data is expected in 2021, subject to the impact of the ongoing COVID-19 pandemic. Saturn-2, our confirmatory Phase 3 randomized, controlled, double-blind trial, has a highly comparable design to that of Saturn-1 and is also expected to enroll approximately 350 Demodex blepharitis patients. Enrollment of Saturn-2 is expected to begin in 2021, subject to the impact of the ongoing COVID-19 pandemic. In connection with our IND application, we have received a “no-objection” letter from the FDA regarding the trial design for Saturn-1. The trial design for Saturn-2 is highly comparable to that of Saturn-1 and we expect to update the IND protocol prior to commencing Saturn-2. We expect these trials to support the potential submission of an NDA for TP-03 for the treatment of Demodex blepharitis.</w:t>
      </w:r>
    </w:p>
    <w:p>
      <w:pPr>
        <w:spacing w:after="0" w:line="192" w:lineRule="exact"/>
        <w:rPr>
          <w:sz w:val="20"/>
          <w:szCs w:val="20"/>
          <w:color w:val="auto"/>
        </w:rPr>
      </w:pPr>
    </w:p>
    <w:p>
      <w:pPr>
        <w:ind w:left="120" w:right="40" w:firstLine="881"/>
        <w:spacing w:after="0" w:line="258" w:lineRule="auto"/>
        <w:rPr>
          <w:sz w:val="20"/>
          <w:szCs w:val="20"/>
          <w:color w:val="auto"/>
        </w:rPr>
      </w:pPr>
      <w:r>
        <w:rPr>
          <w:rFonts w:ascii="Times New Roman" w:cs="Times New Roman" w:eastAsia="Times New Roman" w:hAnsi="Times New Roman"/>
          <w:sz w:val="18"/>
          <w:szCs w:val="18"/>
          <w:color w:val="auto"/>
        </w:rPr>
        <w:t xml:space="preserve">We also intend to explore the therapeutic potential of TP-03 for a second ophthalmic condition, MGD, commonly characterized in part by a widespread clogging of the meibomian glands that can result in tear film deficiency, and is one of the leading causes of dry eye disease. There are no FDA-approved therapeutics for MGD. In the United States, MGD prevalence has been found to be approximately two-thirds of the estimated 34 million dry eye patient population. One species of Demodex mite, </w:t>
      </w:r>
      <w:r>
        <w:rPr>
          <w:rFonts w:ascii="Times New Roman" w:cs="Times New Roman" w:eastAsia="Times New Roman" w:hAnsi="Times New Roman"/>
          <w:sz w:val="18"/>
          <w:szCs w:val="18"/>
          <w:i w:val="1"/>
          <w:iCs w:val="1"/>
          <w:color w:val="auto"/>
        </w:rPr>
        <w:t>Demodex brevis</w:t>
      </w:r>
      <w:r>
        <w:rPr>
          <w:rFonts w:ascii="Times New Roman" w:cs="Times New Roman" w:eastAsia="Times New Roman" w:hAnsi="Times New Roman"/>
          <w:sz w:val="18"/>
          <w:szCs w:val="18"/>
          <w:color w:val="auto"/>
        </w:rPr>
        <w:t xml:space="preserve">, is known to infest the meibomian gland, and clinical signs of MGD have been shown to be correlated with infestation of </w:t>
      </w:r>
      <w:r>
        <w:rPr>
          <w:rFonts w:ascii="Times New Roman" w:cs="Times New Roman" w:eastAsia="Times New Roman" w:hAnsi="Times New Roman"/>
          <w:sz w:val="18"/>
          <w:szCs w:val="18"/>
          <w:i w:val="1"/>
          <w:iCs w:val="1"/>
          <w:color w:val="auto"/>
        </w:rPr>
        <w:t>Demodex</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-118-</w:t>
      </w:r>
    </w:p>
    <w:p>
      <w:pPr>
        <w:sectPr>
          <w:pgSz w:w="11900" w:h="16838" w:orient="portrait"/>
          <w:cols w:equalWidth="0" w:num="1">
            <w:col w:w="11120"/>
          </w:cols>
          <w:pgMar w:left="320" w:top="455" w:right="459" w:bottom="1440" w:gutter="0" w:footer="0" w:header="0"/>
        </w:sectPr>
      </w:pPr>
    </w:p>
    <w:bookmarkStart w:id="121" w:name="page122"/>
    <w:bookmarkEnd w:id="1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ind w:left="120" w:right="240"/>
        <w:spacing w:after="0" w:line="284" w:lineRule="auto"/>
        <w:rPr>
          <w:sz w:val="20"/>
          <w:szCs w:val="20"/>
          <w:color w:val="auto"/>
        </w:rPr>
      </w:pPr>
      <w:r>
        <w:rPr>
          <w:rFonts w:ascii="Times New Roman" w:cs="Times New Roman" w:eastAsia="Times New Roman" w:hAnsi="Times New Roman"/>
          <w:sz w:val="18"/>
          <w:szCs w:val="18"/>
          <w:i w:val="1"/>
          <w:iCs w:val="1"/>
          <w:color w:val="auto"/>
        </w:rPr>
        <w:t>brevis</w:t>
      </w:r>
      <w:r>
        <w:rPr>
          <w:rFonts w:ascii="Times New Roman" w:cs="Times New Roman" w:eastAsia="Times New Roman" w:hAnsi="Times New Roman"/>
          <w:sz w:val="18"/>
          <w:szCs w:val="18"/>
          <w:color w:val="auto"/>
        </w:rPr>
        <w:t>. While dry eye is a multi-factorial disease, TP-03 is designed to relieve some of the key elements of MGD by virtue of causing the death of the</w:t>
      </w:r>
      <w:r>
        <w:rPr>
          <w:rFonts w:ascii="Times New Roman" w:cs="Times New Roman" w:eastAsia="Times New Roman" w:hAnsi="Times New Roman"/>
          <w:sz w:val="18"/>
          <w:szCs w:val="18"/>
          <w:i w:val="1"/>
          <w:iCs w:val="1"/>
          <w:color w:val="auto"/>
        </w:rPr>
        <w:t xml:space="preserve"> Demodex brevis </w:t>
      </w:r>
      <w:r>
        <w:rPr>
          <w:rFonts w:ascii="Times New Roman" w:cs="Times New Roman" w:eastAsia="Times New Roman" w:hAnsi="Times New Roman"/>
          <w:sz w:val="18"/>
          <w:szCs w:val="18"/>
          <w:color w:val="auto"/>
        </w:rPr>
        <w:t>mites.</w:t>
      </w:r>
    </w:p>
    <w:p>
      <w:pPr>
        <w:spacing w:after="0" w:line="160" w:lineRule="exact"/>
        <w:rPr>
          <w:sz w:val="20"/>
          <w:szCs w:val="20"/>
          <w:color w:val="auto"/>
        </w:rPr>
      </w:pPr>
    </w:p>
    <w:p>
      <w:pPr>
        <w:jc w:val="both"/>
        <w:ind w:left="120" w:right="460" w:firstLine="881"/>
        <w:spacing w:after="0" w:line="266" w:lineRule="auto"/>
        <w:rPr>
          <w:sz w:val="20"/>
          <w:szCs w:val="20"/>
          <w:color w:val="auto"/>
        </w:rPr>
      </w:pPr>
      <w:r>
        <w:rPr>
          <w:rFonts w:ascii="Times New Roman" w:cs="Times New Roman" w:eastAsia="Times New Roman" w:hAnsi="Times New Roman"/>
          <w:sz w:val="18"/>
          <w:szCs w:val="18"/>
          <w:color w:val="auto"/>
        </w:rPr>
        <w:t>Beyond TP-03, we are developing additional clinical-stage product candidates focused on expanding into other therapeutic categories, including dermatology and other diseases with high, unmet needs. These include TP-04 for the potential treatment of rosacea as well as TP-05 for potential Lyme prophylaxis and community malaria reduction.</w:t>
      </w:r>
    </w:p>
    <w:p>
      <w:pPr>
        <w:spacing w:after="0" w:line="176" w:lineRule="exact"/>
        <w:rPr>
          <w:sz w:val="20"/>
          <w:szCs w:val="20"/>
          <w:color w:val="auto"/>
        </w:rPr>
      </w:pPr>
    </w:p>
    <w:p>
      <w:pPr>
        <w:ind w:left="120" w:firstLine="881"/>
        <w:spacing w:after="0" w:line="258" w:lineRule="auto"/>
        <w:rPr>
          <w:sz w:val="20"/>
          <w:szCs w:val="20"/>
          <w:color w:val="auto"/>
        </w:rPr>
      </w:pPr>
      <w:r>
        <w:rPr>
          <w:rFonts w:ascii="Times New Roman" w:cs="Times New Roman" w:eastAsia="Times New Roman" w:hAnsi="Times New Roman"/>
          <w:sz w:val="18"/>
          <w:szCs w:val="18"/>
          <w:color w:val="auto"/>
        </w:rPr>
        <w:t>Rosacea is a chronic skin disease characterized by facial redness, inflammatory lesions, burning and stinging, which can flare up in response to certain triggers such as sun exposure or emotional stress. According to the U.S. National Rosacea Society, approximately 16 million people in the United States are affected by rosacea and a study estimates rosacea prevalence can represent up to 5.4% of the global population. We intend to develop TP-04 as a topical formulation, and we plan to initiate a Phase 1/2 trial of TP-04 outside the United States, for the treatment of rosacea in 2021. In anticipation of such trial, we intend to initiate preclinical studies in 2020 to select Phase 1/2 formulation for TP-04.</w:t>
      </w:r>
    </w:p>
    <w:p>
      <w:pPr>
        <w:spacing w:after="0" w:line="183" w:lineRule="exact"/>
        <w:rPr>
          <w:sz w:val="20"/>
          <w:szCs w:val="20"/>
          <w:color w:val="auto"/>
        </w:rPr>
      </w:pPr>
    </w:p>
    <w:p>
      <w:pPr>
        <w:ind w:left="120" w:firstLine="881"/>
        <w:spacing w:after="0" w:line="254" w:lineRule="auto"/>
        <w:rPr>
          <w:sz w:val="20"/>
          <w:szCs w:val="20"/>
          <w:color w:val="auto"/>
        </w:rPr>
      </w:pPr>
      <w:r>
        <w:rPr>
          <w:rFonts w:ascii="Times New Roman" w:cs="Times New Roman" w:eastAsia="Times New Roman" w:hAnsi="Times New Roman"/>
          <w:sz w:val="18"/>
          <w:szCs w:val="18"/>
          <w:color w:val="auto"/>
        </w:rPr>
        <w:t>Lyme disease is the most common vector-borne disease in the United States, caused by infection of Borrelia bacteria following bite by a tick vector. Estimates of annual cases of Lyme disease in the United States range from approximately 300,000 to 400,000. Malaria is one of the world’s highest unmet public health needs, with approximately 228 million cases and more than 400,000 deaths caused by malaria worldwide. We are developing TP-05 as an oral formulation that is designed as a prophylactic drug against Lyme disease to eradicate the tick before it can transmit the Borrelia bacteria. Further, we believe TP-05 also has the potential to significantly reduce malaria transmission through reducing the lifespan of mosquitos that transmit malaria. This may in turn provide herd protection against the spread of malaria. TP-05 is not intended to treat the disease, but to limit its transmission. We plan to obtain FDA feedback in a pre-IND meeting and submit an IND and initiate a Phase 1/2 trial of TP-05 for Lyme disease in 2021. For malaria, we may conduct the Phase 1/2 trial outside of the United States.</w:t>
      </w:r>
    </w:p>
    <w:p>
      <w:pPr>
        <w:spacing w:after="0" w:line="1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Our Strengths and Differentiation</w:t>
      </w:r>
    </w:p>
    <w:p>
      <w:pPr>
        <w:spacing w:after="0" w:line="22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We believe our company and our product candidates have the following key distinguishing characteristics:</w:t>
      </w:r>
    </w:p>
    <w:p>
      <w:pPr>
        <w:spacing w:after="0" w:line="248" w:lineRule="exact"/>
        <w:rPr>
          <w:sz w:val="20"/>
          <w:szCs w:val="20"/>
          <w:color w:val="auto"/>
        </w:rPr>
      </w:pPr>
    </w:p>
    <w:p>
      <w:pPr>
        <w:ind w:left="1420" w:right="20" w:hanging="319"/>
        <w:spacing w:after="0" w:line="253" w:lineRule="auto"/>
        <w:tabs>
          <w:tab w:leader="none" w:pos="142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TP-03 is currently in Phase 2b/3 and has met various endpoints for efficacy in Phase 2 trials. </w:t>
      </w:r>
      <w:r>
        <w:rPr>
          <w:rFonts w:ascii="Times New Roman" w:cs="Times New Roman" w:eastAsia="Times New Roman" w:hAnsi="Times New Roman"/>
          <w:sz w:val="18"/>
          <w:szCs w:val="18"/>
          <w:color w:val="auto"/>
        </w:rPr>
        <w:t>We have observed TP-03’s clinical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results across our four Phase 2 clinical trials – Mars, Jupiter, Io, and Europa – in which treatment with TP-03 resulted in the achievement of primary, secondary and/or exploratory endpoints, as applicable, in such trials, and we observed that TP-03 was well tolerated. Our Phase 2b/3 trial, Saturn-1, and our Phase 3 trial, Saturn-2, are utilizing or are expected to utilize trial designs that are comparable in many respects to those of the Phase 2 Io and Europa trials. The trial designs for Saturn-1 and Saturn-2 are, however, expected to be more stringent than those for Io and Europa. Saturn-1 is expected to enroll at least 350 patients and Saturn-2 is expected to enroll approximately 350 patients, which is substantially more patients compared to a maximum of 54 patients in the Europa trial, have a longer safety protocol (Saturn-1 only, which will follow subjects to safety for one year as opposed to 42 days) and enroll patients in multiple locations in the United States (as opposed to one location in Mexico). In connection with our IND application, we have received a “no-objection” letter from the FDA regarding the trial design for Saturn-1. The trial design for Saturn-2 is highly comparable to that of Saturn-1 and we expect to update the IND protocol prior to commencing Saturn-2. We commenced Saturn-1 in September 2020.</w:t>
      </w:r>
    </w:p>
    <w:p>
      <w:pPr>
        <w:spacing w:after="0" w:line="216" w:lineRule="exact"/>
        <w:rPr>
          <w:rFonts w:ascii="Times New Roman" w:cs="Times New Roman" w:eastAsia="Times New Roman" w:hAnsi="Times New Roman"/>
          <w:sz w:val="18"/>
          <w:szCs w:val="18"/>
          <w:color w:val="auto"/>
        </w:rPr>
      </w:pPr>
    </w:p>
    <w:p>
      <w:pPr>
        <w:ind w:left="1420" w:right="40" w:hanging="319"/>
        <w:spacing w:after="0" w:line="268" w:lineRule="auto"/>
        <w:tabs>
          <w:tab w:leader="none" w:pos="142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Large, underserved and underdiagnosed blepharitis market with a significant opportunity for growth. </w:t>
      </w:r>
      <w:r>
        <w:rPr>
          <w:rFonts w:ascii="Times New Roman" w:cs="Times New Roman" w:eastAsia="Times New Roman" w:hAnsi="Times New Roman"/>
          <w:sz w:val="18"/>
          <w:szCs w:val="18"/>
          <w:color w:val="auto"/>
        </w:rPr>
        <w:t>Although we believe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blepharitis and Demodex blepharitis are significantly underdiagnosed conditions, with limited treatment alternatives, there are already an estimated 2.1 million annual blepharitis diagnoses in the United States, with blepharitis classified per ICD-10-CM. However, we</w:t>
      </w:r>
    </w:p>
    <w:p>
      <w:pPr>
        <w:spacing w:after="0" w:line="107" w:lineRule="exact"/>
        <w:rPr>
          <w:rFonts w:ascii="Times New Roman" w:cs="Times New Roman" w:eastAsia="Times New Roman" w:hAnsi="Times New Roman"/>
          <w:sz w:val="18"/>
          <w:szCs w:val="18"/>
          <w:color w:val="auto"/>
        </w:rPr>
      </w:pPr>
    </w:p>
    <w:p>
      <w:pPr>
        <w:ind w:left="5500" w:hanging="112"/>
        <w:spacing w:after="0"/>
        <w:tabs>
          <w:tab w:leader="none" w:pos="5500"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119 -</w:t>
      </w:r>
    </w:p>
    <w:p>
      <w:pPr>
        <w:sectPr>
          <w:pgSz w:w="11900" w:h="16838" w:orient="portrait"/>
          <w:cols w:equalWidth="0" w:num="1">
            <w:col w:w="11120"/>
          </w:cols>
          <w:pgMar w:left="320" w:top="455" w:right="459" w:bottom="1440" w:gutter="0" w:footer="0" w:header="0"/>
        </w:sectPr>
      </w:pPr>
    </w:p>
    <w:bookmarkStart w:id="122" w:name="page123"/>
    <w:bookmarkEnd w:id="1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420" w:right="60"/>
        <w:spacing w:after="0" w:line="258" w:lineRule="auto"/>
        <w:rPr>
          <w:sz w:val="20"/>
          <w:szCs w:val="20"/>
          <w:color w:val="auto"/>
        </w:rPr>
      </w:pPr>
      <w:r>
        <w:rPr>
          <w:rFonts w:ascii="Times New Roman" w:cs="Times New Roman" w:eastAsia="Times New Roman" w:hAnsi="Times New Roman"/>
          <w:sz w:val="18"/>
          <w:szCs w:val="18"/>
          <w:color w:val="auto"/>
        </w:rPr>
        <w:t>believe the market opportunity may be substantially larger. According to published studies, there are an estimated 20 million patients in the United States that suffer from blepharitis with approximately 45%, or approximately nine million, of cases caused by Demodex infestation and we believe the number of Demodex blepharitis cases may be higher. We believe the blepharitis market may be analogous to other ophthalmic markets where diagnoses grew significantly once there was a product to address the large, latent demand for an effective therapy.</w:t>
      </w:r>
    </w:p>
    <w:p>
      <w:pPr>
        <w:spacing w:after="0" w:line="206" w:lineRule="exact"/>
        <w:rPr>
          <w:sz w:val="20"/>
          <w:szCs w:val="20"/>
          <w:color w:val="auto"/>
        </w:rPr>
      </w:pPr>
    </w:p>
    <w:p>
      <w:pPr>
        <w:ind w:left="1420" w:right="120" w:hanging="319"/>
        <w:spacing w:after="0" w:line="262" w:lineRule="auto"/>
        <w:tabs>
          <w:tab w:leader="none" w:pos="142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Novel chemistry developed for the first time in human medicine. </w:t>
      </w:r>
      <w:r>
        <w:rPr>
          <w:rFonts w:ascii="Times New Roman" w:cs="Times New Roman" w:eastAsia="Times New Roman" w:hAnsi="Times New Roman"/>
          <w:sz w:val="18"/>
          <w:szCs w:val="18"/>
          <w:color w:val="auto"/>
        </w:rPr>
        <w:t>Our current therapeutic strategy is focused on the clinical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development of, for the first time in human medicine, the novel drug, lotilaner, which is designed to paralyze and eradicate mites and other parasites through the inhibition of parasite-specific GABA-Cl channels. Our pipeline aims to address a number of diseases across therapeutic categories including eye care, dermatology and other diseases with high, unmet needs.</w:t>
      </w:r>
    </w:p>
    <w:p>
      <w:pPr>
        <w:spacing w:after="0" w:line="203" w:lineRule="exact"/>
        <w:rPr>
          <w:rFonts w:ascii="Times New Roman" w:cs="Times New Roman" w:eastAsia="Times New Roman" w:hAnsi="Times New Roman"/>
          <w:sz w:val="18"/>
          <w:szCs w:val="18"/>
          <w:color w:val="auto"/>
        </w:rPr>
      </w:pPr>
    </w:p>
    <w:p>
      <w:pPr>
        <w:ind w:left="1420" w:hanging="319"/>
        <w:spacing w:after="0" w:line="256" w:lineRule="auto"/>
        <w:tabs>
          <w:tab w:leader="none" w:pos="142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Additional opportunities beyond Demodex blepharitis. </w:t>
      </w:r>
      <w:r>
        <w:rPr>
          <w:rFonts w:ascii="Times New Roman" w:cs="Times New Roman" w:eastAsia="Times New Roman" w:hAnsi="Times New Roman"/>
          <w:sz w:val="18"/>
          <w:szCs w:val="18"/>
          <w:color w:val="auto"/>
        </w:rPr>
        <w:t>Like blepharitis, MGD may also be caused by Demodex infestation, and we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intend to explore the therapeutic potential for TP-03 in this indication. In the United States, MGD prevalence has been found to be approximately two-thirds of that of the estimated 34 million dry eye patient population. Further, we are developing TP-04 for the potential treatment of rosacea, a condition that affects approximately 16 million patients per year in the United States and TP-05 for potential prophylaxis of Lyme and community malaria reduction. Annual estimates of Lyme disease in the United States range from approximately 300,000 to 400,000. Malaria is one of the world’s highest unmet public health needs, with approximately 228 million cases and more than 400,000 deaths due to malaria globally in 2018 alone.</w:t>
      </w:r>
    </w:p>
    <w:p>
      <w:pPr>
        <w:spacing w:after="0" w:line="209" w:lineRule="exact"/>
        <w:rPr>
          <w:rFonts w:ascii="Times New Roman" w:cs="Times New Roman" w:eastAsia="Times New Roman" w:hAnsi="Times New Roman"/>
          <w:sz w:val="18"/>
          <w:szCs w:val="18"/>
          <w:color w:val="auto"/>
        </w:rPr>
      </w:pPr>
    </w:p>
    <w:p>
      <w:pPr>
        <w:ind w:left="1420" w:right="20" w:hanging="319"/>
        <w:spacing w:after="0" w:line="259" w:lineRule="auto"/>
        <w:tabs>
          <w:tab w:leader="none" w:pos="142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Experienced management team and board of directors supported by high quality investor base. </w:t>
      </w:r>
      <w:r>
        <w:rPr>
          <w:rFonts w:ascii="Times New Roman" w:cs="Times New Roman" w:eastAsia="Times New Roman" w:hAnsi="Times New Roman"/>
          <w:sz w:val="18"/>
          <w:szCs w:val="18"/>
          <w:color w:val="auto"/>
        </w:rPr>
        <w:t>We have built a leadership team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significant experience in developing and commercializing therapeutic products for ophthalmic conditions. Our management team and board of directors have founded and led several companies in the ophthalmic care space, including Oyster Point Pharma and Oculeve, and have been pivotal in the development and commercialization of various leading ophthalmic products, including the dry eye therapy, Restasis.</w:t>
      </w:r>
    </w:p>
    <w:p>
      <w:pPr>
        <w:spacing w:after="0" w:line="1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Our Strategy</w:t>
      </w:r>
    </w:p>
    <w:p>
      <w:pPr>
        <w:spacing w:after="0" w:line="229" w:lineRule="exact"/>
        <w:rPr>
          <w:sz w:val="20"/>
          <w:szCs w:val="20"/>
          <w:color w:val="auto"/>
        </w:rPr>
      </w:pPr>
    </w:p>
    <w:p>
      <w:pPr>
        <w:jc w:val="both"/>
        <w:ind w:left="120" w:right="220" w:firstLine="881"/>
        <w:spacing w:after="0" w:line="266" w:lineRule="auto"/>
        <w:rPr>
          <w:sz w:val="20"/>
          <w:szCs w:val="20"/>
          <w:color w:val="auto"/>
        </w:rPr>
      </w:pPr>
      <w:r>
        <w:rPr>
          <w:rFonts w:ascii="Times New Roman" w:cs="Times New Roman" w:eastAsia="Times New Roman" w:hAnsi="Times New Roman"/>
          <w:sz w:val="18"/>
          <w:szCs w:val="18"/>
          <w:color w:val="auto"/>
        </w:rPr>
        <w:t>Our goal is to transform the treatment of Demodex blepharitis with a first ever FDA approved pharmaceutical therapeutic, and to develop our pipeline of innovative therapies that target certain parasite-mediated diseases with large market opportunities. We intend to achieve these goals by pursuing the following key strategic objectives:</w:t>
      </w:r>
    </w:p>
    <w:p>
      <w:pPr>
        <w:spacing w:after="0" w:line="199" w:lineRule="exact"/>
        <w:rPr>
          <w:sz w:val="20"/>
          <w:szCs w:val="20"/>
          <w:color w:val="auto"/>
        </w:rPr>
      </w:pPr>
    </w:p>
    <w:p>
      <w:pPr>
        <w:ind w:left="1420" w:right="40" w:hanging="319"/>
        <w:spacing w:after="0" w:line="257" w:lineRule="auto"/>
        <w:tabs>
          <w:tab w:leader="none" w:pos="142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Advance TP-03 through clinical development and eventual approval for the treatment of Demodex blepharitis. </w:t>
      </w:r>
      <w:r>
        <w:rPr>
          <w:rFonts w:ascii="Times New Roman" w:cs="Times New Roman" w:eastAsia="Times New Roman" w:hAnsi="Times New Roman"/>
          <w:sz w:val="18"/>
          <w:szCs w:val="18"/>
          <w:color w:val="auto"/>
        </w:rPr>
        <w:t>We have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observed in multiple Phase 2 trials across 147 patients that TP-03 results in the achievement of clinical endpoints, which are generally the same clinical endpoints that will be utilized in our pivotal Phase 2b/3 and Phase 3 trials. We have commenced our first pivotal trial, Saturn-1, a Phase 2b/3 trial, in September 2020, and we expect top-line data in 2021, subject to the impact of the ongoing COVID-19 pandemic. Enrollment of our second pivotal trial, Saturn-2, which will be a Phase 3 trial, is expected to begin in 2021, subject to the impact of the ongoing COVID-19 pandemic.</w:t>
      </w:r>
    </w:p>
    <w:p>
      <w:pPr>
        <w:spacing w:after="0" w:line="209" w:lineRule="exact"/>
        <w:rPr>
          <w:rFonts w:ascii="Times New Roman" w:cs="Times New Roman" w:eastAsia="Times New Roman" w:hAnsi="Times New Roman"/>
          <w:sz w:val="18"/>
          <w:szCs w:val="18"/>
          <w:color w:val="auto"/>
        </w:rPr>
      </w:pPr>
    </w:p>
    <w:p>
      <w:pPr>
        <w:ind w:left="1420" w:right="140" w:hanging="319"/>
        <w:spacing w:after="0" w:line="262" w:lineRule="auto"/>
        <w:tabs>
          <w:tab w:leader="none" w:pos="142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Educate ECPs and establish our own specialty sales organization to commercialize TP-03 in the United States. </w:t>
      </w:r>
      <w:r>
        <w:rPr>
          <w:rFonts w:ascii="Times New Roman" w:cs="Times New Roman" w:eastAsia="Times New Roman" w:hAnsi="Times New Roman"/>
          <w:sz w:val="18"/>
          <w:szCs w:val="18"/>
          <w:color w:val="auto"/>
        </w:rPr>
        <w:t>If approved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FDA for Demodex blepharitis, we intend to commercialize TP-03 by developing our own sales organization targeting a subset of the approximately 25,000 prescribing ECPs in the United States. Throughout our commercialization efforts, we intend to educate ECPs on Demodex blepharitis and how to diagnose it with a standard eye examination.</w:t>
      </w:r>
    </w:p>
    <w:p>
      <w:pPr>
        <w:spacing w:after="0" w:line="112" w:lineRule="exact"/>
        <w:rPr>
          <w:rFonts w:ascii="Times New Roman" w:cs="Times New Roman" w:eastAsia="Times New Roman" w:hAnsi="Times New Roman"/>
          <w:sz w:val="18"/>
          <w:szCs w:val="18"/>
          <w:color w:val="auto"/>
        </w:rPr>
      </w:pPr>
    </w:p>
    <w:p>
      <w:pPr>
        <w:ind w:left="5480" w:hanging="96"/>
        <w:spacing w:after="0"/>
        <w:tabs>
          <w:tab w:leader="none" w:pos="5480"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120 -</w:t>
      </w:r>
    </w:p>
    <w:p>
      <w:pPr>
        <w:sectPr>
          <w:pgSz w:w="11900" w:h="16838" w:orient="portrait"/>
          <w:cols w:equalWidth="0" w:num="1">
            <w:col w:w="11120"/>
          </w:cols>
          <w:pgMar w:left="320" w:top="455" w:right="459" w:bottom="1440" w:gutter="0" w:footer="0" w:header="0"/>
        </w:sectPr>
      </w:pPr>
    </w:p>
    <w:bookmarkStart w:id="123" w:name="page124"/>
    <w:bookmarkEnd w:id="1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420" w:right="640" w:hanging="319"/>
        <w:spacing w:after="0" w:line="286" w:lineRule="auto"/>
        <w:tabs>
          <w:tab w:leader="none" w:pos="142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Expand the label of TP-03 for other indications, including MGD. </w:t>
      </w:r>
      <w:r>
        <w:rPr>
          <w:rFonts w:ascii="Times New Roman" w:cs="Times New Roman" w:eastAsia="Times New Roman" w:hAnsi="Times New Roman"/>
          <w:sz w:val="18"/>
          <w:szCs w:val="18"/>
          <w:color w:val="auto"/>
        </w:rPr>
        <w:t>Like blepharitis, MGD may also be caused by Demodex</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infestation, and we intend to explore the clinical potential for TP-03 in the indication.</w:t>
      </w:r>
    </w:p>
    <w:p>
      <w:pPr>
        <w:spacing w:after="0" w:line="181" w:lineRule="exact"/>
        <w:rPr>
          <w:rFonts w:ascii="Times New Roman" w:cs="Times New Roman" w:eastAsia="Times New Roman" w:hAnsi="Times New Roman"/>
          <w:sz w:val="18"/>
          <w:szCs w:val="18"/>
          <w:color w:val="auto"/>
        </w:rPr>
      </w:pPr>
    </w:p>
    <w:p>
      <w:pPr>
        <w:ind w:left="1420" w:right="20" w:hanging="319"/>
        <w:spacing w:after="0" w:line="257" w:lineRule="auto"/>
        <w:tabs>
          <w:tab w:leader="none" w:pos="142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Develop our pipeline, bringing novel products utilizing lotilaner to unmet needs across human medicine, including rosacea, Lyme disease and malaria</w:t>
      </w:r>
      <w:r>
        <w:rPr>
          <w:rFonts w:ascii="Times New Roman" w:cs="Times New Roman" w:eastAsia="Times New Roman" w:hAnsi="Times New Roman"/>
          <w:sz w:val="18"/>
          <w:szCs w:val="18"/>
          <w:color w:val="auto"/>
        </w:rPr>
        <w:t>. We plan to expand our pipeline of novel, differentiated product candidates that target parasites to treat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prevent important diseases. The mechanism of lotilaner coupled with our insights into disease where it can demonstrate clinical benefit, provides an opportunity to expand into new indications for treatment or prevention. By utilizing new formulations of lotilaner, we intend to develop a topical formulation designed to treat rosacea, and oral formulations for the prophylaxis of Lyme and community malaria reduction. We intend to expand into Phase 1/2 clinical trials for these indications in 2021.</w:t>
      </w:r>
    </w:p>
    <w:p>
      <w:pPr>
        <w:spacing w:after="0" w:line="209" w:lineRule="exact"/>
        <w:rPr>
          <w:rFonts w:ascii="Times New Roman" w:cs="Times New Roman" w:eastAsia="Times New Roman" w:hAnsi="Times New Roman"/>
          <w:sz w:val="18"/>
          <w:szCs w:val="18"/>
          <w:color w:val="auto"/>
        </w:rPr>
      </w:pPr>
    </w:p>
    <w:p>
      <w:pPr>
        <w:ind w:left="1420" w:right="80" w:hanging="319"/>
        <w:spacing w:after="0" w:line="257" w:lineRule="auto"/>
        <w:tabs>
          <w:tab w:leader="none" w:pos="142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Evaluate and selectively enter into strategic collaborations to maximize the potential of our pipeline and the scope of our eye care product offerings. </w:t>
      </w:r>
      <w:r>
        <w:rPr>
          <w:rFonts w:ascii="Times New Roman" w:cs="Times New Roman" w:eastAsia="Times New Roman" w:hAnsi="Times New Roman"/>
          <w:sz w:val="18"/>
          <w:szCs w:val="18"/>
          <w:color w:val="auto"/>
        </w:rPr>
        <w:t>We have retained our rights globally to all of our indications for use in humans, including our lead product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candidate, TP-03, for the potential treatment of Demodex blepharitis and MGD, TP-04 for the potential treatment of rosacea and TP-05 for potential prophylaxis of Lyme and community malaria reduction. We are dependent on licenses from Elanco for the development and commercialization of these products. Given the potential to treat patients worldwide we may opportunistically enter into strategic collaborations around certain product candidates, disease or geographic regions.</w:t>
      </w:r>
    </w:p>
    <w:p>
      <w:pPr>
        <w:spacing w:after="0" w:line="1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Blepharitis Overview</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Blepharitis</w:t>
      </w:r>
    </w:p>
    <w:p>
      <w:pPr>
        <w:spacing w:after="0" w:line="229" w:lineRule="exact"/>
        <w:rPr>
          <w:sz w:val="20"/>
          <w:szCs w:val="20"/>
          <w:color w:val="auto"/>
        </w:rPr>
      </w:pPr>
    </w:p>
    <w:p>
      <w:pPr>
        <w:ind w:left="120" w:right="140" w:firstLine="881"/>
        <w:spacing w:after="0" w:line="258" w:lineRule="auto"/>
        <w:rPr>
          <w:sz w:val="20"/>
          <w:szCs w:val="20"/>
          <w:color w:val="auto"/>
        </w:rPr>
      </w:pPr>
      <w:r>
        <w:rPr>
          <w:rFonts w:ascii="Times New Roman" w:cs="Times New Roman" w:eastAsia="Times New Roman" w:hAnsi="Times New Roman"/>
          <w:sz w:val="18"/>
          <w:szCs w:val="18"/>
          <w:color w:val="auto"/>
        </w:rPr>
        <w:t>Ocular surface disease represents a broad category of disease that affects at least 35 million people in the United States. The ocular surface comprises the cornea, conjunctiva, eyelids and lacrimal glands and as such any diseases in these structures can be classified as ocular surface disease. Common ocular surface diseases include dry eye disease, ocular allergy, blepharitis and MGD. Almost all of the ocular surface diseases are associated with eye redness and ocular surface inflammation and in some cases conjunctival and/or lid edema. Patients often present with multiple ocular surface diseases and the symptoms have significant overlap, leading to frequent misdiagnosis of the various conditions.</w:t>
      </w:r>
    </w:p>
    <w:p>
      <w:pPr>
        <w:spacing w:after="0" w:line="183" w:lineRule="exact"/>
        <w:rPr>
          <w:sz w:val="20"/>
          <w:szCs w:val="20"/>
          <w:color w:val="auto"/>
        </w:rPr>
      </w:pPr>
    </w:p>
    <w:p>
      <w:pPr>
        <w:ind w:left="120" w:firstLine="881"/>
        <w:spacing w:after="0" w:line="253" w:lineRule="auto"/>
        <w:rPr>
          <w:sz w:val="20"/>
          <w:szCs w:val="20"/>
          <w:color w:val="auto"/>
        </w:rPr>
      </w:pPr>
      <w:r>
        <w:rPr>
          <w:rFonts w:ascii="Times New Roman" w:cs="Times New Roman" w:eastAsia="Times New Roman" w:hAnsi="Times New Roman"/>
          <w:sz w:val="18"/>
          <w:szCs w:val="18"/>
          <w:color w:val="auto"/>
        </w:rPr>
        <w:t>Blepharitis is a common chronic ophthalmic condition characterized by inflammation of the eyelid margin, redness and ocular irritation and is primarily diagnosed and treated by ECPs, including ophthalmologists and optometrists. Based on published studies, an estimated 20 million patients suffer from blepharitis in the United States. Typical signs and symptoms of blepharitis include debris on the eyelashes, redness of eye and eyelid, missing or misdirected eyelashes, blurring of vision, irritation, itchiness and ocular discomfort. It is challenging to manage, recurs frequently, and its progression can lead to scarring of the eyelid, loss of proper eyelid and tear-film function, eyelid and lash abnormalities, inflammation of the conjunctiva and surrounding skin, suboptimal surgical outcomes, corneal damage, and in extreme cases, blindness. Further, approximately 67% of cataract patients have Demodex infestation, which can increase the risk for both infection after cataract and refractive surgery. Therefore, treating Demodex blepharitis may improve patient satisfaction with cataract and refractive surgery. Additionally, the primary reason people stop wearing contact lenses is discomfort and blepharitis has been shown to cause contact lens intolerance. Therefore, treating Demodex blepharitis may reduce contact lens intolerance. We believe these benefits may lead to better vision and an improved quality of life for patients.</w:t>
      </w:r>
    </w:p>
    <w:p>
      <w:pPr>
        <w:spacing w:after="0" w:line="194" w:lineRule="exact"/>
        <w:rPr>
          <w:sz w:val="20"/>
          <w:szCs w:val="20"/>
          <w:color w:val="auto"/>
        </w:rPr>
      </w:pPr>
    </w:p>
    <w:p>
      <w:pPr>
        <w:ind w:left="120" w:right="200" w:firstLine="881"/>
        <w:spacing w:after="0" w:line="282" w:lineRule="auto"/>
        <w:rPr>
          <w:sz w:val="20"/>
          <w:szCs w:val="20"/>
          <w:color w:val="auto"/>
        </w:rPr>
      </w:pPr>
      <w:r>
        <w:rPr>
          <w:rFonts w:ascii="Times New Roman" w:cs="Times New Roman" w:eastAsia="Times New Roman" w:hAnsi="Times New Roman"/>
          <w:sz w:val="18"/>
          <w:szCs w:val="18"/>
          <w:color w:val="auto"/>
        </w:rPr>
        <w:t>Multiple factors can cause blepharitis, including infestation by Demodex mites, bacterial infection, clogging of the meibomian glands and seborrheic dermatitis.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-121-</w:t>
      </w:r>
    </w:p>
    <w:p>
      <w:pPr>
        <w:sectPr>
          <w:pgSz w:w="11900" w:h="16838" w:orient="portrait"/>
          <w:cols w:equalWidth="0" w:num="1">
            <w:col w:w="11120"/>
          </w:cols>
          <w:pgMar w:left="320" w:top="455" w:right="459" w:bottom="1440" w:gutter="0" w:footer="0" w:header="0"/>
        </w:sectPr>
      </w:pPr>
    </w:p>
    <w:bookmarkStart w:id="124" w:name="page125"/>
    <w:bookmarkEnd w:id="12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The following image shows an eyelid with blepharitis:</w:t>
      </w:r>
    </w:p>
    <w:p>
      <w:pPr>
        <w:spacing w:after="0" w:line="22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Figure 4: Eyelid With Blepharitis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2019300</wp:posOffset>
            </wp:positionH>
            <wp:positionV relativeFrom="paragraph">
              <wp:posOffset>173990</wp:posOffset>
            </wp:positionV>
            <wp:extent cx="3103245" cy="23577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3103245" cy="2357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Demodex Blepharitis</w:t>
      </w:r>
    </w:p>
    <w:p>
      <w:pPr>
        <w:spacing w:after="0" w:line="229" w:lineRule="exact"/>
        <w:rPr>
          <w:sz w:val="20"/>
          <w:szCs w:val="20"/>
          <w:color w:val="auto"/>
        </w:rPr>
      </w:pPr>
    </w:p>
    <w:p>
      <w:pPr>
        <w:ind w:left="120" w:right="140" w:firstLine="881"/>
        <w:spacing w:after="0" w:line="255" w:lineRule="auto"/>
        <w:rPr>
          <w:sz w:val="20"/>
          <w:szCs w:val="20"/>
          <w:color w:val="auto"/>
        </w:rPr>
      </w:pPr>
      <w:r>
        <w:rPr>
          <w:rFonts w:ascii="Times New Roman" w:cs="Times New Roman" w:eastAsia="Times New Roman" w:hAnsi="Times New Roman"/>
          <w:sz w:val="18"/>
          <w:szCs w:val="18"/>
          <w:color w:val="auto"/>
        </w:rPr>
        <w:t xml:space="preserve">Demodex infestation is a major cause of blepharitis, implicated in approximately 45% of blepharitis cases, or approximately nine million patients. We estimate that the number of Demodex blepharitis patients in the United States may be as high as approximately 25 million based on our internal research indicating approximately 58% of patients presenting to eye care clinics have collarettes and a published study estimating that at least 45 million people annually visit an eye care clinic. These blepharitis cases are referred to Demodex blepharitis. Demodex mites are the most common ectoparasite found on humans and are more likely to cause infestation and disease with aging. Demodex blepharitis typically presents bilaterally in patients with the condition. There are two species of Demodex, </w:t>
      </w:r>
      <w:r>
        <w:rPr>
          <w:rFonts w:ascii="Times New Roman" w:cs="Times New Roman" w:eastAsia="Times New Roman" w:hAnsi="Times New Roman"/>
          <w:sz w:val="18"/>
          <w:szCs w:val="18"/>
          <w:i w:val="1"/>
          <w:iCs w:val="1"/>
          <w:color w:val="auto"/>
        </w:rPr>
        <w:t>folliculorum</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brevis</w:t>
      </w:r>
      <w:r>
        <w:rPr>
          <w:rFonts w:ascii="Times New Roman" w:cs="Times New Roman" w:eastAsia="Times New Roman" w:hAnsi="Times New Roman"/>
          <w:sz w:val="18"/>
          <w:szCs w:val="18"/>
          <w:color w:val="auto"/>
        </w:rPr>
        <w:t xml:space="preserve">, that live on the skin of the face and eyelids. </w:t>
      </w:r>
      <w:r>
        <w:rPr>
          <w:rFonts w:ascii="Times New Roman" w:cs="Times New Roman" w:eastAsia="Times New Roman" w:hAnsi="Times New Roman"/>
          <w:sz w:val="18"/>
          <w:szCs w:val="18"/>
          <w:i w:val="1"/>
          <w:iCs w:val="1"/>
          <w:color w:val="auto"/>
        </w:rPr>
        <w:t>Demodex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folliculorum, </w:t>
      </w:r>
      <w:r>
        <w:rPr>
          <w:rFonts w:ascii="Times New Roman" w:cs="Times New Roman" w:eastAsia="Times New Roman" w:hAnsi="Times New Roman"/>
          <w:sz w:val="18"/>
          <w:szCs w:val="18"/>
          <w:color w:val="auto"/>
        </w:rPr>
        <w:t>which is commonly found in the follicle, is the more common sub-species of mite that causes Demodex blepharitis.</w:t>
      </w:r>
    </w:p>
    <w:p>
      <w:pPr>
        <w:spacing w:after="0" w:line="189" w:lineRule="exact"/>
        <w:rPr>
          <w:sz w:val="20"/>
          <w:szCs w:val="20"/>
          <w:color w:val="auto"/>
        </w:rPr>
      </w:pPr>
    </w:p>
    <w:p>
      <w:pPr>
        <w:ind w:left="120" w:firstLine="881"/>
        <w:spacing w:after="0" w:line="254" w:lineRule="auto"/>
        <w:rPr>
          <w:sz w:val="20"/>
          <w:szCs w:val="20"/>
          <w:color w:val="auto"/>
        </w:rPr>
      </w:pPr>
      <w:r>
        <w:rPr>
          <w:rFonts w:ascii="Times New Roman" w:cs="Times New Roman" w:eastAsia="Times New Roman" w:hAnsi="Times New Roman"/>
          <w:sz w:val="18"/>
          <w:szCs w:val="18"/>
          <w:color w:val="auto"/>
        </w:rPr>
        <w:t>The key clinical sign of Demodex blepharitis is a specific type of eyelid debris known as the collarette, which is also sometimes referred to as cylindrical dandruff or waxy scurf. Collarettes are composed of partially digested epithelial cells, mite waste products and eggs among other things and can be easily diagnosed by ECPs with a standard eye examination known as the slit lamp examination. Other bothersome signs and symptoms of Demodex blepharitis that lead to further disease progression include missing or misdirected eyelashes, crusting, redness of the lid margin, inflammation of the lid margin, inflammation of the conjunctiva and/or inflammation of the cornea, also known as blepharoconjunctivitis and blepharokeratitis. Demodex blepharitis is a progressive disease that often manifests with more severe signs and symptoms if left untreated, such as blurring of vision, missing eyelashes, corneal damage and, in extreme cases, blindness. Furthermore, Demodex blepharitis can negatively impact quality of life and create an emotional burden for individuals with the condition.</w:t>
      </w:r>
    </w:p>
    <w:p>
      <w:pPr>
        <w:spacing w:after="0" w:line="12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-122-</w:t>
      </w:r>
    </w:p>
    <w:p>
      <w:pPr>
        <w:sectPr>
          <w:pgSz w:w="11900" w:h="16838" w:orient="portrait"/>
          <w:cols w:equalWidth="0" w:num="1">
            <w:col w:w="11040"/>
          </w:cols>
          <w:pgMar w:left="320" w:top="455" w:right="539" w:bottom="1440" w:gutter="0" w:footer="0" w:header="0"/>
        </w:sectPr>
      </w:pPr>
    </w:p>
    <w:bookmarkStart w:id="125" w:name="page126"/>
    <w:bookmarkEnd w:id="12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 xml:space="preserve">The following figures demonstrate how </w:t>
      </w:r>
      <w:r>
        <w:rPr>
          <w:rFonts w:ascii="Times New Roman" w:cs="Times New Roman" w:eastAsia="Times New Roman" w:hAnsi="Times New Roman"/>
          <w:sz w:val="18"/>
          <w:szCs w:val="18"/>
          <w:i w:val="1"/>
          <w:iCs w:val="1"/>
          <w:color w:val="auto"/>
        </w:rPr>
        <w:t>Demodex folliculorum</w:t>
      </w:r>
      <w:r>
        <w:rPr>
          <w:rFonts w:ascii="Times New Roman" w:cs="Times New Roman" w:eastAsia="Times New Roman" w:hAnsi="Times New Roman"/>
          <w:sz w:val="18"/>
          <w:szCs w:val="18"/>
          <w:color w:val="auto"/>
        </w:rPr>
        <w:t xml:space="preserve"> mites enter and reside in the eyelash follicles:</w:t>
      </w:r>
    </w:p>
    <w:p>
      <w:pPr>
        <w:spacing w:after="0" w:line="22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 xml:space="preserve">Figure 5: </w:t>
      </w:r>
      <w:r>
        <w:rPr>
          <w:rFonts w:ascii="Times New Roman" w:cs="Times New Roman" w:eastAsia="Times New Roman" w:hAnsi="Times New Roman"/>
          <w:sz w:val="18"/>
          <w:szCs w:val="18"/>
          <w:b w:val="1"/>
          <w:bCs w:val="1"/>
          <w:i w:val="1"/>
          <w:iCs w:val="1"/>
          <w:color w:val="auto"/>
        </w:rPr>
        <w:t>Demodex folliculorum</w:t>
      </w:r>
      <w:r>
        <w:rPr>
          <w:rFonts w:ascii="Times New Roman" w:cs="Times New Roman" w:eastAsia="Times New Roman" w:hAnsi="Times New Roman"/>
          <w:sz w:val="18"/>
          <w:szCs w:val="18"/>
          <w:b w:val="1"/>
          <w:bCs w:val="1"/>
          <w:color w:val="auto"/>
        </w:rPr>
        <w:t xml:space="preserve"> Mites Entering and Residing in Eyelash Follicles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173990</wp:posOffset>
            </wp:positionV>
            <wp:extent cx="5194935" cy="368617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194935" cy="3686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Demodex infestation can lead to Demodex blepharitis in three main ways:</w:t>
      </w:r>
    </w:p>
    <w:p>
      <w:pPr>
        <w:spacing w:after="0" w:line="248" w:lineRule="exact"/>
        <w:rPr>
          <w:sz w:val="20"/>
          <w:szCs w:val="20"/>
          <w:color w:val="auto"/>
        </w:rPr>
      </w:pPr>
    </w:p>
    <w:p>
      <w:pPr>
        <w:ind w:left="1420" w:right="120" w:hanging="427"/>
        <w:spacing w:after="0" w:line="268" w:lineRule="auto"/>
        <w:tabs>
          <w:tab w:leader="none" w:pos="142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Mechanical: </w:t>
      </w:r>
      <w:r>
        <w:rPr>
          <w:rFonts w:ascii="Times New Roman" w:cs="Times New Roman" w:eastAsia="Times New Roman" w:hAnsi="Times New Roman"/>
          <w:sz w:val="18"/>
          <w:szCs w:val="18"/>
          <w:color w:val="auto"/>
        </w:rPr>
        <w:t>Overcrowded mites scrape the epithelial cell lining of the eyelash follicles with their claws and lay eggs, causing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follicular distention, misdirected lashes, eyelash loss and irritation. Dead mites and collarettes also obstruct the hair follicle opening, leading to inflammation.</w:t>
      </w:r>
    </w:p>
    <w:p>
      <w:pPr>
        <w:spacing w:after="0" w:line="197" w:lineRule="exact"/>
        <w:rPr>
          <w:rFonts w:ascii="Times New Roman" w:cs="Times New Roman" w:eastAsia="Times New Roman" w:hAnsi="Times New Roman"/>
          <w:sz w:val="18"/>
          <w:szCs w:val="18"/>
          <w:color w:val="auto"/>
        </w:rPr>
      </w:pPr>
    </w:p>
    <w:p>
      <w:pPr>
        <w:ind w:left="1420" w:hanging="427"/>
        <w:spacing w:after="0" w:line="286" w:lineRule="auto"/>
        <w:tabs>
          <w:tab w:leader="none" w:pos="142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Chemical: </w:t>
      </w:r>
      <w:r>
        <w:rPr>
          <w:rFonts w:ascii="Times New Roman" w:cs="Times New Roman" w:eastAsia="Times New Roman" w:hAnsi="Times New Roman"/>
          <w:sz w:val="18"/>
          <w:szCs w:val="18"/>
          <w:color w:val="auto"/>
        </w:rPr>
        <w:t>Mites excrete digestive enzymes as they feed and exude digestive waste when they die, resulting in inflammation, redness,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irritation and epithelial hyperplasia.</w:t>
      </w:r>
    </w:p>
    <w:p>
      <w:pPr>
        <w:spacing w:after="0" w:line="181" w:lineRule="exact"/>
        <w:rPr>
          <w:rFonts w:ascii="Times New Roman" w:cs="Times New Roman" w:eastAsia="Times New Roman" w:hAnsi="Times New Roman"/>
          <w:sz w:val="18"/>
          <w:szCs w:val="18"/>
          <w:color w:val="auto"/>
        </w:rPr>
      </w:pPr>
    </w:p>
    <w:p>
      <w:pPr>
        <w:ind w:left="1420" w:hanging="427"/>
        <w:spacing w:after="0"/>
        <w:tabs>
          <w:tab w:leader="none" w:pos="142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Bacterial: </w:t>
      </w:r>
      <w:r>
        <w:rPr>
          <w:rFonts w:ascii="Times New Roman" w:cs="Times New Roman" w:eastAsia="Times New Roman" w:hAnsi="Times New Roman"/>
          <w:sz w:val="18"/>
          <w:szCs w:val="18"/>
          <w:color w:val="auto"/>
        </w:rPr>
        <w:t>Bacteria living on the mite surface or in its gut cause inflammation of the surrounding ocular tissues.</w:t>
      </w:r>
    </w:p>
    <w:p>
      <w:pPr>
        <w:spacing w:after="0" w:line="229" w:lineRule="exact"/>
        <w:rPr>
          <w:sz w:val="20"/>
          <w:szCs w:val="20"/>
          <w:color w:val="auto"/>
        </w:rPr>
      </w:pPr>
    </w:p>
    <w:p>
      <w:pPr>
        <w:ind w:left="120" w:right="20" w:firstLine="881"/>
        <w:spacing w:after="0" w:line="282" w:lineRule="auto"/>
        <w:rPr>
          <w:sz w:val="20"/>
          <w:szCs w:val="20"/>
          <w:color w:val="auto"/>
        </w:rPr>
      </w:pPr>
      <w:r>
        <w:rPr>
          <w:rFonts w:ascii="Times New Roman" w:cs="Times New Roman" w:eastAsia="Times New Roman" w:hAnsi="Times New Roman"/>
          <w:sz w:val="18"/>
          <w:szCs w:val="18"/>
          <w:color w:val="auto"/>
        </w:rPr>
        <w:t>As mites scratch and feed on the skin, the partially digested epithelial cells, keratin, mite waste and eggs combine to form collarettes. These collarettes are typically found at the base of the lash but can migrate away as the hair shaft grows.</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-123-</w:t>
      </w:r>
    </w:p>
    <w:p>
      <w:pPr>
        <w:sectPr>
          <w:pgSz w:w="11900" w:h="16838" w:orient="portrait"/>
          <w:cols w:equalWidth="0" w:num="1">
            <w:col w:w="11080"/>
          </w:cols>
          <w:pgMar w:left="320" w:top="455" w:right="499" w:bottom="1440" w:gutter="0" w:footer="0" w:header="0"/>
        </w:sectPr>
      </w:pPr>
    </w:p>
    <w:bookmarkStart w:id="126" w:name="page127"/>
    <w:bookmarkEnd w:id="12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The following figure shows collarettes at the base of an eye lash:</w:t>
      </w:r>
    </w:p>
    <w:p>
      <w:pPr>
        <w:spacing w:after="0" w:line="22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Figure 6: Collarettes Are the Pathognomonic Sign of Demodex Blepharitis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1864995</wp:posOffset>
            </wp:positionH>
            <wp:positionV relativeFrom="paragraph">
              <wp:posOffset>173990</wp:posOffset>
            </wp:positionV>
            <wp:extent cx="3420110" cy="182562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3420110" cy="1825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120" w:firstLine="881"/>
        <w:spacing w:after="0" w:line="253" w:lineRule="auto"/>
        <w:rPr>
          <w:sz w:val="20"/>
          <w:szCs w:val="20"/>
          <w:color w:val="auto"/>
        </w:rPr>
      </w:pPr>
      <w:r>
        <w:rPr>
          <w:rFonts w:ascii="Times New Roman" w:cs="Times New Roman" w:eastAsia="Times New Roman" w:hAnsi="Times New Roman"/>
          <w:sz w:val="18"/>
          <w:szCs w:val="18"/>
          <w:color w:val="auto"/>
        </w:rPr>
        <w:t>A study conducted by Gao et al. (Gao et al. (2005): High Prevalence of Demodex in Eyelashes with Cylindrical Dandruff. Invst Ophth and Vis Sci, September 2005, Vol. 46, No. 3089-3094.) confirmed the pathognomonic relationship of the collarette to Demodex infestation. The study included 55 patients seen at the Ocular Surface Center in Miami, Florida to determine the prevalence of Demodex in eyelashes with collarettes. All patients underwent a routine, complete eye examination and external photography. Patients were divided into three main groups: those with collarettes; those without collarettes and who had been using daily lid scrubs for a full year; and those without collarettes who were not performing the daily lid scrubs. As illustrated in the figure below, 100% (n=32) of patients with at least one collarette had Demodex present. Those patients without collarettes were divided into two groups; patients who were using lid scrubs for a full year and those who were not. Only 7% (n=15) of patients without collarettes and who were not performing the daily lid scrubs had Demodex, while 50% (n=8) of those subjects without collarettes, but who were using daily lid scrubs with shampoo for a full year, had Demodex infestation, implying that hygiene alone did not eradicate the mites. All 55 patients were seen at one location and may not be representative of the United States population.</w:t>
      </w:r>
    </w:p>
    <w:p>
      <w:pPr>
        <w:spacing w:after="0" w:line="194"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The following figure shows that 100% of patients with at least one collarette had Demodex infestation:</w:t>
      </w:r>
    </w:p>
    <w:p>
      <w:pPr>
        <w:spacing w:after="0" w:line="22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Figure 7: 100% of Patients With at Least One Collarette Had Demodex Infestation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2070735</wp:posOffset>
            </wp:positionH>
            <wp:positionV relativeFrom="paragraph">
              <wp:posOffset>173990</wp:posOffset>
            </wp:positionV>
            <wp:extent cx="3008630" cy="156845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3008630" cy="1568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120" w:right="40" w:firstLine="881"/>
        <w:spacing w:after="0" w:line="261" w:lineRule="auto"/>
        <w:rPr>
          <w:sz w:val="20"/>
          <w:szCs w:val="20"/>
          <w:color w:val="auto"/>
        </w:rPr>
      </w:pPr>
      <w:r>
        <w:rPr>
          <w:rFonts w:ascii="Times New Roman" w:cs="Times New Roman" w:eastAsia="Times New Roman" w:hAnsi="Times New Roman"/>
          <w:sz w:val="18"/>
          <w:szCs w:val="18"/>
          <w:color w:val="auto"/>
        </w:rPr>
        <w:t>Demodex blepharitis can be easily diagnosed by ECPs with the standard eye examination, the slit lamp examination, by confirming the presence of collarettes. The slit lamp examination is routinely performed by ECPs as part of standard practice during a customary eye examination, so diagnosing Demodex blepharitis via presence of collarettes would not involve any additional equipment, training or workflow alterations on the part of the ECP.</w:t>
      </w:r>
    </w:p>
    <w:p>
      <w:pPr>
        <w:spacing w:after="0" w:line="112"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-124-</w:t>
      </w:r>
    </w:p>
    <w:p>
      <w:pPr>
        <w:sectPr>
          <w:pgSz w:w="11900" w:h="16838" w:orient="portrait"/>
          <w:cols w:equalWidth="0" w:num="1">
            <w:col w:w="11040"/>
          </w:cols>
          <w:pgMar w:left="320" w:top="455" w:right="539" w:bottom="1440" w:gutter="0" w:footer="0" w:header="0"/>
        </w:sectPr>
      </w:pPr>
    </w:p>
    <w:bookmarkStart w:id="127" w:name="page128"/>
    <w:bookmarkEnd w:id="12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Market Opportunity in Blepharitis</w:t>
      </w:r>
    </w:p>
    <w:p>
      <w:pPr>
        <w:spacing w:after="0" w:line="229" w:lineRule="exact"/>
        <w:rPr>
          <w:sz w:val="20"/>
          <w:szCs w:val="20"/>
          <w:color w:val="auto"/>
        </w:rPr>
      </w:pPr>
    </w:p>
    <w:p>
      <w:pPr>
        <w:ind w:left="120" w:right="160" w:firstLine="881"/>
        <w:spacing w:after="0" w:line="254" w:lineRule="auto"/>
        <w:rPr>
          <w:sz w:val="20"/>
          <w:szCs w:val="20"/>
          <w:color w:val="auto"/>
        </w:rPr>
      </w:pPr>
      <w:r>
        <w:rPr>
          <w:rFonts w:ascii="Times New Roman" w:cs="Times New Roman" w:eastAsia="Times New Roman" w:hAnsi="Times New Roman"/>
          <w:sz w:val="18"/>
          <w:szCs w:val="18"/>
          <w:color w:val="auto"/>
        </w:rPr>
        <w:t>According to published studies, there are an estimated 20 million patients in the United States who suffer from blepharitis, with approximately 45%, or approximately nine million, of cases caused by Demodex infestation. Further, we estimate that the number of Demodex blepharitis cases in the United States may be as high as approximately 25 million based on our internal research indicating approximately 58% of patients presenting to eye care clinics have collarettes and a published study estimating that at least 45 million people annually visit an eye care clinic. Despite the high prevalence of patients with Demodex blepharitis and growing awareness of the condition amongst ECPs, there are no FDA-approved therapeutics for the treatment of blepharitis or for Demodex blepharitis. Although we believe blepharitis and Demodex blepharitis are significantly underdiagnosed conditions, with limited treatment alternatives, there are already an estimated 2.1 million annual blepharitis diagnoses in the United States with blepharitis classified per the ICD-10-CM.</w:t>
      </w:r>
    </w:p>
    <w:p>
      <w:pPr>
        <w:spacing w:after="0" w:line="1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Market Research Studies and Surveys</w:t>
      </w:r>
    </w:p>
    <w:p>
      <w:pPr>
        <w:spacing w:after="0" w:line="229" w:lineRule="exact"/>
        <w:rPr>
          <w:sz w:val="20"/>
          <w:szCs w:val="20"/>
          <w:color w:val="auto"/>
        </w:rPr>
      </w:pPr>
    </w:p>
    <w:p>
      <w:pPr>
        <w:ind w:left="120" w:firstLine="881"/>
        <w:spacing w:after="0" w:line="252" w:lineRule="auto"/>
        <w:rPr>
          <w:sz w:val="20"/>
          <w:szCs w:val="20"/>
          <w:color w:val="auto"/>
        </w:rPr>
      </w:pPr>
      <w:r>
        <w:rPr>
          <w:rFonts w:ascii="Times New Roman" w:cs="Times New Roman" w:eastAsia="Times New Roman" w:hAnsi="Times New Roman"/>
          <w:sz w:val="18"/>
          <w:szCs w:val="18"/>
          <w:color w:val="auto"/>
        </w:rPr>
        <w:t>Our market research studies include an ECP survey of 50 ECPs, or the ECP Survey, that we commissioned and which was conducted in 2019 and 2020 to generally determine market awareness and current management of Demodex blepharitis and introduce a hypothetical TP-03 product profile. Twenty ECPs were interviewed in 2019 and 30 ECPs were interviewed in 2020. ECPs were chosen based on a random sample of ophthalmologists and optometrists nationwide that had sufficient exposure to blepharitis patients to provide a representative sample of ECPs who see and manage blepharitis patients, and would potentially be in a position to prescribe TP-03 if it were approved and available. The ECP Survey generally asked ECPs questions regarding their patient base and also introduced the TP-03 product profile to them. The ECP Survey showed that 44% of all diagnosed patients were over the age of 65, and 57% of diagnosed patients were female. Distribution of diagnoses across race and income metrics was approximately proportional to that of the United States population, implying little correlation of the condition with socioeconomic status. The ECP Survey also showed that in April through May of 2020, the number of blepharitis patients in the eye care clinic, which represented 60% of the total patients, was approaching the level of dry eye patients, which represented approximately 65% of the total patients. We believe this demonstrates that the market size for blepharitis may be similar to the market size of dry eye and that both are common in the eye care clinics, which informs us on the potential to increase diagnoses through ECP education. As the population of the United States continues to age, we believe this disease will become more prevalent. While we believe the ECP survey provides insight to the potential market size of Demodex patients, since it was a random sampling of ECPs nationwide that had sufficient exposure to blepharitis patients, the sample size of ECPs and corresponding potential patient population was relatively small and the number of blepharitis patients may not be comparable to the number of dry eye patients. The patients may have had overlapping diagnoses but the ECP Survey did not measure any such potential overlap.</w:t>
      </w:r>
    </w:p>
    <w:p>
      <w:pPr>
        <w:spacing w:after="0" w:line="12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-125-</w:t>
      </w:r>
    </w:p>
    <w:p>
      <w:pPr>
        <w:sectPr>
          <w:pgSz w:w="11900" w:h="16838" w:orient="portrait"/>
          <w:cols w:equalWidth="0" w:num="1">
            <w:col w:w="11080"/>
          </w:cols>
          <w:pgMar w:left="320" w:top="455" w:right="499" w:bottom="1440" w:gutter="0" w:footer="0" w:header="0"/>
        </w:sectPr>
      </w:pPr>
    </w:p>
    <w:bookmarkStart w:id="128" w:name="page129"/>
    <w:bookmarkEnd w:id="12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520" w:firstLine="881"/>
        <w:spacing w:after="0" w:line="282" w:lineRule="auto"/>
        <w:rPr>
          <w:sz w:val="20"/>
          <w:szCs w:val="20"/>
          <w:color w:val="auto"/>
        </w:rPr>
      </w:pPr>
      <w:r>
        <w:rPr>
          <w:rFonts w:ascii="Times New Roman" w:cs="Times New Roman" w:eastAsia="Times New Roman" w:hAnsi="Times New Roman"/>
          <w:sz w:val="18"/>
          <w:szCs w:val="18"/>
          <w:color w:val="auto"/>
        </w:rPr>
        <w:t>The following figures show that according to the ECP Survey, the number of blepharitis diagnoses approached the number of dry eye diagnoses. This trend is also supported by independent epidemiology studies:</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Figures 8 and 9: Blepharitis Diagnoses Approaching Number of Dry Eye Diagnoses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1042035</wp:posOffset>
            </wp:positionH>
            <wp:positionV relativeFrom="paragraph">
              <wp:posOffset>173990</wp:posOffset>
            </wp:positionV>
            <wp:extent cx="5057775" cy="175768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057775" cy="17576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120" w:firstLine="881"/>
        <w:spacing w:after="0" w:line="256" w:lineRule="auto"/>
        <w:rPr>
          <w:sz w:val="20"/>
          <w:szCs w:val="20"/>
          <w:color w:val="auto"/>
        </w:rPr>
      </w:pPr>
      <w:r>
        <w:rPr>
          <w:rFonts w:ascii="Times New Roman" w:cs="Times New Roman" w:eastAsia="Times New Roman" w:hAnsi="Times New Roman"/>
          <w:sz w:val="18"/>
          <w:szCs w:val="18"/>
          <w:color w:val="auto"/>
        </w:rPr>
        <w:t>Additionally, the ECP Survey obtained feedback on a hypothetical TP-03 product profile, based on the Mars and Jupiter clinical trial data. In the ECP Survey, a total of 25 ophthalmologists and 25 optometrists were educated on the pathognomonic relationship of collarettes to Demodex blepharitis and exposed to the Mars and Jupiter clinical trial data. After exposure, ECPs were asked their intent to prescribe TP-03 if it were available for their patients presenting with Demodex blepharitis as indicated by collarettes. In these studies, 48 of 50 (96%) ECPs indicated that they would prescribe TP-03 as first-line treatment, and 2 of 50 (4%) indicated that they would prescribe it as second-line treatment. No ECPs indicated that they would prescribe TP-03 as third line or not prescribe TP-03.</w:t>
      </w:r>
    </w:p>
    <w:p>
      <w:pPr>
        <w:spacing w:after="0" w:line="18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The following figure shows that 96% of the surveyed ECPs indicated they would prescribe TP-03 as a first-line treatment:</w:t>
      </w:r>
    </w:p>
    <w:p>
      <w:pPr>
        <w:spacing w:after="0" w:line="2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Figure 10: 96% of Surveyed ECPs Indicated Prescribing Intention TP-03 as First-Line Treatment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2079625</wp:posOffset>
            </wp:positionH>
            <wp:positionV relativeFrom="paragraph">
              <wp:posOffset>173990</wp:posOffset>
            </wp:positionV>
            <wp:extent cx="2983230" cy="232283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2983230" cy="2322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120" w:right="300" w:firstLine="881"/>
        <w:spacing w:after="0" w:line="282" w:lineRule="auto"/>
        <w:rPr>
          <w:sz w:val="20"/>
          <w:szCs w:val="20"/>
          <w:color w:val="auto"/>
        </w:rPr>
      </w:pPr>
      <w:r>
        <w:rPr>
          <w:rFonts w:ascii="Times New Roman" w:cs="Times New Roman" w:eastAsia="Times New Roman" w:hAnsi="Times New Roman"/>
          <w:sz w:val="18"/>
          <w:szCs w:val="18"/>
          <w:color w:val="auto"/>
        </w:rPr>
        <w:t>We also sponsored a separate market research survey of 50 patients with blepharitis symptoms, where the presence of “eye crust” on eye lashes was noted as a primary symptom. These patients were randomly</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-126-</w:t>
      </w:r>
    </w:p>
    <w:p>
      <w:pPr>
        <w:sectPr>
          <w:pgSz w:w="11900" w:h="16838" w:orient="portrait"/>
          <w:cols w:equalWidth="0" w:num="1">
            <w:col w:w="11120"/>
          </w:cols>
          <w:pgMar w:left="320" w:top="455" w:right="459" w:bottom="1440" w:gutter="0" w:footer="0" w:header="0"/>
        </w:sectPr>
      </w:pPr>
    </w:p>
    <w:bookmarkStart w:id="129" w:name="page130"/>
    <w:bookmarkEnd w:id="12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selected nationwide and not chosen in connection with the identity of his or her ECP. The individuals with blepharitis symptoms were educated on collarettes and that Demodex mites cause collarettes, and provided with a description of a hypothetical product with the target profile of TP-03, which can potentially eradicate Demodex mites in the eyelid and eliminate collarettes in a majority of patients. After considering the target product profile, the individuals with blepharitis symptoms were asked how likely they were to visit a doctor and ask about whether a product such as TP-03 would be right for them (on a scale of 1-7). Forty-six of 50 (92%) of the individuals with blepharitis symptoms indicated a likelihood to visit a doctor and ask about a product with a target profile of TP-03, and 32 of 50 (64%) indicated a response of “definitely would.” Two of 50 (4%) of the individuals with blepharitis symptoms indicated that they “may or may not,” and two of 50 (4%) of the individuals with blepharitis symptoms indicated that they “definitely would not.”</w:t>
      </w:r>
    </w:p>
    <w:p>
      <w:pPr>
        <w:spacing w:after="0" w:line="192"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The following figure shows the results of this survey:</w:t>
      </w:r>
    </w:p>
    <w:p>
      <w:pPr>
        <w:spacing w:after="0" w:line="22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b w:val="1"/>
          <w:bCs w:val="1"/>
          <w:color w:val="auto"/>
        </w:rPr>
        <w:t>Figure 11: 92% of Individuals with Blepharitis Symptoms Indicated Likelihood To Inquire About a TP-03-Type Product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1891030</wp:posOffset>
            </wp:positionH>
            <wp:positionV relativeFrom="paragraph">
              <wp:posOffset>173990</wp:posOffset>
            </wp:positionV>
            <wp:extent cx="3360420" cy="24174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3360420" cy="2417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120" w:right="20" w:firstLine="881"/>
        <w:spacing w:after="0" w:line="268" w:lineRule="auto"/>
        <w:rPr>
          <w:sz w:val="20"/>
          <w:szCs w:val="20"/>
          <w:color w:val="auto"/>
        </w:rPr>
      </w:pPr>
      <w:r>
        <w:rPr>
          <w:rFonts w:ascii="Times New Roman" w:cs="Times New Roman" w:eastAsia="Times New Roman" w:hAnsi="Times New Roman"/>
          <w:sz w:val="17"/>
          <w:szCs w:val="17"/>
          <w:color w:val="auto"/>
        </w:rPr>
        <w:t>We believe that blepharitis is underdiagnosed due to the lack of an approved treatment and associated patient and physician education, and the lack of awareness of the role of Demodex mites in the disease process. The ECP Survey showed that only 10-15% of ECPs were aware that collarettes are highly correlated with Demodex infestation. Despite the current lack of awareness by ECPs, we believe that the ocular surface disease marketplace is highly responsive to education of both the ECP and the patient. For example, as a result of ECP and patient education, the dry eye market grew significantly once there was a product to address the large, latent demand for an effective therapy. Dry eye had no approved therapeutic until 2003. Once a therapeutic was approved, the diagnosis rate increased by approximately 12 times, growing from 500,000 annual diagnoses in 2003 to over</w:t>
      </w:r>
    </w:p>
    <w:p>
      <w:pPr>
        <w:spacing w:after="0" w:line="5" w:lineRule="exact"/>
        <w:rPr>
          <w:sz w:val="20"/>
          <w:szCs w:val="20"/>
          <w:color w:val="auto"/>
        </w:rPr>
      </w:pPr>
    </w:p>
    <w:p>
      <w:pPr>
        <w:ind w:left="120"/>
        <w:spacing w:after="0" w:line="270" w:lineRule="auto"/>
        <w:rPr>
          <w:sz w:val="20"/>
          <w:szCs w:val="20"/>
          <w:color w:val="auto"/>
        </w:rPr>
      </w:pPr>
      <w:r>
        <w:rPr>
          <w:rFonts w:ascii="Times New Roman" w:cs="Times New Roman" w:eastAsia="Times New Roman" w:hAnsi="Times New Roman"/>
          <w:sz w:val="17"/>
          <w:szCs w:val="17"/>
          <w:color w:val="auto"/>
        </w:rPr>
        <w:t>six million annual diagnoses by 2015. Annual diagnoses rates have been maintained at similar levels since 2015. We believe the Demodex blepharitis and dry eye markets may be analogous because both Demodex blepharitis and dry eye are diseases that affect the front of the eye, are treated by ECPs, can cause an inflamed ocular surface or eyelids and have similar patient demographics. The potential market for Demodex blepharitis, however, may not be analogous to the market for dry eye due to differences in symptoms, regulatory approval and market dynamics and other factors. See “Risk Factors— Risk Related to Development and Commercialization of Our Product Candidates—The market for blepharitis and Demodex blepharitis may be not be similar to the market for dry eye” for additional information and risks related to the comparison of the Demodex blepharitis market to that of dry eye.</w:t>
      </w:r>
    </w:p>
    <w:p>
      <w:pPr>
        <w:spacing w:after="0" w:line="10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-127-</w:t>
      </w:r>
    </w:p>
    <w:p>
      <w:pPr>
        <w:sectPr>
          <w:pgSz w:w="11900" w:h="16838" w:orient="portrait"/>
          <w:cols w:equalWidth="0" w:num="1">
            <w:col w:w="11120"/>
          </w:cols>
          <w:pgMar w:left="320" w:top="455" w:right="459" w:bottom="1440" w:gutter="0" w:footer="0" w:header="0"/>
        </w:sectPr>
      </w:pPr>
    </w:p>
    <w:bookmarkStart w:id="130" w:name="page131"/>
    <w:bookmarkEnd w:id="13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320" w:firstLine="881"/>
        <w:spacing w:after="0" w:line="282" w:lineRule="auto"/>
        <w:rPr>
          <w:sz w:val="20"/>
          <w:szCs w:val="20"/>
          <w:color w:val="auto"/>
        </w:rPr>
      </w:pPr>
      <w:r>
        <w:rPr>
          <w:rFonts w:ascii="Times New Roman" w:cs="Times New Roman" w:eastAsia="Times New Roman" w:hAnsi="Times New Roman"/>
          <w:sz w:val="18"/>
          <w:szCs w:val="18"/>
          <w:color w:val="auto"/>
        </w:rPr>
        <w:t>The following figure shows the annual diagnoses of dry eye disease prior to and after and the launch of an approved therapy for dry eye, with the 2.1 million diagnoses for blepharitis in 2019 shown on the plot for reference:</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Figure 12: Dry Eye Diagnoses Per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1513840</wp:posOffset>
            </wp:positionH>
            <wp:positionV relativeFrom="paragraph">
              <wp:posOffset>173990</wp:posOffset>
            </wp:positionV>
            <wp:extent cx="4114800" cy="182626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4114800" cy="18262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120" w:right="140" w:firstLine="881"/>
        <w:spacing w:after="0" w:line="266" w:lineRule="auto"/>
        <w:rPr>
          <w:sz w:val="20"/>
          <w:szCs w:val="20"/>
          <w:color w:val="auto"/>
        </w:rPr>
      </w:pPr>
      <w:r>
        <w:rPr>
          <w:rFonts w:ascii="Times New Roman" w:cs="Times New Roman" w:eastAsia="Times New Roman" w:hAnsi="Times New Roman"/>
          <w:sz w:val="18"/>
          <w:szCs w:val="18"/>
          <w:color w:val="auto"/>
        </w:rPr>
        <w:t>Demodex mites have been implicated in approximately 45% of all blepharitis cases in a meta-analysis of 11 studies consisting of an aggregate of 4,741 patients with blepharitis. The incidence of Demodex blepharitis increases progressively with aging, which is the main risk factor for the condition, with the majority of people over the age of 60 having been shown to have the disease.</w:t>
      </w:r>
    </w:p>
    <w:p>
      <w:pPr>
        <w:spacing w:after="0" w:line="176" w:lineRule="exact"/>
        <w:rPr>
          <w:sz w:val="20"/>
          <w:szCs w:val="20"/>
          <w:color w:val="auto"/>
        </w:rPr>
      </w:pPr>
    </w:p>
    <w:p>
      <w:pPr>
        <w:ind w:left="120" w:firstLine="881"/>
        <w:spacing w:after="0" w:line="254" w:lineRule="auto"/>
        <w:rPr>
          <w:sz w:val="20"/>
          <w:szCs w:val="20"/>
          <w:color w:val="auto"/>
        </w:rPr>
      </w:pPr>
      <w:r>
        <w:rPr>
          <w:rFonts w:ascii="Times New Roman" w:cs="Times New Roman" w:eastAsia="Times New Roman" w:hAnsi="Times New Roman"/>
          <w:sz w:val="18"/>
          <w:szCs w:val="18"/>
          <w:color w:val="auto"/>
        </w:rPr>
        <w:t>Our market research studies also included an epidemiological evaluation we conducted of 1,121 consecutive patients in eight ophthalmology and optometry practices conducted in 2020, or the Patient Epidemiology Survey, which showed that 58% of all patients entering the practices had collarettes and all patients entering practices with collarettes were also found to have Demodex blepharitis. By comparison, 20% of those same 1,121 patients were currently on a prescription therapeutic for dry eye disease (Restasis or Xiidra). Additionally, 13% of the 1,121 patients presented with collarettes and were also on a prescription therapeutic for dry eye at the same time. The clinics in the Patient Epidemiology Survey were geographically diverse and represented both high and low dry eye prescription rates. Each practice was required to enroll between 100 and 180 consecutive patients. The clinic with the lowest prevalence demonstrated 29% of consecutive patients had collarettes, and the clinic with the highest prevalence demonstrated 76% of consecutive patients had collarettes.</w:t>
      </w:r>
    </w:p>
    <w:p>
      <w:pPr>
        <w:spacing w:after="0" w:line="192"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The following figure shows the prevalence of collarettes and prevalence distribution by clinic, from the Patient Epidemiology Survey:</w:t>
      </w:r>
    </w:p>
    <w:p>
      <w:pPr>
        <w:spacing w:after="0" w:line="2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Figures 13 and 14: Prevalence of Collarettes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1239520</wp:posOffset>
            </wp:positionH>
            <wp:positionV relativeFrom="paragraph">
              <wp:posOffset>19685</wp:posOffset>
            </wp:positionV>
            <wp:extent cx="4663440" cy="177482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4663440" cy="17748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-128-</w:t>
      </w:r>
    </w:p>
    <w:p>
      <w:pPr>
        <w:sectPr>
          <w:pgSz w:w="11900" w:h="16838" w:orient="portrait"/>
          <w:cols w:equalWidth="0" w:num="1">
            <w:col w:w="11140"/>
          </w:cols>
          <w:pgMar w:left="320" w:top="455" w:right="439" w:bottom="1440" w:gutter="0" w:footer="0" w:header="0"/>
        </w:sectPr>
      </w:pPr>
    </w:p>
    <w:bookmarkStart w:id="131" w:name="page132"/>
    <w:bookmarkEnd w:id="13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881"/>
        <w:spacing w:after="0" w:line="255" w:lineRule="auto"/>
        <w:rPr>
          <w:sz w:val="20"/>
          <w:szCs w:val="20"/>
          <w:color w:val="auto"/>
        </w:rPr>
      </w:pPr>
      <w:r>
        <w:rPr>
          <w:rFonts w:ascii="Times New Roman" w:cs="Times New Roman" w:eastAsia="Times New Roman" w:hAnsi="Times New Roman"/>
          <w:sz w:val="18"/>
          <w:szCs w:val="18"/>
          <w:color w:val="auto"/>
        </w:rPr>
        <w:t>We believe the data has demonstrated that there is a significant population for blepharitis, and for Demodex blepharitis more specifically, since the number of patients with collarettes exceeded by almost three times the number of patients on a prescription therapeutic for dry eye disease. While there is overlap between the number of patients with collarettes and the number of patients with dry eye and the number of patients with dry eye is most likely higher than the number of patients currently on a prescription for dry eye, and we believe the data shows a potential significant population for Demodex blepharitis. We also believe the data illustrates a significant opportunity to increase the diagnosis rate of Demodex blepharitis by educating ECPs on the high correlation of the presence of collarette to Demodex blepharitis in order for ECPs to incorporate the examination of the condition into standard practice.</w:t>
      </w:r>
    </w:p>
    <w:p>
      <w:pPr>
        <w:spacing w:after="0" w:line="189" w:lineRule="exact"/>
        <w:rPr>
          <w:sz w:val="20"/>
          <w:szCs w:val="20"/>
          <w:color w:val="auto"/>
        </w:rPr>
      </w:pPr>
    </w:p>
    <w:p>
      <w:pPr>
        <w:ind w:left="120" w:right="360" w:firstLine="881"/>
        <w:spacing w:after="0" w:line="266" w:lineRule="auto"/>
        <w:rPr>
          <w:sz w:val="20"/>
          <w:szCs w:val="20"/>
          <w:color w:val="auto"/>
        </w:rPr>
      </w:pPr>
      <w:r>
        <w:rPr>
          <w:rFonts w:ascii="Times New Roman" w:cs="Times New Roman" w:eastAsia="Times New Roman" w:hAnsi="Times New Roman"/>
          <w:sz w:val="18"/>
          <w:szCs w:val="18"/>
          <w:color w:val="auto"/>
        </w:rPr>
        <w:t>Over the past several years, an increasing number of clinical studies on Demodex have been published in the context of ocular surface disease, with more than half of these studies published in the last four years. We believe this shows an increased understanding of the importance of Demodex in the scientific ophthalmology community and represents an important step in educating ECPs about Demodex blepharitis.</w:t>
      </w:r>
    </w:p>
    <w:p>
      <w:pPr>
        <w:spacing w:after="0" w:line="1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Current Treatment Options and Their Limitations</w:t>
      </w:r>
    </w:p>
    <w:p>
      <w:pPr>
        <w:spacing w:after="0" w:line="229" w:lineRule="exact"/>
        <w:rPr>
          <w:sz w:val="20"/>
          <w:szCs w:val="20"/>
          <w:color w:val="auto"/>
        </w:rPr>
      </w:pPr>
    </w:p>
    <w:p>
      <w:pPr>
        <w:ind w:left="120" w:right="180" w:firstLine="881"/>
        <w:spacing w:after="0" w:line="266" w:lineRule="auto"/>
        <w:rPr>
          <w:sz w:val="20"/>
          <w:szCs w:val="20"/>
          <w:color w:val="auto"/>
        </w:rPr>
      </w:pPr>
      <w:r>
        <w:rPr>
          <w:rFonts w:ascii="Times New Roman" w:cs="Times New Roman" w:eastAsia="Times New Roman" w:hAnsi="Times New Roman"/>
          <w:sz w:val="18"/>
          <w:szCs w:val="18"/>
          <w:color w:val="auto"/>
        </w:rPr>
        <w:t>Despite the high prevalence of patients with Demodex blepharitis and growing awareness of the condition amongst ECPs, there are no FDA-approved therapeutics for the treatment of blepharitis or for Demodex blepharitis. Demodex blepharitis is currently treated with a variety of over the counter remedies such as tea tree oil, lid wipes and artificial tears, as well as off-label prescription products for dry eye.</w:t>
      </w:r>
    </w:p>
    <w:p>
      <w:pPr>
        <w:spacing w:after="0" w:line="176"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These approaches have significant limitations, including:</w:t>
      </w:r>
    </w:p>
    <w:p>
      <w:pPr>
        <w:spacing w:after="0" w:line="252" w:lineRule="exact"/>
        <w:rPr>
          <w:sz w:val="20"/>
          <w:szCs w:val="20"/>
          <w:color w:val="auto"/>
        </w:rPr>
      </w:pPr>
    </w:p>
    <w:p>
      <w:pPr>
        <w:ind w:left="1420" w:hanging="319"/>
        <w:spacing w:after="0"/>
        <w:tabs>
          <w:tab w:leader="none" w:pos="142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efficacy of over-the-counter and off-label treatments as well as device-based treatments administered in clinic by ECPs;</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insufficient definitive knowledge of diagnostic criteria to guide treatment decisions;</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prohibitive side effects (significant burning and stinging) from treatments that target Demodex mites (e.g. tea tree oil); and</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treatments do not eradicate the Demodex mites, leading to a chronic and progressive condition.</w:t>
      </w:r>
    </w:p>
    <w:p>
      <w:pPr>
        <w:spacing w:after="0" w:line="2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Our Approach: Treating Demodex Mites, a Root Cause of Disease</w:t>
      </w:r>
    </w:p>
    <w:p>
      <w:pPr>
        <w:spacing w:after="0" w:line="229" w:lineRule="exact"/>
        <w:rPr>
          <w:sz w:val="20"/>
          <w:szCs w:val="20"/>
          <w:color w:val="auto"/>
        </w:rPr>
      </w:pPr>
    </w:p>
    <w:p>
      <w:pPr>
        <w:ind w:left="120" w:firstLine="881"/>
        <w:spacing w:after="0" w:line="256" w:lineRule="auto"/>
        <w:rPr>
          <w:sz w:val="20"/>
          <w:szCs w:val="20"/>
          <w:color w:val="auto"/>
        </w:rPr>
      </w:pPr>
      <w:r>
        <w:rPr>
          <w:rFonts w:ascii="Times New Roman" w:cs="Times New Roman" w:eastAsia="Times New Roman" w:hAnsi="Times New Roman"/>
          <w:sz w:val="18"/>
          <w:szCs w:val="18"/>
          <w:color w:val="auto"/>
        </w:rPr>
        <w:t>To address these limitations and high unmet need for effectively treating Demodex blepharitis, we are developing TP-03, formulated as an eye drop, which we believe, if approved, has the potential to become the standard of care for Demodex blepharitis. TP-03 is a novel therapeutic based on the drug, lotilaner, which is designed to paralyze and eradicate mites and other parasites through the inhibition of parasite-specific GABA-Cl channels. To date, TP-03 has successfully met the primary, secondary and/or exploratory, endpoints, as applicable, in each of the four completed Phase 2 trials. TP-03 was generally well tolerated throughout these trials. As a result, we believe that TP-03 has the potential to be the first ever approved therapeutic for Demodex blepharitis.</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-129-</w:t>
      </w:r>
    </w:p>
    <w:p>
      <w:pPr>
        <w:sectPr>
          <w:pgSz w:w="11900" w:h="16838" w:orient="portrait"/>
          <w:cols w:equalWidth="0" w:num="1">
            <w:col w:w="11120"/>
          </w:cols>
          <w:pgMar w:left="320" w:top="455" w:right="459" w:bottom="1440" w:gutter="0" w:footer="0" w:header="0"/>
        </w:sectPr>
      </w:pPr>
    </w:p>
    <w:bookmarkStart w:id="132" w:name="page133"/>
    <w:bookmarkEnd w:id="13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The following figure summarizes the key advantages of TP-03:</w:t>
      </w:r>
    </w:p>
    <w:p>
      <w:pPr>
        <w:spacing w:after="0" w:line="2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Figure 15: Summary of TP-03 Key Advantages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173990</wp:posOffset>
            </wp:positionV>
            <wp:extent cx="5186045" cy="261493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186045" cy="2614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540" w:right="280" w:hanging="424"/>
        <w:spacing w:after="0" w:line="264" w:lineRule="auto"/>
        <w:tabs>
          <w:tab w:leader="none" w:pos="540" w:val="left"/>
        </w:tabs>
        <w:numPr>
          <w:ilvl w:val="0"/>
          <w:numId w:val="11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Blepharitis can increase the risk for both infection after cataract and refractive surgery and discomfort and can cause intolerance to contact lenses so treating Demodex blepharitis may improve tolerance to contact lenses and improve patient satisfaction with cataract and refractive surgery</w:t>
      </w:r>
    </w:p>
    <w:p>
      <w:pPr>
        <w:spacing w:after="0" w:line="16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Commercial Strategy for Demodex Blepharitis Launch</w:t>
      </w:r>
    </w:p>
    <w:p>
      <w:pPr>
        <w:spacing w:after="0" w:line="229" w:lineRule="exact"/>
        <w:rPr>
          <w:sz w:val="20"/>
          <w:szCs w:val="20"/>
          <w:color w:val="auto"/>
        </w:rPr>
      </w:pPr>
    </w:p>
    <w:p>
      <w:pPr>
        <w:ind w:left="120" w:firstLine="881"/>
        <w:spacing w:after="0" w:line="256" w:lineRule="auto"/>
        <w:rPr>
          <w:sz w:val="20"/>
          <w:szCs w:val="20"/>
          <w:color w:val="auto"/>
        </w:rPr>
      </w:pPr>
      <w:r>
        <w:rPr>
          <w:rFonts w:ascii="Times New Roman" w:cs="Times New Roman" w:eastAsia="Times New Roman" w:hAnsi="Times New Roman"/>
          <w:sz w:val="18"/>
          <w:szCs w:val="18"/>
          <w:color w:val="auto"/>
        </w:rPr>
        <w:t>If approved, we plan to commercialize TP-03 in the United States with a focused, specialty sales force, direct-to-consumer, or DTC, campaign, and ECP education campaigns with key opinion leaders, and professional associations. In our work with key opinion leaders and various associations to increase Demodex blepharitis awareness and education, we plan to highlight prevalence, impact, and simplicity of diagnosis of Demodex blepharitis. Our goal is to educate ECPs about the prevalence of Demodex blepharitis and the safety and efficacy of our products. In addition to educating ECPs, we believe that patient awareness and identification is important and plan to increase awareness through education and marketing efforts directed toward patients.</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TP-03 Eye Drops – Mechanism of Action</w:t>
      </w:r>
    </w:p>
    <w:p>
      <w:pPr>
        <w:spacing w:after="0" w:line="256" w:lineRule="exact"/>
        <w:rPr>
          <w:sz w:val="20"/>
          <w:szCs w:val="20"/>
          <w:color w:val="auto"/>
        </w:rPr>
      </w:pPr>
    </w:p>
    <w:p>
      <w:pPr>
        <w:ind w:left="120" w:right="1160" w:firstLine="648"/>
        <w:spacing w:after="0" w:line="255" w:lineRule="auto"/>
        <w:rPr>
          <w:sz w:val="20"/>
          <w:szCs w:val="20"/>
          <w:color w:val="auto"/>
        </w:rPr>
      </w:pPr>
      <w:r>
        <w:rPr>
          <w:rFonts w:ascii="Times New Roman" w:cs="Times New Roman" w:eastAsia="Times New Roman" w:hAnsi="Times New Roman"/>
          <w:sz w:val="18"/>
          <w:szCs w:val="18"/>
          <w:color w:val="auto"/>
        </w:rPr>
        <w:t>The active ingredient in TP-03 eye drops is lotilaner, a member of a new class of anti-parasitic molecules called isoxazolines. It is a potent non-competitive antagonist of insect and arachnid GABA-Cl channels. Lotilaner is designed to eradicate Demodex mites by selectively inhibiting GABA-Cl channels, causing mite paralysis and eventual death. It has a low affinity to mammalian GABA-Cl and other ion channels (e.g. hERG) and thus has no impact on the human nervous system. Lotilaner is a lipophilic molecule, which may promote its uptake in the oily sebum of the hair follicle, where the mites reside. In clinical trials, TP-03 is topically applied to the eye twice daily to ensure delivery of the drug to the eyelid margin. Following mite eradication, collarettes eventually clear from the eyelid since they are composed of mite-related waste.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6511290</wp:posOffset>
            </wp:positionH>
            <wp:positionV relativeFrom="paragraph">
              <wp:posOffset>-965200</wp:posOffset>
            </wp:positionV>
            <wp:extent cx="368300" cy="10883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368300" cy="1088390"/>
                    </a:xfrm>
                    <a:prstGeom prst="rect">
                      <a:avLst/>
                    </a:prstGeom>
                    <a:noFill/>
                  </pic:spPr>
                </pic:pic>
              </a:graphicData>
            </a:graphic>
          </wp:anchor>
        </w:drawing>
      </w:r>
    </w:p>
    <w:p>
      <w:pPr>
        <w:spacing w:after="0" w:line="30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-130-</w:t>
      </w:r>
    </w:p>
    <w:p>
      <w:pPr>
        <w:sectPr>
          <w:pgSz w:w="11900" w:h="16838" w:orient="portrait"/>
          <w:cols w:equalWidth="0" w:num="1">
            <w:col w:w="11100"/>
          </w:cols>
          <w:pgMar w:left="320" w:top="455" w:right="479" w:bottom="1440" w:gutter="0" w:footer="0" w:header="0"/>
        </w:sectPr>
      </w:pPr>
    </w:p>
    <w:bookmarkStart w:id="133" w:name="page134"/>
    <w:bookmarkEnd w:id="13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The following figures show the intended paralysis of mites in the hair follicle by TP-03 administration:</w:t>
      </w:r>
    </w:p>
    <w:p>
      <w:pPr>
        <w:spacing w:after="0" w:line="2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Figure 16: Progression of TP-03 Application, Mite Paralysis and Eradication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173990</wp:posOffset>
            </wp:positionV>
            <wp:extent cx="5194935" cy="24174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5194935" cy="2417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Clinical Development Program</w:t>
      </w:r>
    </w:p>
    <w:p>
      <w:pPr>
        <w:spacing w:after="0" w:line="227" w:lineRule="exact"/>
        <w:rPr>
          <w:sz w:val="20"/>
          <w:szCs w:val="20"/>
          <w:color w:val="auto"/>
        </w:rPr>
      </w:pPr>
    </w:p>
    <w:p>
      <w:pPr>
        <w:ind w:left="120" w:firstLine="881"/>
        <w:spacing w:after="0" w:line="254" w:lineRule="auto"/>
        <w:rPr>
          <w:sz w:val="20"/>
          <w:szCs w:val="20"/>
          <w:color w:val="auto"/>
        </w:rPr>
      </w:pPr>
      <w:r>
        <w:rPr>
          <w:rFonts w:ascii="Times New Roman" w:cs="Times New Roman" w:eastAsia="Times New Roman" w:hAnsi="Times New Roman"/>
          <w:sz w:val="18"/>
          <w:szCs w:val="18"/>
          <w:color w:val="auto"/>
        </w:rPr>
        <w:t xml:space="preserve">We have completed four Phase 2 clinical trials to date, along with one additional </w:t>
      </w:r>
      <w:r>
        <w:rPr>
          <w:rFonts w:ascii="Times New Roman" w:cs="Times New Roman" w:eastAsia="Times New Roman" w:hAnsi="Times New Roman"/>
          <w:sz w:val="18"/>
          <w:szCs w:val="18"/>
          <w:i w:val="1"/>
          <w:iCs w:val="1"/>
          <w:color w:val="auto"/>
        </w:rPr>
        <w:t>ex vivo</w:t>
      </w:r>
      <w:r>
        <w:rPr>
          <w:rFonts w:ascii="Times New Roman" w:cs="Times New Roman" w:eastAsia="Times New Roman" w:hAnsi="Times New Roman"/>
          <w:sz w:val="18"/>
          <w:szCs w:val="18"/>
          <w:color w:val="auto"/>
        </w:rPr>
        <w:t xml:space="preserve"> study. The table below summarizes completed and planned clinical investigations evaluating TP-03 for Demodex blepharitis. We plan to evaluate TP-03 in two pivotal registration trials, referred to as Saturn-1 and Saturn-2. Saturn-1 is a Phase 2b/3, randomized, controlled, double-blind trial to evaluate the safety and efficacy of TP-03 is expected to enroll at least 350 Demodex blepharitis patients in multiple centers in the United States. We commenced Saturn-1 in September 2020 and top-line data is expected in 2021, subject to the impact of the ongoing COVID-19 pandemic. Saturn-2, our confirmatory Phase 3 randomized, controlled, double-blind trial, has a highly comparable design to that of Saturn-1 and is also expected to enroll approximately 350 Demodex blepharitis patients. Enrollment of Saturn-2 is expected to begin in 2021, subject to the impact of the ongoing COVID-19 pandemic. In connection with our IND application, we have received a “no-objection” letter from the FDA regarding the trial design for Saturn-1. The trial design for Saturn-2 is highly comparable to that of Saturn-1 and we expect to update the IND protocol prior to commencing Saturn-2. We expect these trial results to support the potential submission of an NDA for TP-03 for the treatment of Demodex blepharitis.</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-131-</w:t>
      </w:r>
    </w:p>
    <w:p>
      <w:pPr>
        <w:sectPr>
          <w:pgSz w:w="11900" w:h="16838" w:orient="portrait"/>
          <w:cols w:equalWidth="0" w:num="1">
            <w:col w:w="11120"/>
          </w:cols>
          <w:pgMar w:left="320" w:top="455" w:right="459" w:bottom="1440" w:gutter="0" w:footer="0" w:header="0"/>
        </w:sectPr>
      </w:pPr>
    </w:p>
    <w:bookmarkStart w:id="134" w:name="page135"/>
    <w:bookmarkEnd w:id="13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The following figure shows our completed and planned investigations evaluating TP-03 for Demodex blepharitis:</w:t>
      </w:r>
    </w:p>
    <w:p>
      <w:pPr>
        <w:spacing w:after="0" w:line="2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Figure 17: Completed and Planned Investigations Evaluating TP-03 for Demodex Blepharitis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173990</wp:posOffset>
            </wp:positionV>
            <wp:extent cx="5177790" cy="298323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177790" cy="2983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120" w:hanging="4"/>
        <w:spacing w:after="0" w:line="229" w:lineRule="auto"/>
        <w:tabs>
          <w:tab w:leader="none" w:pos="228" w:val="left"/>
        </w:tabs>
        <w:numPr>
          <w:ilvl w:val="0"/>
          <w:numId w:val="1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Mars and Jupiter trials used collarette grade as an endpoint, which has been translated into a collarette cure (defined as £10 collarettes). This is different from the collarette cure (defined as £2 collarettes) endpoint used in Io, Europa, Saturn-1 and the planned Saturn-2 trials. The Mars and Jupiter trials also used mite density as an endpoint, which is different from mite eradication. Mite density is translated into mite eradication, which is defined as zero mites per lash consistently throughout trials.</w:t>
      </w:r>
    </w:p>
    <w:p>
      <w:pPr>
        <w:ind w:left="120"/>
        <w:spacing w:after="0" w:line="221"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Primary endpoint in Io, Europa, Saturn-1 and intended in Saturn-2 is collarette cure based on collarette grade.</w:t>
      </w:r>
    </w:p>
    <w:p>
      <w:pPr>
        <w:ind w:left="120"/>
        <w:spacing w:after="0" w:line="221"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In connection with our IND application, a no-objection letter was received from the FDA regarding the trial design of the Saturn-1 trial.</w:t>
      </w:r>
    </w:p>
    <w:p>
      <w:pPr>
        <w:ind w:left="12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Saturn-2 design is highly comparable to that of Saturn-1 with respect to which the FDA raised “no-objection” and we expect to update the IND protocol prior to commencing Saturn-2.</w:t>
      </w:r>
    </w:p>
    <w:p>
      <w:pPr>
        <w:spacing w:after="0" w:line="192" w:lineRule="exact"/>
        <w:rPr>
          <w:sz w:val="20"/>
          <w:szCs w:val="20"/>
          <w:color w:val="auto"/>
        </w:rPr>
      </w:pPr>
    </w:p>
    <w:p>
      <w:pPr>
        <w:ind w:left="120" w:right="560" w:firstLine="881"/>
        <w:spacing w:after="0" w:line="282" w:lineRule="auto"/>
        <w:rPr>
          <w:sz w:val="20"/>
          <w:szCs w:val="20"/>
          <w:color w:val="auto"/>
        </w:rPr>
      </w:pPr>
      <w:r>
        <w:rPr>
          <w:rFonts w:ascii="Times New Roman" w:cs="Times New Roman" w:eastAsia="Times New Roman" w:hAnsi="Times New Roman"/>
          <w:sz w:val="18"/>
          <w:szCs w:val="18"/>
          <w:color w:val="auto"/>
        </w:rPr>
        <w:t>TP-03 is a presentation of lotilaner, the API, formulated into a topical eye drop formulation. Only one dose strength of TP-03, 0.25% lotilaner solution was used across all clinical trials and studies.</w:t>
      </w:r>
    </w:p>
    <w:p>
      <w:pPr>
        <w:spacing w:after="0" w:line="162" w:lineRule="exact"/>
        <w:rPr>
          <w:sz w:val="20"/>
          <w:szCs w:val="20"/>
          <w:color w:val="auto"/>
        </w:rPr>
      </w:pPr>
    </w:p>
    <w:p>
      <w:pPr>
        <w:jc w:val="both"/>
        <w:ind w:left="120" w:right="300" w:firstLine="881"/>
        <w:spacing w:after="0" w:line="266" w:lineRule="auto"/>
        <w:rPr>
          <w:sz w:val="20"/>
          <w:szCs w:val="20"/>
          <w:color w:val="auto"/>
        </w:rPr>
      </w:pPr>
      <w:r>
        <w:rPr>
          <w:rFonts w:ascii="Times New Roman" w:cs="Times New Roman" w:eastAsia="Times New Roman" w:hAnsi="Times New Roman"/>
          <w:sz w:val="18"/>
          <w:szCs w:val="18"/>
          <w:color w:val="auto"/>
        </w:rPr>
        <w:t>A statistically significant outcome for primary efficacy endpoints is typically one of the requirements for FDA approval of a product. A statistically significant outcome indicates that the probability of the outcome occurring at random is less than the pre-established allowed error level, frequently set at 0.05 (or 1 in 20).</w:t>
      </w:r>
    </w:p>
    <w:p>
      <w:pPr>
        <w:spacing w:after="0" w:line="1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Mercury Study</w:t>
      </w:r>
    </w:p>
    <w:p>
      <w:pPr>
        <w:spacing w:after="0" w:line="227" w:lineRule="exact"/>
        <w:rPr>
          <w:sz w:val="20"/>
          <w:szCs w:val="20"/>
          <w:color w:val="auto"/>
        </w:rPr>
      </w:pPr>
    </w:p>
    <w:p>
      <w:pPr>
        <w:ind w:left="120" w:firstLine="881"/>
        <w:spacing w:after="0" w:line="258" w:lineRule="auto"/>
        <w:rPr>
          <w:sz w:val="20"/>
          <w:szCs w:val="20"/>
          <w:color w:val="auto"/>
        </w:rPr>
      </w:pPr>
      <w:r>
        <w:rPr>
          <w:rFonts w:ascii="Times New Roman" w:cs="Times New Roman" w:eastAsia="Times New Roman" w:hAnsi="Times New Roman"/>
          <w:sz w:val="18"/>
          <w:szCs w:val="18"/>
          <w:color w:val="auto"/>
        </w:rPr>
        <w:t xml:space="preserve">The Mercury preclinical study was an </w:t>
      </w:r>
      <w:r>
        <w:rPr>
          <w:rFonts w:ascii="Times New Roman" w:cs="Times New Roman" w:eastAsia="Times New Roman" w:hAnsi="Times New Roman"/>
          <w:sz w:val="18"/>
          <w:szCs w:val="18"/>
          <w:i w:val="1"/>
          <w:iCs w:val="1"/>
          <w:color w:val="auto"/>
        </w:rPr>
        <w:t>ex vivo</w:t>
      </w:r>
      <w:r>
        <w:rPr>
          <w:rFonts w:ascii="Times New Roman" w:cs="Times New Roman" w:eastAsia="Times New Roman" w:hAnsi="Times New Roman"/>
          <w:sz w:val="18"/>
          <w:szCs w:val="18"/>
          <w:color w:val="auto"/>
        </w:rPr>
        <w:t xml:space="preserve"> study of the efficacy of TP-03 in causing the paralysis and death of Demodex mites performed at a single center in the United States in 2019 through 2020. Mites were collected following lash plucking at a single center in the United States. Mites were placed in small wells and submersed in a drop of either TP-03 (pilot formulation) or a vehicle control (formulation with no active ingredient). The </w:t>
      </w:r>
      <w:r>
        <w:rPr>
          <w:rFonts w:ascii="Times New Roman" w:cs="Times New Roman" w:eastAsia="Times New Roman" w:hAnsi="Times New Roman"/>
          <w:sz w:val="18"/>
          <w:szCs w:val="18"/>
          <w:i w:val="1"/>
          <w:iCs w:val="1"/>
          <w:color w:val="auto"/>
        </w:rPr>
        <w:t xml:space="preserve">ex vivo </w:t>
      </w:r>
      <w:r>
        <w:rPr>
          <w:rFonts w:ascii="Times New Roman" w:cs="Times New Roman" w:eastAsia="Times New Roman" w:hAnsi="Times New Roman"/>
          <w:sz w:val="18"/>
          <w:szCs w:val="18"/>
          <w:color w:val="auto"/>
        </w:rPr>
        <w:t>efficacy results of the Mercury study show that 100% of mites subjected to the pilot formulation of TP-03 were dead within 24 hours and more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than 70% of mites subjected to the formulation with no active ingredient were still viable after four days of observation.</w:t>
      </w:r>
    </w:p>
    <w:p>
      <w:pPr>
        <w:spacing w:after="0" w:line="11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-132-</w:t>
      </w:r>
    </w:p>
    <w:p>
      <w:pPr>
        <w:sectPr>
          <w:pgSz w:w="11900" w:h="16838" w:orient="portrait"/>
          <w:cols w:equalWidth="0" w:num="1">
            <w:col w:w="11120"/>
          </w:cols>
          <w:pgMar w:left="320" w:top="455" w:right="459" w:bottom="1440" w:gutter="0" w:footer="0" w:header="0"/>
        </w:sectPr>
      </w:pPr>
    </w:p>
    <w:bookmarkStart w:id="135" w:name="page136"/>
    <w:bookmarkEnd w:id="13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firstLine="881"/>
        <w:spacing w:after="0" w:line="282" w:lineRule="auto"/>
        <w:rPr>
          <w:sz w:val="20"/>
          <w:szCs w:val="20"/>
          <w:color w:val="auto"/>
        </w:rPr>
      </w:pPr>
      <w:r>
        <w:rPr>
          <w:rFonts w:ascii="Times New Roman" w:cs="Times New Roman" w:eastAsia="Times New Roman" w:hAnsi="Times New Roman"/>
          <w:sz w:val="18"/>
          <w:szCs w:val="18"/>
          <w:color w:val="auto"/>
        </w:rPr>
        <w:t>The following figure presents the efficacy results on Demodex mite survival probability over time, with the shaded regions representing the 95% confidence interval for each of the two groups:</w:t>
      </w:r>
    </w:p>
    <w:p>
      <w:pPr>
        <w:spacing w:after="0" w:line="15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 xml:space="preserve">Figure 18: Mercury Study </w:t>
      </w:r>
      <w:r>
        <w:rPr>
          <w:rFonts w:ascii="Times New Roman" w:cs="Times New Roman" w:eastAsia="Times New Roman" w:hAnsi="Times New Roman"/>
          <w:sz w:val="18"/>
          <w:szCs w:val="18"/>
          <w:b w:val="1"/>
          <w:bCs w:val="1"/>
          <w:i w:val="1"/>
          <w:iCs w:val="1"/>
          <w:color w:val="auto"/>
        </w:rPr>
        <w:t>Ex Vivo</w:t>
      </w:r>
      <w:r>
        <w:rPr>
          <w:rFonts w:ascii="Times New Roman" w:cs="Times New Roman" w:eastAsia="Times New Roman" w:hAnsi="Times New Roman"/>
          <w:sz w:val="18"/>
          <w:szCs w:val="18"/>
          <w:b w:val="1"/>
          <w:bCs w:val="1"/>
          <w:color w:val="auto"/>
        </w:rPr>
        <w:t xml:space="preserve"> Efficacy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2045335</wp:posOffset>
            </wp:positionH>
            <wp:positionV relativeFrom="paragraph">
              <wp:posOffset>173990</wp:posOffset>
            </wp:positionV>
            <wp:extent cx="3060065" cy="23920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3060065" cy="2392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Mars Phase 2a Single-Arm Clinical Trial</w:t>
      </w:r>
    </w:p>
    <w:p>
      <w:pPr>
        <w:spacing w:after="0" w:line="229" w:lineRule="exact"/>
        <w:rPr>
          <w:sz w:val="20"/>
          <w:szCs w:val="20"/>
          <w:color w:val="auto"/>
        </w:rPr>
      </w:pPr>
    </w:p>
    <w:p>
      <w:pPr>
        <w:ind w:left="120" w:right="40" w:firstLine="881"/>
        <w:spacing w:after="0" w:line="256" w:lineRule="auto"/>
        <w:rPr>
          <w:sz w:val="20"/>
          <w:szCs w:val="20"/>
          <w:color w:val="auto"/>
        </w:rPr>
      </w:pPr>
      <w:r>
        <w:rPr>
          <w:rFonts w:ascii="Times New Roman" w:cs="Times New Roman" w:eastAsia="Times New Roman" w:hAnsi="Times New Roman"/>
          <w:sz w:val="18"/>
          <w:szCs w:val="18"/>
          <w:color w:val="auto"/>
        </w:rPr>
        <w:t>Mars was a Phase 2a single-arm clinical trial which evaluated the safety and efficacy of TP-03 for the treatment of Demodex blepharitis completed in 2019 in Mexico City, Mexico at a well-established site for ocular therapy trials. Subjects were treated with TP-03 (pilot formulation) BID for 28 days and followed to 90 days (62 days post-treatment). A total of 18 subjects were enrolled in the trial, with 15 patients receiving treatment beyond Day 1. Fourteen of the 15 subjects who received treatment completed the trial through Day 28. Twelve of the 15 subjects continued through 90 days (62 days post-treatment) and three subjects did not continue the trial after Day 28. In data described below, one subject was lost to follow-up after Day 2, one subject missed the Day 7 visit and one subject missed the Day 14 visit.</w:t>
      </w:r>
    </w:p>
    <w:p>
      <w:pPr>
        <w:spacing w:after="0" w:line="187" w:lineRule="exact"/>
        <w:rPr>
          <w:sz w:val="20"/>
          <w:szCs w:val="20"/>
          <w:color w:val="auto"/>
        </w:rPr>
      </w:pPr>
    </w:p>
    <w:p>
      <w:pPr>
        <w:ind w:left="120" w:right="100" w:firstLine="881"/>
        <w:spacing w:after="0" w:line="261" w:lineRule="auto"/>
        <w:rPr>
          <w:sz w:val="20"/>
          <w:szCs w:val="20"/>
          <w:color w:val="auto"/>
        </w:rPr>
      </w:pPr>
      <w:r>
        <w:rPr>
          <w:rFonts w:ascii="Times New Roman" w:cs="Times New Roman" w:eastAsia="Times New Roman" w:hAnsi="Times New Roman"/>
          <w:sz w:val="18"/>
          <w:szCs w:val="18"/>
          <w:color w:val="auto"/>
        </w:rPr>
        <w:t>Exploratory endpoints included collarette grading score and mite density, as assessed by microscopic evaluation of plucked lashes. As this was an exploratory Phase 2a trial, no primary or secondary endpoints were pre-specified. We utilized the data from the exploratory endpoints to determine collarette cure and mite eradication rates. We defined collarette cure as collarette count of 10 or fewer, consistent with prior studies in the field. We defined mite eradication as zero mites per lash.</w:t>
      </w:r>
    </w:p>
    <w:p>
      <w:pPr>
        <w:spacing w:after="0" w:line="11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-133-</w:t>
      </w:r>
    </w:p>
    <w:p>
      <w:pPr>
        <w:sectPr>
          <w:pgSz w:w="11900" w:h="16838" w:orient="portrait"/>
          <w:cols w:equalWidth="0" w:num="1">
            <w:col w:w="11040"/>
          </w:cols>
          <w:pgMar w:left="320" w:top="455" w:right="539" w:bottom="1440" w:gutter="0" w:footer="0" w:header="0"/>
        </w:sectPr>
      </w:pPr>
    </w:p>
    <w:bookmarkStart w:id="136" w:name="page137"/>
    <w:bookmarkEnd w:id="13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The following figure illustrates representative photos of two Mars subjects at baseline and Day 28 who exhibited a collarette cure:</w:t>
      </w:r>
    </w:p>
    <w:p>
      <w:pPr>
        <w:spacing w:after="0" w:line="22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Figure 19: Two Mars Trial Subjects at Baseline and Day 28 Who Exhibited a Collarette Cure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1891030</wp:posOffset>
            </wp:positionH>
            <wp:positionV relativeFrom="paragraph">
              <wp:posOffset>173990</wp:posOffset>
            </wp:positionV>
            <wp:extent cx="3360420" cy="27260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3360420" cy="2726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120" w:firstLine="881"/>
        <w:spacing w:after="0" w:line="261" w:lineRule="auto"/>
        <w:rPr>
          <w:sz w:val="20"/>
          <w:szCs w:val="20"/>
          <w:color w:val="auto"/>
        </w:rPr>
      </w:pPr>
      <w:r>
        <w:rPr>
          <w:rFonts w:ascii="Times New Roman" w:cs="Times New Roman" w:eastAsia="Times New Roman" w:hAnsi="Times New Roman"/>
          <w:sz w:val="18"/>
          <w:szCs w:val="18"/>
          <w:color w:val="auto"/>
        </w:rPr>
        <w:t>The proportion of subjects who exhibited a collarette cure was statistically significant compared to baseline by Day 14 with 54% of subjects (7 of 13 subjects, p &lt; 0.05) exhibiting a cure, at Day 28 with 86% of subjects (12 of 14 subjects, p &lt; 0.05) exhibiting a cure, and post-treatment at Day 60 with 83% of subjects (10 of 12 subjects, p &lt; 0.05) exhibiting a cure and at Day 90 with 83% of subjects (10 of 12 subjects, p &lt; 0.05) exhibiting a cure.</w:t>
      </w:r>
    </w:p>
    <w:p>
      <w:pPr>
        <w:spacing w:after="0" w:line="180" w:lineRule="exact"/>
        <w:rPr>
          <w:sz w:val="20"/>
          <w:szCs w:val="20"/>
          <w:color w:val="auto"/>
        </w:rPr>
      </w:pPr>
    </w:p>
    <w:p>
      <w:pPr>
        <w:ind w:left="120" w:right="20" w:firstLine="881"/>
        <w:spacing w:after="0" w:line="261" w:lineRule="auto"/>
        <w:rPr>
          <w:sz w:val="20"/>
          <w:szCs w:val="20"/>
          <w:color w:val="auto"/>
        </w:rPr>
      </w:pPr>
      <w:r>
        <w:rPr>
          <w:rFonts w:ascii="Times New Roman" w:cs="Times New Roman" w:eastAsia="Times New Roman" w:hAnsi="Times New Roman"/>
          <w:sz w:val="18"/>
          <w:szCs w:val="18"/>
          <w:color w:val="auto"/>
        </w:rPr>
        <w:t>The proportion of subjects who exhibited mite eradication was statistically significant compared to baseline at Day 14 with 31% of subjects (4 of 13 subjects, p &lt; 0.05) exhibiting eradication, at Day 28 with 57% of subjects (8 of 14 subjects, p &lt; 0.05) exhibiting eradication, and post-treatment at Day 60 with 50% of subjects (6 of 12 subjects, p &lt; 0.05) exhibiting eradication and Day 90 with 83% of subjects (10 of 12 subjects, p &lt; 0.05) exhibiting eradication.</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-134-</w:t>
      </w:r>
    </w:p>
    <w:p>
      <w:pPr>
        <w:sectPr>
          <w:pgSz w:w="11900" w:h="16838" w:orient="portrait"/>
          <w:cols w:equalWidth="0" w:num="1">
            <w:col w:w="11080"/>
          </w:cols>
          <w:pgMar w:left="320" w:top="455" w:right="499" w:bottom="1440" w:gutter="0" w:footer="0" w:header="0"/>
        </w:sectPr>
      </w:pPr>
    </w:p>
    <w:bookmarkStart w:id="137" w:name="page138"/>
    <w:bookmarkEnd w:id="13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The following figure shows the data for each visit day:</w:t>
      </w:r>
    </w:p>
    <w:p>
      <w:pPr>
        <w:spacing w:after="0" w:line="2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Figures 20 and 21: Mars Phase 2a Trial Collarette Cure and Mite Eradication 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965200</wp:posOffset>
            </wp:positionH>
            <wp:positionV relativeFrom="paragraph">
              <wp:posOffset>173990</wp:posOffset>
            </wp:positionV>
            <wp:extent cx="5212080" cy="215138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5212080" cy="2151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There were no adverse events reported and TP-03 was well tolerated. No subjects discontinued the trial due to adverse events.</w:t>
      </w:r>
    </w:p>
    <w:p>
      <w:pPr>
        <w:spacing w:after="0" w:line="2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Jupiter Phase 2b Trial</w:t>
      </w:r>
    </w:p>
    <w:p>
      <w:pPr>
        <w:spacing w:after="0" w:line="229" w:lineRule="exact"/>
        <w:rPr>
          <w:sz w:val="20"/>
          <w:szCs w:val="20"/>
          <w:color w:val="auto"/>
        </w:rPr>
      </w:pPr>
    </w:p>
    <w:p>
      <w:pPr>
        <w:ind w:left="120" w:firstLine="881"/>
        <w:spacing w:after="0" w:line="254" w:lineRule="auto"/>
        <w:rPr>
          <w:sz w:val="20"/>
          <w:szCs w:val="20"/>
          <w:color w:val="auto"/>
        </w:rPr>
      </w:pPr>
      <w:r>
        <w:rPr>
          <w:rFonts w:ascii="Times New Roman" w:cs="Times New Roman" w:eastAsia="Times New Roman" w:hAnsi="Times New Roman"/>
          <w:sz w:val="18"/>
          <w:szCs w:val="18"/>
          <w:color w:val="auto"/>
        </w:rPr>
        <w:t>Jupiter was a Phase 2b randomized, controlled, double-blind trial which evaluated the safety and efficacy of TP-03 for the treatment of Demodex blepharitis completed in 2019 in Mexico City, Mexico at a well-established site for ocular therapy trials. Subjects were treated with either TP-03 (pilot formulation) or with a vehicle control BID for 28 days. Subjects were followed to 90 days (62 days post-treatment) to evaluate post-treatment duration of effect. The primary endpoint was mite density for the treatment group as compared to the mite density for the vehicle control group at Day 28 and the secondary endpoint was collarette grade as compared to the collarette grade for the vehicle control group at Day 28. We utilized the collarette grading and mite density data to determine collarette cure and mite eradication rates. The definitions of collarette cure and mite eradication in the Jupiter trial were consistent with those used in the Mars trial. A total of 60 subjects were enrolled in the trial, with 51 subjects receiving treatment through Day 28 and 49 subjects completing the trial through Day 90.</w:t>
      </w:r>
    </w:p>
    <w:p>
      <w:pPr>
        <w:spacing w:after="0" w:line="192" w:lineRule="exact"/>
        <w:rPr>
          <w:sz w:val="20"/>
          <w:szCs w:val="20"/>
          <w:color w:val="auto"/>
        </w:rPr>
      </w:pPr>
    </w:p>
    <w:p>
      <w:pPr>
        <w:ind w:left="120" w:firstLine="881"/>
        <w:spacing w:after="0" w:line="266" w:lineRule="auto"/>
        <w:rPr>
          <w:sz w:val="20"/>
          <w:szCs w:val="20"/>
          <w:color w:val="auto"/>
        </w:rPr>
      </w:pPr>
      <w:r>
        <w:rPr>
          <w:rFonts w:ascii="Times New Roman" w:cs="Times New Roman" w:eastAsia="Times New Roman" w:hAnsi="Times New Roman"/>
          <w:sz w:val="18"/>
          <w:szCs w:val="18"/>
          <w:color w:val="auto"/>
        </w:rPr>
        <w:t>The proportion of subjects who exhibited a collarette cure was statistically significant for TP-03 compared to vehicle control at Day 14 (78% vs. 44% subjects, p = 0.020), Day 28 (88% vs. 22%, p &lt; 0.001) and post-treatment at Day 60 (95% vs. 26%, p &lt; 0.001) and Day 90 (96% vs. 15%, p &lt; 0.001).</w:t>
      </w:r>
    </w:p>
    <w:p>
      <w:pPr>
        <w:spacing w:after="0" w:line="176" w:lineRule="exact"/>
        <w:rPr>
          <w:sz w:val="20"/>
          <w:szCs w:val="20"/>
          <w:color w:val="auto"/>
        </w:rPr>
      </w:pPr>
    </w:p>
    <w:p>
      <w:pPr>
        <w:ind w:left="120" w:right="40" w:firstLine="881"/>
        <w:spacing w:after="0" w:line="266" w:lineRule="auto"/>
        <w:rPr>
          <w:sz w:val="20"/>
          <w:szCs w:val="20"/>
          <w:color w:val="auto"/>
        </w:rPr>
      </w:pPr>
      <w:r>
        <w:rPr>
          <w:rFonts w:ascii="Times New Roman" w:cs="Times New Roman" w:eastAsia="Times New Roman" w:hAnsi="Times New Roman"/>
          <w:sz w:val="18"/>
          <w:szCs w:val="18"/>
          <w:color w:val="auto"/>
        </w:rPr>
        <w:t>The proportion of subjects who exhibited mite eradication was statistically significant for TP-03 compared to vehicle control at Day 14 (35% vs. 4% subjects, p = 0.009), Day 28 (67% vs. 26%, p = 0.005) and post-treatment at Day 60 (85% vs. 7%, p &lt; 0.001) and Day 90 (68% vs. 19%, p = 0.001).</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-135-</w:t>
      </w:r>
    </w:p>
    <w:p>
      <w:pPr>
        <w:sectPr>
          <w:pgSz w:w="11900" w:h="16838" w:orient="portrait"/>
          <w:cols w:equalWidth="0" w:num="1">
            <w:col w:w="11100"/>
          </w:cols>
          <w:pgMar w:left="320" w:top="455" w:right="479" w:bottom="1440" w:gutter="0" w:footer="0" w:header="0"/>
        </w:sectPr>
      </w:pPr>
    </w:p>
    <w:bookmarkStart w:id="138" w:name="page139"/>
    <w:bookmarkEnd w:id="13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The following figures show the collarette cure and mite eradication rates for each visit day:</w:t>
      </w:r>
    </w:p>
    <w:p>
      <w:pPr>
        <w:spacing w:after="0" w:line="2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Figures 22 and 23: Jupiter Trial Collarette Cure and Mite Eradication 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173990</wp:posOffset>
            </wp:positionV>
            <wp:extent cx="5186045" cy="20916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186045" cy="2091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120" w:right="480" w:firstLine="881"/>
        <w:spacing w:after="0" w:line="282" w:lineRule="auto"/>
        <w:rPr>
          <w:sz w:val="20"/>
          <w:szCs w:val="20"/>
          <w:color w:val="auto"/>
        </w:rPr>
      </w:pPr>
      <w:r>
        <w:rPr>
          <w:rFonts w:ascii="Times New Roman" w:cs="Times New Roman" w:eastAsia="Times New Roman" w:hAnsi="Times New Roman"/>
          <w:sz w:val="18"/>
          <w:szCs w:val="18"/>
          <w:color w:val="auto"/>
        </w:rPr>
        <w:t>There were no serious adverse events reported and TP-03 was well tolerated. Any adverse events were not related to treatment and no subjects discontinued the trial due to adverse events.</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Trials With Updated Protocol and Formulation Designed to Support Pivotal Trials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Io Phase 2a Trial</w:t>
      </w:r>
    </w:p>
    <w:p>
      <w:pPr>
        <w:spacing w:after="0" w:line="229" w:lineRule="exact"/>
        <w:rPr>
          <w:sz w:val="20"/>
          <w:szCs w:val="20"/>
          <w:color w:val="auto"/>
        </w:rPr>
      </w:pPr>
    </w:p>
    <w:p>
      <w:pPr>
        <w:ind w:left="120" w:firstLine="881"/>
        <w:spacing w:after="0" w:line="271" w:lineRule="auto"/>
        <w:rPr>
          <w:sz w:val="20"/>
          <w:szCs w:val="20"/>
          <w:color w:val="auto"/>
        </w:rPr>
      </w:pPr>
      <w:r>
        <w:rPr>
          <w:rFonts w:ascii="Times New Roman" w:cs="Times New Roman" w:eastAsia="Times New Roman" w:hAnsi="Times New Roman"/>
          <w:sz w:val="17"/>
          <w:szCs w:val="17"/>
          <w:color w:val="auto"/>
        </w:rPr>
        <w:t>Io was a Phase 2a single-arm trial which evaluated the safety and efficacy of TP-03 for the treatment of Demodex blepharitis completed in 2020 in Mexico City, Mexico at a well-established site for ocular therapy trials. The design of the Io trial took into account feedback from the FDA, and accordingly we subsequently defined collarette cure rate as a more stringent standard of less than or equal to two collarettes on the eyelid. The definition of mite eradication, defined as zero mites per lash, remained consistent with that of the Mars and Jupiter trials. In the Io trial we also utilized for the first time in clinical trials the formulation of TP-03 which is expected to support our NDA submission for Demodex blepharitis. The Io trial design, as well as the formulation of TP-03 utilized, are consistent with the design and formulation to be utilized in our Saturn-1 Phase 2b/3 trial. The primary efficacy endpoint was the proportion of patients experiencing a cure based on collarette grade, or collarette cure, at Day 42. The secondary endpoint was the mite eradication rate at Day 42. A total of 18 subjects were enrolled in the trial, all of whom were crossed over from the vehicle control group of the Jupiter trial. In data described below, three subjects missed the Day 7 visit, one subject missed the Day 14 visit and one subject missed the Day 28 visit.</w:t>
      </w:r>
    </w:p>
    <w:p>
      <w:pPr>
        <w:spacing w:after="0" w:line="173" w:lineRule="exact"/>
        <w:rPr>
          <w:sz w:val="20"/>
          <w:szCs w:val="20"/>
          <w:color w:val="auto"/>
        </w:rPr>
      </w:pPr>
    </w:p>
    <w:p>
      <w:pPr>
        <w:ind w:left="120" w:right="80" w:firstLine="881"/>
        <w:spacing w:after="0" w:line="266" w:lineRule="auto"/>
        <w:rPr>
          <w:sz w:val="20"/>
          <w:szCs w:val="20"/>
          <w:color w:val="auto"/>
        </w:rPr>
      </w:pPr>
      <w:r>
        <w:rPr>
          <w:rFonts w:ascii="Times New Roman" w:cs="Times New Roman" w:eastAsia="Times New Roman" w:hAnsi="Times New Roman"/>
          <w:sz w:val="18"/>
          <w:szCs w:val="18"/>
          <w:color w:val="auto"/>
        </w:rPr>
        <w:t>The proportion of subjects who exhibited a collarette cure was statistically significant for TP-03 compared to baseline by Day 14 with 29% of subjects (5 of 17 subjects, p &lt; 0.05), at Day 28 with 71% of subjects (12 of 17 subjects, p &lt; 0.05) and at Day 42 with 72% of subjects (13 of 18 subjects, p &lt; 0.05).</w:t>
      </w:r>
    </w:p>
    <w:p>
      <w:pPr>
        <w:spacing w:after="0" w:line="176" w:lineRule="exact"/>
        <w:rPr>
          <w:sz w:val="20"/>
          <w:szCs w:val="20"/>
          <w:color w:val="auto"/>
        </w:rPr>
      </w:pPr>
    </w:p>
    <w:p>
      <w:pPr>
        <w:ind w:left="120" w:right="60" w:firstLine="881"/>
        <w:spacing w:after="0" w:line="266" w:lineRule="auto"/>
        <w:rPr>
          <w:sz w:val="20"/>
          <w:szCs w:val="20"/>
          <w:color w:val="auto"/>
        </w:rPr>
      </w:pPr>
      <w:r>
        <w:rPr>
          <w:rFonts w:ascii="Times New Roman" w:cs="Times New Roman" w:eastAsia="Times New Roman" w:hAnsi="Times New Roman"/>
          <w:sz w:val="18"/>
          <w:szCs w:val="18"/>
          <w:color w:val="auto"/>
        </w:rPr>
        <w:t>The proportion of subjects who exhibited mite eradication was statistically significant for TP-03 compared to baseline by Day 14 with 47% of subjects (8 of 17 subjects, p &lt; 0.05), at Day 28 with 59% of subjects (10 of 17 subjects, p &lt; 0.05) and at Day 42 with 78% of subjects (14 of 18 subjects, p &lt; 0.05).</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-136-</w:t>
      </w:r>
    </w:p>
    <w:p>
      <w:pPr>
        <w:sectPr>
          <w:pgSz w:w="11900" w:h="16838" w:orient="portrait"/>
          <w:cols w:equalWidth="0" w:num="1">
            <w:col w:w="11100"/>
          </w:cols>
          <w:pgMar w:left="320" w:top="455" w:right="479" w:bottom="1440" w:gutter="0" w:footer="0" w:header="0"/>
        </w:sectPr>
      </w:pPr>
    </w:p>
    <w:bookmarkStart w:id="139" w:name="page140"/>
    <w:bookmarkEnd w:id="13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The following figures present the collarette cure and mite eradication rates for each visit day:</w:t>
      </w:r>
    </w:p>
    <w:p>
      <w:pPr>
        <w:spacing w:after="0" w:line="2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Figures 24 and 25: Io Trial Collarette Cure and Mite Eradication 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1007745</wp:posOffset>
            </wp:positionH>
            <wp:positionV relativeFrom="paragraph">
              <wp:posOffset>173990</wp:posOffset>
            </wp:positionV>
            <wp:extent cx="5134610" cy="181737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5134610" cy="1817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ind w:left="120" w:right="100" w:firstLine="881"/>
        <w:spacing w:after="0" w:line="266" w:lineRule="auto"/>
        <w:rPr>
          <w:sz w:val="20"/>
          <w:szCs w:val="20"/>
          <w:color w:val="auto"/>
        </w:rPr>
      </w:pPr>
      <w:r>
        <w:rPr>
          <w:rFonts w:ascii="Times New Roman" w:cs="Times New Roman" w:eastAsia="Times New Roman" w:hAnsi="Times New Roman"/>
          <w:sz w:val="18"/>
          <w:szCs w:val="18"/>
          <w:color w:val="auto"/>
        </w:rPr>
        <w:t>All 18 subjects completed the trial through Day 42 of dosing. There were no serious adverse events reported and TP-03 was well tolerated. No subjects discontinued the trial due to adverse events. The most common adverse event included mild transient burning after administration for less than 10 seconds.</w:t>
      </w:r>
    </w:p>
    <w:p>
      <w:pPr>
        <w:spacing w:after="0" w:line="176"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The following table provides a summary of treatment emergent adverse events for the trial:</w:t>
      </w:r>
    </w:p>
    <w:p>
      <w:pPr>
        <w:spacing w:after="0" w:line="2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Figure 26: Summary of Treatment Emergent Adverse Events</w:t>
      </w:r>
    </w:p>
    <w:p>
      <w:pPr>
        <w:spacing w:after="0" w:line="237" w:lineRule="exact"/>
        <w:rPr>
          <w:sz w:val="20"/>
          <w:szCs w:val="20"/>
          <w:color w:val="auto"/>
        </w:rPr>
      </w:pPr>
    </w:p>
    <w:tbl>
      <w:tblPr>
        <w:tblLayout w:type="fixed"/>
        <w:tblInd w:w="3540" w:type="dxa"/>
        <w:tblCellMar>
          <w:top w:w="0" w:type="dxa"/>
          <w:left w:w="0" w:type="dxa"/>
          <w:bottom w:w="0" w:type="dxa"/>
          <w:right w:w="0" w:type="dxa"/>
        </w:tblCellMar>
      </w:tblPr>
      <w:tr>
        <w:trPr>
          <w:trHeight w:val="161"/>
        </w:trPr>
        <w:tc>
          <w:tcPr>
            <w:tcW w:w="9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Adverse Event</w:t>
            </w:r>
          </w:p>
        </w:tc>
        <w:tc>
          <w:tcPr>
            <w:tcW w:w="2460" w:type="dxa"/>
            <w:vAlign w:val="bottom"/>
            <w:vMerge w:val="restart"/>
          </w:tcPr>
          <w:p>
            <w:pPr>
              <w:spacing w:after="0"/>
              <w:rPr>
                <w:sz w:val="13"/>
                <w:szCs w:val="13"/>
                <w:color w:val="auto"/>
              </w:rPr>
            </w:pPr>
          </w:p>
        </w:tc>
        <w:tc>
          <w:tcPr>
            <w:tcW w:w="82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N=18</w:t>
            </w:r>
          </w:p>
        </w:tc>
        <w:tc>
          <w:tcPr>
            <w:tcW w:w="0" w:type="dxa"/>
            <w:vAlign w:val="bottom"/>
          </w:tcPr>
          <w:p>
            <w:pPr>
              <w:spacing w:after="0"/>
              <w:rPr>
                <w:sz w:val="1"/>
                <w:szCs w:val="1"/>
                <w:color w:val="auto"/>
              </w:rPr>
            </w:pPr>
          </w:p>
        </w:tc>
      </w:tr>
      <w:tr>
        <w:trPr>
          <w:trHeight w:val="180"/>
        </w:trPr>
        <w:tc>
          <w:tcPr>
            <w:tcW w:w="900" w:type="dxa"/>
            <w:vAlign w:val="bottom"/>
            <w:tcBorders>
              <w:bottom w:val="single" w:sz="8" w:color="auto"/>
            </w:tcBorders>
            <w:vMerge w:val="continue"/>
          </w:tcPr>
          <w:p>
            <w:pPr>
              <w:spacing w:after="0"/>
              <w:rPr>
                <w:sz w:val="15"/>
                <w:szCs w:val="15"/>
                <w:color w:val="auto"/>
              </w:rPr>
            </w:pPr>
          </w:p>
        </w:tc>
        <w:tc>
          <w:tcPr>
            <w:tcW w:w="2460" w:type="dxa"/>
            <w:vAlign w:val="bottom"/>
            <w:vMerge w:val="continue"/>
          </w:tcPr>
          <w:p>
            <w:pPr>
              <w:spacing w:after="0"/>
              <w:rPr>
                <w:sz w:val="15"/>
                <w:szCs w:val="15"/>
                <w:color w:val="auto"/>
              </w:rPr>
            </w:pPr>
          </w:p>
        </w:tc>
        <w:tc>
          <w:tcPr>
            <w:tcW w:w="820" w:type="dxa"/>
            <w:vAlign w:val="bottom"/>
            <w:gridSpan w:val="2"/>
          </w:tcPr>
          <w:p>
            <w:pPr>
              <w:ind w:left="200"/>
              <w:spacing w:after="0" w:line="160" w:lineRule="exact"/>
              <w:rPr>
                <w:sz w:val="20"/>
                <w:szCs w:val="20"/>
                <w:color w:val="auto"/>
              </w:rPr>
            </w:pPr>
            <w:r>
              <w:rPr>
                <w:rFonts w:ascii="Times New Roman" w:cs="Times New Roman" w:eastAsia="Times New Roman" w:hAnsi="Times New Roman"/>
                <w:sz w:val="14"/>
                <w:szCs w:val="14"/>
                <w:b w:val="1"/>
                <w:bCs w:val="1"/>
                <w:color w:val="auto"/>
              </w:rPr>
              <w:t>n (%)</w:t>
            </w:r>
          </w:p>
        </w:tc>
        <w:tc>
          <w:tcPr>
            <w:tcW w:w="0" w:type="dxa"/>
            <w:vAlign w:val="bottom"/>
          </w:tcPr>
          <w:p>
            <w:pPr>
              <w:spacing w:after="0"/>
              <w:rPr>
                <w:sz w:val="1"/>
                <w:szCs w:val="1"/>
                <w:color w:val="auto"/>
              </w:rPr>
            </w:pPr>
          </w:p>
        </w:tc>
      </w:tr>
      <w:tr>
        <w:trPr>
          <w:trHeight w:val="203"/>
        </w:trPr>
        <w:tc>
          <w:tcPr>
            <w:tcW w:w="336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Transient burning</w:t>
            </w:r>
          </w:p>
        </w:tc>
        <w:tc>
          <w:tcPr>
            <w:tcW w:w="740" w:type="dxa"/>
            <w:vAlign w:val="bottom"/>
            <w:tcBorders>
              <w:top w:val="single" w:sz="8" w:color="auto"/>
            </w:tcBorders>
            <w:shd w:val="clear" w:color="auto" w:fill="CCEEFF"/>
          </w:tcPr>
          <w:p>
            <w:pPr>
              <w:ind w:left="160"/>
              <w:spacing w:after="0" w:line="203" w:lineRule="exact"/>
              <w:rPr>
                <w:sz w:val="20"/>
                <w:szCs w:val="20"/>
                <w:color w:val="auto"/>
              </w:rPr>
            </w:pPr>
            <w:r>
              <w:rPr>
                <w:rFonts w:ascii="Times New Roman" w:cs="Times New Roman" w:eastAsia="Times New Roman" w:hAnsi="Times New Roman"/>
                <w:sz w:val="18"/>
                <w:szCs w:val="18"/>
                <w:color w:val="auto"/>
                <w:w w:val="95"/>
              </w:rPr>
              <w:t>4 (22%)</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Transient blurriness</w:t>
            </w:r>
          </w:p>
        </w:tc>
        <w:tc>
          <w:tcPr>
            <w:tcW w:w="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 (6%)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Europa Phase 2b Trial</w:t>
      </w:r>
    </w:p>
    <w:p>
      <w:pPr>
        <w:spacing w:after="0" w:line="229" w:lineRule="exact"/>
        <w:rPr>
          <w:sz w:val="20"/>
          <w:szCs w:val="20"/>
          <w:color w:val="auto"/>
        </w:rPr>
      </w:pPr>
    </w:p>
    <w:p>
      <w:pPr>
        <w:ind w:left="120" w:right="40" w:firstLine="881"/>
        <w:spacing w:after="0" w:line="261" w:lineRule="auto"/>
        <w:rPr>
          <w:sz w:val="20"/>
          <w:szCs w:val="20"/>
          <w:color w:val="auto"/>
        </w:rPr>
      </w:pPr>
      <w:r>
        <w:rPr>
          <w:rFonts w:ascii="Times New Roman" w:cs="Times New Roman" w:eastAsia="Times New Roman" w:hAnsi="Times New Roman"/>
          <w:sz w:val="18"/>
          <w:szCs w:val="18"/>
          <w:color w:val="auto"/>
        </w:rPr>
        <w:t>Europa was a Phase 2b randomized, controlled, double-blind trial, which evaluated the safety and efficacy of TP-03 for the treatment of Demodex blepharitis completed in 2020 in Mexico City, Mexico at a well-established site for ocular therapy trials. Like the Io trial, the Europa trial was designed with the same protocols and formulation as will be utilized in our Saturn-1 Phase 2b/3 trial. Subjects were treated with either TP-03 or with a vehicle control BID for 42 days. A total of 54 subjects were enrolled in the trial with 34 subjects completing the trial through Day 42.</w:t>
      </w:r>
    </w:p>
    <w:p>
      <w:pPr>
        <w:spacing w:after="0" w:line="180" w:lineRule="exact"/>
        <w:rPr>
          <w:sz w:val="20"/>
          <w:szCs w:val="20"/>
          <w:color w:val="auto"/>
        </w:rPr>
      </w:pPr>
    </w:p>
    <w:p>
      <w:pPr>
        <w:ind w:left="120" w:firstLine="881"/>
        <w:spacing w:after="0" w:line="261" w:lineRule="auto"/>
        <w:rPr>
          <w:sz w:val="20"/>
          <w:szCs w:val="20"/>
          <w:color w:val="auto"/>
        </w:rPr>
      </w:pPr>
      <w:r>
        <w:rPr>
          <w:rFonts w:ascii="Times New Roman" w:cs="Times New Roman" w:eastAsia="Times New Roman" w:hAnsi="Times New Roman"/>
          <w:sz w:val="18"/>
          <w:szCs w:val="18"/>
          <w:color w:val="auto"/>
        </w:rPr>
        <w:t>The primary efficacy endpoint was the proportion of patients experiencing a cure based on collarette grade of two or fewer collarettes on the eyelid, or collarette cure, as compared to the vehicle control, at Day 42. Secondary efficacy endpoints included (1) mite eradication compared to vehicle control (defined as zero mites per lash) at Day 42, and (2) a composite cure rate of collarette cure and zero lid erythema (redness) compared to vehicle control. Subjects were also asked to rate the comfort of the trial eye drop at Day 42.</w:t>
      </w:r>
    </w:p>
    <w:p>
      <w:pPr>
        <w:spacing w:after="0" w:line="180" w:lineRule="exact"/>
        <w:rPr>
          <w:sz w:val="20"/>
          <w:szCs w:val="20"/>
          <w:color w:val="auto"/>
        </w:rPr>
      </w:pPr>
    </w:p>
    <w:p>
      <w:pPr>
        <w:ind w:left="120" w:right="380" w:firstLine="881"/>
        <w:spacing w:after="0" w:line="282" w:lineRule="auto"/>
        <w:rPr>
          <w:sz w:val="20"/>
          <w:szCs w:val="20"/>
          <w:color w:val="auto"/>
        </w:rPr>
      </w:pPr>
      <w:r>
        <w:rPr>
          <w:rFonts w:ascii="Times New Roman" w:cs="Times New Roman" w:eastAsia="Times New Roman" w:hAnsi="Times New Roman"/>
          <w:sz w:val="18"/>
          <w:szCs w:val="18"/>
          <w:color w:val="auto"/>
        </w:rPr>
        <w:t>The proportion of subjects who exhibited a collarette cure was statistically significant for TP-03 compared to vehicle control at Day 28 (72% vs 11% subjects, p &lt; 0.001) and Day 42 (80% vs. 16%, p &lt; 0.001).</w:t>
      </w:r>
    </w:p>
    <w:p>
      <w:pPr>
        <w:spacing w:after="0" w:line="162" w:lineRule="exact"/>
        <w:rPr>
          <w:sz w:val="20"/>
          <w:szCs w:val="20"/>
          <w:color w:val="auto"/>
        </w:rPr>
      </w:pPr>
    </w:p>
    <w:p>
      <w:pPr>
        <w:ind w:left="120" w:right="240" w:firstLine="881"/>
        <w:spacing w:after="0" w:line="282" w:lineRule="auto"/>
        <w:rPr>
          <w:sz w:val="20"/>
          <w:szCs w:val="20"/>
          <w:color w:val="auto"/>
        </w:rPr>
      </w:pPr>
      <w:r>
        <w:rPr>
          <w:rFonts w:ascii="Times New Roman" w:cs="Times New Roman" w:eastAsia="Times New Roman" w:hAnsi="Times New Roman"/>
          <w:sz w:val="18"/>
          <w:szCs w:val="18"/>
          <w:color w:val="auto"/>
        </w:rPr>
        <w:t>The proportion of subjects who exhibited a mite eradication was statistically significant for TP-03 compared to vehicle control at Day 28 (56% vs 11% subjects, p = 0.006) and Day 42 (73% vs. 21%, p = 0.003).</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-137-</w:t>
      </w:r>
    </w:p>
    <w:p>
      <w:pPr>
        <w:sectPr>
          <w:pgSz w:w="11900" w:h="16838" w:orient="portrait"/>
          <w:cols w:equalWidth="0" w:num="1">
            <w:col w:w="11100"/>
          </w:cols>
          <w:pgMar w:left="320" w:top="455" w:right="479" w:bottom="1440" w:gutter="0" w:footer="0" w:header="0"/>
        </w:sectPr>
      </w:pPr>
    </w:p>
    <w:bookmarkStart w:id="140" w:name="page141"/>
    <w:bookmarkEnd w:id="14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The following figures show the collarette cure and mite eradication rates for each visit day:</w:t>
      </w:r>
    </w:p>
    <w:p>
      <w:pPr>
        <w:spacing w:after="0" w:line="2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Figures 27 and 28: Europa Trial Collarette Cure and Mite Eradication 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1230630</wp:posOffset>
            </wp:positionH>
            <wp:positionV relativeFrom="paragraph">
              <wp:posOffset>173990</wp:posOffset>
            </wp:positionV>
            <wp:extent cx="4680585" cy="189420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4680585" cy="1894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120" w:firstLine="881"/>
        <w:spacing w:after="0" w:line="266" w:lineRule="auto"/>
        <w:rPr>
          <w:sz w:val="20"/>
          <w:szCs w:val="20"/>
          <w:color w:val="auto"/>
        </w:rPr>
      </w:pPr>
      <w:r>
        <w:rPr>
          <w:rFonts w:ascii="Times New Roman" w:cs="Times New Roman" w:eastAsia="Times New Roman" w:hAnsi="Times New Roman"/>
          <w:sz w:val="18"/>
          <w:szCs w:val="18"/>
          <w:color w:val="auto"/>
        </w:rPr>
        <w:t>As provided in the figures below, the proportion of subjects who exhibited composite cure rate of zero lid erythema combined with collarette cure was statistically significant for TP-03 compared to vehicle control at Day 28 (67% vs 11% subjects, p &lt; 0.001) and Day 42 (73% vs. 11%, p &lt; 0.001).</w:t>
      </w:r>
    </w:p>
    <w:p>
      <w:pPr>
        <w:spacing w:after="0" w:line="176"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The following figure shows data for each visit day:</w:t>
      </w:r>
    </w:p>
    <w:p>
      <w:pPr>
        <w:spacing w:after="0" w:line="2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Figure 29: Composite Cure Rate was Statistically Significant for TP-03 Compared to Vehicle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2156460</wp:posOffset>
            </wp:positionH>
            <wp:positionV relativeFrom="paragraph">
              <wp:posOffset>173990</wp:posOffset>
            </wp:positionV>
            <wp:extent cx="2828925" cy="212598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2828925" cy="2125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120" w:right="180" w:firstLine="881"/>
        <w:spacing w:after="0" w:line="256" w:lineRule="auto"/>
        <w:rPr>
          <w:sz w:val="20"/>
          <w:szCs w:val="20"/>
          <w:color w:val="auto"/>
        </w:rPr>
      </w:pPr>
      <w:r>
        <w:rPr>
          <w:rFonts w:ascii="Times New Roman" w:cs="Times New Roman" w:eastAsia="Times New Roman" w:hAnsi="Times New Roman"/>
          <w:sz w:val="18"/>
          <w:szCs w:val="18"/>
          <w:color w:val="auto"/>
        </w:rPr>
        <w:t>The figure below shows how subjects rated drop comfort at each visit in each of the active and vehicle control groups. The bars shows the percentage of patients who rated the drop as either “very comfortable,” “slightly comfortable” or “neither comfortable or uncomfortable” in both the active and vehicle control groups for each visit day. There was only one subject, in the vehicle group, that rated the drop as “very uncomfortable” and only at Days 14 and 28. All other subjects that did not rate the drop as “very comfortable”, “slightly comfortable” or “neither comfortable or uncomfortable” rated the drop as “slightly uncomfortable.” At Day 7, the drop was rated as “slightly uncomfortable” by 6/22 (27.3%) in the active group, 2/20 (10.0%) in the vehicle control group and 8/42 (19.0%) overall.</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-138-</w:t>
      </w:r>
    </w:p>
    <w:p>
      <w:pPr>
        <w:sectPr>
          <w:pgSz w:w="11900" w:h="16838" w:orient="portrait"/>
          <w:cols w:equalWidth="0" w:num="1">
            <w:col w:w="11120"/>
          </w:cols>
          <w:pgMar w:left="320" w:top="455" w:right="459" w:bottom="1440" w:gutter="0" w:footer="0" w:header="0"/>
        </w:sectPr>
      </w:pPr>
    </w:p>
    <w:bookmarkStart w:id="141" w:name="page142"/>
    <w:bookmarkEnd w:id="14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The following figure shows the drop comfort ratings at each visit day:</w:t>
      </w:r>
    </w:p>
    <w:p>
      <w:pPr>
        <w:spacing w:after="0" w:line="22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Figure 30: Comfort Ratings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2156460</wp:posOffset>
            </wp:positionH>
            <wp:positionV relativeFrom="paragraph">
              <wp:posOffset>173990</wp:posOffset>
            </wp:positionV>
            <wp:extent cx="2828925" cy="20148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2828925" cy="20148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No subjects discontinued the trial due to an adverse event and TP-03 was well tolerated. All adverse events were mild in severity.</w:t>
      </w:r>
    </w:p>
    <w:p>
      <w:pPr>
        <w:spacing w:after="0" w:line="225"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The following table provides a summary of treatment related or possibly related adverse events for the trial:</w:t>
      </w:r>
    </w:p>
    <w:p>
      <w:pPr>
        <w:spacing w:after="0" w:line="22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Figure 31: No Subjects Discontinued Europa Trial Due to Adverse Event</w:t>
      </w:r>
    </w:p>
    <w:p>
      <w:pPr>
        <w:spacing w:after="0" w:line="237" w:lineRule="exact"/>
        <w:rPr>
          <w:sz w:val="20"/>
          <w:szCs w:val="20"/>
          <w:color w:val="auto"/>
        </w:rPr>
      </w:pPr>
    </w:p>
    <w:tbl>
      <w:tblPr>
        <w:tblLayout w:type="fixed"/>
        <w:tblInd w:w="2580" w:type="dxa"/>
        <w:tblCellMar>
          <w:top w:w="0" w:type="dxa"/>
          <w:left w:w="0" w:type="dxa"/>
          <w:bottom w:w="0" w:type="dxa"/>
          <w:right w:w="0" w:type="dxa"/>
        </w:tblCellMar>
      </w:tblPr>
      <w:tr>
        <w:trPr>
          <w:trHeight w:val="161"/>
        </w:trPr>
        <w:tc>
          <w:tcPr>
            <w:tcW w:w="900" w:type="dxa"/>
            <w:vAlign w:val="bottom"/>
          </w:tcPr>
          <w:p>
            <w:pPr>
              <w:spacing w:after="0"/>
              <w:rPr>
                <w:sz w:val="13"/>
                <w:szCs w:val="13"/>
                <w:color w:val="auto"/>
              </w:rPr>
            </w:pPr>
          </w:p>
        </w:tc>
        <w:tc>
          <w:tcPr>
            <w:tcW w:w="3340" w:type="dxa"/>
            <w:vAlign w:val="bottom"/>
          </w:tcPr>
          <w:p>
            <w:pPr>
              <w:spacing w:after="0"/>
              <w:rPr>
                <w:sz w:val="13"/>
                <w:szCs w:val="13"/>
                <w:color w:val="auto"/>
              </w:rPr>
            </w:pPr>
          </w:p>
        </w:tc>
        <w:tc>
          <w:tcPr>
            <w:tcW w:w="114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Active</w:t>
            </w: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Vehicle</w:t>
            </w:r>
          </w:p>
        </w:tc>
        <w:tc>
          <w:tcPr>
            <w:tcW w:w="0" w:type="dxa"/>
            <w:vAlign w:val="bottom"/>
          </w:tcPr>
          <w:p>
            <w:pPr>
              <w:spacing w:after="0"/>
              <w:rPr>
                <w:sz w:val="1"/>
                <w:szCs w:val="1"/>
                <w:color w:val="auto"/>
              </w:rPr>
            </w:pPr>
          </w:p>
        </w:tc>
      </w:tr>
      <w:tr>
        <w:trPr>
          <w:trHeight w:val="149"/>
        </w:trPr>
        <w:tc>
          <w:tcPr>
            <w:tcW w:w="9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Adverse Event</w:t>
            </w:r>
          </w:p>
        </w:tc>
        <w:tc>
          <w:tcPr>
            <w:tcW w:w="3340" w:type="dxa"/>
            <w:vAlign w:val="bottom"/>
            <w:vMerge w:val="restart"/>
          </w:tcPr>
          <w:p>
            <w:pPr>
              <w:spacing w:after="0"/>
              <w:rPr>
                <w:sz w:val="12"/>
                <w:szCs w:val="12"/>
                <w:color w:val="auto"/>
              </w:rPr>
            </w:pPr>
          </w:p>
        </w:tc>
        <w:tc>
          <w:tcPr>
            <w:tcW w:w="1140" w:type="dxa"/>
            <w:vAlign w:val="bottom"/>
            <w:gridSpan w:val="2"/>
          </w:tcPr>
          <w:p>
            <w:pPr>
              <w:ind w:left="220"/>
              <w:spacing w:after="0" w:line="149" w:lineRule="exact"/>
              <w:rPr>
                <w:sz w:val="20"/>
                <w:szCs w:val="20"/>
                <w:color w:val="auto"/>
              </w:rPr>
            </w:pPr>
            <w:r>
              <w:rPr>
                <w:rFonts w:ascii="Times New Roman" w:cs="Times New Roman" w:eastAsia="Times New Roman" w:hAnsi="Times New Roman"/>
                <w:sz w:val="14"/>
                <w:szCs w:val="14"/>
                <w:b w:val="1"/>
                <w:bCs w:val="1"/>
                <w:color w:val="auto"/>
              </w:rPr>
              <w:t>N=23</w:t>
            </w:r>
          </w:p>
        </w:tc>
        <w:tc>
          <w:tcPr>
            <w:tcW w:w="7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N=20</w:t>
            </w:r>
          </w:p>
        </w:tc>
        <w:tc>
          <w:tcPr>
            <w:tcW w:w="0" w:type="dxa"/>
            <w:vAlign w:val="bottom"/>
          </w:tcPr>
          <w:p>
            <w:pPr>
              <w:spacing w:after="0"/>
              <w:rPr>
                <w:sz w:val="1"/>
                <w:szCs w:val="1"/>
                <w:color w:val="auto"/>
              </w:rPr>
            </w:pPr>
          </w:p>
        </w:tc>
      </w:tr>
      <w:tr>
        <w:trPr>
          <w:trHeight w:val="180"/>
        </w:trPr>
        <w:tc>
          <w:tcPr>
            <w:tcW w:w="900" w:type="dxa"/>
            <w:vAlign w:val="bottom"/>
            <w:tcBorders>
              <w:bottom w:val="single" w:sz="8" w:color="auto"/>
            </w:tcBorders>
            <w:vMerge w:val="continue"/>
          </w:tcPr>
          <w:p>
            <w:pPr>
              <w:spacing w:after="0"/>
              <w:rPr>
                <w:sz w:val="15"/>
                <w:szCs w:val="15"/>
                <w:color w:val="auto"/>
              </w:rPr>
            </w:pPr>
          </w:p>
        </w:tc>
        <w:tc>
          <w:tcPr>
            <w:tcW w:w="3340" w:type="dxa"/>
            <w:vAlign w:val="bottom"/>
            <w:vMerge w:val="continue"/>
          </w:tcPr>
          <w:p>
            <w:pPr>
              <w:spacing w:after="0"/>
              <w:rPr>
                <w:sz w:val="15"/>
                <w:szCs w:val="15"/>
                <w:color w:val="auto"/>
              </w:rPr>
            </w:pPr>
          </w:p>
        </w:tc>
        <w:tc>
          <w:tcPr>
            <w:tcW w:w="1140" w:type="dxa"/>
            <w:vAlign w:val="bottom"/>
            <w:gridSpan w:val="2"/>
          </w:tcPr>
          <w:p>
            <w:pPr>
              <w:ind w:left="240"/>
              <w:spacing w:after="0" w:line="160" w:lineRule="exact"/>
              <w:rPr>
                <w:sz w:val="20"/>
                <w:szCs w:val="20"/>
                <w:color w:val="auto"/>
              </w:rPr>
            </w:pPr>
            <w:r>
              <w:rPr>
                <w:rFonts w:ascii="Times New Roman" w:cs="Times New Roman" w:eastAsia="Times New Roman" w:hAnsi="Times New Roman"/>
                <w:sz w:val="14"/>
                <w:szCs w:val="14"/>
                <w:b w:val="1"/>
                <w:bCs w:val="1"/>
                <w:color w:val="auto"/>
              </w:rPr>
              <w:t>n (%)</w:t>
            </w:r>
          </w:p>
        </w:tc>
        <w:tc>
          <w:tcPr>
            <w:tcW w:w="72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n (%)</w:t>
            </w:r>
          </w:p>
        </w:tc>
        <w:tc>
          <w:tcPr>
            <w:tcW w:w="0" w:type="dxa"/>
            <w:vAlign w:val="bottom"/>
          </w:tcPr>
          <w:p>
            <w:pPr>
              <w:spacing w:after="0"/>
              <w:rPr>
                <w:sz w:val="1"/>
                <w:szCs w:val="1"/>
                <w:color w:val="auto"/>
              </w:rPr>
            </w:pPr>
          </w:p>
        </w:tc>
      </w:tr>
      <w:tr>
        <w:trPr>
          <w:trHeight w:val="203"/>
        </w:trPr>
        <w:tc>
          <w:tcPr>
            <w:tcW w:w="424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Transient burning</w:t>
            </w:r>
          </w:p>
        </w:tc>
        <w:tc>
          <w:tcPr>
            <w:tcW w:w="840" w:type="dxa"/>
            <w:vAlign w:val="bottom"/>
            <w:tcBorders>
              <w:top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w w:val="99"/>
              </w:rPr>
              <w:t>3 (13%)</w:t>
            </w:r>
          </w:p>
        </w:tc>
        <w:tc>
          <w:tcPr>
            <w:tcW w:w="30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w w:val="96"/>
              </w:rPr>
              <w:t>1 (4%)</w:t>
            </w:r>
          </w:p>
        </w:tc>
        <w:tc>
          <w:tcPr>
            <w:tcW w:w="0" w:type="dxa"/>
            <w:vAlign w:val="bottom"/>
          </w:tcPr>
          <w:p>
            <w:pPr>
              <w:spacing w:after="0"/>
              <w:rPr>
                <w:sz w:val="1"/>
                <w:szCs w:val="1"/>
                <w:color w:val="auto"/>
              </w:rPr>
            </w:pPr>
          </w:p>
        </w:tc>
      </w:tr>
      <w:tr>
        <w:trPr>
          <w:trHeight w:val="216"/>
        </w:trPr>
        <w:tc>
          <w:tcPr>
            <w:tcW w:w="4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Transient eye redness</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 (4%)</w:t>
            </w:r>
          </w:p>
        </w:tc>
        <w:tc>
          <w:tcPr>
            <w:tcW w:w="30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16"/>
        </w:trPr>
        <w:tc>
          <w:tcPr>
            <w:tcW w:w="4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Transient blurriness</w:t>
            </w: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 (4%)</w:t>
            </w: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34"/>
        </w:trPr>
        <w:tc>
          <w:tcPr>
            <w:tcW w:w="4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Dysgeusia</w:t>
            </w: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 (4%)</w:t>
            </w:r>
          </w:p>
        </w:tc>
        <w:tc>
          <w:tcPr>
            <w:tcW w:w="300" w:type="dxa"/>
            <w:vAlign w:val="bottom"/>
          </w:tcPr>
          <w:p>
            <w:pPr>
              <w:spacing w:after="0"/>
              <w:rPr>
                <w:sz w:val="20"/>
                <w:szCs w:val="20"/>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TP-03 Safety Profile From Phase 2 Clinical Trials</w:t>
      </w:r>
    </w:p>
    <w:p>
      <w:pPr>
        <w:spacing w:after="0" w:line="229" w:lineRule="exact"/>
        <w:rPr>
          <w:sz w:val="20"/>
          <w:szCs w:val="20"/>
          <w:color w:val="auto"/>
        </w:rPr>
      </w:pPr>
    </w:p>
    <w:p>
      <w:pPr>
        <w:ind w:left="120" w:firstLine="881"/>
        <w:spacing w:after="0" w:line="255" w:lineRule="auto"/>
        <w:rPr>
          <w:sz w:val="20"/>
          <w:szCs w:val="20"/>
          <w:color w:val="auto"/>
        </w:rPr>
      </w:pPr>
      <w:r>
        <w:rPr>
          <w:rFonts w:ascii="Times New Roman" w:cs="Times New Roman" w:eastAsia="Times New Roman" w:hAnsi="Times New Roman"/>
          <w:sz w:val="18"/>
          <w:szCs w:val="18"/>
          <w:color w:val="auto"/>
        </w:rPr>
        <w:t>Our Phase 2 trial data indicates that TP-03 was well tolerated with no significant adverse events leading to treatment discontinuation across the four trials. A total of 82 subjects have received one or more doses of TP-03 and have had at least one follow-up visit; while 52 subjects received the vehicle control. Only nine subjects treated with TP-03 had treatment-related adverse events, versus one subject treated with the vehicle control. The most common treatment-related adverse events, or TRAEs, reported were burning after administration, which was reported in seven subjects (8.5%) receiving TP-03 versus one subject (1.9%) receiving the vehicle control. Other TRAEs reported for subjects treated with TP-03 were blurred vision in two subjects (2.4%), dysgeusia in one subject (1.2%), and instillation site erythema in one subject (1.2%); with no corresponding TRAEs reported in subjects treated with vehicle.</w:t>
      </w:r>
    </w:p>
    <w:p>
      <w:pPr>
        <w:spacing w:after="0" w:line="189" w:lineRule="exact"/>
        <w:rPr>
          <w:sz w:val="20"/>
          <w:szCs w:val="20"/>
          <w:color w:val="auto"/>
        </w:rPr>
      </w:pPr>
    </w:p>
    <w:p>
      <w:pPr>
        <w:jc w:val="both"/>
        <w:ind w:left="120" w:right="120" w:firstLine="881"/>
        <w:spacing w:after="0" w:line="312" w:lineRule="auto"/>
        <w:rPr>
          <w:sz w:val="20"/>
          <w:szCs w:val="20"/>
          <w:color w:val="auto"/>
        </w:rPr>
      </w:pPr>
      <w:r>
        <w:rPr>
          <w:rFonts w:ascii="Times New Roman" w:cs="Times New Roman" w:eastAsia="Times New Roman" w:hAnsi="Times New Roman"/>
          <w:sz w:val="17"/>
          <w:szCs w:val="17"/>
          <w:color w:val="auto"/>
        </w:rPr>
        <w:t>Adverse events deemed unrelated to treatment occurred in five subjects treated with TP-03, with diarrhea reported in two subjects (2.4%), hypertension reported in one subject (1.2%), cataract operation reported in one subject (1.2%), and pharyngotonsillitis reported in one subject (1.2%).</w:t>
      </w:r>
    </w:p>
    <w:p>
      <w:pPr>
        <w:spacing w:after="0" w:line="140" w:lineRule="exact"/>
        <w:rPr>
          <w:sz w:val="20"/>
          <w:szCs w:val="20"/>
          <w:color w:val="auto"/>
        </w:rPr>
      </w:pPr>
    </w:p>
    <w:p>
      <w:pPr>
        <w:ind w:left="120" w:right="60" w:firstLine="881"/>
        <w:spacing w:after="0" w:line="282" w:lineRule="auto"/>
        <w:rPr>
          <w:sz w:val="20"/>
          <w:szCs w:val="20"/>
          <w:color w:val="auto"/>
        </w:rPr>
      </w:pPr>
      <w:r>
        <w:rPr>
          <w:rFonts w:ascii="Times New Roman" w:cs="Times New Roman" w:eastAsia="Times New Roman" w:hAnsi="Times New Roman"/>
          <w:sz w:val="18"/>
          <w:szCs w:val="18"/>
          <w:color w:val="auto"/>
        </w:rPr>
        <w:t>For subjects treated with the vehicle control, the six subjects reported adverse events unrelated to treatment, which consisted of diarrhea in three subjects (5.7%) and viral upper respiratory tract infection in three subjects (5.7%).</w:t>
      </w:r>
    </w:p>
    <w:p>
      <w:pPr>
        <w:spacing w:after="0" w:line="9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-139-</w:t>
      </w:r>
    </w:p>
    <w:p>
      <w:pPr>
        <w:sectPr>
          <w:pgSz w:w="11900" w:h="16838" w:orient="portrait"/>
          <w:cols w:equalWidth="0" w:num="1">
            <w:col w:w="11040"/>
          </w:cols>
          <w:pgMar w:left="320" w:top="455" w:right="539" w:bottom="1440" w:gutter="0" w:footer="0" w:header="0"/>
        </w:sectPr>
      </w:pPr>
    </w:p>
    <w:bookmarkStart w:id="142" w:name="page143"/>
    <w:bookmarkEnd w:id="14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firstLine="881"/>
        <w:spacing w:after="0" w:line="255" w:lineRule="auto"/>
        <w:rPr>
          <w:sz w:val="20"/>
          <w:szCs w:val="20"/>
          <w:color w:val="auto"/>
        </w:rPr>
      </w:pPr>
      <w:r>
        <w:rPr>
          <w:rFonts w:ascii="Times New Roman" w:cs="Times New Roman" w:eastAsia="Times New Roman" w:hAnsi="Times New Roman"/>
          <w:sz w:val="18"/>
          <w:szCs w:val="18"/>
          <w:color w:val="auto"/>
        </w:rPr>
        <w:t>Furthermore, there was little or no change in mean corrected distance visual acuity across all four trials, and only one subject treated with TP-03 showed a worsening of 0.22 logMAR from baseline to Day 28 in the left eye. This subject did not return for their follow-up visit on Day 42. Intraocular pressure was recorded in the Mars, Jupiter and Europa trials, and there were only minor reported changes observed in both the active and the vehicle control. The most common clinically significant slit lamp examination finding was an increase from baseline in corneal staining. The increases in staining were typically transient, occurring at only a single visit, and, in the controlled trials, occurred more often in subjects treated with the vehicle control versus subjects treated with TP-03. The only other slit lamp examination finding was conjunctival hyperemia in one subject receiving TP-03 at Day seven and one subject receiving the vehicle control at Day 14.</w:t>
      </w:r>
    </w:p>
    <w:p>
      <w:pPr>
        <w:spacing w:after="0" w:line="1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Disease Recurrence Following End of Treatment Course</w:t>
      </w:r>
    </w:p>
    <w:p>
      <w:pPr>
        <w:spacing w:after="0" w:line="229" w:lineRule="exact"/>
        <w:rPr>
          <w:sz w:val="20"/>
          <w:szCs w:val="20"/>
          <w:color w:val="auto"/>
        </w:rPr>
      </w:pPr>
    </w:p>
    <w:p>
      <w:pPr>
        <w:ind w:left="120" w:right="220" w:firstLine="881"/>
        <w:spacing w:after="0" w:line="256" w:lineRule="auto"/>
        <w:rPr>
          <w:sz w:val="20"/>
          <w:szCs w:val="20"/>
          <w:color w:val="auto"/>
        </w:rPr>
      </w:pPr>
      <w:r>
        <w:rPr>
          <w:rFonts w:ascii="Times New Roman" w:cs="Times New Roman" w:eastAsia="Times New Roman" w:hAnsi="Times New Roman"/>
          <w:sz w:val="18"/>
          <w:szCs w:val="18"/>
          <w:color w:val="auto"/>
        </w:rPr>
        <w:t>Subjects from the Mars and active arm of the Jupiter trials were followed for one year after enrollment. Combined interim data for recurrence of clinical grade Demodex blepharitis was defined as a collarette score of two or more, and mite density of one or more per lash. The data show a persistent treatment effect of TP-03 for six months or greater for collarette score, with meaningful recurrence of collarettes occurring after six months with the recurrence increasing considerably one year after treatment. Mites recurred more quickly than collarettes, consistent with collarettes being composed of mite byproducts. Subsequent to initial treatment, we believe that TP-03 may be utilized by patients and ECPs for intermittent re-treatment based on the disease recurrence observed.</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Ongoing and Planned Pivotal Trials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Saturn-1 and Saturn-2 Trials</w:t>
      </w:r>
    </w:p>
    <w:p>
      <w:pPr>
        <w:spacing w:after="0" w:line="229" w:lineRule="exact"/>
        <w:rPr>
          <w:sz w:val="20"/>
          <w:szCs w:val="20"/>
          <w:color w:val="auto"/>
        </w:rPr>
      </w:pPr>
    </w:p>
    <w:p>
      <w:pPr>
        <w:ind w:left="120" w:right="60" w:firstLine="881"/>
        <w:spacing w:after="0" w:line="255" w:lineRule="auto"/>
        <w:rPr>
          <w:sz w:val="20"/>
          <w:szCs w:val="20"/>
          <w:color w:val="auto"/>
        </w:rPr>
      </w:pPr>
      <w:r>
        <w:rPr>
          <w:rFonts w:ascii="Times New Roman" w:cs="Times New Roman" w:eastAsia="Times New Roman" w:hAnsi="Times New Roman"/>
          <w:sz w:val="18"/>
          <w:szCs w:val="18"/>
          <w:color w:val="auto"/>
        </w:rPr>
        <w:t>Saturn-1 is a randomized, controlled, double-blind Phase 2b/3 trial. In September 2020, we have commenced the trial to evaluate the safety and efficacy of TP-03 for the treatment of Demodex blepharitis in multiple centers in the United States. Target enrollment for the trial is at least 350 subjects, enrolled 1:1 between a BID dose of TP-03 and a vehicle control. Saturn-1 is designed for subjects to receive treatment for 42 days and be subsequently followed for safety under a separate protocol for one year. The primary efficacy endpoint is proportion of subjects with cure based on a collarette grade of zero (£ 2) at Day 43. The two secondary endpoints are (1) proportion of subjects with Demodex eradication (zero mites per lash) at Day 43 and (2) proportion of subjects with a composite of collarette and erythema cure at Day 43 (collarette grade of zero combined with erythema score of zero). Top-line data for Saturn-1 is anticipated in 2021, subject to the impact of the ongoing COVID-19 pandemic.</w:t>
      </w:r>
    </w:p>
    <w:p>
      <w:pPr>
        <w:spacing w:after="0" w:line="189" w:lineRule="exact"/>
        <w:rPr>
          <w:sz w:val="20"/>
          <w:szCs w:val="20"/>
          <w:color w:val="auto"/>
        </w:rPr>
      </w:pPr>
    </w:p>
    <w:p>
      <w:pPr>
        <w:ind w:left="120" w:right="160" w:firstLine="881"/>
        <w:spacing w:after="0" w:line="273" w:lineRule="auto"/>
        <w:rPr>
          <w:sz w:val="20"/>
          <w:szCs w:val="20"/>
          <w:color w:val="auto"/>
        </w:rPr>
      </w:pPr>
      <w:r>
        <w:rPr>
          <w:rFonts w:ascii="Times New Roman" w:cs="Times New Roman" w:eastAsia="Times New Roman" w:hAnsi="Times New Roman"/>
          <w:sz w:val="17"/>
          <w:szCs w:val="17"/>
          <w:color w:val="auto"/>
        </w:rPr>
        <w:t>Saturn-2 is designed to be a confirmatory Phase 3 trial that we plan to initiate promptly after completing enrollment in Saturn-1. It is a randomized, controlled, double-blind trial to evaluate the safety and efficacy of TP-03 for the treatment of Demodex blepharitis in multiple centers in the Unites States. Target enrollment for the trial is approximately 350 subjects, enrolled 1:1 between a BID dose TP-03 arm and a vehicle control. Saturn-2 is designed for subjects to be followed for 43 days and receive treatment for 42 days. The primary efficacy endpoint is proportion of subjects with cure based on a collarette grade of zero at Day 43. The two secondary endpoints are (1) proportion of subjects with Demodex eradication (zero mites per lash) at Day 43 and (2) proportion of subjects with a composite of collarette and erythema cure at Day 43 (collarette grade of zero combined with erythema score of zero). Enrollment of Saturn-2 is expected to begin in 2021, subject to the impact of the ongoing COVID-19 pandemic.</w:t>
      </w:r>
    </w:p>
    <w:p>
      <w:pPr>
        <w:spacing w:after="0" w:line="171" w:lineRule="exact"/>
        <w:rPr>
          <w:sz w:val="20"/>
          <w:szCs w:val="20"/>
          <w:color w:val="auto"/>
        </w:rPr>
      </w:pPr>
    </w:p>
    <w:p>
      <w:pPr>
        <w:ind w:left="120" w:right="80" w:firstLine="881"/>
        <w:spacing w:after="0" w:line="261" w:lineRule="auto"/>
        <w:rPr>
          <w:sz w:val="20"/>
          <w:szCs w:val="20"/>
          <w:color w:val="auto"/>
        </w:rPr>
      </w:pPr>
      <w:r>
        <w:rPr>
          <w:rFonts w:ascii="Times New Roman" w:cs="Times New Roman" w:eastAsia="Times New Roman" w:hAnsi="Times New Roman"/>
          <w:sz w:val="18"/>
          <w:szCs w:val="18"/>
          <w:color w:val="auto"/>
        </w:rPr>
        <w:t>The protocol, including the subject inclusion and exclusion criteria and endpoints, and formulation are designed to be consistent with those of our Io and Europa Phase 2 trials. We have received a “no-objection” letter from the FDA regarding the trial design for Saturn-1 and Saturn-2 has a highly comparable design to that of Saturn-1. We expect that the data form the Saturn-1 and Saturn-2 trials will support our NDA filing for TP-03 in Demodex blepharitis. Prior to submitting an NDA, we plan to perform a clinical pharmacokinetic study for</w:t>
      </w:r>
    </w:p>
    <w:p>
      <w:pPr>
        <w:spacing w:after="0" w:line="11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-140-</w:t>
      </w:r>
    </w:p>
    <w:p>
      <w:pPr>
        <w:sectPr>
          <w:pgSz w:w="11900" w:h="16838" w:orient="portrait"/>
          <w:cols w:equalWidth="0" w:num="1">
            <w:col w:w="11080"/>
          </w:cols>
          <w:pgMar w:left="320" w:top="455" w:right="499" w:bottom="1440" w:gutter="0" w:footer="0" w:header="0"/>
        </w:sectPr>
      </w:pPr>
    </w:p>
    <w:bookmarkStart w:id="143" w:name="page144"/>
    <w:bookmarkEnd w:id="14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00"/>
        <w:spacing w:after="0" w:line="261" w:lineRule="auto"/>
        <w:rPr>
          <w:sz w:val="20"/>
          <w:szCs w:val="20"/>
          <w:color w:val="auto"/>
        </w:rPr>
      </w:pPr>
      <w:r>
        <w:rPr>
          <w:rFonts w:ascii="Times New Roman" w:cs="Times New Roman" w:eastAsia="Times New Roman" w:hAnsi="Times New Roman"/>
          <w:sz w:val="18"/>
          <w:szCs w:val="18"/>
          <w:color w:val="auto"/>
        </w:rPr>
        <w:t>TP-03 to support our NDA submission for Demodex blepharitis, and the FDA is recommending we perform carcinogenicity testing as well as embryofetal development studies in a second species. While we have factored these recommendations into our timeline and expenses, any adverse results, or any additional or similar requirements or recommendations from the FDA could cause delay in obtaining regulatory approval and increased costs.</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Development of TP-03 for Meibomian Gland Disease</w:t>
      </w:r>
    </w:p>
    <w:p>
      <w:pPr>
        <w:spacing w:after="0" w:line="229" w:lineRule="exact"/>
        <w:rPr>
          <w:sz w:val="20"/>
          <w:szCs w:val="20"/>
          <w:color w:val="auto"/>
        </w:rPr>
      </w:pPr>
    </w:p>
    <w:p>
      <w:pPr>
        <w:ind w:left="120" w:firstLine="881"/>
        <w:spacing w:after="0" w:line="256" w:lineRule="auto"/>
        <w:rPr>
          <w:sz w:val="20"/>
          <w:szCs w:val="20"/>
          <w:color w:val="auto"/>
        </w:rPr>
      </w:pPr>
      <w:r>
        <w:rPr>
          <w:rFonts w:ascii="Times New Roman" w:cs="Times New Roman" w:eastAsia="Times New Roman" w:hAnsi="Times New Roman"/>
          <w:sz w:val="18"/>
          <w:szCs w:val="18"/>
          <w:color w:val="auto"/>
        </w:rPr>
        <w:t xml:space="preserve">Beyond Demodex blepharitis, we intend to explore the clinical potential for TP-03 in MGD, a chronic abnormality of the meibomian glands. MGD is commonly characterized in part by a widespread clogging of the meibomian glands that can result in tear film deficiency, and is one of the leading causes of dry eye disease. In the United States, MGD prevalence has been found to be approximately two-thirds of the estimated 34 million dry eye patient population. One species of Demodex mite, </w:t>
      </w:r>
      <w:r>
        <w:rPr>
          <w:rFonts w:ascii="Times New Roman" w:cs="Times New Roman" w:eastAsia="Times New Roman" w:hAnsi="Times New Roman"/>
          <w:sz w:val="18"/>
          <w:szCs w:val="18"/>
          <w:i w:val="1"/>
          <w:iCs w:val="1"/>
          <w:color w:val="auto"/>
        </w:rPr>
        <w:t>Demodex brevis</w:t>
      </w:r>
      <w:r>
        <w:rPr>
          <w:rFonts w:ascii="Times New Roman" w:cs="Times New Roman" w:eastAsia="Times New Roman" w:hAnsi="Times New Roman"/>
          <w:sz w:val="18"/>
          <w:szCs w:val="18"/>
          <w:color w:val="auto"/>
        </w:rPr>
        <w:t xml:space="preserve">, is known to infest the meibomian gland, and clinical signs of MGD have been shown to be correlated with </w:t>
      </w:r>
      <w:r>
        <w:rPr>
          <w:rFonts w:ascii="Times New Roman" w:cs="Times New Roman" w:eastAsia="Times New Roman" w:hAnsi="Times New Roman"/>
          <w:sz w:val="18"/>
          <w:szCs w:val="18"/>
          <w:i w:val="1"/>
          <w:iCs w:val="1"/>
          <w:color w:val="auto"/>
        </w:rPr>
        <w:t>Demodex brevis</w:t>
      </w:r>
      <w:r>
        <w:rPr>
          <w:rFonts w:ascii="Times New Roman" w:cs="Times New Roman" w:eastAsia="Times New Roman" w:hAnsi="Times New Roman"/>
          <w:sz w:val="18"/>
          <w:szCs w:val="18"/>
          <w:color w:val="auto"/>
        </w:rPr>
        <w:t xml:space="preserve"> infestation. While dry eye is a multi-factorial disease, TP-03 is designed to relieve some of the key elements associated with MGD by virtue of causing the death of the </w:t>
      </w:r>
      <w:r>
        <w:rPr>
          <w:rFonts w:ascii="Times New Roman" w:cs="Times New Roman" w:eastAsia="Times New Roman" w:hAnsi="Times New Roman"/>
          <w:sz w:val="18"/>
          <w:szCs w:val="18"/>
          <w:i w:val="1"/>
          <w:iCs w:val="1"/>
          <w:color w:val="auto"/>
        </w:rPr>
        <w:t>Demodex brevis</w:t>
      </w:r>
      <w:r>
        <w:rPr>
          <w:rFonts w:ascii="Times New Roman" w:cs="Times New Roman" w:eastAsia="Times New Roman" w:hAnsi="Times New Roman"/>
          <w:sz w:val="18"/>
          <w:szCs w:val="18"/>
          <w:color w:val="auto"/>
        </w:rPr>
        <w:t xml:space="preserve"> mites.</w:t>
      </w:r>
    </w:p>
    <w:p>
      <w:pPr>
        <w:spacing w:after="0" w:line="187" w:lineRule="exact"/>
        <w:rPr>
          <w:sz w:val="20"/>
          <w:szCs w:val="20"/>
          <w:color w:val="auto"/>
        </w:rPr>
      </w:pPr>
    </w:p>
    <w:p>
      <w:pPr>
        <w:ind w:left="120" w:right="20" w:firstLine="881"/>
        <w:spacing w:after="0" w:line="261" w:lineRule="auto"/>
        <w:rPr>
          <w:sz w:val="20"/>
          <w:szCs w:val="20"/>
          <w:color w:val="auto"/>
        </w:rPr>
      </w:pPr>
      <w:r>
        <w:rPr>
          <w:rFonts w:ascii="Times New Roman" w:cs="Times New Roman" w:eastAsia="Times New Roman" w:hAnsi="Times New Roman"/>
          <w:sz w:val="18"/>
          <w:szCs w:val="18"/>
          <w:color w:val="auto"/>
        </w:rPr>
        <w:t>There are no FDA-approved therapeutics for MGD. MGD is currently treated with a variety of over-the-counter remedies such as tea tree oil, lid wipes and artificial tears, as well as off-label prescription products for dry eye. MGD is also treated with in-office device procedures for gland expression (de-clogging) by an ECP. Despite these existing treatments, there is still a significant and unmet need for an effective prescription therapeutic in MGD.</w:t>
      </w:r>
    </w:p>
    <w:p>
      <w:pPr>
        <w:spacing w:after="0" w:line="180"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The following figures show a representation of Demodex mites infesting the meibomian gland:</w:t>
      </w:r>
    </w:p>
    <w:p>
      <w:pPr>
        <w:spacing w:after="0" w:line="2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Figure 32: Demodex Mites Infesting the Meibomian Gland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173990</wp:posOffset>
            </wp:positionV>
            <wp:extent cx="5186045" cy="24771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5186045" cy="24771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Our Additional Product Candidates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TP-04 Topical Formulation for the Treatment of Rosacea</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Rosacea</w:t>
      </w:r>
    </w:p>
    <w:p>
      <w:pPr>
        <w:spacing w:after="0" w:line="229" w:lineRule="exact"/>
        <w:rPr>
          <w:sz w:val="20"/>
          <w:szCs w:val="20"/>
          <w:color w:val="auto"/>
        </w:rPr>
      </w:pPr>
    </w:p>
    <w:p>
      <w:pPr>
        <w:ind w:left="120" w:firstLine="881"/>
        <w:spacing w:after="0" w:line="282" w:lineRule="auto"/>
        <w:rPr>
          <w:sz w:val="20"/>
          <w:szCs w:val="20"/>
          <w:color w:val="auto"/>
        </w:rPr>
      </w:pPr>
      <w:r>
        <w:rPr>
          <w:rFonts w:ascii="Times New Roman" w:cs="Times New Roman" w:eastAsia="Times New Roman" w:hAnsi="Times New Roman"/>
          <w:sz w:val="18"/>
          <w:szCs w:val="18"/>
          <w:color w:val="auto"/>
        </w:rPr>
        <w:t>Rosacea is a chronic skin disease characterized by facial redness, inflammatory lesions, burning and stinging, which can flare up in response to certain triggers such as sun exposure or emotional stress. According to</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-141-</w:t>
      </w:r>
    </w:p>
    <w:p>
      <w:pPr>
        <w:sectPr>
          <w:pgSz w:w="11900" w:h="16838" w:orient="portrait"/>
          <w:cols w:equalWidth="0" w:num="1">
            <w:col w:w="11120"/>
          </w:cols>
          <w:pgMar w:left="320" w:top="455" w:right="459" w:bottom="1440" w:gutter="0" w:footer="0" w:header="0"/>
        </w:sectPr>
      </w:pPr>
    </w:p>
    <w:bookmarkStart w:id="144" w:name="page145"/>
    <w:bookmarkEnd w:id="14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256" w:lineRule="auto"/>
        <w:rPr>
          <w:sz w:val="20"/>
          <w:szCs w:val="20"/>
          <w:color w:val="auto"/>
        </w:rPr>
      </w:pPr>
      <w:r>
        <w:rPr>
          <w:rFonts w:ascii="Times New Roman" w:cs="Times New Roman" w:eastAsia="Times New Roman" w:hAnsi="Times New Roman"/>
          <w:sz w:val="18"/>
          <w:szCs w:val="18"/>
          <w:color w:val="auto"/>
        </w:rPr>
        <w:t>the U.S. National Rosacea Society, approximately 16 million people in the United States are affected by rosacea and a study estimates rosacea prevalence can represent up to 5.4% of the global population. There are two phenotypes for rosacea: patients who present with papulopustular rosacea, or PPR, and patients who do not (non-PPR), with approximately 55% of patients presenting with the PPR phenotype and 45% presenting with the non-PPR phenotype. According to primary research we conducted of dermatologists, of patients who are being treated with topicals for rosacea, an estimated 18% of overall rosacea patients are seeking treatments, with PPR patients generally more likely to seek treatment given the noticeable symptoms.</w:t>
      </w:r>
    </w:p>
    <w:p>
      <w:pPr>
        <w:spacing w:after="0" w:line="187" w:lineRule="exact"/>
        <w:rPr>
          <w:sz w:val="20"/>
          <w:szCs w:val="20"/>
          <w:color w:val="auto"/>
        </w:rPr>
      </w:pPr>
    </w:p>
    <w:p>
      <w:pPr>
        <w:ind w:left="120" w:firstLine="881"/>
        <w:spacing w:after="0" w:line="254" w:lineRule="auto"/>
        <w:rPr>
          <w:sz w:val="20"/>
          <w:szCs w:val="20"/>
          <w:color w:val="auto"/>
        </w:rPr>
      </w:pPr>
      <w:r>
        <w:rPr>
          <w:rFonts w:ascii="Times New Roman" w:cs="Times New Roman" w:eastAsia="Times New Roman" w:hAnsi="Times New Roman"/>
          <w:sz w:val="18"/>
          <w:szCs w:val="18"/>
          <w:color w:val="auto"/>
        </w:rPr>
        <w:t xml:space="preserve">The cause of rosacea remains unclear but there is increasing evidence that Demodex mites play a role in the disease. Studies have found a correlation between Demodex infestation and rosacea, with a higher density of Demodex mites found in the skin of rosacea patients than in controls. A proposed theory suggests that the </w:t>
      </w:r>
      <w:r>
        <w:rPr>
          <w:rFonts w:ascii="Times New Roman" w:cs="Times New Roman" w:eastAsia="Times New Roman" w:hAnsi="Times New Roman"/>
          <w:sz w:val="18"/>
          <w:szCs w:val="18"/>
          <w:i w:val="1"/>
          <w:iCs w:val="1"/>
          <w:color w:val="auto"/>
        </w:rPr>
        <w:t>bacillus oleronius</w:t>
      </w:r>
      <w:r>
        <w:rPr>
          <w:rFonts w:ascii="Times New Roman" w:cs="Times New Roman" w:eastAsia="Times New Roman" w:hAnsi="Times New Roman"/>
          <w:sz w:val="18"/>
          <w:szCs w:val="18"/>
          <w:color w:val="auto"/>
        </w:rPr>
        <w:t xml:space="preserve"> bacteria has a pathogenic role, contributing to skin inflammation and the signs and symptoms of rosacea; these bacteria are also known to be sensitive to the antibiotics typically prescribed to treat rosacea. Meanwhile, Demodex mites have been shown to carry </w:t>
      </w:r>
      <w:r>
        <w:rPr>
          <w:rFonts w:ascii="Times New Roman" w:cs="Times New Roman" w:eastAsia="Times New Roman" w:hAnsi="Times New Roman"/>
          <w:sz w:val="18"/>
          <w:szCs w:val="18"/>
          <w:i w:val="1"/>
          <w:iCs w:val="1"/>
          <w:color w:val="auto"/>
        </w:rPr>
        <w:t>bacillus oleronius</w:t>
      </w:r>
      <w:r>
        <w:rPr>
          <w:rFonts w:ascii="Times New Roman" w:cs="Times New Roman" w:eastAsia="Times New Roman" w:hAnsi="Times New Roman"/>
          <w:sz w:val="18"/>
          <w:szCs w:val="18"/>
          <w:color w:val="auto"/>
        </w:rPr>
        <w:t xml:space="preserve"> in their digestive tracts, suggesting that Demodex may contribute to rosacea by being a transporter for the bacteria that causes the disease. Furthering that point, there is evidence to suggest that </w:t>
      </w:r>
      <w:r>
        <w:rPr>
          <w:rFonts w:ascii="Times New Roman" w:cs="Times New Roman" w:eastAsia="Times New Roman" w:hAnsi="Times New Roman"/>
          <w:sz w:val="18"/>
          <w:szCs w:val="18"/>
          <w:i w:val="1"/>
          <w:iCs w:val="1"/>
          <w:color w:val="auto"/>
        </w:rPr>
        <w:t>bacillus oleronius</w:t>
      </w:r>
      <w:r>
        <w:rPr>
          <w:rFonts w:ascii="Times New Roman" w:cs="Times New Roman" w:eastAsia="Times New Roman" w:hAnsi="Times New Roman"/>
          <w:sz w:val="18"/>
          <w:szCs w:val="18"/>
          <w:color w:val="auto"/>
        </w:rPr>
        <w:t xml:space="preserve"> forms a symbiotic relationship with Demodex, and that both species must be present in order to cause the signs and symptoms of rosacea. Other bacteria such as </w:t>
      </w:r>
      <w:r>
        <w:rPr>
          <w:rFonts w:ascii="Times New Roman" w:cs="Times New Roman" w:eastAsia="Times New Roman" w:hAnsi="Times New Roman"/>
          <w:sz w:val="18"/>
          <w:szCs w:val="18"/>
          <w:i w:val="1"/>
          <w:iCs w:val="1"/>
          <w:color w:val="auto"/>
        </w:rPr>
        <w:t>staphylococcus epidermidis</w:t>
      </w:r>
      <w:r>
        <w:rPr>
          <w:rFonts w:ascii="Times New Roman" w:cs="Times New Roman" w:eastAsia="Times New Roman" w:hAnsi="Times New Roman"/>
          <w:sz w:val="18"/>
          <w:szCs w:val="18"/>
          <w:color w:val="auto"/>
        </w:rPr>
        <w:t>, also carried by Demodex mites, may play a role in the disease as well. In fact, Soolantra, the current standard of care for rosacea, has an anti-parasitic and Demodex targeting mechanism, suggesting that the clearance of Demodex plays a role in resolving the signs of symptoms of rosacea.</w:t>
      </w:r>
    </w:p>
    <w:p>
      <w:pPr>
        <w:spacing w:after="0" w:line="1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Current Treatment Options and Their Limitations</w:t>
      </w:r>
    </w:p>
    <w:p>
      <w:pPr>
        <w:spacing w:after="0" w:line="229" w:lineRule="exact"/>
        <w:rPr>
          <w:sz w:val="20"/>
          <w:szCs w:val="20"/>
          <w:color w:val="auto"/>
        </w:rPr>
      </w:pPr>
    </w:p>
    <w:p>
      <w:pPr>
        <w:ind w:left="120" w:right="40" w:firstLine="881"/>
        <w:spacing w:after="0" w:line="258" w:lineRule="auto"/>
        <w:rPr>
          <w:sz w:val="20"/>
          <w:szCs w:val="20"/>
          <w:color w:val="auto"/>
        </w:rPr>
      </w:pPr>
      <w:r>
        <w:rPr>
          <w:rFonts w:ascii="Times New Roman" w:cs="Times New Roman" w:eastAsia="Times New Roman" w:hAnsi="Times New Roman"/>
          <w:sz w:val="18"/>
          <w:szCs w:val="18"/>
          <w:color w:val="auto"/>
        </w:rPr>
        <w:t>Rosacea is currently treated through topical anti-parasitic creams like ivermectin and other topicals including azelaic acid, and antibiotics like metronidazole, as well as other mechanisms such as alpha agonists. An estimated 50% of rosacea patients are on at least one prescription topical treatment. The current standard of care, Soolantra, is a branded anti-parasitic drug composed of 1% ivermectin cream, which targets Demodex mites but is only modestly effective, takes 8 to 12 weeks to show efficacy and is expensive at around approximately $500 wholesale acquisition cost, or WAC, for a 30-day supply.</w:t>
      </w:r>
    </w:p>
    <w:p>
      <w:pPr>
        <w:spacing w:after="0" w:line="183" w:lineRule="exact"/>
        <w:rPr>
          <w:sz w:val="20"/>
          <w:szCs w:val="20"/>
          <w:color w:val="auto"/>
        </w:rPr>
      </w:pPr>
    </w:p>
    <w:p>
      <w:pPr>
        <w:ind w:left="120" w:right="220" w:firstLine="881"/>
        <w:spacing w:after="0" w:line="266" w:lineRule="auto"/>
        <w:rPr>
          <w:sz w:val="20"/>
          <w:szCs w:val="20"/>
          <w:color w:val="auto"/>
        </w:rPr>
      </w:pPr>
      <w:r>
        <w:rPr>
          <w:rFonts w:ascii="Times New Roman" w:cs="Times New Roman" w:eastAsia="Times New Roman" w:hAnsi="Times New Roman"/>
          <w:sz w:val="18"/>
          <w:szCs w:val="18"/>
          <w:color w:val="auto"/>
        </w:rPr>
        <w:t>Other treatments in development include Sol-Gel’s Epsolay, a topical cream containing 5% encapsulated benzoyl peroxide, and Foamix’s FMX103, a topical foam containing 1.5% minocycline, for the treatment of Subtype II rosacea, characterized by small, dome-shaped erythematous papules that resemble acne but are associated with burning and stinging sensations.</w:t>
      </w:r>
    </w:p>
    <w:p>
      <w:pPr>
        <w:spacing w:after="0" w:line="176" w:lineRule="exact"/>
        <w:rPr>
          <w:sz w:val="20"/>
          <w:szCs w:val="20"/>
          <w:color w:val="auto"/>
        </w:rPr>
      </w:pPr>
    </w:p>
    <w:p>
      <w:pPr>
        <w:ind w:left="120" w:right="100" w:firstLine="881"/>
        <w:spacing w:after="0" w:line="282" w:lineRule="auto"/>
        <w:rPr>
          <w:sz w:val="20"/>
          <w:szCs w:val="20"/>
          <w:color w:val="auto"/>
        </w:rPr>
      </w:pPr>
      <w:r>
        <w:rPr>
          <w:rFonts w:ascii="Times New Roman" w:cs="Times New Roman" w:eastAsia="Times New Roman" w:hAnsi="Times New Roman"/>
          <w:sz w:val="18"/>
          <w:szCs w:val="18"/>
          <w:color w:val="auto"/>
        </w:rPr>
        <w:t>While current treatments address the symptoms of the disease by reducing redness and decreasing papules and pustules, for the majority of patients, complete clearance of these features is not currently achievable and there still exists an unmet medical need.</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Approach, TP-04 Topical Formulation for Rosacea</w:t>
      </w:r>
    </w:p>
    <w:p>
      <w:pPr>
        <w:spacing w:after="0" w:line="229" w:lineRule="exact"/>
        <w:rPr>
          <w:sz w:val="20"/>
          <w:szCs w:val="20"/>
          <w:color w:val="auto"/>
        </w:rPr>
      </w:pPr>
    </w:p>
    <w:p>
      <w:pPr>
        <w:ind w:left="120" w:right="20" w:firstLine="881"/>
        <w:spacing w:after="0" w:line="254" w:lineRule="auto"/>
        <w:rPr>
          <w:sz w:val="20"/>
          <w:szCs w:val="20"/>
          <w:color w:val="auto"/>
        </w:rPr>
      </w:pPr>
      <w:r>
        <w:rPr>
          <w:rFonts w:ascii="Times New Roman" w:cs="Times New Roman" w:eastAsia="Times New Roman" w:hAnsi="Times New Roman"/>
          <w:sz w:val="18"/>
          <w:szCs w:val="18"/>
          <w:color w:val="auto"/>
        </w:rPr>
        <w:t>To address this unmet need in the rosacea market, lotilaner is being developed as a topical dermatology product, TP-04, initially for the treatment of PPR. It is designed to be active after topical administration in skin with no systemic activity. Lotilaner’s mechanism of targeting and killing Demodex mites has been established through our preclinical study and clinical trials evaluating TP-03 in Demodex blepharitis, which is why we believe it may be effective in another Demodex driven condition. We believe we can improve upon existing treatments in the market, like Soolantra, with an API that is more effective (longer half-life, more lipophilic, greater therapeutic window). We believe a longer half-life is expected to lead to a more durable and long-lasting treatment and that more lipophilicity is expected to provide better bioavailability in the sebum in the follicle and sebaceous glands where mites reside, thus increasing the opportunity to target and eradicate mites and a greater therapeutic window. We further believe there is potential for TP-04 to be evaluated in combination with topical anti-inflammatory agents or vasoconstrictors.</w:t>
      </w:r>
    </w:p>
    <w:p>
      <w:pPr>
        <w:spacing w:after="0" w:line="12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-142-</w:t>
      </w:r>
    </w:p>
    <w:p>
      <w:pPr>
        <w:sectPr>
          <w:pgSz w:w="11900" w:h="16838" w:orient="portrait"/>
          <w:cols w:equalWidth="0" w:num="1">
            <w:col w:w="11100"/>
          </w:cols>
          <w:pgMar w:left="320" w:top="455" w:right="479" w:bottom="1440" w:gutter="0" w:footer="0" w:header="0"/>
        </w:sectPr>
      </w:pPr>
    </w:p>
    <w:bookmarkStart w:id="145" w:name="page146"/>
    <w:bookmarkEnd w:id="14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881"/>
        <w:spacing w:after="0" w:line="254" w:lineRule="auto"/>
        <w:rPr>
          <w:sz w:val="20"/>
          <w:szCs w:val="20"/>
          <w:color w:val="auto"/>
        </w:rPr>
      </w:pPr>
      <w:r>
        <w:rPr>
          <w:rFonts w:ascii="Times New Roman" w:cs="Times New Roman" w:eastAsia="Times New Roman" w:hAnsi="Times New Roman"/>
          <w:sz w:val="18"/>
          <w:szCs w:val="18"/>
          <w:color w:val="auto"/>
        </w:rPr>
        <w:t xml:space="preserve">We have not conducted any preclinical studies for TP-04 to date. We intend to leverage systemic preclinical data from our TP-03 program (such as embryofetal development studies, genotoxicity studies and safety pharmacology studies, and augment with additional dermal preclinical studies such as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skin permeation and penetration studies, dermal toxicology and dermal pharmacodynamics testing we intend to conduct) to identify a lead formulation that maximizes dermal levels of TP-04 and which we believe can compare favorably to Soolantra. We may need to address this approach with the FDA if we were to conduct a clinical trial in the United States and if the FDA rejected our use of data from these preclinical studies, it could cause delay in any trial we conduct in the United States for TP-04. We plan to evaluate whether TP-04 is safe and effective at treating the symptoms of PPR in a Phase 1/2 trial outside the United States, which is expected to begin enrollment in 2021. Prior to commencing clinical trials in the United States for TP-04, we will need to obtain an IND from the FDA.</w:t>
      </w:r>
    </w:p>
    <w:p>
      <w:pPr>
        <w:spacing w:after="0" w:line="1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TP-05 Oral Formulation for the Prophylactic Protection against Lyme Disease</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Lyme Disease</w:t>
      </w:r>
    </w:p>
    <w:p>
      <w:pPr>
        <w:spacing w:after="0" w:line="229" w:lineRule="exact"/>
        <w:rPr>
          <w:sz w:val="20"/>
          <w:szCs w:val="20"/>
          <w:color w:val="auto"/>
        </w:rPr>
      </w:pPr>
    </w:p>
    <w:p>
      <w:pPr>
        <w:jc w:val="both"/>
        <w:ind w:left="120" w:firstLine="881"/>
        <w:spacing w:after="0" w:line="272" w:lineRule="auto"/>
        <w:rPr>
          <w:sz w:val="20"/>
          <w:szCs w:val="20"/>
          <w:color w:val="auto"/>
        </w:rPr>
      </w:pPr>
      <w:r>
        <w:rPr>
          <w:rFonts w:ascii="Times New Roman" w:cs="Times New Roman" w:eastAsia="Times New Roman" w:hAnsi="Times New Roman"/>
          <w:sz w:val="17"/>
          <w:szCs w:val="17"/>
          <w:color w:val="auto"/>
        </w:rPr>
        <w:t>Lyme disease is the most common vector-borne disease in the United States, caused by infection of Borrelia bacteria following bite by a tick vector, predominantly ticks of the Ixodes genus (namely Ixodes scapularis in the United States). Estimates of annual cases of Lyme disease in the United States range from approximately 300,000 to 400,000, with many cases being misdiagnosed or diagnosed late. According to 2018 data from the U.S.</w:t>
      </w:r>
    </w:p>
    <w:p>
      <w:pPr>
        <w:spacing w:after="0" w:line="2"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Centers for Disease Control, or CDC, in 2018, over 30 million people in the United States are at risk of contracting Lyme disease, with over 20 million of those people residing in states that have a “high incidence” of Lyme disease per the CDC; and the geographic footprint of Lyme disease carrying ticks is expanding. Lyme disease occurs most commonly in geographical areas where the Ixodes scapularis tick is prevalent, namely in the Northeast of the United States. Lyme disease also occurs in certain parts of Europe, typically resulting from a different Ixodes species vector.</w:t>
      </w:r>
    </w:p>
    <w:p>
      <w:pPr>
        <w:spacing w:after="0" w:line="189" w:lineRule="exact"/>
        <w:rPr>
          <w:sz w:val="20"/>
          <w:szCs w:val="20"/>
          <w:color w:val="auto"/>
        </w:rPr>
      </w:pPr>
    </w:p>
    <w:p>
      <w:pPr>
        <w:ind w:left="120" w:right="180" w:firstLine="881"/>
        <w:spacing w:after="0" w:line="258" w:lineRule="auto"/>
        <w:rPr>
          <w:sz w:val="20"/>
          <w:szCs w:val="20"/>
          <w:color w:val="auto"/>
        </w:rPr>
      </w:pPr>
      <w:r>
        <w:rPr>
          <w:rFonts w:ascii="Times New Roman" w:cs="Times New Roman" w:eastAsia="Times New Roman" w:hAnsi="Times New Roman"/>
          <w:sz w:val="18"/>
          <w:szCs w:val="18"/>
          <w:color w:val="auto"/>
        </w:rPr>
        <w:t>The mechanism of Lyme disease infection is well understood. Borrelia bacteria colonizes the salivary glands of the ticks, and the infected saliva is transmitted to the human host when a tick attaches to a person for feeding. The probability of Borrelia transmission, and therefore the risk of Lyme disease, increases with the duration of the tick’s attachment. Borrelia is rarely transferred during the first or even second day of feeding but transfers quite efficiently during and after the third day of feeding. This window from the time of bite to the time of transmission offers an opportunity for intervention to prevent Lyme disease.</w:t>
      </w:r>
    </w:p>
    <w:p>
      <w:pPr>
        <w:spacing w:after="0" w:line="183" w:lineRule="exact"/>
        <w:rPr>
          <w:sz w:val="20"/>
          <w:szCs w:val="20"/>
          <w:color w:val="auto"/>
        </w:rPr>
      </w:pPr>
    </w:p>
    <w:p>
      <w:pPr>
        <w:ind w:left="120" w:right="60" w:firstLine="881"/>
        <w:spacing w:after="0" w:line="261" w:lineRule="auto"/>
        <w:rPr>
          <w:sz w:val="20"/>
          <w:szCs w:val="20"/>
          <w:color w:val="auto"/>
        </w:rPr>
      </w:pPr>
      <w:r>
        <w:rPr>
          <w:rFonts w:ascii="Times New Roman" w:cs="Times New Roman" w:eastAsia="Times New Roman" w:hAnsi="Times New Roman"/>
          <w:sz w:val="18"/>
          <w:szCs w:val="18"/>
          <w:color w:val="auto"/>
        </w:rPr>
        <w:t>Lyme disease can be a serious condition that may affect multiple bodily systems and produce a broad range of symptoms. Early symptoms include a localized rash, fever and fatigue. More severe, sometimes chronic, symptoms may evolve as the infection spreads, including fever, muscle and joint pain, peripheral and central neurological deficits and lymphocytic meningitis. Lyme disease can be successfully treated with oral antibiotics when diagnosed sufficiently early, but chronic symptoms can commonly persist beyond antibiotic treatment.</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Current Lyme Prophylaxis Options and Their Limitations</w:t>
      </w:r>
    </w:p>
    <w:p>
      <w:pPr>
        <w:spacing w:after="0" w:line="229" w:lineRule="exact"/>
        <w:rPr>
          <w:sz w:val="20"/>
          <w:szCs w:val="20"/>
          <w:color w:val="auto"/>
        </w:rPr>
      </w:pPr>
    </w:p>
    <w:p>
      <w:pPr>
        <w:ind w:left="120" w:right="160" w:firstLine="881"/>
        <w:spacing w:after="0" w:line="266" w:lineRule="auto"/>
        <w:rPr>
          <w:sz w:val="20"/>
          <w:szCs w:val="20"/>
          <w:color w:val="auto"/>
        </w:rPr>
      </w:pPr>
      <w:r>
        <w:rPr>
          <w:rFonts w:ascii="Times New Roman" w:cs="Times New Roman" w:eastAsia="Times New Roman" w:hAnsi="Times New Roman"/>
          <w:sz w:val="18"/>
          <w:szCs w:val="18"/>
          <w:color w:val="auto"/>
        </w:rPr>
        <w:t>Lyme disease is currently prevented through behavior modification – avoiding areas where ticks are prevalent, wearing clothing which minimizes tick exposure, using insect repellants and physically removing ticks that have attached. With the exception of removing attached ticks, none of these approaches prevents the transmission of Borrelia post-bite.</w:t>
      </w:r>
    </w:p>
    <w:p>
      <w:pPr>
        <w:spacing w:after="0" w:line="176" w:lineRule="exact"/>
        <w:rPr>
          <w:sz w:val="20"/>
          <w:szCs w:val="20"/>
          <w:color w:val="auto"/>
        </w:rPr>
      </w:pPr>
    </w:p>
    <w:p>
      <w:pPr>
        <w:jc w:val="both"/>
        <w:ind w:left="120" w:right="200" w:firstLine="881"/>
        <w:spacing w:after="0" w:line="261" w:lineRule="auto"/>
        <w:rPr>
          <w:sz w:val="20"/>
          <w:szCs w:val="20"/>
          <w:color w:val="auto"/>
        </w:rPr>
      </w:pPr>
      <w:r>
        <w:rPr>
          <w:rFonts w:ascii="Times New Roman" w:cs="Times New Roman" w:eastAsia="Times New Roman" w:hAnsi="Times New Roman"/>
          <w:sz w:val="18"/>
          <w:szCs w:val="18"/>
          <w:color w:val="auto"/>
        </w:rPr>
        <w:t>Moreover, there are currently no FDA-approved therapeutics for the prevention of Lyme disease. A vaccine for Lyme disease, LYMERix, was developed and launched by SmithKline Beecham in 1999. Approximately 1.5 million doses of the vaccine were sold in 1999, but the product was quickly pulled from the market following negative press and class action litigation claiming a dangerous side effect profile. We are aware of a second vaccine currently under development by Valneva for Lyme disease, VLA-15.</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-143-</w:t>
      </w:r>
    </w:p>
    <w:p>
      <w:pPr>
        <w:sectPr>
          <w:pgSz w:w="11900" w:h="16838" w:orient="portrait"/>
          <w:cols w:equalWidth="0" w:num="1">
            <w:col w:w="11120"/>
          </w:cols>
          <w:pgMar w:left="320" w:top="455" w:right="459" w:bottom="1440" w:gutter="0" w:footer="0" w:header="0"/>
        </w:sectPr>
      </w:pPr>
    </w:p>
    <w:bookmarkStart w:id="146" w:name="page147"/>
    <w:bookmarkEnd w:id="14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There is significant unmet need for a safe, effective and easy to use prophylactic for at-risk individuals in Lyme disease.</w:t>
      </w:r>
    </w:p>
    <w:p>
      <w:pPr>
        <w:spacing w:after="0" w:line="2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Approach, TP-05 Oral Formulation for the Prophylactic Protection against Lyme Disease</w:t>
      </w:r>
    </w:p>
    <w:p>
      <w:pPr>
        <w:spacing w:after="0" w:line="229" w:lineRule="exact"/>
        <w:rPr>
          <w:sz w:val="20"/>
          <w:szCs w:val="20"/>
          <w:color w:val="auto"/>
        </w:rPr>
      </w:pPr>
    </w:p>
    <w:p>
      <w:pPr>
        <w:ind w:left="120" w:firstLine="881"/>
        <w:spacing w:after="0" w:line="254" w:lineRule="auto"/>
        <w:rPr>
          <w:sz w:val="20"/>
          <w:szCs w:val="20"/>
          <w:color w:val="auto"/>
        </w:rPr>
      </w:pPr>
      <w:r>
        <w:rPr>
          <w:rFonts w:ascii="Times New Roman" w:cs="Times New Roman" w:eastAsia="Times New Roman" w:hAnsi="Times New Roman"/>
          <w:sz w:val="18"/>
          <w:szCs w:val="18"/>
          <w:color w:val="auto"/>
        </w:rPr>
        <w:t>Since Borrelia is usually transferred during the second or third day following a tick bite, our approach is to eradicate the tick before it can transmit the bacteria. To do this, we are developing TP-05 as an oral formulation of lotilaner. We are targeting 30 days of prophylactic protection against Lyme disease with a single oral dose of TP-05. Given that lotilaner was developed specifically, in part, to eradicate ticks with systemic administration to companion animals, the pharmacology of lotilaner in Lyme prophylaxis is well understood. Similar to its mechanism against Demodex, lotilaner is a potent non-competitive antagonist of tick GABA-Cl channels. Antagonism of these channels in ticks induces paralysis and eventual death. The high preference for insect and arachnid GABA-Cl channels over mammalian channels promotes the safety profile of the molecule. Extensive preclinical systemic toxicology and safety pharmacology studies have been performed by third parties to date and support advancing TP-05 into clinical development. Lotilaner has a long, approximate 30-day systemic half-life in dogs, which we believe could provide for a convenient monthly administration.</w:t>
      </w:r>
    </w:p>
    <w:p>
      <w:pPr>
        <w:spacing w:after="0" w:line="188" w:lineRule="exact"/>
        <w:rPr>
          <w:sz w:val="20"/>
          <w:szCs w:val="20"/>
          <w:color w:val="auto"/>
        </w:rPr>
      </w:pPr>
    </w:p>
    <w:p>
      <w:pPr>
        <w:ind w:left="120" w:firstLine="881"/>
        <w:spacing w:after="0" w:line="253" w:lineRule="auto"/>
        <w:rPr>
          <w:sz w:val="20"/>
          <w:szCs w:val="20"/>
          <w:color w:val="auto"/>
        </w:rPr>
      </w:pPr>
      <w:r>
        <w:rPr>
          <w:rFonts w:ascii="Times New Roman" w:cs="Times New Roman" w:eastAsia="Times New Roman" w:hAnsi="Times New Roman"/>
          <w:sz w:val="18"/>
          <w:szCs w:val="18"/>
          <w:color w:val="auto"/>
        </w:rPr>
        <w:t>We have identified a lead formulation of TP-05 for Phase 1/2 trials. For TP-05 and its use in Lyme prophylaxis, we intend to leverage oral systemic preclinical data from our TP-03 program (embryofetal development studies and safety pharmacology studies) as well as third-party oral systemic preclinical studies, such as 28-day and 13-week rat toxicology studies, eight-month dog toxicology studies, and systemic genetoxicity studies. These preclinical studies use the same route of administration (oral) and cover the dose range intended for clinical studies, but whereas the preclinical studies used a gavage administration, we intend to administer TP-05 in humans via a tablet or capsule. TP-05 is a presentation of lotilaner, which is the same as the Elanco API but formulated into a tablet. We obtained rights to these studies through the All Human Uses Elanco Agreement and we will not conduct any additional preclinical studies to support our Phase 1/2 clinical trial. While we plan to discuss this approach in a planned pre-IND meeting with the FDA, the FDA may reject our use of data from these preclinical studies and require us to conduct additional preclinical studies before advancing to clinical trials, which may delay our expected timelines for approval and increase costs. Subject to feedback from the FDA on this approach from our planned pre-IND meeting, we intend to evaluate whether TP-05 is safe and effective at eradicating ticks in a planned Phase 1/2 trial, which is expected to begin enrollment in 2021. Prior to commencing clinical trials in the United States for TP-05 for the potential Lyme prophylaxis, we will need to submit an IND with the FDA.</w:t>
      </w:r>
    </w:p>
    <w:p>
      <w:pPr>
        <w:spacing w:after="0" w:line="1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Malaria</w:t>
      </w:r>
    </w:p>
    <w:p>
      <w:pPr>
        <w:spacing w:after="0" w:line="229" w:lineRule="exact"/>
        <w:rPr>
          <w:sz w:val="20"/>
          <w:szCs w:val="20"/>
          <w:color w:val="auto"/>
        </w:rPr>
      </w:pPr>
    </w:p>
    <w:p>
      <w:pPr>
        <w:ind w:left="120" w:firstLine="881"/>
        <w:spacing w:after="0" w:line="261" w:lineRule="auto"/>
        <w:rPr>
          <w:sz w:val="20"/>
          <w:szCs w:val="20"/>
          <w:color w:val="auto"/>
        </w:rPr>
      </w:pPr>
      <w:r>
        <w:rPr>
          <w:rFonts w:ascii="Times New Roman" w:cs="Times New Roman" w:eastAsia="Times New Roman" w:hAnsi="Times New Roman"/>
          <w:sz w:val="18"/>
          <w:szCs w:val="18"/>
          <w:color w:val="auto"/>
        </w:rPr>
        <w:t>Malaria is one of the world’s highest unmet public health needs, with approximately 228 million cases and more than 400,000 deaths caused by malaria worldwide in 2018 alone. The disease is caused by several species of plasmodium, a parasite transmitted to humans by a mosquito vector. Symptoms and outcomes include fever, vomiting, fatigue, seizure, coma and death. The disease is widespread in tropical and subtropical regions near the equator, with sub-Saharan Africa, parts of Asia and parts of Latin America impacted the most. The majority of deaths occur in Africa.</w:t>
      </w:r>
    </w:p>
    <w:p>
      <w:pPr>
        <w:spacing w:after="0" w:line="180" w:lineRule="exact"/>
        <w:rPr>
          <w:sz w:val="20"/>
          <w:szCs w:val="20"/>
          <w:color w:val="auto"/>
        </w:rPr>
      </w:pPr>
    </w:p>
    <w:p>
      <w:pPr>
        <w:jc w:val="both"/>
        <w:ind w:left="120" w:right="120" w:firstLine="881"/>
        <w:spacing w:after="0" w:line="261" w:lineRule="auto"/>
        <w:rPr>
          <w:sz w:val="20"/>
          <w:szCs w:val="20"/>
          <w:color w:val="auto"/>
        </w:rPr>
      </w:pPr>
      <w:r>
        <w:rPr>
          <w:rFonts w:ascii="Times New Roman" w:cs="Times New Roman" w:eastAsia="Times New Roman" w:hAnsi="Times New Roman"/>
          <w:sz w:val="18"/>
          <w:szCs w:val="18"/>
          <w:color w:val="auto"/>
        </w:rPr>
        <w:t>There has been a massive years-long effort to combat malaria using a variety of techniques, including administration of multiple types of prophylactic and therapeutic drugs, insecticide spraying and mosquito nets. While worldwide rates of malaria have dropped over the last two decades, meaningful reduction in malaria rates has stalled since approximately 2015. It is widely hoped that new vector control and prophylactic modalities will play an important role in further reducing the burden of the disease.</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Approach, TP-05 Oral Formulation, Long-acting Endectocide for Community Malaria Reduction</w:t>
      </w:r>
    </w:p>
    <w:p>
      <w:pPr>
        <w:spacing w:after="0" w:line="229" w:lineRule="exact"/>
        <w:rPr>
          <w:sz w:val="20"/>
          <w:szCs w:val="20"/>
          <w:color w:val="auto"/>
        </w:rPr>
      </w:pPr>
    </w:p>
    <w:p>
      <w:pPr>
        <w:ind w:left="120" w:right="80" w:firstLine="881"/>
        <w:spacing w:after="0" w:line="282" w:lineRule="auto"/>
        <w:rPr>
          <w:sz w:val="20"/>
          <w:szCs w:val="20"/>
          <w:color w:val="auto"/>
        </w:rPr>
      </w:pPr>
      <w:r>
        <w:rPr>
          <w:rFonts w:ascii="Times New Roman" w:cs="Times New Roman" w:eastAsia="Times New Roman" w:hAnsi="Times New Roman"/>
          <w:sz w:val="18"/>
          <w:szCs w:val="18"/>
          <w:color w:val="auto"/>
        </w:rPr>
        <w:t>The malaria community, including, the World Health Organization, Medicines for Malaria Venture, Bill and Melinda Gates Foundation and others, has called for the development of a long-acting endectocide, or</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-144-</w:t>
      </w:r>
    </w:p>
    <w:p>
      <w:pPr>
        <w:sectPr>
          <w:pgSz w:w="11900" w:h="16838" w:orient="portrait"/>
          <w:cols w:equalWidth="0" w:num="1">
            <w:col w:w="11100"/>
          </w:cols>
          <w:pgMar w:left="320" w:top="455" w:right="479" w:bottom="1440" w:gutter="0" w:footer="0" w:header="0"/>
        </w:sectPr>
      </w:pPr>
    </w:p>
    <w:bookmarkStart w:id="147" w:name="page148"/>
    <w:bookmarkEnd w:id="14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antiparasitic drug active against endoparasites such as plasmodium, for the control and reduction of malaria in endemic regions. An endectocide for malaria is a drug taken by a person that causes the death or incapacity of a mosquito before it can infect another person. Field studies and modeling have shown that reducing the lifespan of the mosquitos may significantly reduce malaria transmission. With mass drug administration, which is a common approach for other anti-malarial medications, a community could attain herd protection against spread of malaria using an endectocide. For instance, a modeling study on mosquito populations published in PNAS in 2018, or the PNAS Study, showed that mass administration of an isoxazoline endectocide could reduce community malaria rates by as much as 65% with administration to just 30% of a community’s population.</w:t>
      </w:r>
    </w:p>
    <w:p>
      <w:pPr>
        <w:spacing w:after="0" w:line="187" w:lineRule="exact"/>
        <w:rPr>
          <w:sz w:val="20"/>
          <w:szCs w:val="20"/>
          <w:color w:val="auto"/>
        </w:rPr>
      </w:pPr>
    </w:p>
    <w:p>
      <w:pPr>
        <w:ind w:left="120" w:right="20" w:firstLine="881"/>
        <w:spacing w:after="0" w:line="254" w:lineRule="auto"/>
        <w:rPr>
          <w:sz w:val="20"/>
          <w:szCs w:val="20"/>
          <w:color w:val="auto"/>
        </w:rPr>
      </w:pPr>
      <w:r>
        <w:rPr>
          <w:rFonts w:ascii="Times New Roman" w:cs="Times New Roman" w:eastAsia="Times New Roman" w:hAnsi="Times New Roman"/>
          <w:sz w:val="18"/>
          <w:szCs w:val="18"/>
          <w:color w:val="auto"/>
        </w:rPr>
        <w:t>The pharmacology of isoxazoline endectocide in malaria control is well understood. Similar to its mechanism against Demodex and ticks, the isoxazoline endectocides are potent non-competitive antagonists of GABA-Cl channels in mosquitos. Furthermore, according to the PNAS Study, the isoxazoline endectocides showed significant ability to cause the death of various disease carrying mosquito vectors that were fed drug-supplemented human blood in a membrane feeding assay. Additional transmission modeling in the PNAS Study of these isoxazolines on malaria incidence, which assumed a 90-day efficacy period, translated to survival of less than 1% of mosquitos. We believe our treatment concept of the oral administration of TP-05 to a human population may likewise lead to the death of blood-fed insect vectors and a decline in disease transmission. This is based on the relatively long half-life of lotilaner, an isoxazoline endectocide, which has been demonstrated in preclinical studies. However, modeling studies may not be accurate representations of malaria transmission in human populations and the efficacy of lotilaner or TP-05 to cause the death of mosquitos and reduced transmission rates has not been tested in human populations.</w:t>
      </w:r>
    </w:p>
    <w:p>
      <w:pPr>
        <w:spacing w:after="0" w:line="188" w:lineRule="exact"/>
        <w:rPr>
          <w:sz w:val="20"/>
          <w:szCs w:val="20"/>
          <w:color w:val="auto"/>
        </w:rPr>
      </w:pPr>
    </w:p>
    <w:p>
      <w:pPr>
        <w:ind w:left="120" w:firstLine="881"/>
        <w:spacing w:after="0" w:line="254" w:lineRule="auto"/>
        <w:rPr>
          <w:sz w:val="20"/>
          <w:szCs w:val="20"/>
          <w:color w:val="auto"/>
        </w:rPr>
      </w:pPr>
      <w:r>
        <w:rPr>
          <w:rFonts w:ascii="Times New Roman" w:cs="Times New Roman" w:eastAsia="Times New Roman" w:hAnsi="Times New Roman"/>
          <w:sz w:val="18"/>
          <w:szCs w:val="18"/>
          <w:color w:val="auto"/>
        </w:rPr>
        <w:t>For TP-05 and its use in malaria community reduction, we intend to leverage oral systemic preclinical data from our TP-03 program (embryofetal development studies and safety pharmacology studies), as well as third-party oral systemic preclinical studies, such as 28-day and 13-week rat toxicology studies, eight-month dog toxicology studies, and systemic genetoxicity studies. These preclinical studies use the same route of administration (oral) and cover the dose range intended for clinical studies, but whereas the preclinical studies used a gavage administration, we intend to administer TP-05 in humans via a tablet or capsule. We obtained rights to these studies through the All Human Uses Elanco Agreement and we will not conduct any additional preclinical studies to support our Phase 1/2 clinical trial. We intend to evaluate whether TP-05 is safe and effective at eradicating mosquitos in a planned Phase 1/2 trial, which may be conducted outside the United States, and which is expected to begin enrollment in 2021.</w:t>
      </w:r>
    </w:p>
    <w:p>
      <w:pPr>
        <w:spacing w:after="0" w:line="1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Chemistry, Manufacturing and Controls</w:t>
      </w:r>
    </w:p>
    <w:p>
      <w:pPr>
        <w:spacing w:after="0" w:line="229" w:lineRule="exact"/>
        <w:rPr>
          <w:sz w:val="20"/>
          <w:szCs w:val="20"/>
          <w:color w:val="auto"/>
        </w:rPr>
      </w:pPr>
    </w:p>
    <w:p>
      <w:pPr>
        <w:ind w:left="120" w:right="120" w:firstLine="881"/>
        <w:spacing w:after="0" w:line="261" w:lineRule="auto"/>
        <w:rPr>
          <w:sz w:val="20"/>
          <w:szCs w:val="20"/>
          <w:color w:val="auto"/>
        </w:rPr>
      </w:pPr>
      <w:r>
        <w:rPr>
          <w:rFonts w:ascii="Times New Roman" w:cs="Times New Roman" w:eastAsia="Times New Roman" w:hAnsi="Times New Roman"/>
          <w:sz w:val="18"/>
          <w:szCs w:val="18"/>
          <w:color w:val="auto"/>
        </w:rPr>
        <w:t>We do not currently own or operate and currently have no plans to establish facilities for manufacturing, storing, distributing or testing our product candidates. We rely and expect to continue to rely for the foreseeable future on CMOs to manufacture and supply our preclinical and clinical materials to be used during the development of our product candidates. We have assembled a team of employees and consultants to oversee our technical quality and CMOs.</w:t>
      </w:r>
    </w:p>
    <w:p>
      <w:pPr>
        <w:spacing w:after="0" w:line="180" w:lineRule="exact"/>
        <w:rPr>
          <w:sz w:val="20"/>
          <w:szCs w:val="20"/>
          <w:color w:val="auto"/>
        </w:rPr>
      </w:pPr>
    </w:p>
    <w:p>
      <w:pPr>
        <w:ind w:left="120" w:firstLine="881"/>
        <w:spacing w:after="0" w:line="266" w:lineRule="auto"/>
        <w:rPr>
          <w:sz w:val="20"/>
          <w:szCs w:val="20"/>
          <w:color w:val="auto"/>
        </w:rPr>
      </w:pPr>
      <w:r>
        <w:rPr>
          <w:rFonts w:ascii="Times New Roman" w:cs="Times New Roman" w:eastAsia="Times New Roman" w:hAnsi="Times New Roman"/>
          <w:sz w:val="18"/>
          <w:szCs w:val="18"/>
          <w:color w:val="auto"/>
        </w:rPr>
        <w:t>The product candidate TP-03 is a presentation of lotilaner, the API, formulated into a topical eye drop formulation. Only one dose strength of TP-03 is currently being developed, 0.25% lotilaner solution. Since TP-03 is an anti-infective, only one strength, the maximum formulatable (0.25%), is required to be evaluated clinically.</w:t>
      </w:r>
    </w:p>
    <w:p>
      <w:pPr>
        <w:spacing w:after="0" w:line="176" w:lineRule="exact"/>
        <w:rPr>
          <w:sz w:val="20"/>
          <w:szCs w:val="20"/>
          <w:color w:val="auto"/>
        </w:rPr>
      </w:pPr>
    </w:p>
    <w:p>
      <w:pPr>
        <w:ind w:left="120" w:right="60" w:firstLine="881"/>
        <w:spacing w:after="0" w:line="289" w:lineRule="auto"/>
        <w:rPr>
          <w:sz w:val="20"/>
          <w:szCs w:val="20"/>
          <w:color w:val="auto"/>
        </w:rPr>
      </w:pPr>
      <w:r>
        <w:rPr>
          <w:rFonts w:ascii="Times New Roman" w:cs="Times New Roman" w:eastAsia="Times New Roman" w:hAnsi="Times New Roman"/>
          <w:sz w:val="17"/>
          <w:szCs w:val="17"/>
          <w:color w:val="auto"/>
        </w:rPr>
        <w:t>We believe that our supply of TP-03 is sufficient to complete Saturn-1, and that our supply of cGMP lotilaner is sufficient to complete Saturn-2. We believe that the existing capacity of our current API supplier will be sufficient to support commercial scale-up, validation and commercial launch activities if TP-03 is approved. Our current supplier currently manufactures cGMP lotilaner at multiple geographically distinct facilities.</w:t>
      </w:r>
    </w:p>
    <w:p>
      <w:pPr>
        <w:spacing w:after="0" w:line="158" w:lineRule="exact"/>
        <w:rPr>
          <w:sz w:val="20"/>
          <w:szCs w:val="20"/>
          <w:color w:val="auto"/>
        </w:rPr>
      </w:pPr>
    </w:p>
    <w:p>
      <w:pPr>
        <w:ind w:left="120" w:firstLine="881"/>
        <w:spacing w:after="0" w:line="282" w:lineRule="auto"/>
        <w:rPr>
          <w:sz w:val="20"/>
          <w:szCs w:val="20"/>
          <w:color w:val="auto"/>
        </w:rPr>
      </w:pPr>
      <w:r>
        <w:rPr>
          <w:rFonts w:ascii="Times New Roman" w:cs="Times New Roman" w:eastAsia="Times New Roman" w:hAnsi="Times New Roman"/>
          <w:sz w:val="18"/>
          <w:szCs w:val="18"/>
          <w:color w:val="auto"/>
        </w:rPr>
        <w:t>Although we have relied on a single supplier for both non-clinical and clinical supply for lotilaner under cGMP protocols and a single CMO to manufacture TP-03 and to perform analytical testing services, it is our</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-145-</w:t>
      </w:r>
    </w:p>
    <w:p>
      <w:pPr>
        <w:sectPr>
          <w:pgSz w:w="11900" w:h="16838" w:orient="portrait"/>
          <w:cols w:equalWidth="0" w:num="1">
            <w:col w:w="11100"/>
          </w:cols>
          <w:pgMar w:left="320" w:top="455" w:right="479" w:bottom="1440" w:gutter="0" w:footer="0" w:header="0"/>
        </w:sectPr>
      </w:pPr>
    </w:p>
    <w:bookmarkStart w:id="148" w:name="page149"/>
    <w:bookmarkEnd w:id="14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00"/>
        <w:spacing w:after="0" w:line="261" w:lineRule="auto"/>
        <w:rPr>
          <w:sz w:val="20"/>
          <w:szCs w:val="20"/>
          <w:color w:val="auto"/>
        </w:rPr>
      </w:pPr>
      <w:r>
        <w:rPr>
          <w:rFonts w:ascii="Times New Roman" w:cs="Times New Roman" w:eastAsia="Times New Roman" w:hAnsi="Times New Roman"/>
          <w:sz w:val="18"/>
          <w:szCs w:val="18"/>
          <w:color w:val="auto"/>
        </w:rPr>
        <w:t>intent to identify and qualify additional manufacturers to provide lotilaner and drug product manufacturing and analytical testing services, if possible, prior to submission of our NDA for TP-03. The drug product manufacturing is a compounding and aseptic filling operation that we believe could be transferred to additional CMOs as necessary. We are evaluating a supplier for TP-04 topical formulation for rosacea and have identified a supplier for TP-05 oral formulation for Phase 1/2 trials for Lyme disease and malaria.</w:t>
      </w:r>
    </w:p>
    <w:p>
      <w:pPr>
        <w:spacing w:after="0" w:line="180" w:lineRule="exact"/>
        <w:rPr>
          <w:sz w:val="20"/>
          <w:szCs w:val="20"/>
          <w:color w:val="auto"/>
        </w:rPr>
      </w:pPr>
    </w:p>
    <w:p>
      <w:pPr>
        <w:ind w:left="120" w:firstLine="881"/>
        <w:spacing w:after="0" w:line="253" w:lineRule="auto"/>
        <w:rPr>
          <w:sz w:val="20"/>
          <w:szCs w:val="20"/>
          <w:color w:val="auto"/>
        </w:rPr>
      </w:pPr>
      <w:r>
        <w:rPr>
          <w:rFonts w:ascii="Times New Roman" w:cs="Times New Roman" w:eastAsia="Times New Roman" w:hAnsi="Times New Roman"/>
          <w:sz w:val="18"/>
          <w:szCs w:val="18"/>
          <w:color w:val="auto"/>
        </w:rPr>
        <w:t>Our third-party service providers, our third-party supply chain providers, their facilities and the TP-03 used in our clinical trials or for commercial sale are required to be in compliance with the requirements of cGMP. The cGMP regulations govern manufacturing processes and procedures, including requirements relating to organization of personnel, buildings and facilities, equipment, control of components and packaging containers and closures, production and process controls, packaging and labeling controls, holding and distribution, laboratory controls, records and reports, and returned or salvaged products. Product candidates used in late-stage clinical trials must be manufactured in accordance with cGMP requirements and manufacturing specifications and processes must satisfy FDA or other authorities’ requirements before any product is approved and before we can manufacture commercial products. Our third-party manufacturers are also subject to periodic inspections of facilities by the FDA and other authorities, including procedures and operations used in the testing and manufacture of TP-03 to assess compliance with applicable regulations. Our failure, or the failure of our third-party providers and supply chain providers, to comply with such statutory and regulatory requirements could subject us to possible legal or regulatory action, including clinical holds, fines, injunctions, civil penalties, delays, suspension or withdrawal of approvals, license revocation, suspension of production, warning letters, the seizure or recall of products, operating restrictions and criminal prosecutions. Any of these actions could have a material impact on clinical supplies of TP-03 or our other product candidates. Contract manufacturers at times encounter difficulties involving production yields, quality control and quality assurance, as well as shortages of qualified personnel.</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ind w:left="120" w:right="120" w:firstLine="881"/>
        <w:spacing w:after="0" w:line="256" w:lineRule="auto"/>
        <w:rPr>
          <w:sz w:val="20"/>
          <w:szCs w:val="20"/>
          <w:color w:val="auto"/>
        </w:rPr>
      </w:pPr>
      <w:r>
        <w:rPr>
          <w:rFonts w:ascii="Times New Roman" w:cs="Times New Roman" w:eastAsia="Times New Roman" w:hAnsi="Times New Roman"/>
          <w:sz w:val="18"/>
          <w:szCs w:val="18"/>
          <w:color w:val="auto"/>
        </w:rPr>
        <w:t>The biotechnology and pharmaceutical industries are characterized by rapid technological advancement, significant competition and an emphasis on intellectual property. We face potential competition from many different sources, including major and specialty pharmaceutical and biotechnology companies, academic research institutions, governmental agencies and public and private research institutions. Any product candidates that we successfully develop and commercialize will compete with existing approaches and new therapies that may become available in the future. We believe that the key competitive factors affecting the success of any of our product candidates will include efficacy, combinability, safety profile, convenience, cost, level of promotional activity devoted to them and intellectual property protection.</w:t>
      </w:r>
    </w:p>
    <w:p>
      <w:pPr>
        <w:spacing w:after="0" w:line="187" w:lineRule="exact"/>
        <w:rPr>
          <w:sz w:val="20"/>
          <w:szCs w:val="20"/>
          <w:color w:val="auto"/>
        </w:rPr>
      </w:pPr>
    </w:p>
    <w:p>
      <w:pPr>
        <w:ind w:left="120" w:firstLine="881"/>
        <w:spacing w:after="0" w:line="255" w:lineRule="auto"/>
        <w:rPr>
          <w:sz w:val="20"/>
          <w:szCs w:val="20"/>
          <w:color w:val="auto"/>
        </w:rPr>
      </w:pPr>
      <w:r>
        <w:rPr>
          <w:rFonts w:ascii="Times New Roman" w:cs="Times New Roman" w:eastAsia="Times New Roman" w:hAnsi="Times New Roman"/>
          <w:sz w:val="18"/>
          <w:szCs w:val="18"/>
          <w:color w:val="auto"/>
        </w:rPr>
        <w:t>While there are no currently available on-label prescription pharmaceutical treatments available for the treatment of blepharitis or Demodex blepharitis specifically, a number of other treatments are currently available for the treatment of blepharitis in the United States. Current treatments for blepharitis in the United States include over the counter and off-label remedies such as tea tree oil, lid wipes and artificial tears. We are aware of other companies developing prescription therapies for blepharitis, including Azura Ophthalmics, Aperta Biosciences, LLC, Eyevance Pharmaceuticals, Formosa Pharmaceuticals, Inc., Hovione Scientia, Nicox SA, Novaliq GmbH, Premark Pharma and Quorum Innovations. To our knowledge, Aperta Biosciences, LLC is the only company currently focused on Demodex blepharitis and Nicox SA and Premark Pharma are the only companies with blepharitis programs that have completed Phase 2 trials.</w:t>
      </w:r>
    </w:p>
    <w:p>
      <w:pPr>
        <w:spacing w:after="0" w:line="189" w:lineRule="exact"/>
        <w:rPr>
          <w:sz w:val="20"/>
          <w:szCs w:val="20"/>
          <w:color w:val="auto"/>
        </w:rPr>
      </w:pPr>
    </w:p>
    <w:p>
      <w:pPr>
        <w:ind w:left="120" w:right="20" w:firstLine="881"/>
        <w:spacing w:after="0" w:line="256" w:lineRule="auto"/>
        <w:rPr>
          <w:sz w:val="20"/>
          <w:szCs w:val="20"/>
          <w:color w:val="auto"/>
        </w:rPr>
      </w:pPr>
      <w:r>
        <w:rPr>
          <w:rFonts w:ascii="Times New Roman" w:cs="Times New Roman" w:eastAsia="Times New Roman" w:hAnsi="Times New Roman"/>
          <w:sz w:val="18"/>
          <w:szCs w:val="18"/>
          <w:color w:val="auto"/>
        </w:rPr>
        <w:t>Many of the companies against which we may compete have significantly greater financial resources and expertise in research and development, manufacturing, preclinical testing, conducting clinical trials, obtaining regulatory approvals and marketing approved products than we do. Smaller or early-stage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w:t>
      </w:r>
    </w:p>
    <w:p>
      <w:pPr>
        <w:spacing w:after="0" w:line="1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-146-</w:t>
      </w:r>
    </w:p>
    <w:p>
      <w:pPr>
        <w:sectPr>
          <w:pgSz w:w="11900" w:h="16838" w:orient="portrait"/>
          <w:cols w:equalWidth="0" w:num="1">
            <w:col w:w="11080"/>
          </w:cols>
          <w:pgMar w:left="320" w:top="455" w:right="499" w:bottom="1440" w:gutter="0" w:footer="0" w:header="0"/>
        </w:sectPr>
      </w:pPr>
    </w:p>
    <w:bookmarkStart w:id="149" w:name="page150"/>
    <w:bookmarkEnd w:id="14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Sales and Marketing</w:t>
      </w:r>
    </w:p>
    <w:p>
      <w:pPr>
        <w:spacing w:after="0" w:line="229" w:lineRule="exact"/>
        <w:rPr>
          <w:sz w:val="20"/>
          <w:szCs w:val="20"/>
          <w:color w:val="auto"/>
        </w:rPr>
      </w:pPr>
    </w:p>
    <w:p>
      <w:pPr>
        <w:ind w:left="120" w:firstLine="881"/>
        <w:spacing w:after="0" w:line="255" w:lineRule="auto"/>
        <w:rPr>
          <w:sz w:val="20"/>
          <w:szCs w:val="20"/>
          <w:color w:val="auto"/>
        </w:rPr>
      </w:pPr>
      <w:r>
        <w:rPr>
          <w:rFonts w:ascii="Times New Roman" w:cs="Times New Roman" w:eastAsia="Times New Roman" w:hAnsi="Times New Roman"/>
          <w:sz w:val="18"/>
          <w:szCs w:val="18"/>
          <w:color w:val="auto"/>
        </w:rPr>
        <w:t>In light of our stage of development, we have not yet established a commercial organization or distribution capabilities. If TP-03 receives marketing approval, we plan to commercialize TP-03 in the United States by developing our own sales organization targeting a subset of the approximately 25,000 prescribing ECPs in the United States. Throughout our commercialization efforts, we intend to educate ECPs on Demodex blepharitis and how to diagnose it with a simple slit lamp examination. Given the importance of increasing awareness and educating patients with blepharitis, we also anticipate deploying focused DTC marketing campaigns for TP-03. We expect to conduct most of the buildout of this organization following NDA submission and approval of TP-03, if obtained. Outside the United States, we intend to establish commercialization strategies for TP-03 as we approach possible commercial approval in each market, which may include collaborations with other companies.</w:t>
      </w:r>
    </w:p>
    <w:p>
      <w:pPr>
        <w:spacing w:after="0" w:line="1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29" w:lineRule="exact"/>
        <w:rPr>
          <w:sz w:val="20"/>
          <w:szCs w:val="20"/>
          <w:color w:val="auto"/>
        </w:rPr>
      </w:pPr>
    </w:p>
    <w:p>
      <w:pPr>
        <w:ind w:left="120" w:right="60" w:firstLine="881"/>
        <w:spacing w:after="0" w:line="255" w:lineRule="auto"/>
        <w:rPr>
          <w:sz w:val="20"/>
          <w:szCs w:val="20"/>
          <w:color w:val="auto"/>
        </w:rPr>
      </w:pPr>
      <w:r>
        <w:rPr>
          <w:rFonts w:ascii="Times New Roman" w:cs="Times New Roman" w:eastAsia="Times New Roman" w:hAnsi="Times New Roman"/>
          <w:sz w:val="18"/>
          <w:szCs w:val="18"/>
          <w:color w:val="auto"/>
        </w:rPr>
        <w:t>We protect our intellectual property rights and proprietary technology with a combination of patent rights that we own or license in certain fields of use, trademark rights, confidentiality procedures and contractual provisions. We seek not only to protect our intellectual property rights and proprietary technology in select key global markets, but also to supplement our intellectual property portfolio with new filings and applications to enhance such protection and support commercialization of current and future product candidates. To that end, we continue to seek protection for our technological innovations and branding efforts by filing new patent and trademark applications when and where appropriate. In the normal course of business, we intend to pursue, when possible, composition, method of use, dosing and formulation patent protection, as well as manufacturing and drug development processes and technology.</w:t>
      </w:r>
    </w:p>
    <w:p>
      <w:pPr>
        <w:spacing w:after="0" w:line="189" w:lineRule="exact"/>
        <w:rPr>
          <w:sz w:val="20"/>
          <w:szCs w:val="20"/>
          <w:color w:val="auto"/>
        </w:rPr>
      </w:pPr>
    </w:p>
    <w:p>
      <w:pPr>
        <w:ind w:left="120" w:right="60" w:firstLine="881"/>
        <w:spacing w:after="0" w:line="256" w:lineRule="auto"/>
        <w:rPr>
          <w:sz w:val="20"/>
          <w:szCs w:val="20"/>
          <w:color w:val="auto"/>
        </w:rPr>
      </w:pPr>
      <w:r>
        <w:rPr>
          <w:rFonts w:ascii="Times New Roman" w:cs="Times New Roman" w:eastAsia="Times New Roman" w:hAnsi="Times New Roman"/>
          <w:sz w:val="18"/>
          <w:szCs w:val="18"/>
          <w:color w:val="auto"/>
        </w:rPr>
        <w:t>The term of individual patents varies depending upon the date of filing of the patent application, the date of patent issuance, and the legal term of patents in the countries in which they are obtained. Generally, patents issued for applications filed in the United States are effective for 20 years from the earliest effective filing date. In addition, in certain instances, a patent term can be extended to restore a portion of the term effectively lost as a result of the FDA regulatory review period. The restoration period cannot be longer than five years and the total patent term, including the restoration period, must not exceed 14 years following FDA approval. The duration of patents outside of the United States varies in accordance with provisions of applicable local law, but typically is also 20 years from the earliest effective filing date.</w:t>
      </w:r>
    </w:p>
    <w:p>
      <w:pPr>
        <w:spacing w:after="0" w:line="187" w:lineRule="exact"/>
        <w:rPr>
          <w:sz w:val="20"/>
          <w:szCs w:val="20"/>
          <w:color w:val="auto"/>
        </w:rPr>
      </w:pPr>
    </w:p>
    <w:p>
      <w:pPr>
        <w:ind w:left="120" w:right="20" w:firstLine="881"/>
        <w:spacing w:after="0" w:line="258" w:lineRule="auto"/>
        <w:rPr>
          <w:sz w:val="20"/>
          <w:szCs w:val="20"/>
          <w:color w:val="auto"/>
        </w:rPr>
      </w:pPr>
      <w:r>
        <w:rPr>
          <w:rFonts w:ascii="Times New Roman" w:cs="Times New Roman" w:eastAsia="Times New Roman" w:hAnsi="Times New Roman"/>
          <w:sz w:val="18"/>
          <w:szCs w:val="18"/>
          <w:color w:val="auto"/>
        </w:rPr>
        <w:t>Our patent portfolio includes a combination of issued patents and pending patent applications licensed from third parties, as well as those assigned solely to us based on our ongoing development activities. The patents and applications in our portfolio can be categorized as related to TP-03, TP-04, TP-05 or future pipeline product candidates and alternative technologies. Some of our issued patents and patent applications are exclusively licensed to us in therapeutic fields of use from Elanco. The patents and patent applications owned by or licensed to us worldwide include approximately 36 issued patents and approximately 23 pending patent applications.</w:t>
      </w:r>
    </w:p>
    <w:p>
      <w:pPr>
        <w:spacing w:after="0" w:line="183" w:lineRule="exact"/>
        <w:rPr>
          <w:sz w:val="20"/>
          <w:szCs w:val="20"/>
          <w:color w:val="auto"/>
        </w:rPr>
      </w:pPr>
    </w:p>
    <w:p>
      <w:pPr>
        <w:ind w:left="120" w:right="180" w:firstLine="881"/>
        <w:spacing w:after="0" w:line="258" w:lineRule="auto"/>
        <w:rPr>
          <w:sz w:val="20"/>
          <w:szCs w:val="20"/>
          <w:color w:val="auto"/>
        </w:rPr>
      </w:pPr>
      <w:r>
        <w:rPr>
          <w:rFonts w:ascii="Times New Roman" w:cs="Times New Roman" w:eastAsia="Times New Roman" w:hAnsi="Times New Roman"/>
          <w:sz w:val="18"/>
          <w:szCs w:val="18"/>
          <w:color w:val="auto"/>
        </w:rPr>
        <w:t>We in-license certain of such patents and patent applications from Elanco. These patents and patent applications relate to lotilaner and are issued or pending in, for example, the United States, Australia, Brazil, Canada, Chile, China, several European territories, India, Japan, Mexico, New Zealand, the Russian Federation, and Taiwan. The licensed-in portfolio includes approximately 36 issued patents and approximately 4 pending patent applications; the issued patents and at least some of the pending patent applications include composition of matter claims. The estimated natural expiration date of the issued in-licensed patents is approximately 2029 with a potential extension until 2032.</w:t>
      </w:r>
    </w:p>
    <w:p>
      <w:pPr>
        <w:spacing w:after="0" w:line="183" w:lineRule="exact"/>
        <w:rPr>
          <w:sz w:val="20"/>
          <w:szCs w:val="20"/>
          <w:color w:val="auto"/>
        </w:rPr>
      </w:pPr>
    </w:p>
    <w:p>
      <w:pPr>
        <w:ind w:left="120" w:right="100" w:firstLine="881"/>
        <w:spacing w:after="0" w:line="282" w:lineRule="auto"/>
        <w:rPr>
          <w:sz w:val="20"/>
          <w:szCs w:val="20"/>
          <w:color w:val="auto"/>
        </w:rPr>
      </w:pPr>
      <w:r>
        <w:rPr>
          <w:rFonts w:ascii="Times New Roman" w:cs="Times New Roman" w:eastAsia="Times New Roman" w:hAnsi="Times New Roman"/>
          <w:sz w:val="18"/>
          <w:szCs w:val="18"/>
          <w:color w:val="auto"/>
        </w:rPr>
        <w:t>Approximately 16 of our owned pending patent applications include treatment and composition of matter claims which relate to our TP-03 product candidate with respect to our lead indication (e.g., isoxazoline</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-147-</w:t>
      </w:r>
    </w:p>
    <w:p>
      <w:pPr>
        <w:sectPr>
          <w:pgSz w:w="11900" w:h="16838" w:orient="portrait"/>
          <w:cols w:equalWidth="0" w:num="1">
            <w:col w:w="11080"/>
          </w:cols>
          <w:pgMar w:left="320" w:top="455" w:right="499" w:bottom="1440" w:gutter="0" w:footer="0" w:header="0"/>
        </w:sectPr>
      </w:pPr>
    </w:p>
    <w:bookmarkStart w:id="150" w:name="page151"/>
    <w:bookmarkEnd w:id="15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parasiticides for the treatment of Demodex blepharitis), as well as other conditions. These pending patent applications include applications in the United States, Australia, Brazil, Canada, China, Europe, Israel, India, Japan, South Korea, Mexico, New Zealand, the Russian Federation, South Africa, and the Patent Cooperation Treaty (PCT). We received a Notice of Allowance on one of our owned pending patent applications with treatment claims, U.S. App. No. 16/221,390, on September 22, 2020. If patents issue on these pending applications of ours, the estimated natural expiration dates are between approximately 2038 and 2040.</w:t>
      </w:r>
    </w:p>
    <w:p>
      <w:pPr>
        <w:spacing w:after="0" w:line="183" w:lineRule="exact"/>
        <w:rPr>
          <w:sz w:val="20"/>
          <w:szCs w:val="20"/>
          <w:color w:val="auto"/>
        </w:rPr>
      </w:pPr>
    </w:p>
    <w:p>
      <w:pPr>
        <w:ind w:left="120" w:right="20" w:firstLine="881"/>
        <w:spacing w:after="0" w:line="261" w:lineRule="auto"/>
        <w:rPr>
          <w:sz w:val="20"/>
          <w:szCs w:val="20"/>
          <w:color w:val="auto"/>
        </w:rPr>
      </w:pPr>
      <w:r>
        <w:rPr>
          <w:rFonts w:ascii="Times New Roman" w:cs="Times New Roman" w:eastAsia="Times New Roman" w:hAnsi="Times New Roman"/>
          <w:sz w:val="18"/>
          <w:szCs w:val="18"/>
          <w:color w:val="auto"/>
        </w:rPr>
        <w:t>While estimated expiration dates and descriptions of patents and patent applications are listed above, the actual protection afforded by a patent varies on a product-by-product basis, from country-to-country, and depends upon many factors, including the type of patent, the scope of its coverage, patent term adjustments, the availability of regulatory-related extensions, disclaimers, the availability of legal remedies in a particular country, and the validity and enforceability of the patent.</w:t>
      </w:r>
    </w:p>
    <w:p>
      <w:pPr>
        <w:spacing w:after="0" w:line="180" w:lineRule="exact"/>
        <w:rPr>
          <w:sz w:val="20"/>
          <w:szCs w:val="20"/>
          <w:color w:val="auto"/>
        </w:rPr>
      </w:pPr>
    </w:p>
    <w:p>
      <w:pPr>
        <w:ind w:left="120" w:right="120" w:firstLine="881"/>
        <w:spacing w:after="0" w:line="258" w:lineRule="auto"/>
        <w:rPr>
          <w:sz w:val="20"/>
          <w:szCs w:val="20"/>
          <w:color w:val="auto"/>
        </w:rPr>
      </w:pPr>
      <w:r>
        <w:rPr>
          <w:rFonts w:ascii="Times New Roman" w:cs="Times New Roman" w:eastAsia="Times New Roman" w:hAnsi="Times New Roman"/>
          <w:sz w:val="18"/>
          <w:szCs w:val="18"/>
          <w:color w:val="auto"/>
        </w:rPr>
        <w:t>Our continuing research and development activities, technical expertise and contractual arrangements supplement our existing intellectual property protection and help us maintain our competitive position, and we rely on trade secrets to protect our proprietary information and technologies, especially where we do not believe patent protection is appropriate or obtainable, or where such patents would be difficult to enforce. In order to maintain such trade secrets and other proprietary information, we rely in part on confidentiality agreements with our employees, consultants, contractors, outside scientific collaborators and other advisors.</w:t>
      </w:r>
    </w:p>
    <w:p>
      <w:pPr>
        <w:spacing w:after="0" w:line="183" w:lineRule="exact"/>
        <w:rPr>
          <w:sz w:val="20"/>
          <w:szCs w:val="20"/>
          <w:color w:val="auto"/>
        </w:rPr>
      </w:pPr>
    </w:p>
    <w:p>
      <w:pPr>
        <w:ind w:left="120" w:right="360" w:firstLine="881"/>
        <w:spacing w:after="0" w:line="266" w:lineRule="auto"/>
        <w:rPr>
          <w:sz w:val="20"/>
          <w:szCs w:val="20"/>
          <w:color w:val="auto"/>
        </w:rPr>
      </w:pPr>
      <w:r>
        <w:rPr>
          <w:rFonts w:ascii="Times New Roman" w:cs="Times New Roman" w:eastAsia="Times New Roman" w:hAnsi="Times New Roman"/>
          <w:sz w:val="18"/>
          <w:szCs w:val="18"/>
          <w:color w:val="auto"/>
        </w:rPr>
        <w:t>We also protect our brand through trademark rights. We are the registered owner of two U.S. pending trademark applications for the trademarks TARSUS and TARSUS PHARMACEUTICALS. In order to supplement the protection of our brand, we also own at least one registered internet domain name.</w:t>
      </w:r>
    </w:p>
    <w:p>
      <w:pPr>
        <w:spacing w:after="0" w:line="1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License Agreements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Eye and Derm Elanco Agreement</w:t>
      </w:r>
    </w:p>
    <w:p>
      <w:pPr>
        <w:spacing w:after="0" w:line="229" w:lineRule="exact"/>
        <w:rPr>
          <w:sz w:val="20"/>
          <w:szCs w:val="20"/>
          <w:color w:val="auto"/>
        </w:rPr>
      </w:pPr>
    </w:p>
    <w:p>
      <w:pPr>
        <w:ind w:left="120" w:right="60" w:firstLine="881"/>
        <w:spacing w:after="0" w:line="255" w:lineRule="auto"/>
        <w:rPr>
          <w:sz w:val="20"/>
          <w:szCs w:val="20"/>
          <w:color w:val="auto"/>
        </w:rPr>
      </w:pPr>
      <w:r>
        <w:rPr>
          <w:rFonts w:ascii="Times New Roman" w:cs="Times New Roman" w:eastAsia="Times New Roman" w:hAnsi="Times New Roman"/>
          <w:sz w:val="18"/>
          <w:szCs w:val="18"/>
          <w:color w:val="auto"/>
        </w:rPr>
        <w:t>In January 2019, we entered into the Eye and Derm Elanco Agreement granting us an exclusive, worldwide, sublicensable license to certain intellectual property for the development, marketing, and commercialization of lotilaner for the treatment, palliation, prevention or cure of any eye or skin disease or condition in humans. We are obligated to use commercially reasonable efforts to develop and commercialize products comprising lotilaner and must achieve certain developmental milestones within specified achievement deadlines. If we fail to meet these obligations, Elanco has the right to terminate the Eye and Derm Elanco Agreement. We utilize the intellectual property licensed under the Eye and Derm Elanco Agreement in our TP-03 and TP-04 product candidates. We are permitted to have certain third parties manufacture lotilaner for us and, upon Elanco consent, additional third parties.</w:t>
      </w:r>
    </w:p>
    <w:p>
      <w:pPr>
        <w:spacing w:after="0" w:line="189" w:lineRule="exact"/>
        <w:rPr>
          <w:sz w:val="20"/>
          <w:szCs w:val="20"/>
          <w:color w:val="auto"/>
        </w:rPr>
      </w:pPr>
    </w:p>
    <w:p>
      <w:pPr>
        <w:ind w:left="120" w:right="60" w:firstLine="881"/>
        <w:spacing w:after="0" w:line="268" w:lineRule="auto"/>
        <w:rPr>
          <w:sz w:val="20"/>
          <w:szCs w:val="20"/>
          <w:color w:val="auto"/>
        </w:rPr>
      </w:pPr>
      <w:r>
        <w:rPr>
          <w:rFonts w:ascii="Times New Roman" w:cs="Times New Roman" w:eastAsia="Times New Roman" w:hAnsi="Times New Roman"/>
          <w:sz w:val="17"/>
          <w:szCs w:val="17"/>
          <w:color w:val="auto"/>
        </w:rPr>
        <w:t>We made an upfront payment of $1.0 million to Elanco at contract execution, which we recorded within “research and development” expense within our statements of operations for the year ended December 31, 2019. In accordance with the terms of the Eye and Derm Elanco Agreement, we are obligated to make further payments to Elanco upon our achievement of various clinical milestones up to an aggregate maximum of $6.0 million and various sales milestones up to an aggregate maximum of $79.0 million. If we receive payments from sublicensees, we are obligated to pay Elanco a variable percentage beginning in the low double-digits of such proceeds and decreasing after certain milestones are met, except for sublicense revenue generated after achieving regulatory approval for the use of lotilaner to treat or cure any eye or skin disease or condition in humans. We owe Elanco tiered royalties during the royalty term in the mid-to-high single digits on our future net sales and those of our sublicensees. The royalty term for any licensed product in a given country commences on the date of first commercial sale of such licensed product and ends on the latest of</w:t>
      </w:r>
    </w:p>
    <w:p>
      <w:pPr>
        <w:ind w:left="120" w:hanging="4"/>
        <w:spacing w:after="0" w:line="255" w:lineRule="auto"/>
        <w:tabs>
          <w:tab w:leader="none" w:pos="335"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expiration of the last-to-expire of the licensed patents which has at least one valid claim, (ii) the expiration of regulatory exclusivity and (iii) ten years after the first commercial sale of such licensed product in such country. The Eye and Derm Elanco Agreement shall expire on a licensed product-by-licensed product and country-by-country basis upon the expiration of the</w:t>
      </w:r>
    </w:p>
    <w:p>
      <w:pPr>
        <w:spacing w:after="0" w:line="118" w:lineRule="exact"/>
        <w:rPr>
          <w:rFonts w:ascii="Times New Roman" w:cs="Times New Roman" w:eastAsia="Times New Roman" w:hAnsi="Times New Roman"/>
          <w:sz w:val="18"/>
          <w:szCs w:val="18"/>
          <w:color w:val="auto"/>
        </w:rPr>
      </w:pPr>
    </w:p>
    <w:p>
      <w:pPr>
        <w:ind w:left="5480" w:hanging="96"/>
        <w:spacing w:after="0"/>
        <w:tabs>
          <w:tab w:leader="none" w:pos="5480" w:val="left"/>
        </w:tabs>
        <w:numPr>
          <w:ilvl w:val="1"/>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148 -</w:t>
      </w:r>
    </w:p>
    <w:p>
      <w:pPr>
        <w:sectPr>
          <w:pgSz w:w="11900" w:h="16838" w:orient="portrait"/>
          <w:cols w:equalWidth="0" w:num="1">
            <w:col w:w="11120"/>
          </w:cols>
          <w:pgMar w:left="320" w:top="455" w:right="459" w:bottom="1440" w:gutter="0" w:footer="0" w:header="0"/>
        </w:sectPr>
      </w:pPr>
    </w:p>
    <w:bookmarkStart w:id="151" w:name="page152"/>
    <w:bookmarkEnd w:id="15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300"/>
        <w:spacing w:after="0" w:line="266" w:lineRule="auto"/>
        <w:rPr>
          <w:sz w:val="20"/>
          <w:szCs w:val="20"/>
          <w:color w:val="auto"/>
        </w:rPr>
      </w:pPr>
      <w:r>
        <w:rPr>
          <w:rFonts w:ascii="Times New Roman" w:cs="Times New Roman" w:eastAsia="Times New Roman" w:hAnsi="Times New Roman"/>
          <w:sz w:val="18"/>
          <w:szCs w:val="18"/>
          <w:color w:val="auto"/>
        </w:rPr>
        <w:t>applicable royalty term with respect to such licensed product in such country. The achievement deadlines for eye-related diligence milestones range between 18 months after contract execution to six years after contract execution. The achievement deadlines for dermatological diligence milestones range between 24 months after contract execution to nine years after contract execution.</w:t>
      </w:r>
    </w:p>
    <w:p>
      <w:pPr>
        <w:spacing w:after="0" w:line="176" w:lineRule="exact"/>
        <w:rPr>
          <w:sz w:val="20"/>
          <w:szCs w:val="20"/>
          <w:color w:val="auto"/>
        </w:rPr>
      </w:pPr>
    </w:p>
    <w:p>
      <w:pPr>
        <w:ind w:left="120" w:firstLine="881"/>
        <w:spacing w:after="0" w:line="252" w:lineRule="auto"/>
        <w:rPr>
          <w:sz w:val="20"/>
          <w:szCs w:val="20"/>
          <w:color w:val="auto"/>
        </w:rPr>
      </w:pPr>
      <w:r>
        <w:rPr>
          <w:rFonts w:ascii="Times New Roman" w:cs="Times New Roman" w:eastAsia="Times New Roman" w:hAnsi="Times New Roman"/>
          <w:sz w:val="18"/>
          <w:szCs w:val="18"/>
          <w:color w:val="auto"/>
        </w:rPr>
        <w:t>Either party may terminate the Eye and Derm Elanco Agreement upon a material breach by the other party, solely in the country pertaining to such breach, that is not cured within 60 days after receiving written notice thereof. If we fail to comply with our development obligations under the Eye and Derm Elanco Agreement, and fail to remedy such failure or cure such breach within 60 days, Elanco will have the right to terminate the Eye and Derm Elanco Agreement. If we fail to meet any diligence milestones by the achievement deadlines set forth in the Eye and Derm Elanco Agreement for any reason other than those outside of our reasonable control, and such milestones remain unmet for 120 days after Elanco notifies us thereof, Elanco may terminate the Eye and Derm Elanco Agreement. If we fail to meet certain dermatological milestones by the achievement deadlines set forth in the Eye and Derm Elanco Agreement for any reasons other than those outside of our reasonable control, and such milestones remain unmet for 120 days after Elanco notifies us thereof, Elanco may limit our field of use under the Eye and Derm Elanco Agreement to the treatment, palliation, prevention or cure of eye diseases or conditions in humans only. If Elanco terminates the Eye and Derm Elanco Agreement for our failure to achieve a development milestone by the specified achievement deadline, then we must grant Elanco a non-exclusive, sublicensable, royalty free license to our patents and know-how relating to lotilaner to develop, manufacture and commercialize lotilaner and any licensed products for the treatment, palliation, prevention or cure of any eye or skin disease or condition in humans. Elanco may also terminate the Eye and Derm Elanco Agreement if we, our affiliates or sublicensees initiate proceedings to oppose Elanco’s licensed patents and such proceeding is not withdrawn within 30 days of Elanco providing notice to us; provided that Elanco may not terminate the Eye and Derm Elanco Agreement for a challenge by a sublicensee if we terminate the sublicense with such sublicensee within such 30 day period.</w:t>
      </w:r>
    </w:p>
    <w:p>
      <w:pPr>
        <w:spacing w:after="0" w:line="196" w:lineRule="exact"/>
        <w:rPr>
          <w:sz w:val="20"/>
          <w:szCs w:val="20"/>
          <w:color w:val="auto"/>
        </w:rPr>
      </w:pPr>
    </w:p>
    <w:p>
      <w:pPr>
        <w:ind w:left="120" w:right="20" w:firstLine="881"/>
        <w:spacing w:after="0" w:line="256" w:lineRule="auto"/>
        <w:rPr>
          <w:sz w:val="20"/>
          <w:szCs w:val="20"/>
          <w:color w:val="auto"/>
        </w:rPr>
      </w:pPr>
      <w:r>
        <w:rPr>
          <w:rFonts w:ascii="Times New Roman" w:cs="Times New Roman" w:eastAsia="Times New Roman" w:hAnsi="Times New Roman"/>
          <w:sz w:val="18"/>
          <w:szCs w:val="18"/>
          <w:color w:val="auto"/>
        </w:rPr>
        <w:t>Under the terms of the Eye and Derm Elanco Agreement, we grant to Elanco a worldwide, sublicensable, royalty-free, perpetual license to our patents related to lotilaner and the licensed products and to our know-how to research, develop, make and commercialize lotilaner and the licensed products for all applications in non-human animals, agricultural application, seed treatment applications and urban pest applications related to structural, turf, lawns and gardens. We also grant Elanco an exclusive royalty-free, perpetual license to any intellectual property we conceive from our use of lotilaner applications in non-human animals, agricultural applications, seed treatment applications and urban pest applications related to structural, turf, lawns and gardens.</w:t>
      </w:r>
    </w:p>
    <w:p>
      <w:pPr>
        <w:spacing w:after="0" w:line="187" w:lineRule="exact"/>
        <w:rPr>
          <w:sz w:val="20"/>
          <w:szCs w:val="20"/>
          <w:color w:val="auto"/>
        </w:rPr>
      </w:pPr>
    </w:p>
    <w:p>
      <w:pPr>
        <w:ind w:left="120" w:right="360" w:firstLine="881"/>
        <w:spacing w:after="0" w:line="282" w:lineRule="auto"/>
        <w:rPr>
          <w:sz w:val="20"/>
          <w:szCs w:val="20"/>
          <w:color w:val="auto"/>
        </w:rPr>
      </w:pPr>
      <w:r>
        <w:rPr>
          <w:rFonts w:ascii="Times New Roman" w:cs="Times New Roman" w:eastAsia="Times New Roman" w:hAnsi="Times New Roman"/>
          <w:sz w:val="18"/>
          <w:szCs w:val="18"/>
          <w:color w:val="auto"/>
        </w:rPr>
        <w:t>Elanco retains the sole responsibility to prosecute the patents they license to us and has the first right to enforce the licensed intellectual property against third parties in the licensed field of use but cannot settle or dispose of any such action without our written consent.</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All Human Uses Elanco Agreement</w:t>
      </w:r>
    </w:p>
    <w:p>
      <w:pPr>
        <w:spacing w:after="0" w:line="229" w:lineRule="exact"/>
        <w:rPr>
          <w:sz w:val="20"/>
          <w:szCs w:val="20"/>
          <w:color w:val="auto"/>
        </w:rPr>
      </w:pPr>
    </w:p>
    <w:p>
      <w:pPr>
        <w:ind w:left="120" w:right="120" w:firstLine="881"/>
        <w:spacing w:after="0" w:line="255" w:lineRule="auto"/>
        <w:rPr>
          <w:sz w:val="20"/>
          <w:szCs w:val="20"/>
          <w:color w:val="auto"/>
        </w:rPr>
      </w:pPr>
      <w:r>
        <w:rPr>
          <w:rFonts w:ascii="Times New Roman" w:cs="Times New Roman" w:eastAsia="Times New Roman" w:hAnsi="Times New Roman"/>
          <w:sz w:val="18"/>
          <w:szCs w:val="18"/>
          <w:color w:val="auto"/>
        </w:rPr>
        <w:t>In September 2020, we entered into the All Human Uses Elanco Agreement granting us an exclusive, worldwide, sublicensable license to certain intellectual property for the development, marketing, and commercialization of lotilaner for all applications in humans other than the treatment, palliation, prevention or cure of any eye or skin disease or condition. We are obligated to use commercially reasonable efforts to develop and commercialize products comprising lotilaner and must achieve certain developmental milestones within specified achievement deadlines. If we fail to meet these obligations, Elanco has the right to terminate the All Human Uses Elanco Agreement. We utilize the intellectual property licensed under the All Human Uses Elanco Agreement in our TP-05 product candidates. We are permitted to have certain third parties manufacture lotilaner for us and, upon Elanco consent, additional third parties.</w:t>
      </w:r>
    </w:p>
    <w:p>
      <w:pPr>
        <w:spacing w:after="0" w:line="189" w:lineRule="exact"/>
        <w:rPr>
          <w:sz w:val="20"/>
          <w:szCs w:val="20"/>
          <w:color w:val="auto"/>
        </w:rPr>
      </w:pPr>
    </w:p>
    <w:p>
      <w:pPr>
        <w:ind w:left="120" w:right="360" w:firstLine="881"/>
        <w:spacing w:after="0" w:line="282" w:lineRule="auto"/>
        <w:rPr>
          <w:sz w:val="20"/>
          <w:szCs w:val="20"/>
          <w:color w:val="auto"/>
        </w:rPr>
      </w:pPr>
      <w:r>
        <w:rPr>
          <w:rFonts w:ascii="Times New Roman" w:cs="Times New Roman" w:eastAsia="Times New Roman" w:hAnsi="Times New Roman"/>
          <w:sz w:val="18"/>
          <w:szCs w:val="18"/>
          <w:color w:val="auto"/>
        </w:rPr>
        <w:t>Pursuant to the terms of the All Human Uses Elanco Agreement, we issued 1,652,346 shares of our common stock to Elanco, which we recorded within “research and development” expense within our statements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-149-</w:t>
      </w:r>
    </w:p>
    <w:p>
      <w:pPr>
        <w:sectPr>
          <w:pgSz w:w="11900" w:h="16838" w:orient="portrait"/>
          <w:cols w:equalWidth="0" w:num="1">
            <w:col w:w="11120"/>
          </w:cols>
          <w:pgMar w:left="320" w:top="455" w:right="459" w:bottom="1440" w:gutter="0" w:footer="0" w:header="0"/>
        </w:sectPr>
      </w:pPr>
    </w:p>
    <w:bookmarkStart w:id="152" w:name="page153"/>
    <w:bookmarkEnd w:id="15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53" w:lineRule="auto"/>
        <w:rPr>
          <w:sz w:val="20"/>
          <w:szCs w:val="20"/>
          <w:color w:val="auto"/>
        </w:rPr>
      </w:pPr>
      <w:r>
        <w:rPr>
          <w:rFonts w:ascii="Times New Roman" w:cs="Times New Roman" w:eastAsia="Times New Roman" w:hAnsi="Times New Roman"/>
          <w:sz w:val="18"/>
          <w:szCs w:val="18"/>
          <w:color w:val="auto"/>
        </w:rPr>
        <w:t>of operations for the year ended December 31, 2020. In accordance with the terms of the All Human Uses Elanco Agreement, we are obligated to make further payments to Elanco upon our achievement of various clinical milestones up to an aggregate maximum of $4.5 million and various sales milestones up to an aggregate maximum of $77.0 million. We may owe further sales milestone payments to Elanco for sales in certain countries. If we receive payments from sublicensees, we are obligated to pay Elanco a variable percentage beginning in the low double-digits of such proceeds and decreasing after certain milestones are met, except for sublicense revenue generated after achieving regulatory approval for the use of lotilaner to applications in humans other than to treat or cure any eye or skin disease or condition. We owe Elanco tiered royalties during the royalty term in the mid-to-high single digits on our future net sales and those of our sublicensees. The royalty term for any licensed product in a given country commences on the date of first commercial sale of such licensed product and ends on the latest of (a) expiration of the last-to-expire of the licensed patents which has at least one valid claim, (b) the expiration of regulatory exclusivity, and (c) ten years after the first commercial sale of such licensed product in such country. The All Human Uses Elanco Agreement shall expire on a licensed product-by-licensed product and country-by-country basis upon the expiration of the applicable royalty term with respect to such licensed product in such country. The achievement deadlines for diligence milestones range between 24 months after contract execution to six years after contract execution.</w:t>
      </w:r>
    </w:p>
    <w:p>
      <w:pPr>
        <w:spacing w:after="0" w:line="190" w:lineRule="exact"/>
        <w:rPr>
          <w:sz w:val="20"/>
          <w:szCs w:val="20"/>
          <w:color w:val="auto"/>
        </w:rPr>
      </w:pPr>
    </w:p>
    <w:p>
      <w:pPr>
        <w:ind w:left="120" w:firstLine="881"/>
        <w:spacing w:after="0" w:line="269" w:lineRule="auto"/>
        <w:rPr>
          <w:sz w:val="20"/>
          <w:szCs w:val="20"/>
          <w:color w:val="auto"/>
        </w:rPr>
      </w:pPr>
      <w:r>
        <w:rPr>
          <w:rFonts w:ascii="Times New Roman" w:cs="Times New Roman" w:eastAsia="Times New Roman" w:hAnsi="Times New Roman"/>
          <w:sz w:val="17"/>
          <w:szCs w:val="17"/>
          <w:color w:val="auto"/>
        </w:rPr>
        <w:t>Either party may terminate the All Human Uses Elanco Agreement upon a material breach by the other party, solely in the country pertaining to such breach, that is not cured within 60 days after receiving written notice from the other party. If we fail to comply with our development obligations under the All Human Uses Elanco Agreement, and fail to remedy such failure or cure such breach within 60 days, Elanco will have the right to terminate the All Human Uses Elanco Agreement. If we fail to meet any diligence milestones by the achievement deadlines set forth in the All Human Uses Elanco Agreement for any reason other than those outside of our reasonable control, and such milestones remain unmet for 120 days after Elanco notifies us of the failure to meet such diligence milestone, Elanco may terminate the All Human Uses Elanco Agreement. If Elanco terminates the All Human Uses Elanco Agreement for our failure to achieve a development milestone by the specified achievement deadline, then we must grant Elanco a non-exclusive, sublicensable, royalty free license to our patents and know-how relating to lotilaner to develop, manufacture and commercialize lotilaner and any licensed products for all applications in humans other than the treatment, palliation, prevention or cure of any eye or skin disease or condition. Elanco may also terminate the All Human Uses Elanco Agreement if we, our affiliates or sublicensees initiate proceedings to oppose Elanco’s licensed patents and such proceeding is not withdrawn within 30 days of Elanco providing notice to us; provided that Elanco may not terminate the All Human Uses Elanco Agreement for a challenge by a sublicensee if we terminate the sublicense with such sublicensee within such 30 day period.</w:t>
      </w:r>
    </w:p>
    <w:p>
      <w:pPr>
        <w:spacing w:after="0" w:line="179" w:lineRule="exact"/>
        <w:rPr>
          <w:sz w:val="20"/>
          <w:szCs w:val="20"/>
          <w:color w:val="auto"/>
        </w:rPr>
      </w:pPr>
    </w:p>
    <w:p>
      <w:pPr>
        <w:ind w:left="120" w:right="400" w:firstLine="881"/>
        <w:spacing w:after="0" w:line="256" w:lineRule="auto"/>
        <w:rPr>
          <w:sz w:val="20"/>
          <w:szCs w:val="20"/>
          <w:color w:val="auto"/>
        </w:rPr>
      </w:pPr>
      <w:r>
        <w:rPr>
          <w:rFonts w:ascii="Times New Roman" w:cs="Times New Roman" w:eastAsia="Times New Roman" w:hAnsi="Times New Roman"/>
          <w:sz w:val="18"/>
          <w:szCs w:val="18"/>
          <w:color w:val="auto"/>
        </w:rPr>
        <w:t>Under the terms of the All Human Uses Elanco Agreement, we grant to Elanco a non-exclusive worldwide, sublicensable, royalty-free, perpetual license to our patents related to lotilaner and the licensed products and to our know-how to research, develop, make and commercialize lotilaner and the licensed products for all applications in non-human animals, agricultural applications, seed treatment applications and urban pest applications related to structural, turf, lawns and gardens. We also grant to Elanco an exclusive, royalty-free, perpetual license to any intellectual property we conceive from our use of lotilaner for all applications in non-human animals, agricultural applications, seed treatment applications and urban pest applications related to structural, turf, lawns and gardens.</w:t>
      </w:r>
    </w:p>
    <w:p>
      <w:pPr>
        <w:spacing w:after="0" w:line="187" w:lineRule="exact"/>
        <w:rPr>
          <w:sz w:val="20"/>
          <w:szCs w:val="20"/>
          <w:color w:val="auto"/>
        </w:rPr>
      </w:pPr>
    </w:p>
    <w:p>
      <w:pPr>
        <w:ind w:left="120" w:right="360" w:firstLine="881"/>
        <w:spacing w:after="0" w:line="282" w:lineRule="auto"/>
        <w:rPr>
          <w:sz w:val="20"/>
          <w:szCs w:val="20"/>
          <w:color w:val="auto"/>
        </w:rPr>
      </w:pPr>
      <w:r>
        <w:rPr>
          <w:rFonts w:ascii="Times New Roman" w:cs="Times New Roman" w:eastAsia="Times New Roman" w:hAnsi="Times New Roman"/>
          <w:sz w:val="18"/>
          <w:szCs w:val="18"/>
          <w:color w:val="auto"/>
        </w:rPr>
        <w:t>Elanco retains the sole responsibility to prosecute the patents they license to us and has the first right to enforce the licensed intellectual property against third parties in the licensed field of use but cannot settle or dispose of any such action without our written consent.</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229" w:lineRule="exact"/>
        <w:rPr>
          <w:sz w:val="20"/>
          <w:szCs w:val="20"/>
          <w:color w:val="auto"/>
        </w:rPr>
      </w:pPr>
    </w:p>
    <w:p>
      <w:pPr>
        <w:ind w:left="120" w:right="360" w:firstLine="881"/>
        <w:spacing w:after="0" w:line="282" w:lineRule="auto"/>
        <w:rPr>
          <w:sz w:val="20"/>
          <w:szCs w:val="20"/>
          <w:color w:val="auto"/>
        </w:rPr>
      </w:pPr>
      <w:r>
        <w:rPr>
          <w:rFonts w:ascii="Times New Roman" w:cs="Times New Roman" w:eastAsia="Times New Roman" w:hAnsi="Times New Roman"/>
          <w:sz w:val="18"/>
          <w:szCs w:val="18"/>
          <w:color w:val="auto"/>
        </w:rPr>
        <w:t>Government authorities in the United States at the federal, state and local level and in other countries extensively regulate, among other things, the research, development, testing, manufacture, quality control,</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-150-</w:t>
      </w:r>
    </w:p>
    <w:p>
      <w:pPr>
        <w:sectPr>
          <w:pgSz w:w="11900" w:h="16838" w:orient="portrait"/>
          <w:cols w:equalWidth="0" w:num="1">
            <w:col w:w="11120"/>
          </w:cols>
          <w:pgMar w:left="320" w:top="455" w:right="459" w:bottom="1440" w:gutter="0" w:footer="0" w:header="0"/>
        </w:sectPr>
      </w:pPr>
    </w:p>
    <w:bookmarkStart w:id="153" w:name="page154"/>
    <w:bookmarkEnd w:id="15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approval, labeling, packaging, storage, record-keeping, promotion, advertising, distribution, post-approval monitoring and reporting, marketing and export and import of drug products such as those we are developing. Generally, before a new drug can be marketed, considerable data demonstrating its quality, safety and efficacy must be obtained, organized into a format specific for each regulatory authority, submitted for review and approved by the regulatory authority. We will be required to navigate the various preclinical, clinical and commercial approval requirements of the governing regulatory agencies of the countries in which we wish to conduct studies or trials or seek approval of our product candidates. The processes for obtaining regulatory approvals in the United States and other countries, as appropriate, along with subsequent compliance with appropriate federal, state, local and foreign statutes and regulations, require the expenditure of substantial time and resources.</w:t>
      </w:r>
    </w:p>
    <w:p>
      <w:pPr>
        <w:spacing w:after="0" w:line="1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United States Drug Regulation</w:t>
      </w:r>
    </w:p>
    <w:p>
      <w:pPr>
        <w:spacing w:after="0" w:line="229" w:lineRule="exact"/>
        <w:rPr>
          <w:sz w:val="20"/>
          <w:szCs w:val="20"/>
          <w:color w:val="auto"/>
        </w:rPr>
      </w:pPr>
    </w:p>
    <w:p>
      <w:pPr>
        <w:ind w:left="120" w:firstLine="881"/>
        <w:spacing w:after="0" w:line="253" w:lineRule="auto"/>
        <w:rPr>
          <w:sz w:val="20"/>
          <w:szCs w:val="20"/>
          <w:color w:val="auto"/>
        </w:rPr>
      </w:pPr>
      <w:r>
        <w:rPr>
          <w:rFonts w:ascii="Times New Roman" w:cs="Times New Roman" w:eastAsia="Times New Roman" w:hAnsi="Times New Roman"/>
          <w:sz w:val="18"/>
          <w:szCs w:val="18"/>
          <w:color w:val="auto"/>
        </w:rPr>
        <w:t>In the United States, we are subject to extensive regulation by the FDA, which regulates drugs under the Federal Food, Drug, and Cosmetic Act, or the FDCA, and its implementing regulations. FDA approval is required before any new unapproved drug or dosage form, including a new use of a previously approved drug, can be marketed in the United States. Drugs also are subject to other federal, state and local statutes and regulations. The process of obtaining regulatory approvals and the subsequent compliance with appropriate federal, state, local and foreign statutes and regulations requires the expenditure of substantial time and financial resources. Failure to comply with the applicable U.S. or foreign requirements at any time during the product development process, approval process or post-marketing may subject an applicant to a variety of administrative or judicial sanctions, such as the FDA’ refusal to approve pending NDAs, withdrawal of an approval, imposition of a clinical hold, issuance of warning or untitled letters, product recalls, product seizures, total or partial suspension of production or distribution, injunctions, fines, refusals of government contracts, restitution, disgorgement or civil or criminal penalties. Any agency or judicial enforcement action could have a material adverse effect on our business, market acceptance of our products, and our reputation.</w:t>
      </w:r>
    </w:p>
    <w:p>
      <w:pPr>
        <w:spacing w:after="0" w:line="194" w:lineRule="exact"/>
        <w:rPr>
          <w:sz w:val="20"/>
          <w:szCs w:val="20"/>
          <w:color w:val="auto"/>
        </w:rPr>
      </w:pPr>
    </w:p>
    <w:p>
      <w:pPr>
        <w:ind w:left="120" w:right="160" w:firstLine="881"/>
        <w:spacing w:after="0" w:line="282" w:lineRule="auto"/>
        <w:rPr>
          <w:sz w:val="20"/>
          <w:szCs w:val="20"/>
          <w:color w:val="auto"/>
        </w:rPr>
      </w:pPr>
      <w:r>
        <w:rPr>
          <w:rFonts w:ascii="Times New Roman" w:cs="Times New Roman" w:eastAsia="Times New Roman" w:hAnsi="Times New Roman"/>
          <w:sz w:val="18"/>
          <w:szCs w:val="18"/>
          <w:color w:val="auto"/>
        </w:rPr>
        <w:t>Our product candidates are considered small molecule drugs and must be approved by the FDA through the NDA process before they may be legally marketed in the United States. The process generally involves the following:</w:t>
      </w:r>
    </w:p>
    <w:p>
      <w:pPr>
        <w:spacing w:after="0" w:line="189" w:lineRule="exact"/>
        <w:rPr>
          <w:sz w:val="20"/>
          <w:szCs w:val="20"/>
          <w:color w:val="auto"/>
        </w:rPr>
      </w:pPr>
    </w:p>
    <w:p>
      <w:pPr>
        <w:ind w:left="1420" w:right="80" w:hanging="319"/>
        <w:spacing w:after="0" w:line="282" w:lineRule="auto"/>
        <w:tabs>
          <w:tab w:leader="none" w:pos="142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completion of extensive preclinical studies in accordance with applicable regulations, including studies conducted in accordance with good laboratory practice, or GLP, requirements;</w:t>
      </w:r>
    </w:p>
    <w:p>
      <w:pPr>
        <w:spacing w:after="0" w:line="188" w:lineRule="exact"/>
        <w:rPr>
          <w:rFonts w:ascii="Times New Roman" w:cs="Times New Roman" w:eastAsia="Times New Roman" w:hAnsi="Times New Roman"/>
          <w:sz w:val="18"/>
          <w:szCs w:val="18"/>
          <w:color w:val="auto"/>
        </w:rPr>
      </w:pPr>
    </w:p>
    <w:p>
      <w:pPr>
        <w:ind w:left="1420" w:right="80" w:hanging="319"/>
        <w:spacing w:after="0" w:line="282" w:lineRule="auto"/>
        <w:tabs>
          <w:tab w:leader="none" w:pos="142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to the FDA of an IND, which must become effective before human clinical trials may begin in the United States and must be updated annually or when significant changes are made;</w:t>
      </w:r>
    </w:p>
    <w:p>
      <w:pPr>
        <w:spacing w:after="0" w:line="188"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by an independent IRB or independent ethics committee at each clinical trial site before each trial may be initiated;</w:t>
      </w:r>
    </w:p>
    <w:p>
      <w:pPr>
        <w:spacing w:after="0" w:line="252" w:lineRule="exact"/>
        <w:rPr>
          <w:rFonts w:ascii="Times New Roman" w:cs="Times New Roman" w:eastAsia="Times New Roman" w:hAnsi="Times New Roman"/>
          <w:sz w:val="18"/>
          <w:szCs w:val="18"/>
          <w:color w:val="auto"/>
        </w:rPr>
      </w:pPr>
    </w:p>
    <w:p>
      <w:pPr>
        <w:jc w:val="both"/>
        <w:ind w:left="1420" w:right="80" w:hanging="319"/>
        <w:spacing w:after="0" w:line="266" w:lineRule="auto"/>
        <w:tabs>
          <w:tab w:leader="none" w:pos="142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of adequate and well-controlled human clinical trials in accordance with applicable IND regulations, GCP, requirements and other clinical trial-related regulations to establish substantial evidence of the safety and efficacy of the investigational product for each proposed indication;</w:t>
      </w:r>
    </w:p>
    <w:p>
      <w:pPr>
        <w:spacing w:after="0" w:line="20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to the FDA of an NDA;</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determination by the FDA within 60 days of its receipt of an NDA to accept the submission for review;</w:t>
      </w:r>
    </w:p>
    <w:p>
      <w:pPr>
        <w:spacing w:after="0" w:line="252" w:lineRule="exact"/>
        <w:rPr>
          <w:rFonts w:ascii="Times New Roman" w:cs="Times New Roman" w:eastAsia="Times New Roman" w:hAnsi="Times New Roman"/>
          <w:sz w:val="18"/>
          <w:szCs w:val="18"/>
          <w:color w:val="auto"/>
        </w:rPr>
      </w:pPr>
    </w:p>
    <w:p>
      <w:pPr>
        <w:ind w:left="1420" w:right="100" w:hanging="319"/>
        <w:spacing w:after="0" w:line="282" w:lineRule="auto"/>
        <w:tabs>
          <w:tab w:leader="none" w:pos="142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an FDA pre-approval inspection of the manufacturing facility or facilities where the drug will be produced to assess compliance with cGMP requirements, and of selected clinical investigational sites to assess compliance with GCD;</w:t>
      </w:r>
    </w:p>
    <w:p>
      <w:pPr>
        <w:spacing w:after="0" w:line="94" w:lineRule="exact"/>
        <w:rPr>
          <w:rFonts w:ascii="Times New Roman" w:cs="Times New Roman" w:eastAsia="Times New Roman" w:hAnsi="Times New Roman"/>
          <w:sz w:val="18"/>
          <w:szCs w:val="18"/>
          <w:color w:val="auto"/>
        </w:rPr>
      </w:pPr>
    </w:p>
    <w:p>
      <w:pPr>
        <w:ind w:left="5480" w:hanging="96"/>
        <w:spacing w:after="0"/>
        <w:tabs>
          <w:tab w:leader="none" w:pos="5480" w:val="left"/>
        </w:tabs>
        <w:numPr>
          <w:ilvl w:val="1"/>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151 -</w:t>
      </w:r>
    </w:p>
    <w:p>
      <w:pPr>
        <w:sectPr>
          <w:pgSz w:w="11900" w:h="16838" w:orient="portrait"/>
          <w:cols w:equalWidth="0" w:num="1">
            <w:col w:w="11120"/>
          </w:cols>
          <w:pgMar w:left="320" w:top="455" w:right="459" w:bottom="1440" w:gutter="0" w:footer="0" w:header="0"/>
        </w:sectPr>
      </w:pPr>
    </w:p>
    <w:bookmarkStart w:id="154" w:name="page155"/>
    <w:bookmarkEnd w:id="15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420" w:hanging="319"/>
        <w:spacing w:after="0"/>
        <w:tabs>
          <w:tab w:leader="none" w:pos="142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FDA audit of the preclinical study and/or clinical trial sites that generated the data in support of the NDA filing;</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user fees for FDA review of the NDA;</w:t>
      </w:r>
    </w:p>
    <w:p>
      <w:pPr>
        <w:spacing w:after="0" w:line="252" w:lineRule="exact"/>
        <w:rPr>
          <w:rFonts w:ascii="Times New Roman" w:cs="Times New Roman" w:eastAsia="Times New Roman" w:hAnsi="Times New Roman"/>
          <w:sz w:val="18"/>
          <w:szCs w:val="18"/>
          <w:color w:val="auto"/>
        </w:rPr>
      </w:pPr>
    </w:p>
    <w:p>
      <w:pPr>
        <w:ind w:left="1420" w:hanging="319"/>
        <w:spacing w:after="0" w:line="282" w:lineRule="auto"/>
        <w:tabs>
          <w:tab w:leader="none" w:pos="142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review and approval of the NDA, including consideration of the views of any FDA advisory committee, prior to any commercial marketing or sale of the drug in the United States; and</w:t>
      </w:r>
    </w:p>
    <w:p>
      <w:pPr>
        <w:spacing w:after="0" w:line="188" w:lineRule="exact"/>
        <w:rPr>
          <w:rFonts w:ascii="Times New Roman" w:cs="Times New Roman" w:eastAsia="Times New Roman" w:hAnsi="Times New Roman"/>
          <w:sz w:val="18"/>
          <w:szCs w:val="18"/>
          <w:color w:val="auto"/>
        </w:rPr>
      </w:pPr>
    </w:p>
    <w:p>
      <w:pPr>
        <w:ind w:left="1420" w:right="640" w:hanging="319"/>
        <w:spacing w:after="0" w:line="282" w:lineRule="auto"/>
        <w:tabs>
          <w:tab w:leader="none" w:pos="142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any post-approval requirements, including the potential requirement to implement a REMS and the potential requirement to conduct post-approval studies.</w:t>
      </w:r>
    </w:p>
    <w:p>
      <w:pPr>
        <w:spacing w:after="0" w:line="162" w:lineRule="exact"/>
        <w:rPr>
          <w:sz w:val="20"/>
          <w:szCs w:val="20"/>
          <w:color w:val="auto"/>
        </w:rPr>
      </w:pPr>
    </w:p>
    <w:p>
      <w:pPr>
        <w:ind w:left="120" w:right="120" w:firstLine="881"/>
        <w:spacing w:after="0" w:line="266" w:lineRule="auto"/>
        <w:rPr>
          <w:sz w:val="20"/>
          <w:szCs w:val="20"/>
          <w:color w:val="auto"/>
        </w:rPr>
      </w:pPr>
      <w:r>
        <w:rPr>
          <w:rFonts w:ascii="Times New Roman" w:cs="Times New Roman" w:eastAsia="Times New Roman" w:hAnsi="Times New Roman"/>
          <w:sz w:val="18"/>
          <w:szCs w:val="18"/>
          <w:color w:val="auto"/>
        </w:rPr>
        <w:t>The data required to support an NDA are generated in two distinct developmental stages: preclinical and clinical. The preclinical and clinical testing and approval process can take many years and the actual time required to obtain approval, if any, may vary substantially based upon the type, complexity and novelty of the product or condition being treated.</w:t>
      </w:r>
    </w:p>
    <w:p>
      <w:pPr>
        <w:spacing w:after="0" w:line="1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Preclinical Studies and IND Submission</w:t>
      </w:r>
    </w:p>
    <w:p>
      <w:pPr>
        <w:spacing w:after="0" w:line="229" w:lineRule="exact"/>
        <w:rPr>
          <w:sz w:val="20"/>
          <w:szCs w:val="20"/>
          <w:color w:val="auto"/>
        </w:rPr>
      </w:pPr>
    </w:p>
    <w:p>
      <w:pPr>
        <w:ind w:left="120" w:right="280" w:firstLine="881"/>
        <w:spacing w:after="0" w:line="258" w:lineRule="auto"/>
        <w:rPr>
          <w:sz w:val="20"/>
          <w:szCs w:val="20"/>
          <w:color w:val="auto"/>
        </w:rPr>
      </w:pPr>
      <w:r>
        <w:rPr>
          <w:rFonts w:ascii="Times New Roman" w:cs="Times New Roman" w:eastAsia="Times New Roman" w:hAnsi="Times New Roman"/>
          <w:sz w:val="18"/>
          <w:szCs w:val="18"/>
          <w:color w:val="auto"/>
        </w:rPr>
        <w:t>Before testing any drug product candidate in humans, the product candidate must undergo rigorous preclinical testing. The preclinical developmental stage generally involves laboratory evaluations of drug chemistry, formulation and stability, as well as in vitro and animal studies to assess the potential for adverse events and in some cases to establish a rationale for therapeutic use. The conduct of preclinical studies is subject to federal regulations and requirements, including GLP regulations for certain safety/toxicology studies. An IND is a request for authorization from the FDA to administer an investigational product to humans, and must become effective before human clinical trials may begin in the United States.</w:t>
      </w:r>
    </w:p>
    <w:p>
      <w:pPr>
        <w:spacing w:after="0" w:line="183" w:lineRule="exact"/>
        <w:rPr>
          <w:sz w:val="20"/>
          <w:szCs w:val="20"/>
          <w:color w:val="auto"/>
        </w:rPr>
      </w:pPr>
    </w:p>
    <w:p>
      <w:pPr>
        <w:ind w:left="120" w:right="40" w:firstLine="881"/>
        <w:spacing w:after="0" w:line="254" w:lineRule="auto"/>
        <w:rPr>
          <w:sz w:val="20"/>
          <w:szCs w:val="20"/>
          <w:color w:val="auto"/>
        </w:rPr>
      </w:pPr>
      <w:r>
        <w:rPr>
          <w:rFonts w:ascii="Times New Roman" w:cs="Times New Roman" w:eastAsia="Times New Roman" w:hAnsi="Times New Roman"/>
          <w:sz w:val="18"/>
          <w:szCs w:val="18"/>
          <w:color w:val="auto"/>
        </w:rPr>
        <w:t>An IND sponsor must submit the results of the preclinical tests, together with manufacturing information, analytical data, any available clinical data or literature and plans for clinical studies, among other things, to the FDA as part of an IND. Some long-term preclinical testing, such as animal tests of reproductive adverse events and carcinogenicity, may continue after the IND is submitted. An IND automatically becomes effective 30 days after receipt by the FDA and clinical trials may proceed under such IND at such time, unless before that time the FDA raises concerns or questions related to one or more proposed clinical trials and places the trial on clinical hold. In such a case, the IND sponsor and the FDA must resolve any outstanding concerns before the clinical trial can begin. As a result, submission of an IND may not result in the FDA allowing clinical trials to commence. A separate submission to an existing IND must also be made for each successive clinical trial conducted during product development along with any subsequent changes to the investigational plan.</w:t>
      </w:r>
    </w:p>
    <w:p>
      <w:pPr>
        <w:spacing w:after="0" w:line="1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Clinical Trials</w:t>
      </w:r>
    </w:p>
    <w:p>
      <w:pPr>
        <w:spacing w:after="0" w:line="229" w:lineRule="exact"/>
        <w:rPr>
          <w:sz w:val="20"/>
          <w:szCs w:val="20"/>
          <w:color w:val="auto"/>
        </w:rPr>
      </w:pPr>
    </w:p>
    <w:p>
      <w:pPr>
        <w:ind w:left="120" w:right="80" w:firstLine="881"/>
        <w:spacing w:after="0" w:line="270" w:lineRule="auto"/>
        <w:rPr>
          <w:sz w:val="20"/>
          <w:szCs w:val="20"/>
          <w:color w:val="auto"/>
        </w:rPr>
      </w:pPr>
      <w:r>
        <w:rPr>
          <w:rFonts w:ascii="Times New Roman" w:cs="Times New Roman" w:eastAsia="Times New Roman" w:hAnsi="Times New Roman"/>
          <w:sz w:val="17"/>
          <w:szCs w:val="17"/>
          <w:color w:val="auto"/>
        </w:rPr>
        <w:t>The clinical stage of development involves the administration of the investigational product to healthy volunteers or patients under the supervision of qualified investigators, generally physicians not employed by or under the trial sponsor’s control, in accordance with GCP requirements, which include the requirement that all research subjects provide their informed consent for their participation in any clinical trial. Clinical trials are conducted under protocols detailing, among other things, the objectives of the clinical trial, dosing procedures, subject selection and exclusion criteria and the parameters to be used to monitor subject safety and assess efficacy. Each protocol, and any subsequent amendments to the protocol, must be submitted to the FDA as part of the IND. Furthermore, each clinical trial must be reviewed and approved by an IRB for each institution at which the clinical trial will be conducted to ensure that the risks to individuals participating in the clinical trials are minimized and are reasonable in relation to anticipated benefits. The IRB also approves the informed consent form that must be provided to each clinical trial subject or his or her legal representative, and must monitor the clinical trial until completed. There also are requirements governing the reporting of ongoing clinical trials and completed clinical trial results to public registries, including the website maintained by the U.S. National Institutes of Health, ClinicalTrials.gov.</w:t>
      </w:r>
    </w:p>
    <w:p>
      <w:pPr>
        <w:spacing w:after="0" w:line="10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-152-</w:t>
      </w:r>
    </w:p>
    <w:p>
      <w:pPr>
        <w:sectPr>
          <w:pgSz w:w="11900" w:h="16838" w:orient="portrait"/>
          <w:cols w:equalWidth="0" w:num="1">
            <w:col w:w="11100"/>
          </w:cols>
          <w:pgMar w:left="320" w:top="455" w:right="479" w:bottom="1440" w:gutter="0" w:footer="0" w:header="0"/>
        </w:sectPr>
      </w:pPr>
    </w:p>
    <w:bookmarkStart w:id="155" w:name="page156"/>
    <w:bookmarkEnd w:id="15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881"/>
        <w:spacing w:after="0" w:line="258" w:lineRule="auto"/>
        <w:rPr>
          <w:sz w:val="20"/>
          <w:szCs w:val="20"/>
          <w:color w:val="auto"/>
        </w:rPr>
      </w:pPr>
      <w:r>
        <w:rPr>
          <w:rFonts w:ascii="Times New Roman" w:cs="Times New Roman" w:eastAsia="Times New Roman" w:hAnsi="Times New Roman"/>
          <w:sz w:val="18"/>
          <w:szCs w:val="18"/>
          <w:color w:val="auto"/>
        </w:rPr>
        <w:t>A sponsor who wishes to conduct a clinical trial outside of the United States may, but need not, obtain FDA authorization to conduct the clinical trial under an IND. If a foreign clinical trial is not conducted under an IND, the sponsor may still submit data from the clinical trial to the FDA in support of an NDA. The FDA may agree to accept a well-designed and well-conducted foreign clinical trial not conducted under an IND if the trial was conducted in accordance with GCP requirements and the FDA is able to validate the data through an onsite inspection, if deemed necessary, and the practice of medicine in the foreign country is consistent with the United States.</w:t>
      </w:r>
    </w:p>
    <w:p>
      <w:pPr>
        <w:spacing w:after="0" w:line="183" w:lineRule="exact"/>
        <w:rPr>
          <w:sz w:val="20"/>
          <w:szCs w:val="20"/>
          <w:color w:val="auto"/>
        </w:rPr>
      </w:pPr>
    </w:p>
    <w:p>
      <w:pPr>
        <w:ind w:left="120" w:right="60" w:firstLine="881"/>
        <w:spacing w:after="0" w:line="282" w:lineRule="auto"/>
        <w:rPr>
          <w:sz w:val="20"/>
          <w:szCs w:val="20"/>
          <w:color w:val="auto"/>
        </w:rPr>
      </w:pPr>
      <w:r>
        <w:rPr>
          <w:rFonts w:ascii="Times New Roman" w:cs="Times New Roman" w:eastAsia="Times New Roman" w:hAnsi="Times New Roman"/>
          <w:sz w:val="18"/>
          <w:szCs w:val="18"/>
          <w:color w:val="auto"/>
        </w:rPr>
        <w:t>Clinical trials in the United States generally are conducted in three sequential phases, known as Phase 1, Phase 2 and Phase 3. Although the phases are usually conducted sequentially, they may overlap or be combined.</w:t>
      </w:r>
    </w:p>
    <w:p>
      <w:pPr>
        <w:spacing w:after="0" w:line="189" w:lineRule="exact"/>
        <w:rPr>
          <w:sz w:val="20"/>
          <w:szCs w:val="20"/>
          <w:color w:val="auto"/>
        </w:rPr>
      </w:pPr>
    </w:p>
    <w:p>
      <w:pPr>
        <w:ind w:left="1420" w:hanging="319"/>
        <w:spacing w:after="0" w:line="261" w:lineRule="auto"/>
        <w:tabs>
          <w:tab w:leader="none" w:pos="142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1 clinical trials generally involve a small number of healthy volunteers or disease-affected patients who are initially exposed to a single dose and then multiple doses of the product candidate. The primary purpose of these clinical trials is to assess the metabolism, pharmacologic action, tolerability and safety of the drug in humans, the side effects associated with increasing doses, and if possible, to gain early evidence on effectiveness.</w:t>
      </w:r>
    </w:p>
    <w:p>
      <w:pPr>
        <w:spacing w:after="0" w:line="206" w:lineRule="exact"/>
        <w:rPr>
          <w:rFonts w:ascii="Times New Roman" w:cs="Times New Roman" w:eastAsia="Times New Roman" w:hAnsi="Times New Roman"/>
          <w:sz w:val="18"/>
          <w:szCs w:val="18"/>
          <w:color w:val="auto"/>
        </w:rPr>
      </w:pPr>
    </w:p>
    <w:p>
      <w:pPr>
        <w:ind w:left="1420" w:right="260" w:hanging="319"/>
        <w:spacing w:after="0" w:line="266" w:lineRule="auto"/>
        <w:tabs>
          <w:tab w:leader="none" w:pos="142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2 clinical trials generally involve studies in disease-affected patients to determine the dose and dosing schedule required to produce the desired benefits. At the same time, safety and further pharmacokinetic and pharmacodynamic information is collected, possible adverse effects and safety risks are identified and a preliminary evaluation of efficacy is conducted.</w:t>
      </w:r>
    </w:p>
    <w:p>
      <w:pPr>
        <w:spacing w:after="0" w:line="202" w:lineRule="exact"/>
        <w:rPr>
          <w:rFonts w:ascii="Times New Roman" w:cs="Times New Roman" w:eastAsia="Times New Roman" w:hAnsi="Times New Roman"/>
          <w:sz w:val="18"/>
          <w:szCs w:val="18"/>
          <w:color w:val="auto"/>
        </w:rPr>
      </w:pPr>
    </w:p>
    <w:p>
      <w:pPr>
        <w:ind w:left="1420" w:right="100" w:hanging="319"/>
        <w:spacing w:after="0" w:line="261" w:lineRule="auto"/>
        <w:tabs>
          <w:tab w:leader="none" w:pos="142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3 clinical trials generally involve a large number of patients at multiple sites and are designed to provide the data necessary to demonstrate the safety and effectiveness of the product for its intended use and to establish the overall benefit/risk relationship of the product to provide an adequate basis for product approval. These trials may include comparisons with placebo and/or other comparator treatments. The duration of treatment is often extended to mimic the actual use of a product during marketing.</w:t>
      </w:r>
    </w:p>
    <w:p>
      <w:pPr>
        <w:spacing w:after="0" w:line="206" w:lineRule="exact"/>
        <w:rPr>
          <w:rFonts w:ascii="Times New Roman" w:cs="Times New Roman" w:eastAsia="Times New Roman" w:hAnsi="Times New Roman"/>
          <w:sz w:val="18"/>
          <w:szCs w:val="18"/>
          <w:color w:val="auto"/>
        </w:rPr>
      </w:pPr>
    </w:p>
    <w:p>
      <w:pPr>
        <w:jc w:val="both"/>
        <w:ind w:left="1420" w:right="120" w:hanging="319"/>
        <w:spacing w:after="0" w:line="266" w:lineRule="auto"/>
        <w:tabs>
          <w:tab w:leader="none" w:pos="142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Phase 1/2 clinical trial has elements of a Phase 1 trial and a Phase 2 trial. We have designated our TP-04 and TP-05 trials as Phase 1/2 trials since we intend to go beyond the typical safety and tolerability assessments of a Phase 1 trial and intend to have these trials include additional efficacy assessments as well.</w:t>
      </w:r>
    </w:p>
    <w:p>
      <w:pPr>
        <w:spacing w:after="0" w:line="202" w:lineRule="exact"/>
        <w:rPr>
          <w:rFonts w:ascii="Times New Roman" w:cs="Times New Roman" w:eastAsia="Times New Roman" w:hAnsi="Times New Roman"/>
          <w:sz w:val="18"/>
          <w:szCs w:val="18"/>
          <w:color w:val="auto"/>
        </w:rPr>
      </w:pPr>
    </w:p>
    <w:p>
      <w:pPr>
        <w:ind w:left="1420" w:right="40" w:hanging="319"/>
        <w:spacing w:after="0" w:line="282" w:lineRule="auto"/>
        <w:tabs>
          <w:tab w:leader="none" w:pos="142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Phase 2b/3 clinical trial has elements of a late Phase 2 trial and a Phase 3 trial. We have designated Saturn-1 as a Phase 2b/3 trial as it is both our first multi-center trial based in the United States, and also a pivotal trial for the United States.</w:t>
      </w:r>
    </w:p>
    <w:p>
      <w:pPr>
        <w:spacing w:after="0" w:line="162" w:lineRule="exact"/>
        <w:rPr>
          <w:sz w:val="20"/>
          <w:szCs w:val="20"/>
          <w:color w:val="auto"/>
        </w:rPr>
      </w:pPr>
    </w:p>
    <w:p>
      <w:pPr>
        <w:ind w:left="120" w:right="20" w:firstLine="881"/>
        <w:spacing w:after="0" w:line="266" w:lineRule="auto"/>
        <w:rPr>
          <w:sz w:val="20"/>
          <w:szCs w:val="20"/>
          <w:color w:val="auto"/>
        </w:rPr>
      </w:pPr>
      <w:r>
        <w:rPr>
          <w:rFonts w:ascii="Times New Roman" w:cs="Times New Roman" w:eastAsia="Times New Roman" w:hAnsi="Times New Roman"/>
          <w:sz w:val="18"/>
          <w:szCs w:val="18"/>
          <w:color w:val="auto"/>
        </w:rPr>
        <w:t>Post-approval trials, sometimes referred to as Phase 4 clinical trials, may be conducted after initial marketing approval. These trials are used to gain additional experience from the treatment of patients in the intended therapeutic indication. In certain instances, the FDA may mandate the performance of Phase 4 clinical trials as a condition of approval of an NDA.</w:t>
      </w:r>
    </w:p>
    <w:p>
      <w:pPr>
        <w:spacing w:after="0" w:line="176" w:lineRule="exact"/>
        <w:rPr>
          <w:sz w:val="20"/>
          <w:szCs w:val="20"/>
          <w:color w:val="auto"/>
        </w:rPr>
      </w:pPr>
    </w:p>
    <w:p>
      <w:pPr>
        <w:ind w:left="120" w:right="20" w:firstLine="881"/>
        <w:spacing w:after="0" w:line="261" w:lineRule="auto"/>
        <w:rPr>
          <w:sz w:val="20"/>
          <w:szCs w:val="20"/>
          <w:color w:val="auto"/>
        </w:rPr>
      </w:pPr>
      <w:r>
        <w:rPr>
          <w:rFonts w:ascii="Times New Roman" w:cs="Times New Roman" w:eastAsia="Times New Roman" w:hAnsi="Times New Roman"/>
          <w:sz w:val="18"/>
          <w:szCs w:val="18"/>
          <w:color w:val="auto"/>
        </w:rPr>
        <w:t>Progress reports detailing the results of the clinical trials, among other information, must be submitted at least annually to the FDA and written IND safety reports must be submitted to the FDA and the investigators for serious and unexpected suspected adverse events, findings from other studies suggesting a significant risk to humans exposed to the drug, findings from animal or in vitro testing that suggest a significant risk for human subjects and any clinically important increase in the rate of a serious suspected adverse reaction over that listed in the protocol.</w:t>
      </w:r>
    </w:p>
    <w:p>
      <w:pPr>
        <w:spacing w:after="0" w:line="180" w:lineRule="exact"/>
        <w:rPr>
          <w:sz w:val="20"/>
          <w:szCs w:val="20"/>
          <w:color w:val="auto"/>
        </w:rPr>
      </w:pPr>
    </w:p>
    <w:p>
      <w:pPr>
        <w:ind w:left="120" w:firstLine="881"/>
        <w:spacing w:after="0" w:line="282" w:lineRule="auto"/>
        <w:rPr>
          <w:sz w:val="20"/>
          <w:szCs w:val="20"/>
          <w:color w:val="auto"/>
        </w:rPr>
      </w:pPr>
      <w:r>
        <w:rPr>
          <w:rFonts w:ascii="Times New Roman" w:cs="Times New Roman" w:eastAsia="Times New Roman" w:hAnsi="Times New Roman"/>
          <w:sz w:val="18"/>
          <w:szCs w:val="18"/>
          <w:color w:val="auto"/>
        </w:rPr>
        <w:t>Phase 1, Phase 2 and Phase 3 clinical trials may not be completed successfully within any specified period, if at all. The FDA or the sponsor may suspend or terminate a clinical trial at any time on various grounds,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-153-</w:t>
      </w:r>
    </w:p>
    <w:p>
      <w:pPr>
        <w:sectPr>
          <w:pgSz w:w="11900" w:h="16838" w:orient="portrait"/>
          <w:cols w:equalWidth="0" w:num="1">
            <w:col w:w="11100"/>
          </w:cols>
          <w:pgMar w:left="320" w:top="455" w:right="479" w:bottom="1440" w:gutter="0" w:footer="0" w:header="0"/>
        </w:sectPr>
      </w:pPr>
    </w:p>
    <w:bookmarkStart w:id="156" w:name="page157"/>
    <w:bookmarkEnd w:id="15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0"/>
        <w:spacing w:after="0" w:line="266" w:lineRule="auto"/>
        <w:rPr>
          <w:sz w:val="20"/>
          <w:szCs w:val="20"/>
          <w:color w:val="auto"/>
        </w:rPr>
      </w:pPr>
      <w:r>
        <w:rPr>
          <w:rFonts w:ascii="Times New Roman" w:cs="Times New Roman" w:eastAsia="Times New Roman" w:hAnsi="Times New Roman"/>
          <w:sz w:val="18"/>
          <w:szCs w:val="18"/>
          <w:color w:val="auto"/>
        </w:rPr>
        <w:t>including a finding that the research subjects or patients are being exposed to an unacceptable health risk. Similarly, an IRB can suspend or terminate approval of a clinical trial at its institution if the clinical trial is not being conducted in accordance with the IRB’s requirements or if the drug has been associated with unexpected serious harm to patients.</w:t>
      </w:r>
    </w:p>
    <w:p>
      <w:pPr>
        <w:spacing w:after="0" w:line="1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NDA Review and Marketing Approval</w:t>
      </w:r>
    </w:p>
    <w:p>
      <w:pPr>
        <w:spacing w:after="0" w:line="229" w:lineRule="exact"/>
        <w:rPr>
          <w:sz w:val="20"/>
          <w:szCs w:val="20"/>
          <w:color w:val="auto"/>
        </w:rPr>
      </w:pPr>
    </w:p>
    <w:p>
      <w:pPr>
        <w:ind w:left="120" w:right="40" w:firstLine="881"/>
        <w:spacing w:after="0" w:line="254" w:lineRule="auto"/>
        <w:rPr>
          <w:sz w:val="20"/>
          <w:szCs w:val="20"/>
          <w:color w:val="auto"/>
        </w:rPr>
      </w:pPr>
      <w:r>
        <w:rPr>
          <w:rFonts w:ascii="Times New Roman" w:cs="Times New Roman" w:eastAsia="Times New Roman" w:hAnsi="Times New Roman"/>
          <w:sz w:val="18"/>
          <w:szCs w:val="18"/>
          <w:color w:val="auto"/>
        </w:rPr>
        <w:t>Following completion of clinical trials, data are analyzed to assess whether the investigational product is safe and effective for the proposed indicated use or uses. The results of preclinical studies and clinical trials are then submitted to the FDA as part of an NDA, along with proposed labeling, chemistry and manufacturing information, and other information in a request for approval to market the drug for one or more specified indications. The application must include both negative and ambiguous results of preclinical studies and clinical trials, as well as positive findings. Data may come from company-sponsored clinical trials intended to test the safety and efficacy of a product’s use or from a number of alternative sources, including studies initiated by investigators. To support marketing approval, the data submitted must be sufficient in quality and quantity to establish the safety and efficacy of the investigational product to the satisfaction of FDA. FDA approval of an NDA must be obtained before a drug may be marketed in the United States.</w:t>
      </w:r>
    </w:p>
    <w:p>
      <w:pPr>
        <w:spacing w:after="0" w:line="192" w:lineRule="exact"/>
        <w:rPr>
          <w:sz w:val="20"/>
          <w:szCs w:val="20"/>
          <w:color w:val="auto"/>
        </w:rPr>
      </w:pPr>
    </w:p>
    <w:p>
      <w:pPr>
        <w:ind w:left="120" w:right="80" w:firstLine="881"/>
        <w:spacing w:after="0" w:line="258" w:lineRule="auto"/>
        <w:rPr>
          <w:sz w:val="20"/>
          <w:szCs w:val="20"/>
          <w:color w:val="auto"/>
        </w:rPr>
      </w:pPr>
      <w:r>
        <w:rPr>
          <w:rFonts w:ascii="Times New Roman" w:cs="Times New Roman" w:eastAsia="Times New Roman" w:hAnsi="Times New Roman"/>
          <w:sz w:val="18"/>
          <w:szCs w:val="18"/>
          <w:color w:val="auto"/>
        </w:rPr>
        <w:t>Under the Prescription Drug User Fee Act, or PDUFA, as amended, each NDA must be accompanied by an application user fee. FDA adjusts the PDUFA user fees on an annual basis. PDUFA also imposes an annual program fee for each marketed human drug. Fee waivers or reductions are available in certain circumstances, including a waiver of the application fee for the first application filed by a qualifying small business. Additionally, no user fees are assessed on NDAs for products designated as orphan drugs, unless the product NDA also includes a non-orphan indication.</w:t>
      </w:r>
    </w:p>
    <w:p>
      <w:pPr>
        <w:spacing w:after="0" w:line="183" w:lineRule="exact"/>
        <w:rPr>
          <w:sz w:val="20"/>
          <w:szCs w:val="20"/>
          <w:color w:val="auto"/>
        </w:rPr>
      </w:pPr>
    </w:p>
    <w:p>
      <w:pPr>
        <w:jc w:val="both"/>
        <w:ind w:left="120" w:firstLine="881"/>
        <w:spacing w:after="0" w:line="255" w:lineRule="auto"/>
        <w:rPr>
          <w:sz w:val="20"/>
          <w:szCs w:val="20"/>
          <w:color w:val="auto"/>
        </w:rPr>
      </w:pPr>
      <w:r>
        <w:rPr>
          <w:rFonts w:ascii="Times New Roman" w:cs="Times New Roman" w:eastAsia="Times New Roman" w:hAnsi="Times New Roman"/>
          <w:sz w:val="18"/>
          <w:szCs w:val="18"/>
          <w:color w:val="auto"/>
        </w:rPr>
        <w:t>The FDA reviews all submitted NDAs before it accepts them for filing to determine if they are sufficiently complete to permit a substantive review, and the FDA may request additional information rather than accepting the NDA for filing. The FDA must make a decision on accepting an NDA for filing within 60 days of receipt. Once the submission is accepted for filing, the FDA begins an in-depth review of the NDA. Under PDUFA, the FDA has agreed to certain performance goals in the review of NDAs through a two-tiered classification system, standard review and priority review.</w:t>
      </w:r>
    </w:p>
    <w:p>
      <w:pPr>
        <w:spacing w:after="0" w:line="3" w:lineRule="exact"/>
        <w:rPr>
          <w:sz w:val="20"/>
          <w:szCs w:val="20"/>
          <w:color w:val="auto"/>
        </w:rPr>
      </w:pPr>
    </w:p>
    <w:p>
      <w:pPr>
        <w:ind w:left="120" w:right="220"/>
        <w:spacing w:after="0" w:line="253" w:lineRule="auto"/>
        <w:rPr>
          <w:sz w:val="20"/>
          <w:szCs w:val="20"/>
          <w:color w:val="auto"/>
        </w:rPr>
      </w:pPr>
      <w:r>
        <w:rPr>
          <w:rFonts w:ascii="Times New Roman" w:cs="Times New Roman" w:eastAsia="Times New Roman" w:hAnsi="Times New Roman"/>
          <w:sz w:val="18"/>
          <w:szCs w:val="18"/>
          <w:color w:val="auto"/>
        </w:rPr>
        <w:t>According to PDUFA performance goals, the FDA endeavors to review applications subject to standard review within ten months, whereas the FDA’s goal is to review priority review applications within six months, depending on whether the drug is a new molecular entity. The FDA does not always meet its PDUFA goal dates for standard and priority NDAs, and the review process is often extended by FDA requests for additional information or clarification.</w:t>
      </w:r>
    </w:p>
    <w:p>
      <w:pPr>
        <w:spacing w:after="0" w:line="189" w:lineRule="exact"/>
        <w:rPr>
          <w:sz w:val="20"/>
          <w:szCs w:val="20"/>
          <w:color w:val="auto"/>
        </w:rPr>
      </w:pPr>
    </w:p>
    <w:p>
      <w:pPr>
        <w:ind w:left="120" w:right="40" w:firstLine="881"/>
        <w:spacing w:after="0" w:line="256" w:lineRule="auto"/>
        <w:rPr>
          <w:sz w:val="20"/>
          <w:szCs w:val="20"/>
          <w:color w:val="auto"/>
        </w:rPr>
      </w:pPr>
      <w:r>
        <w:rPr>
          <w:rFonts w:ascii="Times New Roman" w:cs="Times New Roman" w:eastAsia="Times New Roman" w:hAnsi="Times New Roman"/>
          <w:sz w:val="18"/>
          <w:szCs w:val="18"/>
          <w:color w:val="auto"/>
        </w:rPr>
        <w:t>The FDA conducts a preliminary review of all NDAs within the first 60 days after submission, before accepting them for filing, to determine whether they are sufficiently complete to permit substantive review. The FDA may request additional information rather than accept an NDA for filing. In this event, the application must be resubmitted with the additional information. The resubmitted application is also subject to review before the FDA accepts it for filing. Once the submission is accepted for filing, the FDA begins an in-depth substantive review. The FDA reviews an NDA to determine, among other things, whether the drug is safe and effective and whether the facility in which it is manufactured, processed, packaged or held meets standards designed to assure the product’s continued safety, quality and purity.</w:t>
      </w:r>
    </w:p>
    <w:p>
      <w:pPr>
        <w:spacing w:after="0" w:line="187" w:lineRule="exact"/>
        <w:rPr>
          <w:sz w:val="20"/>
          <w:szCs w:val="20"/>
          <w:color w:val="auto"/>
        </w:rPr>
      </w:pPr>
    </w:p>
    <w:p>
      <w:pPr>
        <w:ind w:left="120" w:firstLine="881"/>
        <w:spacing w:after="0" w:line="258" w:lineRule="auto"/>
        <w:rPr>
          <w:sz w:val="20"/>
          <w:szCs w:val="20"/>
          <w:color w:val="auto"/>
        </w:rPr>
      </w:pPr>
      <w:r>
        <w:rPr>
          <w:rFonts w:ascii="Times New Roman" w:cs="Times New Roman" w:eastAsia="Times New Roman" w:hAnsi="Times New Roman"/>
          <w:sz w:val="18"/>
          <w:szCs w:val="18"/>
          <w:color w:val="auto"/>
        </w:rPr>
        <w:t>In addition, under the Pediatric Research Equity Act of 2003 as amended and reauthorized, certain NDAs or supplements to an NDA must contain data that are adequate to assess the safety and effectiveness of the drug for the claimed indications in all relevant pediatric subpopulations, and to support dosing and administration for each pediatric subpopulation for which the product is safe and effective. The FDA may, on its own initiative or at the request of the applicant, grant deferrals for submission of some or all pediatric data until after approval of the product for use in adults, or full or partial waivers from the pediatric data requirements.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-154-</w:t>
      </w:r>
    </w:p>
    <w:p>
      <w:pPr>
        <w:sectPr>
          <w:pgSz w:w="11900" w:h="16838" w:orient="portrait"/>
          <w:cols w:equalWidth="0" w:num="1">
            <w:col w:w="11120"/>
          </w:cols>
          <w:pgMar w:left="320" w:top="455" w:right="459" w:bottom="1440" w:gutter="0" w:footer="0" w:header="0"/>
        </w:sectPr>
      </w:pPr>
    </w:p>
    <w:bookmarkStart w:id="157" w:name="page158"/>
    <w:bookmarkEnd w:id="15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60" w:firstLine="881"/>
        <w:spacing w:after="0" w:line="261" w:lineRule="auto"/>
        <w:rPr>
          <w:sz w:val="20"/>
          <w:szCs w:val="20"/>
          <w:color w:val="auto"/>
        </w:rPr>
      </w:pPr>
      <w:r>
        <w:rPr>
          <w:rFonts w:ascii="Times New Roman" w:cs="Times New Roman" w:eastAsia="Times New Roman" w:hAnsi="Times New Roman"/>
          <w:sz w:val="18"/>
          <w:szCs w:val="18"/>
          <w:color w:val="auto"/>
        </w:rPr>
        <w:t>Before approving an NDA, the FDA will conduct a pre-approval inspection of the manufacturing facilities for the new product to determine whether they comply with cGMP requirements. The FDA will not approve the product unless it determines that the manufacturing processes and facilities are in compliance with cGMP requirements and adequate to assure consistent production of the product within required specifications. The FDA also may audit data from clinical trials to ensure compliance with GCP requirements.</w:t>
      </w:r>
    </w:p>
    <w:p>
      <w:pPr>
        <w:spacing w:after="0" w:line="180" w:lineRule="exact"/>
        <w:rPr>
          <w:sz w:val="20"/>
          <w:szCs w:val="20"/>
          <w:color w:val="auto"/>
        </w:rPr>
      </w:pPr>
    </w:p>
    <w:p>
      <w:pPr>
        <w:ind w:left="120" w:right="140" w:firstLine="881"/>
        <w:spacing w:after="0" w:line="255" w:lineRule="auto"/>
        <w:rPr>
          <w:sz w:val="20"/>
          <w:szCs w:val="20"/>
          <w:color w:val="auto"/>
        </w:rPr>
      </w:pPr>
      <w:r>
        <w:rPr>
          <w:rFonts w:ascii="Times New Roman" w:cs="Times New Roman" w:eastAsia="Times New Roman" w:hAnsi="Times New Roman"/>
          <w:sz w:val="18"/>
          <w:szCs w:val="18"/>
          <w:color w:val="auto"/>
        </w:rPr>
        <w:t>The FDA generally accepts data from foreign clinical trials in support of an NDA if the trials were conducted under an IND. If a foreign clinical trial is not conducted under an IND, the FDA nevertheless may accept the data in support of an NDA if the study was conducted in accordance with GCP requirements and the FDA is able to validate the data through an on-site inspection, if deemed necessary. Although the FDA generally requests that marketing applications be supported by some data from domestic clinical studies, the FDA may accept foreign data as the sole basis for marketing approval if (1) the foreign data are applicable to the U.S. population and U.S. medical practice, (2) the studies were performed by clinical investigators with recognized competence, and (3) the data may be considered valid without the need for an on-site inspection or, if the FDA considers the inspection to be necessary, the FDA is able to validate the data through an on-site inspection or other appropriate means.</w:t>
      </w:r>
    </w:p>
    <w:p>
      <w:pPr>
        <w:spacing w:after="0" w:line="189" w:lineRule="exact"/>
        <w:rPr>
          <w:sz w:val="20"/>
          <w:szCs w:val="20"/>
          <w:color w:val="auto"/>
        </w:rPr>
      </w:pPr>
    </w:p>
    <w:p>
      <w:pPr>
        <w:ind w:left="120" w:firstLine="881"/>
        <w:spacing w:after="0" w:line="258" w:lineRule="auto"/>
        <w:rPr>
          <w:sz w:val="20"/>
          <w:szCs w:val="20"/>
          <w:color w:val="auto"/>
        </w:rPr>
      </w:pPr>
      <w:r>
        <w:rPr>
          <w:rFonts w:ascii="Times New Roman" w:cs="Times New Roman" w:eastAsia="Times New Roman" w:hAnsi="Times New Roman"/>
          <w:sz w:val="18"/>
          <w:szCs w:val="18"/>
          <w:color w:val="auto"/>
        </w:rPr>
        <w:t>Additionally, the FDA may refer applications for novel drug products or drug products which present difficult questions of safety or efficacy to an advisory committee, typically a panel that includes clinicians and other experts, for review, evaluation and a recommendation as to whether the application should be approved and under what conditions, if any. The FDA is not bound by recommendations of an advisory committee, but it considers such recommendations when making decisions on approval. The FDA also closely analyzes the clinical trial data, which could result in extensive discussions between the FDA and the applicant during the review process.</w:t>
      </w:r>
    </w:p>
    <w:p>
      <w:pPr>
        <w:spacing w:after="0" w:line="183" w:lineRule="exact"/>
        <w:rPr>
          <w:sz w:val="20"/>
          <w:szCs w:val="20"/>
          <w:color w:val="auto"/>
        </w:rPr>
      </w:pPr>
    </w:p>
    <w:p>
      <w:pPr>
        <w:ind w:left="120" w:right="20" w:firstLine="881"/>
        <w:spacing w:after="0" w:line="254" w:lineRule="auto"/>
        <w:rPr>
          <w:sz w:val="20"/>
          <w:szCs w:val="20"/>
          <w:color w:val="auto"/>
        </w:rPr>
      </w:pPr>
      <w:r>
        <w:rPr>
          <w:rFonts w:ascii="Times New Roman" w:cs="Times New Roman" w:eastAsia="Times New Roman" w:hAnsi="Times New Roman"/>
          <w:sz w:val="18"/>
          <w:szCs w:val="18"/>
          <w:color w:val="auto"/>
        </w:rPr>
        <w:t>After the FDA evaluates an NDA, it will issue an approval letter or a Complete Response Letter. An approval letter authorizes commercial marketing of the drug with specific prescribing information for specific indications and potentially subject to other requirements. A Complete Response Letter indicates that the review cycle of the application is complete and the application will not be approved in its present form. A Complete Response Letter usually describes all of the specific deficiencies in the NDA identified by the FDA. The Complete Response Letter may require additional clinical data, including the potential requirement to conduct additional pivotal Phase 3 clinical trial(s) and/or other significant and time-consuming requirements related to clinical trials, or to conduct additional preclinical studies or manufacturing changes. If a Complete Response Letter is issued, the applicant may either resubmit the NDA, addressing all of the deficiencies identified in the letter, or withdraw the application. Even if such data and information are submitted, the FDA may decide that the NDA does not satisfy the criteria for approval. Data obtained from clinical trials are not always conclusive and the FDA may interpret data differently than we interpret the same data.</w:t>
      </w:r>
    </w:p>
    <w:p>
      <w:pPr>
        <w:spacing w:after="0" w:line="1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Post-Approval Requirements</w:t>
      </w:r>
    </w:p>
    <w:p>
      <w:pPr>
        <w:spacing w:after="0" w:line="229" w:lineRule="exact"/>
        <w:rPr>
          <w:sz w:val="20"/>
          <w:szCs w:val="20"/>
          <w:color w:val="auto"/>
        </w:rPr>
      </w:pPr>
    </w:p>
    <w:p>
      <w:pPr>
        <w:ind w:left="120" w:right="20" w:firstLine="881"/>
        <w:spacing w:after="0" w:line="255" w:lineRule="auto"/>
        <w:rPr>
          <w:sz w:val="20"/>
          <w:szCs w:val="20"/>
          <w:color w:val="auto"/>
        </w:rPr>
      </w:pPr>
      <w:r>
        <w:rPr>
          <w:rFonts w:ascii="Times New Roman" w:cs="Times New Roman" w:eastAsia="Times New Roman" w:hAnsi="Times New Roman"/>
          <w:sz w:val="18"/>
          <w:szCs w:val="18"/>
          <w:color w:val="auto"/>
        </w:rPr>
        <w:t>Following approval of a new product, the product is subject to continuing regulation by the FDA, including, among other things, requirements relating to facility registration and drug listing monitoring and record keeping, periodic reporting, product sampling and distribution, advertising and promotion, and reporting of adverse experiences with the product. After approval, most changes to the approved product, such as adding new indications or other labeling claims, are subject to prior FDA review and approval. There also are continuing, annual user fee requirements for any marketed products and the establishments at which such products are manufactured, as well as new application fees for supplemental applications with clinical data. The FDA strictly regulates marketing, labeling, advertising and promotion of drugs, including after they are placed on the market. Drugs may be promoted only for the approved indications and in accordance with the provisions of the approved label.</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-155-</w:t>
      </w:r>
    </w:p>
    <w:p>
      <w:pPr>
        <w:sectPr>
          <w:pgSz w:w="11900" w:h="16838" w:orient="portrait"/>
          <w:cols w:equalWidth="0" w:num="1">
            <w:col w:w="11120"/>
          </w:cols>
          <w:pgMar w:left="320" w:top="455" w:right="459" w:bottom="1440" w:gutter="0" w:footer="0" w:header="0"/>
        </w:sectPr>
      </w:pPr>
    </w:p>
    <w:bookmarkStart w:id="158" w:name="page159"/>
    <w:bookmarkEnd w:id="15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Although physicians may prescribe legally available drugs for off-label uses, manufacturers may not market or promote such uses.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Prescription drug promotional materials must be submitted to the FDA in conjunction with their first use or first publication.</w:t>
      </w:r>
    </w:p>
    <w:p>
      <w:pPr>
        <w:spacing w:after="0" w:line="207" w:lineRule="exact"/>
        <w:rPr>
          <w:sz w:val="20"/>
          <w:szCs w:val="20"/>
          <w:color w:val="auto"/>
        </w:rPr>
      </w:pPr>
    </w:p>
    <w:p>
      <w:pPr>
        <w:ind w:left="120" w:right="160" w:firstLine="881"/>
        <w:spacing w:after="0" w:line="281" w:lineRule="auto"/>
        <w:rPr>
          <w:sz w:val="20"/>
          <w:szCs w:val="20"/>
          <w:color w:val="auto"/>
        </w:rPr>
      </w:pPr>
      <w:r>
        <w:rPr>
          <w:rFonts w:ascii="Times New Roman" w:cs="Times New Roman" w:eastAsia="Times New Roman" w:hAnsi="Times New Roman"/>
          <w:sz w:val="17"/>
          <w:szCs w:val="17"/>
          <w:color w:val="auto"/>
        </w:rPr>
        <w:t>The FDA may also place other conditions on approvals including the requirement for REMS, to assure the safe use of the product. If the FDA concludes that a REMS is needed, the NDA sponsor must submit a proposed REMS. The FDA will not approve the FDA without an approved REMS, if required. Any of these limitations on approval or marketing could restrict the commercial promotion, distribution, prescription or dispensing of products. Product approvals may be withdrawn for non-compliance with regulatory standards or if problems occur following initial marketing.</w:t>
      </w:r>
    </w:p>
    <w:p>
      <w:pPr>
        <w:spacing w:after="0" w:line="164" w:lineRule="exact"/>
        <w:rPr>
          <w:sz w:val="20"/>
          <w:szCs w:val="20"/>
          <w:color w:val="auto"/>
        </w:rPr>
      </w:pPr>
    </w:p>
    <w:p>
      <w:pPr>
        <w:ind w:left="120" w:right="20" w:firstLine="881"/>
        <w:spacing w:after="0" w:line="254" w:lineRule="auto"/>
        <w:rPr>
          <w:sz w:val="20"/>
          <w:szCs w:val="20"/>
          <w:color w:val="auto"/>
        </w:rPr>
      </w:pPr>
      <w:r>
        <w:rPr>
          <w:rFonts w:ascii="Times New Roman" w:cs="Times New Roman" w:eastAsia="Times New Roman" w:hAnsi="Times New Roman"/>
          <w:sz w:val="18"/>
          <w:szCs w:val="18"/>
          <w:color w:val="auto"/>
        </w:rPr>
        <w:t>FDA regulations require that products be manufactured in specific approved facilities and in accordance with cGMP regulations. We rely, and expect to continue to rely, on third parties for the production of clinical and commercial quantities of our products in accordance with cGMP regulations. These manufacturers must comply with cGMP regulations that require, among other things, quality control and quality assurance, the maintenance of records and documentation, and the obligation to investigate and correct any deviations from cGMP. Manufacturers and other entities involved in the manufacture and distribution of approved drugs are required to register their establishments with the FDA and certain state agencies, and are subject to periodic unannounced inspections by the FDA and certain state agencies for compliance with cGMP requirements and other laws. Accordingly, manufacturers must continue to expend time, money and effort in the area of production and quality control to maintain cGMP compliance. The discovery of violative conditions, including failure to conform to cGMP regulations, could result in enforcement actions, and the discovery of problems with a product after approval may result in restrictions on a product, its manufacturer or the NDA holder, including recalls.</w:t>
      </w:r>
    </w:p>
    <w:p>
      <w:pPr>
        <w:spacing w:after="0" w:line="188" w:lineRule="exact"/>
        <w:rPr>
          <w:sz w:val="20"/>
          <w:szCs w:val="20"/>
          <w:color w:val="auto"/>
        </w:rPr>
      </w:pPr>
    </w:p>
    <w:p>
      <w:pPr>
        <w:ind w:left="120" w:right="20" w:firstLine="881"/>
        <w:spacing w:after="0" w:line="256" w:lineRule="auto"/>
        <w:rPr>
          <w:sz w:val="20"/>
          <w:szCs w:val="20"/>
          <w:color w:val="auto"/>
        </w:rPr>
      </w:pPr>
      <w:r>
        <w:rPr>
          <w:rFonts w:ascii="Times New Roman" w:cs="Times New Roman" w:eastAsia="Times New Roman" w:hAnsi="Times New Roman"/>
          <w:sz w:val="18"/>
          <w:szCs w:val="18"/>
          <w:color w:val="auto"/>
        </w:rPr>
        <w:t>The FDA may withdraw approval of a product if compliance with regulatory requirements and standards is not maintained or if problems occur after the product reaches the market. Corrective action could delay drug distribution and require significant time and financial expenditures.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studies or clinical studies to assess new safety risks or imposition of distribution restrictions or other restrictions under a REMS program. Other potential consequences include, among other things:</w:t>
      </w:r>
    </w:p>
    <w:p>
      <w:pPr>
        <w:spacing w:after="0" w:line="214" w:lineRule="exact"/>
        <w:rPr>
          <w:sz w:val="20"/>
          <w:szCs w:val="20"/>
          <w:color w:val="auto"/>
        </w:rPr>
      </w:pPr>
    </w:p>
    <w:p>
      <w:pPr>
        <w:ind w:left="1420" w:right="220" w:hanging="319"/>
        <w:spacing w:after="0" w:line="282" w:lineRule="auto"/>
        <w:tabs>
          <w:tab w:leader="none" w:pos="142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marketing or manufacturing of the product, suspension of the approval, complete withdrawal of the product from the market, or product recalls;</w:t>
      </w:r>
    </w:p>
    <w:p>
      <w:pPr>
        <w:spacing w:after="0" w:line="188"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warning letters, or holds on post-approval clinical trials;</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of the FDA to approve pending applications or supplements to approved applications;</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or revocation of product approvals;</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 or refusal to permit the import or export of products; or</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w:t>
      </w:r>
    </w:p>
    <w:p>
      <w:pPr>
        <w:spacing w:after="0" w:line="2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Other Regulatory Matters</w:t>
      </w:r>
    </w:p>
    <w:p>
      <w:pPr>
        <w:spacing w:after="0" w:line="229" w:lineRule="exact"/>
        <w:rPr>
          <w:sz w:val="20"/>
          <w:szCs w:val="20"/>
          <w:color w:val="auto"/>
        </w:rPr>
      </w:pPr>
    </w:p>
    <w:p>
      <w:pPr>
        <w:ind w:left="120" w:firstLine="881"/>
        <w:spacing w:after="0" w:line="266" w:lineRule="auto"/>
        <w:rPr>
          <w:sz w:val="20"/>
          <w:szCs w:val="20"/>
          <w:color w:val="auto"/>
        </w:rPr>
      </w:pPr>
      <w:r>
        <w:rPr>
          <w:rFonts w:ascii="Times New Roman" w:cs="Times New Roman" w:eastAsia="Times New Roman" w:hAnsi="Times New Roman"/>
          <w:sz w:val="18"/>
          <w:szCs w:val="18"/>
          <w:color w:val="auto"/>
        </w:rPr>
        <w:t>Pharmaceutical companies are subject to additional healthcare regulation and enforcement by the federal government and by authorities in the states and foreign jurisdictions in which they conduct their business. Manufacturing, sales, promotion and other activities following product approval are subject to regulation by numerous regulatory authorities in the United States in addition to the FDA, including CMS, other divisions of</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-156-</w:t>
      </w:r>
    </w:p>
    <w:p>
      <w:pPr>
        <w:sectPr>
          <w:pgSz w:w="11900" w:h="16838" w:orient="portrait"/>
          <w:cols w:equalWidth="0" w:num="1">
            <w:col w:w="11120"/>
          </w:cols>
          <w:pgMar w:left="320" w:top="455" w:right="459" w:bottom="1440" w:gutter="0" w:footer="0" w:header="0"/>
        </w:sectPr>
      </w:pPr>
    </w:p>
    <w:bookmarkStart w:id="159" w:name="page160"/>
    <w:bookmarkEnd w:id="15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80"/>
        <w:spacing w:after="0" w:line="266" w:lineRule="auto"/>
        <w:rPr>
          <w:sz w:val="20"/>
          <w:szCs w:val="20"/>
          <w:color w:val="auto"/>
        </w:rPr>
      </w:pPr>
      <w:r>
        <w:rPr>
          <w:rFonts w:ascii="Times New Roman" w:cs="Times New Roman" w:eastAsia="Times New Roman" w:hAnsi="Times New Roman"/>
          <w:sz w:val="18"/>
          <w:szCs w:val="18"/>
          <w:color w:val="auto"/>
        </w:rPr>
        <w:t>the Department of Health and Human Services, the Department of Justice, the Drug Enforcement Administration, the Consumer Product Safety Commission, the Federal Trade Commission, the Occupational Safety &amp; Health Administration, the Environmental Protection Agency, and state and local governments.</w:t>
      </w:r>
    </w:p>
    <w:p>
      <w:pPr>
        <w:spacing w:after="0" w:line="176" w:lineRule="exact"/>
        <w:rPr>
          <w:sz w:val="20"/>
          <w:szCs w:val="20"/>
          <w:color w:val="auto"/>
        </w:rPr>
      </w:pPr>
    </w:p>
    <w:p>
      <w:pPr>
        <w:ind w:left="120" w:right="60" w:firstLine="881"/>
        <w:spacing w:after="0" w:line="266" w:lineRule="auto"/>
        <w:rPr>
          <w:sz w:val="20"/>
          <w:szCs w:val="20"/>
          <w:color w:val="auto"/>
        </w:rPr>
      </w:pPr>
      <w:r>
        <w:rPr>
          <w:rFonts w:ascii="Times New Roman" w:cs="Times New Roman" w:eastAsia="Times New Roman" w:hAnsi="Times New Roman"/>
          <w:sz w:val="18"/>
          <w:szCs w:val="18"/>
          <w:color w:val="auto"/>
        </w:rPr>
        <w:t>For example, in the United States, sales, marketing and scientific and educational programs also must comply with state and federal fraud and abuse laws, false claims laws, transparency laws, government price reporting, and health information privacy and security laws. These laws include the following:</w:t>
      </w:r>
    </w:p>
    <w:p>
      <w:pPr>
        <w:spacing w:after="0" w:line="203" w:lineRule="exact"/>
        <w:rPr>
          <w:sz w:val="20"/>
          <w:szCs w:val="20"/>
          <w:color w:val="auto"/>
        </w:rPr>
      </w:pPr>
    </w:p>
    <w:p>
      <w:pPr>
        <w:ind w:left="1420" w:right="40" w:hanging="319"/>
        <w:spacing w:after="0" w:line="256" w:lineRule="auto"/>
        <w:tabs>
          <w:tab w:leader="none" w:pos="142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which makes it illegal for any person, including a prescription drug manufacturer (or a party acting on its behalf), to knowingly and willfully solicit, receive, offer or pay any remuneration, directly or indirectly, in cash or in kind, to induce or reward either the referral of an individual for, or the purchase, lease, order or recommendation of an item or service for which payment may be made, in whole or in part, under a federal healthcare program, such as Medicare or Medicaid. Moreover, the government may assert that a claim including items or services resulting from a violation of the federal Anti-Kickback Statute constitutes a false or fraudulent claim for purposes of the civil False Claims Act;</w:t>
      </w:r>
    </w:p>
    <w:p>
      <w:pPr>
        <w:spacing w:after="0" w:line="214" w:lineRule="exact"/>
        <w:rPr>
          <w:rFonts w:ascii="Times New Roman" w:cs="Times New Roman" w:eastAsia="Times New Roman" w:hAnsi="Times New Roman"/>
          <w:sz w:val="18"/>
          <w:szCs w:val="18"/>
          <w:color w:val="auto"/>
        </w:rPr>
      </w:pPr>
    </w:p>
    <w:p>
      <w:pPr>
        <w:ind w:left="1420" w:right="20" w:hanging="319"/>
        <w:spacing w:after="0" w:line="258" w:lineRule="auto"/>
        <w:tabs>
          <w:tab w:leader="none" w:pos="142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False Claims Act, which imposes civil penalties, sometimes pursued through civil whistleblower or qui tam actions, against individuals or entities for, among other things, knowingly presenting, or causing to be presented, claims for payment of government funds that are false or fraudulent or making a false statement material to an obligation to pay money to the government or knowingly concealing or knowingly and improperly avoiding, decreasing, or concealing an obligation to pay money to the federal government;</w:t>
      </w:r>
    </w:p>
    <w:p>
      <w:pPr>
        <w:spacing w:after="0" w:line="210" w:lineRule="exact"/>
        <w:rPr>
          <w:rFonts w:ascii="Times New Roman" w:cs="Times New Roman" w:eastAsia="Times New Roman" w:hAnsi="Times New Roman"/>
          <w:sz w:val="18"/>
          <w:szCs w:val="18"/>
          <w:color w:val="auto"/>
        </w:rPr>
      </w:pPr>
    </w:p>
    <w:p>
      <w:pPr>
        <w:ind w:left="1420" w:right="380" w:hanging="319"/>
        <w:spacing w:after="0" w:line="261" w:lineRule="auto"/>
        <w:tabs>
          <w:tab w:leader="none" w:pos="142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HIPAA, which imposes criminal liability for, among other things, knowingly and willfully executing or attempting to execute a scheme to defraud any healthcare benefit program, knowingly and willfully embezzling or stealing from a health care benefit program, willfully obstructing a criminal investigation of a health care offense, or knowingly and willfully making false statements relating to healthcare matters;</w:t>
      </w:r>
    </w:p>
    <w:p>
      <w:pPr>
        <w:spacing w:after="0" w:line="206" w:lineRule="exact"/>
        <w:rPr>
          <w:rFonts w:ascii="Times New Roman" w:cs="Times New Roman" w:eastAsia="Times New Roman" w:hAnsi="Times New Roman"/>
          <w:sz w:val="18"/>
          <w:szCs w:val="18"/>
          <w:color w:val="auto"/>
        </w:rPr>
      </w:pPr>
    </w:p>
    <w:p>
      <w:pPr>
        <w:ind w:left="1420" w:hanging="319"/>
        <w:spacing w:after="0" w:line="266" w:lineRule="auto"/>
        <w:tabs>
          <w:tab w:leader="none" w:pos="142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as amended by the Health Information Technology for Economic and Clinical Health Act and their implementing regulations, also imposes obligations, including mandatory contractual terms, with respect to safeguarding the privacy, security and transmission of individually identifiable health information;</w:t>
      </w:r>
    </w:p>
    <w:p>
      <w:pPr>
        <w:spacing w:after="0" w:line="202" w:lineRule="exact"/>
        <w:rPr>
          <w:rFonts w:ascii="Times New Roman" w:cs="Times New Roman" w:eastAsia="Times New Roman" w:hAnsi="Times New Roman"/>
          <w:sz w:val="18"/>
          <w:szCs w:val="18"/>
          <w:color w:val="auto"/>
        </w:rPr>
      </w:pPr>
    </w:p>
    <w:p>
      <w:pPr>
        <w:ind w:left="1420" w:right="100" w:hanging="319"/>
        <w:spacing w:after="0" w:line="282" w:lineRule="auto"/>
        <w:tabs>
          <w:tab w:leader="none" w:pos="142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consumer protection and unfair competition laws, which broadly regulate marketplace activities and activities that potentially harm consumers;</w:t>
      </w:r>
    </w:p>
    <w:p>
      <w:pPr>
        <w:spacing w:after="0" w:line="188" w:lineRule="exact"/>
        <w:rPr>
          <w:rFonts w:ascii="Times New Roman" w:cs="Times New Roman" w:eastAsia="Times New Roman" w:hAnsi="Times New Roman"/>
          <w:sz w:val="18"/>
          <w:szCs w:val="18"/>
          <w:color w:val="auto"/>
        </w:rPr>
      </w:pPr>
    </w:p>
    <w:p>
      <w:pPr>
        <w:ind w:left="1420" w:right="220" w:hanging="319"/>
        <w:spacing w:after="0" w:line="282" w:lineRule="auto"/>
        <w:tabs>
          <w:tab w:leader="none" w:pos="142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FDCA, which prohibits, among other things, the adulteration or misbranding of drugs, biologics and medical devices, including off-label or pre-approval promotion;</w:t>
      </w:r>
    </w:p>
    <w:p>
      <w:pPr>
        <w:spacing w:after="0" w:line="188" w:lineRule="exact"/>
        <w:rPr>
          <w:rFonts w:ascii="Times New Roman" w:cs="Times New Roman" w:eastAsia="Times New Roman" w:hAnsi="Times New Roman"/>
          <w:sz w:val="18"/>
          <w:szCs w:val="18"/>
          <w:color w:val="auto"/>
        </w:rPr>
      </w:pPr>
    </w:p>
    <w:p>
      <w:pPr>
        <w:ind w:left="1420" w:right="20" w:hanging="319"/>
        <w:spacing w:after="0" w:line="258" w:lineRule="auto"/>
        <w:tabs>
          <w:tab w:leader="none" w:pos="142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Physician Payments Sunshine Act, which requires applicable manufacturers of covered drugs, devices, biologics and medical supplies for which payment is available under Medicare, Medicaid or the Children’s Health Insurance Program, with specific exceptions, to annually report to CMS information regarding direct or indirect payments and other transfers of value to physicians and teaching hospitals (and certain other practitioners beginning in 2022), as well as information regarding ownership and investment interests held by physicians and their immediate family members; and</w:t>
      </w:r>
    </w:p>
    <w:p>
      <w:pPr>
        <w:spacing w:after="0" w:line="210" w:lineRule="exact"/>
        <w:rPr>
          <w:rFonts w:ascii="Times New Roman" w:cs="Times New Roman" w:eastAsia="Times New Roman" w:hAnsi="Times New Roman"/>
          <w:sz w:val="18"/>
          <w:szCs w:val="18"/>
          <w:color w:val="auto"/>
        </w:rPr>
      </w:pPr>
    </w:p>
    <w:p>
      <w:pPr>
        <w:jc w:val="both"/>
        <w:ind w:left="1420" w:right="460" w:hanging="319"/>
        <w:spacing w:after="0" w:line="266" w:lineRule="auto"/>
        <w:tabs>
          <w:tab w:leader="none" w:pos="142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analogous state and foreign laws and regulations, such as state anti-kickback and false claims laws which may apply to sales or marketing arrangements and claims involving healthcare items or services reimbursed by non- governmental third-party payors, including private insurers, state laws</w:t>
      </w:r>
    </w:p>
    <w:p>
      <w:pPr>
        <w:spacing w:after="0" w:line="108" w:lineRule="exact"/>
        <w:rPr>
          <w:rFonts w:ascii="Times New Roman" w:cs="Times New Roman" w:eastAsia="Times New Roman" w:hAnsi="Times New Roman"/>
          <w:sz w:val="18"/>
          <w:szCs w:val="18"/>
          <w:color w:val="auto"/>
        </w:rPr>
      </w:pPr>
    </w:p>
    <w:p>
      <w:pPr>
        <w:ind w:left="5480" w:hanging="96"/>
        <w:spacing w:after="0"/>
        <w:tabs>
          <w:tab w:leader="none" w:pos="5480"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157 -</w:t>
      </w:r>
    </w:p>
    <w:p>
      <w:pPr>
        <w:sectPr>
          <w:pgSz w:w="11900" w:h="16838" w:orient="portrait"/>
          <w:cols w:equalWidth="0" w:num="1">
            <w:col w:w="11100"/>
          </w:cols>
          <w:pgMar w:left="320" w:top="455" w:right="479" w:bottom="1440" w:gutter="0" w:footer="0" w:header="0"/>
        </w:sectPr>
      </w:pPr>
    </w:p>
    <w:bookmarkStart w:id="160" w:name="page161"/>
    <w:bookmarkEnd w:id="16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420" w:right="20"/>
        <w:spacing w:after="0" w:line="256" w:lineRule="auto"/>
        <w:rPr>
          <w:sz w:val="20"/>
          <w:szCs w:val="20"/>
          <w:color w:val="auto"/>
        </w:rPr>
      </w:pPr>
      <w:r>
        <w:rPr>
          <w:rFonts w:ascii="Times New Roman" w:cs="Times New Roman" w:eastAsia="Times New Roman" w:hAnsi="Times New Roman"/>
          <w:sz w:val="18"/>
          <w:szCs w:val="18"/>
          <w:color w:val="auto"/>
        </w:rPr>
        <w:t>that require pharmaceutical manufacturers to comply with the industry’s voluntary compliance guidelines and the relevant compliance guidance promulgated by the federal government and may require drug manufacturers to report information related to payments and other transfers of value to physicians and other healthcare providers or marketing expenditures, state laws that require pharmaceutical manufacturers to report information on the pricing of certain drug products, and state and foreign laws that govern the privacy and security of health information in some circumstances, many of which differ from each other in significant ways and often are not preempted by HIPAA, thus complicating compliance efforts.</w:t>
      </w:r>
    </w:p>
    <w:p>
      <w:pPr>
        <w:spacing w:after="0" w:line="187" w:lineRule="exact"/>
        <w:rPr>
          <w:sz w:val="20"/>
          <w:szCs w:val="20"/>
          <w:color w:val="auto"/>
        </w:rPr>
      </w:pPr>
    </w:p>
    <w:p>
      <w:pPr>
        <w:ind w:left="120" w:firstLine="881"/>
        <w:spacing w:after="0" w:line="256" w:lineRule="auto"/>
        <w:rPr>
          <w:sz w:val="20"/>
          <w:szCs w:val="20"/>
          <w:color w:val="auto"/>
        </w:rPr>
      </w:pPr>
      <w:r>
        <w:rPr>
          <w:rFonts w:ascii="Times New Roman" w:cs="Times New Roman" w:eastAsia="Times New Roman" w:hAnsi="Times New Roman"/>
          <w:sz w:val="18"/>
          <w:szCs w:val="18"/>
          <w:color w:val="auto"/>
        </w:rPr>
        <w:t>Additionally, California recently enacted legislation that has been dubbed the first “GDPR-like” law in the United States. CCPA creates new individual privacy rights for consumers (as that word is broadly defined in the law) and places increased privacy and security obligations on entities handling personal data of consumers or households. The CCPA went into effect on January 1, 2020 and requires covered companies to provide new disclosures to California consumers, provide such consumers new ways to opt-out of certain sales of personal information, and allow for a new cause of action for data breaches. The CCPA could impact our business activities depending on how it is interpreted and exemplifies the vulnerability of our business to not only cyber threats but also the evolving regulatory environment related to personal data and protected health information.</w:t>
      </w:r>
    </w:p>
    <w:p>
      <w:pPr>
        <w:spacing w:after="0" w:line="187" w:lineRule="exact"/>
        <w:rPr>
          <w:sz w:val="20"/>
          <w:szCs w:val="20"/>
          <w:color w:val="auto"/>
        </w:rPr>
      </w:pPr>
    </w:p>
    <w:p>
      <w:pPr>
        <w:ind w:left="120" w:right="320" w:firstLine="881"/>
        <w:spacing w:after="0" w:line="312" w:lineRule="auto"/>
        <w:rPr>
          <w:sz w:val="20"/>
          <w:szCs w:val="20"/>
          <w:color w:val="auto"/>
        </w:rPr>
      </w:pPr>
      <w:r>
        <w:rPr>
          <w:rFonts w:ascii="Times New Roman" w:cs="Times New Roman" w:eastAsia="Times New Roman" w:hAnsi="Times New Roman"/>
          <w:sz w:val="17"/>
          <w:szCs w:val="17"/>
          <w:color w:val="auto"/>
        </w:rPr>
        <w:t>Products must meet applicable child-resistant packaging requirements under the U.S. Poison Prevention Packaging Act. Manufacturing, sales, promotion and other activities also are potentially subject to federal and state consumer protection and unfair competition laws.</w:t>
      </w:r>
    </w:p>
    <w:p>
      <w:pPr>
        <w:spacing w:after="0" w:line="140" w:lineRule="exact"/>
        <w:rPr>
          <w:sz w:val="20"/>
          <w:szCs w:val="20"/>
          <w:color w:val="auto"/>
        </w:rPr>
      </w:pPr>
    </w:p>
    <w:p>
      <w:pPr>
        <w:ind w:left="120" w:right="460" w:firstLine="881"/>
        <w:spacing w:after="0" w:line="282" w:lineRule="auto"/>
        <w:rPr>
          <w:sz w:val="20"/>
          <w:szCs w:val="20"/>
          <w:color w:val="auto"/>
        </w:rPr>
      </w:pPr>
      <w:r>
        <w:rPr>
          <w:rFonts w:ascii="Times New Roman" w:cs="Times New Roman" w:eastAsia="Times New Roman" w:hAnsi="Times New Roman"/>
          <w:sz w:val="18"/>
          <w:szCs w:val="18"/>
          <w:color w:val="auto"/>
        </w:rPr>
        <w:t>The distribution of pharmaceutical products is subject to additional requirements and regulations, including extensive record-keeping, licensing, storage and security requirements intended to prevent the unauthorized sale of pharmaceutical products.</w:t>
      </w:r>
    </w:p>
    <w:p>
      <w:pPr>
        <w:spacing w:after="0" w:line="162" w:lineRule="exact"/>
        <w:rPr>
          <w:sz w:val="20"/>
          <w:szCs w:val="20"/>
          <w:color w:val="auto"/>
        </w:rPr>
      </w:pPr>
    </w:p>
    <w:p>
      <w:pPr>
        <w:ind w:left="120" w:right="100" w:firstLine="881"/>
        <w:spacing w:after="0" w:line="281" w:lineRule="auto"/>
        <w:rPr>
          <w:sz w:val="20"/>
          <w:szCs w:val="20"/>
          <w:color w:val="auto"/>
        </w:rPr>
      </w:pPr>
      <w:r>
        <w:rPr>
          <w:rFonts w:ascii="Times New Roman" w:cs="Times New Roman" w:eastAsia="Times New Roman" w:hAnsi="Times New Roman"/>
          <w:sz w:val="17"/>
          <w:szCs w:val="17"/>
          <w:color w:val="auto"/>
        </w:rPr>
        <w:t>We may also be subject to state laws that require pharmaceutical companies to comply with the pharmaceutical industry’s voluntary compliance guidelines and the relevant compliance guidance promulgated by the federal government, as well as state laws that require drug manufacturers to report information related to payments and other transfers of value to physicians and other healthcare providers, marketing expenditures or drug pricing. In addition, we may be subject to state and local laws that require the registration of pharmaceutical sales representatives.</w:t>
      </w:r>
    </w:p>
    <w:p>
      <w:pPr>
        <w:spacing w:after="0" w:line="164" w:lineRule="exact"/>
        <w:rPr>
          <w:sz w:val="20"/>
          <w:szCs w:val="20"/>
          <w:color w:val="auto"/>
        </w:rPr>
      </w:pPr>
    </w:p>
    <w:p>
      <w:pPr>
        <w:ind w:left="120" w:right="60" w:firstLine="881"/>
        <w:spacing w:after="0" w:line="256" w:lineRule="auto"/>
        <w:rPr>
          <w:sz w:val="20"/>
          <w:szCs w:val="20"/>
          <w:color w:val="auto"/>
        </w:rPr>
      </w:pPr>
      <w:r>
        <w:rPr>
          <w:rFonts w:ascii="Times New Roman" w:cs="Times New Roman" w:eastAsia="Times New Roman" w:hAnsi="Times New Roman"/>
          <w:sz w:val="18"/>
          <w:szCs w:val="18"/>
          <w:color w:val="auto"/>
        </w:rPr>
        <w:t>The failure to comply with any of these laws or regulatory requirements subjects firms to possible legal or regulatory action. Depending on the circumstances, failure to meet applicable regulatory requirements can result in significant civil, criminal and administrative penalties, including damages, fines, disgorgement, individual imprisonment, exclusion from participation in government funded healthcare programs, such as Medicare and Medicaid, compliance oversight and reporting obligations, contractual damages, reputational harm, diminished profits and future earnings, injunctions, requests for recall, seizure of products, total or partial suspension of production, denial or withdrawal of product approvals or refusal to allow a firm to enter into supply contracts, including government contracts.</w:t>
      </w:r>
    </w:p>
    <w:p>
      <w:pPr>
        <w:spacing w:after="0" w:line="18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Equivalent, and similarly detailed, obligations will apply to the conduct of clinical trials in third countries including the EU.</w:t>
      </w:r>
    </w:p>
    <w:p>
      <w:pPr>
        <w:spacing w:after="0" w:line="2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United States Patent-Term Restoration and Marketing Exclusivity</w:t>
      </w:r>
    </w:p>
    <w:p>
      <w:pPr>
        <w:spacing w:after="0" w:line="229" w:lineRule="exact"/>
        <w:rPr>
          <w:sz w:val="20"/>
          <w:szCs w:val="20"/>
          <w:color w:val="auto"/>
        </w:rPr>
      </w:pPr>
    </w:p>
    <w:p>
      <w:pPr>
        <w:ind w:left="120" w:right="240" w:firstLine="881"/>
        <w:spacing w:after="0" w:line="261" w:lineRule="auto"/>
        <w:rPr>
          <w:sz w:val="20"/>
          <w:szCs w:val="20"/>
          <w:color w:val="auto"/>
        </w:rPr>
      </w:pPr>
      <w:r>
        <w:rPr>
          <w:rFonts w:ascii="Times New Roman" w:cs="Times New Roman" w:eastAsia="Times New Roman" w:hAnsi="Times New Roman"/>
          <w:sz w:val="18"/>
          <w:szCs w:val="18"/>
          <w:color w:val="auto"/>
        </w:rPr>
        <w:t>Depending upon the timing, duration and specifics of FDA approval of any future product candidates, some of our U.S. patents may be eligible for limited patent term extension under the Hatch-Waxman Act. The Hatch-Waxman Act permits restoration of the patent term of up to five years as compensation for patent term lost during product development and FDA regulatory review process. Patent-term restoration, however, cannot extend the remaining term of a patent beyond a total of 14 years from the product’s approval date. The patent-</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-158-</w:t>
      </w:r>
    </w:p>
    <w:p>
      <w:pPr>
        <w:sectPr>
          <w:pgSz w:w="11900" w:h="16838" w:orient="portrait"/>
          <w:cols w:equalWidth="0" w:num="1">
            <w:col w:w="11100"/>
          </w:cols>
          <w:pgMar w:left="320" w:top="455" w:right="479" w:bottom="1440" w:gutter="0" w:footer="0" w:header="0"/>
        </w:sectPr>
      </w:pPr>
    </w:p>
    <w:bookmarkStart w:id="161" w:name="page162"/>
    <w:bookmarkEnd w:id="16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55" w:lineRule="auto"/>
        <w:rPr>
          <w:sz w:val="20"/>
          <w:szCs w:val="20"/>
          <w:color w:val="auto"/>
        </w:rPr>
      </w:pPr>
      <w:r>
        <w:rPr>
          <w:rFonts w:ascii="Times New Roman" w:cs="Times New Roman" w:eastAsia="Times New Roman" w:hAnsi="Times New Roman"/>
          <w:sz w:val="18"/>
          <w:szCs w:val="18"/>
          <w:color w:val="auto"/>
        </w:rPr>
        <w:t>term restoration period is generally one-half the time between the effective date of an IND or the issue date of the patent, whichever is later, and the submission date of an NDA plus the time between the submission date of an NDA or the issue date of the patent, whichever is later, and the approval of that application, except that the review period is reduced by any time during which the applicant failed to exercise due diligence. Only one patent applicable to an approved drug is eligible for the extension and the application for the extension must be submitted prior to the expiration of the patent. The USPTO, in consultation with the FDA, reviews and approves the application for any patent term extension or restoration. In the future, we may apply for restoration of patent term for our currently owned or licensed patents to add patent life beyond its current expiration date, depending on the expected length of the clinical trials and other factors involved in the filing of the relevant NDA.</w:t>
      </w:r>
    </w:p>
    <w:p>
      <w:pPr>
        <w:spacing w:after="0" w:line="189" w:lineRule="exact"/>
        <w:rPr>
          <w:sz w:val="20"/>
          <w:szCs w:val="20"/>
          <w:color w:val="auto"/>
        </w:rPr>
      </w:pPr>
    </w:p>
    <w:p>
      <w:pPr>
        <w:ind w:left="120" w:firstLine="881"/>
        <w:spacing w:after="0" w:line="253" w:lineRule="auto"/>
        <w:rPr>
          <w:sz w:val="20"/>
          <w:szCs w:val="20"/>
          <w:color w:val="auto"/>
        </w:rPr>
      </w:pPr>
      <w:r>
        <w:rPr>
          <w:rFonts w:ascii="Times New Roman" w:cs="Times New Roman" w:eastAsia="Times New Roman" w:hAnsi="Times New Roman"/>
          <w:sz w:val="18"/>
          <w:szCs w:val="18"/>
          <w:color w:val="auto"/>
        </w:rPr>
        <w:t>Market exclusivity provisions under the FDCA also can delay the submission or the approval of certain applications. The FDCA provides a five-year period of non-patent marketing exclusivity within the United States to the first applicant to gain approval of an NDA for a new chemical entity. A drug is a new chemical entity if the FDA has not previously approved any other new drug containing the same active moiety, which is the molecule or ion responsible for the action of the drug substance. During the exclusivity period, the FDA may not accept for review an abbreviated new drug application, or ANDA, or a 505(b)(2) NDA submitted by another company for another version of such drug where the applicant does not own or have a legal right of reference to all the data required for approval. However, an application may be submitted after four years if it contains a certification of patent invalidity or non-infringement. The FDCA also provides three years of marketing exclusivity for an NDA, 505(b)(2) NDA or supplement to an existing NDA if new clinical investigations, other than bioavailability studies, that were conducted or sponsored by the applicant are deemed by the FDA to be essential to the approval of the application, for example, new indications, dosages or strengths of an existing drug. This three-year exclusivity covers only the conditions of use associated with the new clinical investigations and does not prohibit the FDA from approving ANDAs for drugs containing the original active agent. Five-year and three-year exclusivity will not delay the submission or approval of a full 505(b)(1) NDA. However, an applicant submitting a full NDA would be required to conduct or obtain a right of reference to all of the preclinical studies and adequate and well-controlled clinical trials necessary to demonstrate safety and effectiveness.</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European Union Drug Development</w:t>
      </w:r>
    </w:p>
    <w:p>
      <w:pPr>
        <w:spacing w:after="0" w:line="229" w:lineRule="exact"/>
        <w:rPr>
          <w:sz w:val="20"/>
          <w:szCs w:val="20"/>
          <w:color w:val="auto"/>
        </w:rPr>
      </w:pPr>
    </w:p>
    <w:p>
      <w:pPr>
        <w:ind w:left="120" w:right="100" w:firstLine="881"/>
        <w:spacing w:after="0" w:line="255" w:lineRule="auto"/>
        <w:rPr>
          <w:sz w:val="20"/>
          <w:szCs w:val="20"/>
          <w:color w:val="auto"/>
        </w:rPr>
      </w:pPr>
      <w:r>
        <w:rPr>
          <w:rFonts w:ascii="Times New Roman" w:cs="Times New Roman" w:eastAsia="Times New Roman" w:hAnsi="Times New Roman"/>
          <w:sz w:val="18"/>
          <w:szCs w:val="18"/>
          <w:color w:val="auto"/>
        </w:rPr>
        <w:t>Similar to the United States, the various phases of preclinical and clinical research in the European Union are subject to significant regulatory controls. Although the European Union Clinical Trials Directive 2001/20/EC has sought to harmonize the EU clinical trials regulatory framework, setting out common rules for the control and authorization of clinical trials in the EU, the EU Member States have transposed and applied the provisions of the Directive differently. This has led to significant variations in the member state regimes. Under the current regime, before a clinical trial can be initiated it must be approved in each of the EU countries where the trial is to be conducted by two distinct bodies: the National Competent Authority, or NCA, and one or more ethics committees. Under the current regime all suspected unexpected serious adverse reactions to the investigated drug that occur during the clinical trial have to be reported to the NCA and ECs of the Member State where they occurred.</w:t>
      </w:r>
    </w:p>
    <w:p>
      <w:pPr>
        <w:spacing w:after="0" w:line="189" w:lineRule="exact"/>
        <w:rPr>
          <w:sz w:val="20"/>
          <w:szCs w:val="20"/>
          <w:color w:val="auto"/>
        </w:rPr>
      </w:pPr>
    </w:p>
    <w:p>
      <w:pPr>
        <w:ind w:left="120" w:right="260" w:firstLine="881"/>
        <w:spacing w:after="0" w:line="261" w:lineRule="auto"/>
        <w:rPr>
          <w:sz w:val="20"/>
          <w:szCs w:val="20"/>
          <w:color w:val="auto"/>
        </w:rPr>
      </w:pPr>
      <w:r>
        <w:rPr>
          <w:rFonts w:ascii="Times New Roman" w:cs="Times New Roman" w:eastAsia="Times New Roman" w:hAnsi="Times New Roman"/>
          <w:sz w:val="18"/>
          <w:szCs w:val="18"/>
          <w:color w:val="auto"/>
        </w:rPr>
        <w:t>The EU clinical trials legislation currently is undergoing a transition process mainly aimed at harmonizing and streamlining clinical-trial authorization, simplifying adverse-event reporting procedures, improving the supervision of clinical trials and increasing their transparency. Recently enacted Clinical Trials Regulation EU No 536/2014 ensures that the rules for conducting clinical trials in the EU will be identical. In the meantime, Clinical Trials Directive 2001/20/EC continues to govern all clinical trials performed in the EU.</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European Union Drug Review and Approval</w:t>
      </w:r>
    </w:p>
    <w:p>
      <w:pPr>
        <w:spacing w:after="0" w:line="229" w:lineRule="exact"/>
        <w:rPr>
          <w:sz w:val="20"/>
          <w:szCs w:val="20"/>
          <w:color w:val="auto"/>
        </w:rPr>
      </w:pPr>
    </w:p>
    <w:p>
      <w:pPr>
        <w:ind w:left="120" w:right="320" w:firstLine="881"/>
        <w:spacing w:after="0" w:line="266" w:lineRule="auto"/>
        <w:rPr>
          <w:sz w:val="20"/>
          <w:szCs w:val="20"/>
          <w:color w:val="auto"/>
        </w:rPr>
      </w:pPr>
      <w:r>
        <w:rPr>
          <w:rFonts w:ascii="Times New Roman" w:cs="Times New Roman" w:eastAsia="Times New Roman" w:hAnsi="Times New Roman"/>
          <w:sz w:val="18"/>
          <w:szCs w:val="18"/>
          <w:color w:val="auto"/>
        </w:rPr>
        <w:t>In order to market any product outside of the United States, a company must also comply with numerous and varying regulatory requirements of other countries and jurisdictions regarding quality, safety, and efficacy, and governing, among other things, clinical trials, marketing authorization, commercial sales, and</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-159-</w:t>
      </w:r>
    </w:p>
    <w:p>
      <w:pPr>
        <w:sectPr>
          <w:pgSz w:w="11900" w:h="16838" w:orient="portrait"/>
          <w:cols w:equalWidth="0" w:num="1">
            <w:col w:w="11120"/>
          </w:cols>
          <w:pgMar w:left="320" w:top="455" w:right="459" w:bottom="1440" w:gutter="0" w:footer="0" w:header="0"/>
        </w:sectPr>
      </w:pPr>
    </w:p>
    <w:bookmarkStart w:id="162" w:name="page163"/>
    <w:bookmarkEnd w:id="16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780"/>
        <w:spacing w:after="0" w:line="312" w:lineRule="auto"/>
        <w:rPr>
          <w:sz w:val="20"/>
          <w:szCs w:val="20"/>
          <w:color w:val="auto"/>
        </w:rPr>
      </w:pPr>
      <w:r>
        <w:rPr>
          <w:rFonts w:ascii="Times New Roman" w:cs="Times New Roman" w:eastAsia="Times New Roman" w:hAnsi="Times New Roman"/>
          <w:sz w:val="17"/>
          <w:szCs w:val="17"/>
          <w:color w:val="auto"/>
        </w:rPr>
        <w:t>distribution of products. Whether or not it obtains FDA approval for a product, an applicant will need to obtain the necessary approvals by the comparable foreign regulatory authorities before it can commence clinical trial or marketing of the product in those countries or jurisdictions.</w:t>
      </w:r>
    </w:p>
    <w:p>
      <w:pPr>
        <w:spacing w:after="0" w:line="138"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i w:val="1"/>
          <w:iCs w:val="1"/>
          <w:color w:val="auto"/>
        </w:rPr>
        <w:t>Clinical Trial Approval</w:t>
      </w:r>
    </w:p>
    <w:p>
      <w:pPr>
        <w:spacing w:after="0" w:line="227" w:lineRule="exact"/>
        <w:rPr>
          <w:sz w:val="20"/>
          <w:szCs w:val="20"/>
          <w:color w:val="auto"/>
        </w:rPr>
      </w:pPr>
    </w:p>
    <w:p>
      <w:pPr>
        <w:ind w:left="120" w:right="200" w:firstLine="881"/>
        <w:spacing w:after="0" w:line="255" w:lineRule="auto"/>
        <w:rPr>
          <w:sz w:val="20"/>
          <w:szCs w:val="20"/>
          <w:color w:val="auto"/>
        </w:rPr>
      </w:pPr>
      <w:r>
        <w:rPr>
          <w:rFonts w:ascii="Times New Roman" w:cs="Times New Roman" w:eastAsia="Times New Roman" w:hAnsi="Times New Roman"/>
          <w:sz w:val="18"/>
          <w:szCs w:val="18"/>
          <w:color w:val="auto"/>
        </w:rPr>
        <w:t>Pursuant to the currently applicable Clinical Trials Directive 2001/20/EC and the Directive 2005/28/EC on GCP, in order to undertake a clinical trial in a European Union member state, an applicant must obtain approval from the competent national authority of the European Union member state in which the clinical trial is to be conducted, or in multiple member states if the clinical trial is to be conducted in a number of member states. The EEA is comprised of the 27 Member States of the European Union and the three members of the EFTA pillar of the EEA, Iceland, Liechtenstein and Norway. Furthermore, the applicant may only start a clinical trial at a specific site after the competent ethics committee has issued a favorable opinion. The clinical trial application must be accompanied by an IMP dossier with supporting information prescribed by Directive 2001/20/EC and Directive 2005/28/EC and corresponding national laws of the member states and further detailed in applicable guidance documents.</w:t>
      </w:r>
    </w:p>
    <w:p>
      <w:pPr>
        <w:spacing w:after="0" w:line="189" w:lineRule="exact"/>
        <w:rPr>
          <w:sz w:val="20"/>
          <w:szCs w:val="20"/>
          <w:color w:val="auto"/>
        </w:rPr>
      </w:pPr>
    </w:p>
    <w:p>
      <w:pPr>
        <w:ind w:left="120" w:right="40" w:firstLine="881"/>
        <w:spacing w:after="0" w:line="254" w:lineRule="auto"/>
        <w:rPr>
          <w:sz w:val="20"/>
          <w:szCs w:val="20"/>
          <w:color w:val="auto"/>
        </w:rPr>
      </w:pPr>
      <w:r>
        <w:rPr>
          <w:rFonts w:ascii="Times New Roman" w:cs="Times New Roman" w:eastAsia="Times New Roman" w:hAnsi="Times New Roman"/>
          <w:sz w:val="18"/>
          <w:szCs w:val="18"/>
          <w:color w:val="auto"/>
        </w:rPr>
        <w:t>In April 2014, the European Union adopted a new Clinical Trials Regulation (EU) No 536/2014, but it is not yet applicable in the European Union. The new legislation, which will be directly applicable in all European Union member states, aims to streamline the approval of clinical trials in the European Union by applying consistent rules and harmonizing the approvals process throughout the European Union. For instance, the new Clinical Trials Regulation provides for a streamlined application procedure via a single-entry point facilitating a harmonized assessment across multiple member states. The timing of implementation of the new Clinical Trials Regulation will be dependent on the development and launch of a fully functional clinical trials portal and database, which would be confirmed by an independent audit. The new legislation will come into effect six months after the European Commission publishes a confirmation of full functionality of the clinical trials information system. The website indicated that the audit was expected to commence in December 2020.</w:t>
      </w:r>
    </w:p>
    <w:p>
      <w:pPr>
        <w:spacing w:after="0" w:line="192" w:lineRule="exact"/>
        <w:rPr>
          <w:sz w:val="20"/>
          <w:szCs w:val="20"/>
          <w:color w:val="auto"/>
        </w:rPr>
      </w:pPr>
    </w:p>
    <w:p>
      <w:pPr>
        <w:ind w:left="120" w:right="160" w:firstLine="881"/>
        <w:spacing w:after="0" w:line="282" w:lineRule="auto"/>
        <w:rPr>
          <w:sz w:val="20"/>
          <w:szCs w:val="20"/>
          <w:color w:val="auto"/>
        </w:rPr>
      </w:pPr>
      <w:r>
        <w:rPr>
          <w:rFonts w:ascii="Times New Roman" w:cs="Times New Roman" w:eastAsia="Times New Roman" w:hAnsi="Times New Roman"/>
          <w:sz w:val="18"/>
          <w:szCs w:val="18"/>
          <w:color w:val="auto"/>
        </w:rPr>
        <w:t>Parties conducting certain clinical trials in the European Union must, as in the United States, post clinical trial information at the EudraCT website: https://eudract.ema.europa.eu.</w:t>
      </w:r>
    </w:p>
    <w:p>
      <w:pPr>
        <w:spacing w:after="0" w:line="160"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i w:val="1"/>
          <w:iCs w:val="1"/>
          <w:color w:val="auto"/>
        </w:rPr>
        <w:t>Marketing Authorization</w:t>
      </w:r>
    </w:p>
    <w:p>
      <w:pPr>
        <w:spacing w:after="0" w:line="227" w:lineRule="exact"/>
        <w:rPr>
          <w:sz w:val="20"/>
          <w:szCs w:val="20"/>
          <w:color w:val="auto"/>
        </w:rPr>
      </w:pPr>
    </w:p>
    <w:p>
      <w:pPr>
        <w:ind w:left="120" w:right="40" w:firstLine="881"/>
        <w:spacing w:after="0" w:line="282" w:lineRule="auto"/>
        <w:rPr>
          <w:sz w:val="20"/>
          <w:szCs w:val="20"/>
          <w:color w:val="auto"/>
        </w:rPr>
      </w:pPr>
      <w:r>
        <w:rPr>
          <w:rFonts w:ascii="Times New Roman" w:cs="Times New Roman" w:eastAsia="Times New Roman" w:hAnsi="Times New Roman"/>
          <w:sz w:val="18"/>
          <w:szCs w:val="18"/>
          <w:color w:val="auto"/>
        </w:rPr>
        <w:t>In the EEA, medicinal products can only be commercialized after obtaining a Marketing Authorization, or MA. There are a number of types of marketing authorizations.</w:t>
      </w:r>
    </w:p>
    <w:p>
      <w:pPr>
        <w:spacing w:after="0" w:line="189" w:lineRule="exact"/>
        <w:rPr>
          <w:sz w:val="20"/>
          <w:szCs w:val="20"/>
          <w:color w:val="auto"/>
        </w:rPr>
      </w:pPr>
    </w:p>
    <w:p>
      <w:pPr>
        <w:ind w:left="1420" w:hanging="319"/>
        <w:spacing w:after="0" w:line="254" w:lineRule="auto"/>
        <w:tabs>
          <w:tab w:leader="none" w:pos="142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Community MA is adopted by the European Commission in the form of a decision through the Centralized Procedure. The decision, which is based on the opinion of the Committee for Medicinal Products for Human Use, or CHMP, of the EMA, and is valid throughout the entire territory of the EEA. The Centralized Procedure is mandatory for certain types of products, such as biotechnology medicinal products, orphan medicinal products, advanced-therapy medicines such as gene-therapy, somatic cell-therapy or tissue-engineered medicines and medicinal products containing a new active substance indicated for the treatment of HIV, AIDS, cancer, neurodegenerative disorders, diabetes, auto-immune and other immune dysfunctions and viral diseases. The Centralized Procedure is optional, on approval by the EMA for products containing a new active substance not yet authorized in the EEA, or for products that constitute a significant therapeutic, scientific or technical innovation or which are in the interest of public health in the European Union.</w:t>
      </w:r>
    </w:p>
    <w:p>
      <w:pPr>
        <w:spacing w:after="0" w:line="188" w:lineRule="exact"/>
        <w:rPr>
          <w:rFonts w:ascii="Times New Roman" w:cs="Times New Roman" w:eastAsia="Times New Roman" w:hAnsi="Times New Roman"/>
          <w:sz w:val="18"/>
          <w:szCs w:val="18"/>
          <w:color w:val="auto"/>
        </w:rPr>
      </w:pPr>
    </w:p>
    <w:p>
      <w:pPr>
        <w:ind w:left="1440" w:right="4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Centralized Procedure, the CHMP established at the EMA is responsible for conducting an initial scientific assessment of a product. The maximum timeframe for the evaluation of an MA under the Centralized Procedure is 210 days, excluding clock stops when additional information or written or oral explanation is to be provided by the applicant in response to questions of the CHMP.</w:t>
      </w:r>
    </w:p>
    <w:p>
      <w:pPr>
        <w:spacing w:after="0" w:line="108" w:lineRule="exact"/>
        <w:rPr>
          <w:rFonts w:ascii="Times New Roman" w:cs="Times New Roman" w:eastAsia="Times New Roman" w:hAnsi="Times New Roman"/>
          <w:sz w:val="18"/>
          <w:szCs w:val="18"/>
          <w:color w:val="auto"/>
        </w:rPr>
      </w:pPr>
    </w:p>
    <w:p>
      <w:pPr>
        <w:ind w:left="5480" w:hanging="96"/>
        <w:spacing w:after="0"/>
        <w:tabs>
          <w:tab w:leader="none" w:pos="5480"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160 -</w:t>
      </w:r>
    </w:p>
    <w:p>
      <w:pPr>
        <w:sectPr>
          <w:pgSz w:w="11900" w:h="16838" w:orient="portrait"/>
          <w:cols w:equalWidth="0" w:num="1">
            <w:col w:w="11120"/>
          </w:cols>
          <w:pgMar w:left="320" w:top="455" w:right="459" w:bottom="1440" w:gutter="0" w:footer="0" w:header="0"/>
        </w:sectPr>
      </w:pPr>
    </w:p>
    <w:bookmarkStart w:id="163" w:name="page164"/>
    <w:bookmarkEnd w:id="16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both"/>
        <w:ind w:left="1440" w:right="200"/>
        <w:spacing w:after="0" w:line="261" w:lineRule="auto"/>
        <w:rPr>
          <w:sz w:val="20"/>
          <w:szCs w:val="20"/>
          <w:color w:val="auto"/>
        </w:rPr>
      </w:pPr>
      <w:r>
        <w:rPr>
          <w:rFonts w:ascii="Times New Roman" w:cs="Times New Roman" w:eastAsia="Times New Roman" w:hAnsi="Times New Roman"/>
          <w:sz w:val="18"/>
          <w:szCs w:val="18"/>
          <w:color w:val="auto"/>
        </w:rPr>
        <w:t>Accelerated evaluation may be granted by the CHMP in exceptional cases, when a medicinal product is of major interest from the point of view of public health and, in particular, from the viewpoint of therapeutic innovation. If the CHMP accepts such a request, the time limit of 210 days will be reduced to 150 days, but it is possible that the CHMP may revert to the standard time limit for the Centralized Procedure if it determines that it is no longer appropriate to conduct an accelerated assessment.</w:t>
      </w:r>
    </w:p>
    <w:p>
      <w:pPr>
        <w:spacing w:after="0" w:line="207" w:lineRule="exact"/>
        <w:rPr>
          <w:sz w:val="20"/>
          <w:szCs w:val="20"/>
          <w:color w:val="auto"/>
        </w:rPr>
      </w:pPr>
    </w:p>
    <w:p>
      <w:pPr>
        <w:ind w:left="1420" w:hanging="319"/>
        <w:spacing w:after="0" w:line="253" w:lineRule="auto"/>
        <w:tabs>
          <w:tab w:leader="none" w:pos="142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MAs based on the Mutual Recognition Procedure or the Decentralised Procedure are available for products not falling within the mandatory scope of the Centralized Procedure. Where a product is first authorized by a Reference Member State this may be recognized by other Concerned Member States through the Mutual Recognition Procedure. Alternatively, a product can be approved simultaneously in various EU Member States through the Decentralized Procedure. Under the Decentralized Procedure an identical dossier is submitted to the competent authorities of each of the EU Member States in which the MA is sought, one of which is selected by the applicant as the Reference Member State. The competent authority of the Reference Member State prepares a draft assessment report, a draft Summary of Product Characteristics, or SmPC, and a draft of the labeling and package leaflet, which are sent to the other Member States (referred to as the Concerned Member States) for their approval. If the Concerned Member States raise no objections, based on a potential serious risk to public health, to the assessment, SPC, labeling or packaging proposed by the Reference Member State, the product is subsequently granted a national MA in all the Member States (i.e., in the Reference Member State and the Concerned Member States).</w:t>
      </w:r>
    </w:p>
    <w:p>
      <w:pPr>
        <w:spacing w:after="0" w:line="1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Coverage and Reimbursement</w:t>
      </w:r>
    </w:p>
    <w:p>
      <w:pPr>
        <w:spacing w:after="0" w:line="229" w:lineRule="exact"/>
        <w:rPr>
          <w:sz w:val="20"/>
          <w:szCs w:val="20"/>
          <w:color w:val="auto"/>
        </w:rPr>
      </w:pPr>
    </w:p>
    <w:p>
      <w:pPr>
        <w:ind w:left="120" w:firstLine="881"/>
        <w:spacing w:after="0" w:line="255" w:lineRule="auto"/>
        <w:rPr>
          <w:sz w:val="20"/>
          <w:szCs w:val="20"/>
          <w:color w:val="auto"/>
        </w:rPr>
      </w:pPr>
      <w:r>
        <w:rPr>
          <w:rFonts w:ascii="Times New Roman" w:cs="Times New Roman" w:eastAsia="Times New Roman" w:hAnsi="Times New Roman"/>
          <w:sz w:val="18"/>
          <w:szCs w:val="18"/>
          <w:color w:val="auto"/>
        </w:rPr>
        <w:t>Sales of our products will depend, in part, on the extent to which our products will be covered by third-party payors, such as government health programs, commercial insurance, and managed healthcare organizations. There is significant uncertainty related to third-party payor coverage and reimbursement of newly approved products. In the United States, for example, principal decisions about reimbursement for new products are typically made by CMS or by Medicare’s contractors and drug plans. These entities decides whether and to what extent a new product will be covered and reimbursed under Medicare, and private third-party payors often follow their decisions regarding coverage and reimbursement to a substantial degree. However, no uniform policy of coverage and reimbursement for drug products exists. Accordingly, decisions regarding the extent of coverage and amount of reimbursement to be provided for any of our products will be made on a payor-by-payor basis.</w:t>
      </w:r>
    </w:p>
    <w:p>
      <w:pPr>
        <w:spacing w:after="0" w:line="189" w:lineRule="exact"/>
        <w:rPr>
          <w:sz w:val="20"/>
          <w:szCs w:val="20"/>
          <w:color w:val="auto"/>
        </w:rPr>
      </w:pPr>
    </w:p>
    <w:p>
      <w:pPr>
        <w:ind w:left="120" w:firstLine="881"/>
        <w:spacing w:after="0" w:line="254" w:lineRule="auto"/>
        <w:rPr>
          <w:sz w:val="20"/>
          <w:szCs w:val="20"/>
          <w:color w:val="auto"/>
        </w:rPr>
      </w:pPr>
      <w:r>
        <w:rPr>
          <w:rFonts w:ascii="Times New Roman" w:cs="Times New Roman" w:eastAsia="Times New Roman" w:hAnsi="Times New Roman"/>
          <w:sz w:val="18"/>
          <w:szCs w:val="18"/>
          <w:color w:val="auto"/>
        </w:rPr>
        <w:t>Increasingly, third-party payors are requiring that drug companies provide them with predetermined discounts from list prices and are challenging the prices charged for medical products. Further, such payors are increasingly challenging the price, examining the medical necessity and reviewing the cost effectiveness of medical product candidates. There may be especially significant delays in obtaining coverage and reimbursement for newly approved drugs. Third-party payors may limit coverage to specific product candidates on an approved list, known as a formulary, which might not include all FDA-approved drugs for a particular indication. We may need to conduct expensive pharmaco-economic studies to demonstrate the medical necessity and cost effectiveness of our products. As a result, the coverage determination process is often a time-consuming and costly process that will require us to provide scientific and clinical support for the use of our products to each payor separately, with no assurance that coverage and adequate reimbursement will be obtained.</w:t>
      </w:r>
    </w:p>
    <w:p>
      <w:pPr>
        <w:spacing w:after="0" w:line="192" w:lineRule="exact"/>
        <w:rPr>
          <w:sz w:val="20"/>
          <w:szCs w:val="20"/>
          <w:color w:val="auto"/>
        </w:rPr>
      </w:pPr>
    </w:p>
    <w:p>
      <w:pPr>
        <w:ind w:left="120" w:right="20" w:firstLine="881"/>
        <w:spacing w:after="0" w:line="258" w:lineRule="auto"/>
        <w:rPr>
          <w:sz w:val="20"/>
          <w:szCs w:val="20"/>
          <w:color w:val="auto"/>
        </w:rPr>
      </w:pPr>
      <w:r>
        <w:rPr>
          <w:rFonts w:ascii="Times New Roman" w:cs="Times New Roman" w:eastAsia="Times New Roman" w:hAnsi="Times New Roman"/>
          <w:sz w:val="18"/>
          <w:szCs w:val="18"/>
          <w:color w:val="auto"/>
        </w:rPr>
        <w:t>If we successfully commercialize any of our product candidates, we may participate in the Medicaid Drug Rebate Program. Participation is required for federal funds to be available for our covered outpatient drugs under Medicaid and, if applicable, Medicare Part B. Under the Medicaid Drug Rebate Program, we would be required to pay a rebate to each state Medicaid program for our covered outpatient drugs that are dispensed to Medicaid beneficiaries and paid for by a state Medicaid program as a condition of having federal funds being made available to the states for our drugs under Medicaid and, if applicable, Part B of the Medicare program.</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-161-</w:t>
      </w:r>
    </w:p>
    <w:p>
      <w:pPr>
        <w:sectPr>
          <w:pgSz w:w="11900" w:h="16838" w:orient="portrait"/>
          <w:cols w:equalWidth="0" w:num="1">
            <w:col w:w="11120"/>
          </w:cols>
          <w:pgMar w:left="320" w:top="455" w:right="459" w:bottom="1440" w:gutter="0" w:footer="0" w:header="0"/>
        </w:sectPr>
      </w:pPr>
    </w:p>
    <w:bookmarkStart w:id="164" w:name="page165"/>
    <w:bookmarkEnd w:id="16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firstLine="881"/>
        <w:spacing w:after="0" w:line="258" w:lineRule="auto"/>
        <w:rPr>
          <w:sz w:val="20"/>
          <w:szCs w:val="20"/>
          <w:color w:val="auto"/>
        </w:rPr>
      </w:pPr>
      <w:r>
        <w:rPr>
          <w:rFonts w:ascii="Times New Roman" w:cs="Times New Roman" w:eastAsia="Times New Roman" w:hAnsi="Times New Roman"/>
          <w:sz w:val="18"/>
          <w:szCs w:val="18"/>
          <w:color w:val="auto"/>
        </w:rPr>
        <w:t>Federal law requires that any company that participates in the Medicaid Drug Rebate Program also participate in the Public Health Service’s 340B drug pricing program in order for federal funds to be available for the manufacturer’s drugs under Medicaid and Medicare Part B. The 340B drug pricing program requires participating manufacturers to agree to charge statutorily-defined covered entities no more than the 340B “ceiling price” for the manufacturer’s covered outpatient drugs. These 340B covered entities include a variety of community health clinics and other entities that receive health services grants from the Public Health Service, as well as hospitals that serve a disproportionate share of low-income patients.</w:t>
      </w:r>
    </w:p>
    <w:p>
      <w:pPr>
        <w:spacing w:after="0" w:line="183" w:lineRule="exact"/>
        <w:rPr>
          <w:sz w:val="20"/>
          <w:szCs w:val="20"/>
          <w:color w:val="auto"/>
        </w:rPr>
      </w:pPr>
    </w:p>
    <w:p>
      <w:pPr>
        <w:ind w:left="120" w:right="140" w:firstLine="881"/>
        <w:spacing w:after="0" w:line="255" w:lineRule="auto"/>
        <w:rPr>
          <w:sz w:val="20"/>
          <w:szCs w:val="20"/>
          <w:color w:val="auto"/>
        </w:rPr>
      </w:pPr>
      <w:r>
        <w:rPr>
          <w:rFonts w:ascii="Times New Roman" w:cs="Times New Roman" w:eastAsia="Times New Roman" w:hAnsi="Times New Roman"/>
          <w:sz w:val="18"/>
          <w:szCs w:val="18"/>
          <w:color w:val="auto"/>
        </w:rPr>
        <w:t>In addition, in order to be eligible to have its products paid for with federal funds under the Medicaid and Medicare Part B programs and purchased by certain federal agencies and grantees, a manufacturer also must participate in the VA FSS pricing program. Under this program, the manufacturer is obligated to make its innovator and single source products available for procurement on an FSS contract and charge a price to four federal agencies, U.S. Department of Veterans Affairs, U.S. DoD, Public Health Service and U.S. Coast Guard, that is no higher than the statutory Federal Ceiling Price. Moreover, pursuant to regulations issued by the DoD Defense Health Agency to implement Section 703 of the National Defense Authorization Act for Fiscal Year 2008, manufacturers are required to provide rebates on utilization of their innovator and single source products that are dispensed to TRICARE beneficiaries by TRICARE network retail pharmacies.</w:t>
      </w:r>
    </w:p>
    <w:p>
      <w:pPr>
        <w:spacing w:after="0" w:line="189" w:lineRule="exact"/>
        <w:rPr>
          <w:sz w:val="20"/>
          <w:szCs w:val="20"/>
          <w:color w:val="auto"/>
        </w:rPr>
      </w:pPr>
    </w:p>
    <w:p>
      <w:pPr>
        <w:ind w:left="120" w:right="120" w:firstLine="881"/>
        <w:spacing w:after="0" w:line="281" w:lineRule="auto"/>
        <w:rPr>
          <w:sz w:val="20"/>
          <w:szCs w:val="20"/>
          <w:color w:val="auto"/>
        </w:rPr>
      </w:pPr>
      <w:r>
        <w:rPr>
          <w:rFonts w:ascii="Times New Roman" w:cs="Times New Roman" w:eastAsia="Times New Roman" w:hAnsi="Times New Roman"/>
          <w:sz w:val="17"/>
          <w:szCs w:val="17"/>
          <w:color w:val="auto"/>
        </w:rPr>
        <w:t>The requirements under the Medicaid, 340B, FSS, and TRICARE programs could reduce the revenue we may generate from any products that are commercialized in the future and could adversely affect our business and operating results. If we fail to comply with any applicable obligations under governmental pricing programs that we participate in, we could be subject to additional reimbursement requirements, significant civil monetary penalties, sanctions and fines, and those could negatively impact our business, financial condition, results of operations and growth prospects.</w:t>
      </w:r>
    </w:p>
    <w:p>
      <w:pPr>
        <w:spacing w:after="0" w:line="164" w:lineRule="exact"/>
        <w:rPr>
          <w:sz w:val="20"/>
          <w:szCs w:val="20"/>
          <w:color w:val="auto"/>
        </w:rPr>
      </w:pPr>
    </w:p>
    <w:p>
      <w:pPr>
        <w:ind w:left="120" w:right="40" w:firstLine="881"/>
        <w:spacing w:after="0" w:line="254" w:lineRule="auto"/>
        <w:rPr>
          <w:sz w:val="20"/>
          <w:szCs w:val="20"/>
          <w:color w:val="auto"/>
        </w:rPr>
      </w:pPr>
      <w:r>
        <w:rPr>
          <w:rFonts w:ascii="Times New Roman" w:cs="Times New Roman" w:eastAsia="Times New Roman" w:hAnsi="Times New Roman"/>
          <w:sz w:val="18"/>
          <w:szCs w:val="18"/>
          <w:color w:val="auto"/>
        </w:rPr>
        <w:t>In addition, in most foreign countries, the proposed pricing for a drug must be approved before it may be lawfully marketed. The requirements governing drug pricing and reimbursement vary widely from country to country. For example, the European Union provides options for its member states to restrict the range of medicinal products for which their national health insurance systems provide reimbursement and to control the prices of medicinal products for human use. A member state may approve a specific price for the medicinal product or it may instead adopt a system of direct or indirect controls on the profitability of the company placing the medicinal product on the market. Pharmaceutical products may face competition from lower-priced products in foreign countries that have placed price controls on pharmaceutical products and may also compete with imported foreign products. There can be no assurance that any country that has price controls or reimbursement limitations for pharmaceutical products will allow favorable reimbursement and pricing.</w:t>
      </w:r>
    </w:p>
    <w:p>
      <w:pPr>
        <w:spacing w:after="0" w:line="1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Healthcare Reform</w:t>
      </w:r>
    </w:p>
    <w:p>
      <w:pPr>
        <w:spacing w:after="0" w:line="229" w:lineRule="exact"/>
        <w:rPr>
          <w:sz w:val="20"/>
          <w:szCs w:val="20"/>
          <w:color w:val="auto"/>
        </w:rPr>
      </w:pPr>
    </w:p>
    <w:p>
      <w:pPr>
        <w:ind w:left="120" w:right="20" w:firstLine="881"/>
        <w:spacing w:after="0" w:line="253" w:lineRule="auto"/>
        <w:rPr>
          <w:sz w:val="20"/>
          <w:szCs w:val="20"/>
          <w:color w:val="auto"/>
        </w:rPr>
      </w:pPr>
      <w:r>
        <w:rPr>
          <w:rFonts w:ascii="Times New Roman" w:cs="Times New Roman" w:eastAsia="Times New Roman" w:hAnsi="Times New Roman"/>
          <w:sz w:val="18"/>
          <w:szCs w:val="18"/>
          <w:color w:val="auto"/>
        </w:rPr>
        <w:t>The United States government, state legislatures, and foreign governments have shown significant interest in implementing cost containment programs to limit the growth of government-paid healthcare costs, including price-controls, restrictions on reimbursement, and requirements for substitution of generic products for branded prescription drugs. For example, in March 2010, the Affordable Care Act was passed, which substantially changed the way healthcare is financed by both the government and private insurers, and significantly impacts the U.S. pharmaceutical industry. The Affordable Care Act contains provisions that may reduce the profitability of drug products through increased rebates for drugs reimbursed by Medicaid programs, extension of Medicaid rebates to Medicaid managed care plans, mandatory discounts for certain Medicare Part D beneficiaries and annual fees based on pharmaceutical companies’ share of sales to federal health care programs. The Affordable Care Act made several changes to the Medicaid Drug Rebate Program, including increasing pharmaceutical manufacturers’ rebate liability by raising the minimum basic Medicaid rebate. The Affordable Care Act also expanded the universe of Medicaid utilization subject to drug rebates by requiring pharmaceutical manufacturers to pay rebates on Medicaid managed care utilization and by enlarging the population potentially eligible for Medicaid drug benefits. Effective April 1, 2022, Medicaid rebate liability will be expanded to include the territories of the United States as well.</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-162-</w:t>
      </w:r>
    </w:p>
    <w:p>
      <w:pPr>
        <w:sectPr>
          <w:pgSz w:w="11900" w:h="16838" w:orient="portrait"/>
          <w:cols w:equalWidth="0" w:num="1">
            <w:col w:w="11120"/>
          </w:cols>
          <w:pgMar w:left="320" w:top="455" w:right="459" w:bottom="1440" w:gutter="0" w:footer="0" w:header="0"/>
        </w:sectPr>
      </w:pPr>
    </w:p>
    <w:bookmarkStart w:id="165" w:name="page166"/>
    <w:bookmarkEnd w:id="16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881"/>
        <w:spacing w:after="0" w:line="252" w:lineRule="auto"/>
        <w:rPr>
          <w:sz w:val="20"/>
          <w:szCs w:val="20"/>
          <w:color w:val="auto"/>
        </w:rPr>
      </w:pPr>
      <w:r>
        <w:rPr>
          <w:rFonts w:ascii="Times New Roman" w:cs="Times New Roman" w:eastAsia="Times New Roman" w:hAnsi="Times New Roman"/>
          <w:sz w:val="18"/>
          <w:szCs w:val="18"/>
          <w:color w:val="auto"/>
        </w:rPr>
        <w:t>There have been judicial challenges to certain aspects of the Affordable Care Act, as well as efforts by Congress to repeal or replace, and by the Trump administration to alter the implementation of, certain aspects of the Affordable Care Act. For example, on December 22, 2017, President Trump signed into law new federal tax legislation commonly referred to as the Tax Cuts and Jobs Act (the Tax Act) which includes a provision repealing, effective January 1, 2019, the tax-based shared responsibility payment imposed by the Affordable Care Act on certain individuals who fail to maintain qualifying health coverage for all or part of a year that is commonly referred to as the “individual mandate.” On December 14, 2018, a federal district court in Texas ruled the individual mandate in the absence of the tax penalty is unconstitutional and, because it is a critical and inseverable feature of the Affordable Care Act, the remaining provisions of the Affordable Care Act are invalid as well. On December 18, 2019, the U.S. Court of Appeals for the Fifth Circuit affirmed the District Court’s ruling, but remanded the case back to the District Court as to the question of severability. On March 2, 2020, the United States Supreme Court granted certiorari to review this case, which is expected to be decided in mid-2021. Additionally, the Further Consolidated Appropriations Act of 2020, Pub. L. No. 116-94, permanently eliminated, effective January 1, 2020, the Affordable Care Act-mandated “Cadillac” tax on high-cost employer-sponsored health coverage and the medical device excise tax on non-exempt medical devices and, effective January 1, 2021, also eliminates the annual fee imposed on certain health insurance providers based on market share. Further, the Bipartisan Budget Act of 2018, among other things, amended the Affordable Care Act, effective January 1, 2019, to increase from 50 percent to 70 percent the point-of-sale discount that is owed by pharmaceutical manufacturers who participate in Medicare Part D and to close the coverage gap in most Medicare drug plans, commonly referred to as the “donut hole.”</w:t>
      </w:r>
    </w:p>
    <w:p>
      <w:pPr>
        <w:spacing w:after="0" w:line="196" w:lineRule="exact"/>
        <w:rPr>
          <w:sz w:val="20"/>
          <w:szCs w:val="20"/>
          <w:color w:val="auto"/>
        </w:rPr>
      </w:pPr>
    </w:p>
    <w:p>
      <w:pPr>
        <w:ind w:left="120" w:right="80" w:firstLine="881"/>
        <w:spacing w:after="0" w:line="254" w:lineRule="auto"/>
        <w:rPr>
          <w:sz w:val="20"/>
          <w:szCs w:val="20"/>
          <w:color w:val="auto"/>
        </w:rPr>
      </w:pPr>
      <w:r>
        <w:rPr>
          <w:rFonts w:ascii="Times New Roman" w:cs="Times New Roman" w:eastAsia="Times New Roman" w:hAnsi="Times New Roman"/>
          <w:sz w:val="18"/>
          <w:szCs w:val="18"/>
          <w:color w:val="auto"/>
        </w:rPr>
        <w:t>Other legislative changes have been proposed and adopted in the United States since the Affordable Care Act was enacted. These changes included aggregate reductions to Medicare payments to providers of 2% per fiscal year, effective April 1, 2013, which, due to subsequent legislative amendments, will stay in effect through 2030 unless additional Congressional action is taken, with the exception of a temporary suspension of the 2% cut in Medicare payments from May 1, 2020 through December 31, 2020, pursuant to the CARES Act signed into law in March 2020 and designed to provide financial support and resources to individuals and businesses affected by the COVID-19 pandemic. In January 2013, the American Taxpayer Relief Act of 2012 was signed into law, which, among other things, reduced Medicare payments to several providers, and increased the statute of limitations period for the government to recover overpayments to providers from three to five years. Other new laws may result in additional reductions in Medicare and other healthcare funding, which could have a material adverse effect on customers for our drugs, if approved, and accordingly, our financial operations.</w:t>
      </w:r>
    </w:p>
    <w:p>
      <w:pPr>
        <w:spacing w:after="0" w:line="188" w:lineRule="exact"/>
        <w:rPr>
          <w:sz w:val="20"/>
          <w:szCs w:val="20"/>
          <w:color w:val="auto"/>
        </w:rPr>
      </w:pPr>
    </w:p>
    <w:p>
      <w:pPr>
        <w:ind w:left="120" w:firstLine="881"/>
        <w:spacing w:after="0" w:line="252" w:lineRule="auto"/>
        <w:rPr>
          <w:sz w:val="20"/>
          <w:szCs w:val="20"/>
          <w:color w:val="auto"/>
        </w:rPr>
      </w:pPr>
      <w:r>
        <w:rPr>
          <w:rFonts w:ascii="Times New Roman" w:cs="Times New Roman" w:eastAsia="Times New Roman" w:hAnsi="Times New Roman"/>
          <w:sz w:val="18"/>
          <w:szCs w:val="18"/>
          <w:color w:val="auto"/>
        </w:rPr>
        <w:t>Additionally, there has been heightened governmental scrutiny over the manner in which drug manufacturers set prices for their marketed products, which has resulted in several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drug products. For example, at the federal level, the Trump administration’s budget for fiscal year 2021 includes a $135 billion allowance to support legislative proposals seeking to reduce drug prices, increase competition, lower out-of-pocket drug costs for patients, and increase patient access to lower-cost generic and biosimilar drugs. On March 10, 2020, the Trump administration sent “principles” for drug pricing to Congress, calling for legislation that would, among other things, cap Medicare Part D beneficiary out-of-pocket pharmacy expenses, provide an option to cap Medicare Part D beneficiary monthly out-of-pocket expenses, and place limits on pharmaceutical price increases. On July 24, 2020, President Trump signed several executive orders directed toward lowering drug prices. On October 9, 2019, HHS, OIG and CMS issued two proposed rules that set forth modifications to the Federal Anti-Kickback Statute, Civil Monetary Penalties Law and Physician Self-Referral Law (or the Stark Law) regulations to promote value-based and coordinated care arrangements. 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13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-163-</w:t>
      </w:r>
    </w:p>
    <w:p>
      <w:pPr>
        <w:sectPr>
          <w:pgSz w:w="11900" w:h="16838" w:orient="portrait"/>
          <w:cols w:equalWidth="0" w:num="1">
            <w:col w:w="11120"/>
          </w:cols>
          <w:pgMar w:left="320" w:top="455" w:right="459" w:bottom="1440" w:gutter="0" w:footer="0" w:header="0"/>
        </w:sectPr>
      </w:pPr>
    </w:p>
    <w:bookmarkStart w:id="166" w:name="page167"/>
    <w:bookmarkEnd w:id="16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firstLine="881"/>
        <w:spacing w:after="0" w:line="253" w:lineRule="auto"/>
        <w:rPr>
          <w:sz w:val="20"/>
          <w:szCs w:val="20"/>
          <w:color w:val="auto"/>
        </w:rPr>
      </w:pPr>
      <w:r>
        <w:rPr>
          <w:rFonts w:ascii="Times New Roman" w:cs="Times New Roman" w:eastAsia="Times New Roman" w:hAnsi="Times New Roman"/>
          <w:sz w:val="18"/>
          <w:szCs w:val="18"/>
          <w:color w:val="auto"/>
        </w:rPr>
        <w:t>Moreover, the Medicare Prescription Drug, Improvement, and Modernization Act of 2003, or MMA, established the Medicare Part D program to provide a voluntary prescription drug benefit to Medicare beneficiaries. Under Part D, Medicare beneficiaries may enroll in prescription drug plans offered by private entities that provide coverage of outpatient prescription drugs. Unlike Medicare Part A and B, Part D coverage is not standardized. While all Medicare drug plans must give at least a standard level of coverage set by Medicare, Part D prescription drug plan sponsors are not required to pay for all covered Part D drugs, and each drug plan can develop its own drug formulary that identifies which drugs it will cover and at what tier or level. However, Part D prescription drug formularies must include drugs within each therapeutic category and class of covered Part D drugs, though not necessarily all the drugs in each category or class. Any formulary used by a Part D prescription drug plan must be developed and reviewed by a pharmacy and therapeutic committee. Government payment for some of the costs of prescription drugs may increase demand for products for which we receive marketing approval. However, any negotiated prices for our products covered by a Part D prescription drug plan likely will be lower than the prices we might otherwise obtain. Moreover, while the MMA applies only to drug benefits for Medicare beneficiaries, private third-party payors often follow Medicare coverage policy and payment limitations in setting their own payment rates.</w:t>
      </w:r>
    </w:p>
    <w:p>
      <w:pPr>
        <w:spacing w:after="0" w:line="1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229" w:lineRule="exact"/>
        <w:rPr>
          <w:sz w:val="20"/>
          <w:szCs w:val="20"/>
          <w:color w:val="auto"/>
        </w:rPr>
      </w:pPr>
    </w:p>
    <w:p>
      <w:pPr>
        <w:ind w:left="120" w:right="540" w:firstLine="881"/>
        <w:spacing w:after="0" w:line="282" w:lineRule="auto"/>
        <w:rPr>
          <w:sz w:val="20"/>
          <w:szCs w:val="20"/>
          <w:color w:val="auto"/>
        </w:rPr>
      </w:pPr>
      <w:r>
        <w:rPr>
          <w:rFonts w:ascii="Times New Roman" w:cs="Times New Roman" w:eastAsia="Times New Roman" w:hAnsi="Times New Roman"/>
          <w:sz w:val="18"/>
          <w:szCs w:val="18"/>
          <w:color w:val="auto"/>
        </w:rPr>
        <w:t>As of June 30, 2020, we had 12 employees, all of whom were full-time employees, and seven of whom were engaged in research and development activities. None of our employees are represented by a labor union or covered under a collective bargaining agreement.</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Facilities</w:t>
      </w:r>
    </w:p>
    <w:p>
      <w:pPr>
        <w:spacing w:after="0" w:line="229" w:lineRule="exact"/>
        <w:rPr>
          <w:sz w:val="20"/>
          <w:szCs w:val="20"/>
          <w:color w:val="auto"/>
        </w:rPr>
      </w:pPr>
    </w:p>
    <w:p>
      <w:pPr>
        <w:ind w:left="120" w:right="380" w:firstLine="881"/>
        <w:spacing w:after="0" w:line="266" w:lineRule="auto"/>
        <w:rPr>
          <w:sz w:val="20"/>
          <w:szCs w:val="20"/>
          <w:color w:val="auto"/>
        </w:rPr>
      </w:pPr>
      <w:r>
        <w:rPr>
          <w:rFonts w:ascii="Times New Roman" w:cs="Times New Roman" w:eastAsia="Times New Roman" w:hAnsi="Times New Roman"/>
          <w:sz w:val="18"/>
          <w:szCs w:val="18"/>
          <w:color w:val="auto"/>
        </w:rPr>
        <w:t>We currently lease 10,879 square feet of office and laboratory space in Irvine, California under a lease that expires in January 2024. We believe that this space is sufficient to meet our needs for the foreseeable future and that any additional space we may require will be available on commercially reasonable terms.</w:t>
      </w:r>
    </w:p>
    <w:p>
      <w:pPr>
        <w:spacing w:after="0" w:line="176" w:lineRule="exact"/>
        <w:rPr>
          <w:sz w:val="20"/>
          <w:szCs w:val="20"/>
          <w:color w:val="auto"/>
        </w:rPr>
      </w:pPr>
    </w:p>
    <w:p>
      <w:pPr>
        <w:ind w:left="120" w:right="320" w:firstLine="881"/>
        <w:spacing w:after="0" w:line="282" w:lineRule="auto"/>
        <w:rPr>
          <w:sz w:val="20"/>
          <w:szCs w:val="20"/>
          <w:color w:val="auto"/>
        </w:rPr>
      </w:pPr>
      <w:r>
        <w:rPr>
          <w:rFonts w:ascii="Times New Roman" w:cs="Times New Roman" w:eastAsia="Times New Roman" w:hAnsi="Times New Roman"/>
          <w:sz w:val="18"/>
          <w:szCs w:val="18"/>
          <w:color w:val="auto"/>
        </w:rPr>
        <w:t>We also lease 3,290 square feet of office and laboratory space in Irvine, California under an existing lease that expires in April 2022. We plan to sublease this space.</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229" w:lineRule="exact"/>
        <w:rPr>
          <w:sz w:val="20"/>
          <w:szCs w:val="20"/>
          <w:color w:val="auto"/>
        </w:rPr>
      </w:pPr>
    </w:p>
    <w:p>
      <w:pPr>
        <w:ind w:left="120" w:right="40" w:firstLine="881"/>
        <w:spacing w:after="0" w:line="266" w:lineRule="auto"/>
        <w:rPr>
          <w:sz w:val="20"/>
          <w:szCs w:val="20"/>
          <w:color w:val="auto"/>
        </w:rPr>
      </w:pPr>
      <w:r>
        <w:rPr>
          <w:rFonts w:ascii="Times New Roman" w:cs="Times New Roman" w:eastAsia="Times New Roman" w:hAnsi="Times New Roman"/>
          <w:sz w:val="18"/>
          <w:szCs w:val="18"/>
          <w:color w:val="auto"/>
        </w:rPr>
        <w:t>We are not currently a party to any material legal proceedings. From time to time, we may become involved in legal proceedings arising in the ordinary course of our business. Regardless of outcome, litigation can have an adverse impact on us due to defense and settlement costs, diversion of management resources, negative publicity, reputational harm and other factors.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-164-</w:t>
      </w:r>
    </w:p>
    <w:p>
      <w:pPr>
        <w:sectPr>
          <w:pgSz w:w="11900" w:h="16838" w:orient="portrait"/>
          <w:cols w:equalWidth="0" w:num="1">
            <w:col w:w="11140"/>
          </w:cols>
          <w:pgMar w:left="320" w:top="455" w:right="439" w:bottom="1440" w:gutter="0" w:footer="0" w:header="0"/>
        </w:sectPr>
      </w:pPr>
    </w:p>
    <w:bookmarkStart w:id="167" w:name="page168"/>
    <w:bookmarkEnd w:id="16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MANAGEMENT</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Executive Officers and Directors</w:t>
      </w:r>
    </w:p>
    <w:p>
      <w:pPr>
        <w:spacing w:after="0" w:line="22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The following table sets forth the names, ages and positions of our executive officers and directors as of August 31, 2020:</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3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334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Age</w:t>
            </w:r>
          </w:p>
        </w:tc>
        <w:tc>
          <w:tcPr>
            <w:tcW w:w="80" w:type="dxa"/>
            <w:vAlign w:val="bottom"/>
          </w:tcPr>
          <w:p>
            <w:pPr>
              <w:spacing w:after="0"/>
              <w:rPr>
                <w:sz w:val="15"/>
                <w:szCs w:val="15"/>
                <w:color w:val="auto"/>
              </w:rPr>
            </w:pPr>
          </w:p>
        </w:tc>
        <w:tc>
          <w:tcPr>
            <w:tcW w:w="350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Position</w:t>
            </w:r>
          </w:p>
        </w:tc>
      </w:tr>
      <w:tr>
        <w:trPr>
          <w:trHeight w:val="20"/>
        </w:trPr>
        <w:tc>
          <w:tcPr>
            <w:tcW w:w="360" w:type="dxa"/>
            <w:vAlign w:val="bottom"/>
            <w:shd w:val="clear" w:color="auto" w:fill="000000"/>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r>
      <w:tr>
        <w:trPr>
          <w:trHeight w:val="191"/>
        </w:trPr>
        <w:tc>
          <w:tcPr>
            <w:tcW w:w="370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b w:val="1"/>
                <w:bCs w:val="1"/>
                <w:color w:val="auto"/>
              </w:rPr>
              <w:t>Executive Officers:</w:t>
            </w: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920" w:type="dxa"/>
            <w:vAlign w:val="bottom"/>
          </w:tcPr>
          <w:p>
            <w:pPr>
              <w:spacing w:after="0"/>
              <w:rPr>
                <w:sz w:val="16"/>
                <w:szCs w:val="16"/>
                <w:color w:val="auto"/>
              </w:rPr>
            </w:pPr>
          </w:p>
        </w:tc>
      </w:tr>
      <w:tr>
        <w:trPr>
          <w:trHeight w:val="216"/>
        </w:trPr>
        <w:tc>
          <w:tcPr>
            <w:tcW w:w="3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Bobak Azamian, M.D., Ph.D.</w:t>
            </w:r>
          </w:p>
        </w:tc>
        <w:tc>
          <w:tcPr>
            <w:tcW w:w="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42</w:t>
            </w:r>
          </w:p>
        </w:tc>
        <w:tc>
          <w:tcPr>
            <w:tcW w:w="35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w w:val="98"/>
              </w:rPr>
              <w:t>President, Chief Executive Officer and Director</w:t>
            </w:r>
          </w:p>
        </w:tc>
      </w:tr>
      <w:tr>
        <w:trPr>
          <w:trHeight w:val="216"/>
        </w:trPr>
        <w:tc>
          <w:tcPr>
            <w:tcW w:w="3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Leo M. Greenstein</w:t>
            </w:r>
          </w:p>
        </w:tc>
        <w:tc>
          <w:tcPr>
            <w:tcW w:w="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44</w:t>
            </w:r>
          </w:p>
        </w:tc>
        <w:tc>
          <w:tcPr>
            <w:tcW w:w="35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16"/>
        </w:trPr>
        <w:tc>
          <w:tcPr>
            <w:tcW w:w="3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Seshadri Neervannan, Ph.D.</w:t>
            </w:r>
          </w:p>
        </w:tc>
        <w:tc>
          <w:tcPr>
            <w:tcW w:w="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52</w:t>
            </w:r>
          </w:p>
        </w:tc>
        <w:tc>
          <w:tcPr>
            <w:tcW w:w="35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Chief Operating Officer</w:t>
            </w:r>
          </w:p>
        </w:tc>
      </w:tr>
      <w:tr>
        <w:trPr>
          <w:trHeight w:val="216"/>
        </w:trPr>
        <w:tc>
          <w:tcPr>
            <w:tcW w:w="3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Aziz Mottiwala</w:t>
            </w:r>
          </w:p>
        </w:tc>
        <w:tc>
          <w:tcPr>
            <w:tcW w:w="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43</w:t>
            </w:r>
          </w:p>
        </w:tc>
        <w:tc>
          <w:tcPr>
            <w:tcW w:w="35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Chief Commercial Officer</w:t>
            </w:r>
          </w:p>
        </w:tc>
      </w:tr>
      <w:tr>
        <w:trPr>
          <w:trHeight w:val="234"/>
        </w:trPr>
        <w:tc>
          <w:tcPr>
            <w:tcW w:w="3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Mark Holdbrook</w:t>
            </w:r>
          </w:p>
        </w:tc>
        <w:tc>
          <w:tcPr>
            <w:tcW w:w="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67</w:t>
            </w:r>
          </w:p>
        </w:tc>
        <w:tc>
          <w:tcPr>
            <w:tcW w:w="35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Vice President, Clinical Affairs</w:t>
            </w:r>
          </w:p>
        </w:tc>
      </w:tr>
      <w:tr>
        <w:trPr>
          <w:trHeight w:val="306"/>
        </w:trPr>
        <w:tc>
          <w:tcPr>
            <w:tcW w:w="3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Non-Employee Directors:</w:t>
            </w: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920" w:type="dxa"/>
            <w:vAlign w:val="bottom"/>
          </w:tcPr>
          <w:p>
            <w:pPr>
              <w:spacing w:after="0"/>
              <w:rPr>
                <w:sz w:val="24"/>
                <w:szCs w:val="24"/>
                <w:color w:val="auto"/>
              </w:rPr>
            </w:pPr>
          </w:p>
        </w:tc>
      </w:tr>
      <w:tr>
        <w:trPr>
          <w:trHeight w:val="216"/>
        </w:trPr>
        <w:tc>
          <w:tcPr>
            <w:tcW w:w="3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Michael Ackermann, Ph.D.</w:t>
            </w:r>
          </w:p>
        </w:tc>
        <w:tc>
          <w:tcPr>
            <w:tcW w:w="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38</w:t>
            </w:r>
          </w:p>
        </w:tc>
        <w:tc>
          <w:tcPr>
            <w:tcW w:w="35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Chairperson of the Board (2) (3)</w:t>
            </w:r>
          </w:p>
        </w:tc>
      </w:tr>
      <w:tr>
        <w:trPr>
          <w:trHeight w:val="216"/>
        </w:trPr>
        <w:tc>
          <w:tcPr>
            <w:tcW w:w="3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Bhaskar Chaudhuri, Ph.D.</w:t>
            </w:r>
          </w:p>
        </w:tc>
        <w:tc>
          <w:tcPr>
            <w:tcW w:w="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66</w:t>
            </w:r>
          </w:p>
        </w:tc>
        <w:tc>
          <w:tcPr>
            <w:tcW w:w="35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Director (1)</w:t>
            </w:r>
          </w:p>
        </w:tc>
      </w:tr>
      <w:tr>
        <w:trPr>
          <w:trHeight w:val="216"/>
        </w:trPr>
        <w:tc>
          <w:tcPr>
            <w:tcW w:w="3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Andrew Goldberg, M.D.</w:t>
            </w:r>
          </w:p>
        </w:tc>
        <w:tc>
          <w:tcPr>
            <w:tcW w:w="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39</w:t>
            </w:r>
          </w:p>
        </w:tc>
        <w:tc>
          <w:tcPr>
            <w:tcW w:w="35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Director (2)(3)</w:t>
            </w:r>
          </w:p>
        </w:tc>
      </w:tr>
      <w:tr>
        <w:trPr>
          <w:trHeight w:val="216"/>
        </w:trPr>
        <w:tc>
          <w:tcPr>
            <w:tcW w:w="3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William J. Link, Ph.D.</w:t>
            </w:r>
          </w:p>
        </w:tc>
        <w:tc>
          <w:tcPr>
            <w:tcW w:w="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74</w:t>
            </w:r>
          </w:p>
        </w:tc>
        <w:tc>
          <w:tcPr>
            <w:tcW w:w="35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Director (1)(2)(3)</w:t>
            </w:r>
          </w:p>
        </w:tc>
      </w:tr>
      <w:tr>
        <w:trPr>
          <w:trHeight w:val="234"/>
        </w:trPr>
        <w:tc>
          <w:tcPr>
            <w:tcW w:w="3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Jason Tester</w:t>
            </w:r>
          </w:p>
        </w:tc>
        <w:tc>
          <w:tcPr>
            <w:tcW w:w="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44</w:t>
            </w:r>
          </w:p>
        </w:tc>
        <w:tc>
          <w:tcPr>
            <w:tcW w:w="350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Director (1)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46" w:lineRule="exact"/>
        <w:rPr>
          <w:sz w:val="20"/>
          <w:szCs w:val="20"/>
          <w:color w:val="auto"/>
        </w:rPr>
      </w:pPr>
    </w:p>
    <w:p>
      <w:pPr>
        <w:ind w:left="540" w:hanging="424"/>
        <w:spacing w:after="0"/>
        <w:tabs>
          <w:tab w:leader="none" w:pos="540" w:val="left"/>
        </w:tabs>
        <w:numPr>
          <w:ilvl w:val="0"/>
          <w:numId w:val="1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Audit Committee Member</w:t>
      </w:r>
    </w:p>
    <w:p>
      <w:pPr>
        <w:spacing w:after="0" w:line="230" w:lineRule="exact"/>
        <w:rPr>
          <w:rFonts w:ascii="Times New Roman" w:cs="Times New Roman" w:eastAsia="Times New Roman" w:hAnsi="Times New Roman"/>
          <w:sz w:val="14"/>
          <w:szCs w:val="14"/>
          <w:color w:val="auto"/>
        </w:rPr>
      </w:pPr>
    </w:p>
    <w:p>
      <w:pPr>
        <w:ind w:left="540" w:hanging="424"/>
        <w:spacing w:after="0"/>
        <w:tabs>
          <w:tab w:leader="none" w:pos="540" w:val="left"/>
        </w:tabs>
        <w:numPr>
          <w:ilvl w:val="0"/>
          <w:numId w:val="1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Compensation Committee Member</w:t>
      </w:r>
    </w:p>
    <w:p>
      <w:pPr>
        <w:spacing w:after="0" w:line="230" w:lineRule="exact"/>
        <w:rPr>
          <w:rFonts w:ascii="Times New Roman" w:cs="Times New Roman" w:eastAsia="Times New Roman" w:hAnsi="Times New Roman"/>
          <w:sz w:val="14"/>
          <w:szCs w:val="14"/>
          <w:color w:val="auto"/>
        </w:rPr>
      </w:pPr>
    </w:p>
    <w:p>
      <w:pPr>
        <w:ind w:left="540" w:hanging="424"/>
        <w:spacing w:after="0"/>
        <w:tabs>
          <w:tab w:leader="none" w:pos="540" w:val="left"/>
        </w:tabs>
        <w:numPr>
          <w:ilvl w:val="0"/>
          <w:numId w:val="1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Nominating and Corporate Governance Committee Member</w:t>
      </w:r>
    </w:p>
    <w:p>
      <w:pPr>
        <w:spacing w:after="0" w:line="20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225" w:lineRule="exact"/>
        <w:rPr>
          <w:sz w:val="20"/>
          <w:szCs w:val="20"/>
          <w:color w:val="auto"/>
        </w:rPr>
      </w:pPr>
    </w:p>
    <w:p>
      <w:pPr>
        <w:ind w:left="120" w:right="180" w:firstLine="881"/>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Bobak Azamian, M.D., Ph.D.</w:t>
      </w:r>
      <w:r>
        <w:rPr>
          <w:rFonts w:ascii="Times New Roman" w:cs="Times New Roman" w:eastAsia="Times New Roman" w:hAnsi="Times New Roman"/>
          <w:sz w:val="18"/>
          <w:szCs w:val="18"/>
          <w:color w:val="auto"/>
        </w:rPr>
        <w:t>, is our co-founder and has served as our President since our inception, as our Chief Executive Officer since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September 2018 and as a member of our board of directors since December 2016. From June 2012 to September 2018, Dr. Azamian co-founded and served as Chief Executive Officer, President, and Chief Medical Officer of Metavention, Inc., a company focused on treatment of diabetes and other metabolic diseases. Since September 2016, Dr. Azamian has also served as co-founder, co-Chairman and Chief Executive Officer of Vibrato Medical, Inc., a medical device company developing wearable treatments for peripheral arterial disease. Dr. Azamian previously served as an Entrepreneur in Residence at Versant Ventures from 2011 to 2013, and as a consultant and Senior Associate at Third Rock Ventures from 2007 to 2011, both venture capital firms focused on investing in early stage healthcare companies, and earlier served as a consultant at Amgen. He also completed residency in internal medicine and served as an attending hospitalist at Brigham and Women’s Hospital from 2006 to 2011. Dr. Azamian received a B.A. in Biophysics from Rice University, a Doctor of Philosophy (Chemistry) from University of Oxford and a Doctor of Medicine from Harvard Medical School. We believe that Dr. Azamian is qualified to serve on our board of directors because of the perspective and experience he provides as our President and Chief Executive Officer as well as his broad experience within the life sciences industry.</w:t>
      </w:r>
    </w:p>
    <w:p>
      <w:pPr>
        <w:spacing w:after="0" w:line="182" w:lineRule="exact"/>
        <w:rPr>
          <w:sz w:val="20"/>
          <w:szCs w:val="20"/>
          <w:color w:val="auto"/>
        </w:rPr>
      </w:pPr>
    </w:p>
    <w:p>
      <w:pPr>
        <w:ind w:left="120" w:firstLine="881"/>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Leo M. Greenstein </w:t>
      </w:r>
      <w:r>
        <w:rPr>
          <w:rFonts w:ascii="Times New Roman" w:cs="Times New Roman" w:eastAsia="Times New Roman" w:hAnsi="Times New Roman"/>
          <w:sz w:val="18"/>
          <w:szCs w:val="18"/>
          <w:color w:val="auto"/>
        </w:rPr>
        <w:t>has served as our Chief Financial Officer since April 2020. Mr. Greenstein previously served as Senior Vice President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Finance and Corporate Controller at Spectrum Pharmaceuticals, Inc., a publicly-traded oncology pharmaceutical company from September 2013 until April 2020. Prior to Spectrum Pharmaceuticals, Mr. Greenstein served as Vice President of Finance and Corporate Controller at Endologix, Inc., a publicly-traded medical device company, from May 2011 to September 2013, and Senior Director of Finance and SEC Reporting at Clarient, Inc., a then publicly-traded advanced oncology diagnostics services company, from June 2007 to April 2011, inclusive of his finance role with its then-majority shareholder.</w:t>
      </w:r>
    </w:p>
    <w:p>
      <w:pPr>
        <w:spacing w:after="0" w:line="11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-165-</w:t>
      </w:r>
    </w:p>
    <w:p>
      <w:pPr>
        <w:sectPr>
          <w:pgSz w:w="11900" w:h="16838" w:orient="portrait"/>
          <w:cols w:equalWidth="0" w:num="1">
            <w:col w:w="11100"/>
          </w:cols>
          <w:pgMar w:left="320" w:top="455" w:right="479" w:bottom="1440" w:gutter="0" w:footer="0" w:header="0"/>
        </w:sectPr>
      </w:pPr>
    </w:p>
    <w:bookmarkStart w:id="168" w:name="page169"/>
    <w:bookmarkEnd w:id="16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520"/>
        <w:spacing w:after="0" w:line="261" w:lineRule="auto"/>
        <w:rPr>
          <w:sz w:val="20"/>
          <w:szCs w:val="20"/>
          <w:color w:val="auto"/>
        </w:rPr>
      </w:pPr>
      <w:r>
        <w:rPr>
          <w:rFonts w:ascii="Times New Roman" w:cs="Times New Roman" w:eastAsia="Times New Roman" w:hAnsi="Times New Roman"/>
          <w:sz w:val="18"/>
          <w:szCs w:val="18"/>
          <w:color w:val="auto"/>
        </w:rPr>
        <w:t>Mr. Greenstein spent eight years in Big-4 Public Accounting, beginning with Arthur Andersen LLP in September 1999 and ending with PriceWaterhouseCoopers LLP in June 2007. Mr. Greenstein received a B.A. in Accounting from Arcadia University and Juris Doctorate from the Temple University Beasley School of Law. He is an active attorney and member of the State Bar of California and is an active Certified Public Accountant in California.</w:t>
      </w:r>
    </w:p>
    <w:p>
      <w:pPr>
        <w:spacing w:after="0" w:line="176" w:lineRule="exact"/>
        <w:rPr>
          <w:sz w:val="20"/>
          <w:szCs w:val="20"/>
          <w:color w:val="auto"/>
        </w:rPr>
      </w:pPr>
    </w:p>
    <w:p>
      <w:pPr>
        <w:ind w:left="120" w:right="40" w:firstLine="881"/>
        <w:spacing w:after="0" w:line="275" w:lineRule="auto"/>
        <w:rPr>
          <w:sz w:val="20"/>
          <w:szCs w:val="20"/>
          <w:color w:val="auto"/>
        </w:rPr>
      </w:pPr>
      <w:r>
        <w:rPr>
          <w:rFonts w:ascii="Times New Roman" w:cs="Times New Roman" w:eastAsia="Times New Roman" w:hAnsi="Times New Roman"/>
          <w:sz w:val="17"/>
          <w:szCs w:val="17"/>
          <w:b w:val="1"/>
          <w:bCs w:val="1"/>
          <w:i w:val="1"/>
          <w:iCs w:val="1"/>
          <w:color w:val="auto"/>
        </w:rPr>
        <w:t xml:space="preserve">Seshadri Neervannan, Ph.D. </w:t>
      </w:r>
      <w:r>
        <w:rPr>
          <w:rFonts w:ascii="Times New Roman" w:cs="Times New Roman" w:eastAsia="Times New Roman" w:hAnsi="Times New Roman"/>
          <w:sz w:val="17"/>
          <w:szCs w:val="17"/>
          <w:color w:val="auto"/>
        </w:rPr>
        <w:t>has served as our Chief Operating Officer since July 2020. Dr. Neervannan previously served as Senior Vice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President of Global Pharmaceutical Development, from March 2015 to July 2020 at Allergan, and Vice President, Pharmaceutical Development, from January 2007 to February 2015 at Allergan Inc., a global pharmaceutical company. Prior to Allergan he was Director of Pharmaceutics R&amp;D, at Amgen Inc., a biotechnology company, from February 1999 to January 2007. From November 1994 to February 1999, Dr. Neervannan was Sr. Research Investigator at Bristol-Myers Squibb Pharmaceutical Research Institute. Dr. Neervannan received a B.S. in Pharmacy (with Honors) from Birla Institute of Technology &amp; Science, Pilani, India, and a Ph.D. (with Honors) in Pharmaceutical Chemistry from the University of Kansas, Lawrence, KS.</w:t>
      </w:r>
    </w:p>
    <w:p>
      <w:pPr>
        <w:spacing w:after="0" w:line="168" w:lineRule="exact"/>
        <w:rPr>
          <w:sz w:val="20"/>
          <w:szCs w:val="20"/>
          <w:color w:val="auto"/>
        </w:rPr>
      </w:pPr>
    </w:p>
    <w:p>
      <w:pPr>
        <w:ind w:left="120" w:firstLine="881"/>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Aziz Mottiwala </w:t>
      </w:r>
      <w:r>
        <w:rPr>
          <w:rFonts w:ascii="Times New Roman" w:cs="Times New Roman" w:eastAsia="Times New Roman" w:hAnsi="Times New Roman"/>
          <w:sz w:val="18"/>
          <w:szCs w:val="18"/>
          <w:color w:val="auto"/>
        </w:rPr>
        <w:t>has served as our Chief Commercial Officer since August 2020. Mr. Mottiwala has served on the board of directors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OneOC, a non-profit organization based in Orange County, California since March 2018. Mr. Mottiwala previously served as Chief Commercial Officer of Opiant Pharmaceutical, Inc., or Opiant, a publicly-traded pharmaceutical company specializing in medicines for the treatment of addictions and drug overdose from September 2019 to August 2020. Prior to Opiant, Mr. Mottiwala served as Senior Vice President of Sales and Marketing and Head of Commercial at Avanir Pharmaceuticals, Inc., or Avanir, a pharmaceutical company specializing in medicines to treat nervous system disorders from July 2017 to September 2019. Prior to Avanir, Mr. Mottiwala spent over ten years at Allergan, a global pharmaceutical company, in various roles from December 2006 to July 2017, most recently as Vice President of Marketing for Allergan’s eye car portfolio from January 2014 to July 2017.</w:t>
      </w:r>
    </w:p>
    <w:p>
      <w:pPr>
        <w:spacing w:after="0" w:line="1" w:lineRule="exact"/>
        <w:rPr>
          <w:sz w:val="20"/>
          <w:szCs w:val="20"/>
          <w:color w:val="auto"/>
        </w:rPr>
      </w:pPr>
    </w:p>
    <w:p>
      <w:pPr>
        <w:ind w:left="120" w:right="60"/>
        <w:spacing w:after="0" w:line="260" w:lineRule="auto"/>
        <w:rPr>
          <w:sz w:val="20"/>
          <w:szCs w:val="20"/>
          <w:color w:val="auto"/>
        </w:rPr>
      </w:pPr>
      <w:r>
        <w:rPr>
          <w:rFonts w:ascii="Times New Roman" w:cs="Times New Roman" w:eastAsia="Times New Roman" w:hAnsi="Times New Roman"/>
          <w:sz w:val="18"/>
          <w:szCs w:val="18"/>
          <w:color w:val="auto"/>
        </w:rPr>
        <w:t>Mr. Mottiwala holds a Bachelor of Science degree in Biochemistry from the University of California San Diego and an MBA in Marketing and Finance from the Marshall School of Business at the University of Southern California.</w:t>
      </w:r>
    </w:p>
    <w:p>
      <w:pPr>
        <w:spacing w:after="0" w:line="177" w:lineRule="exact"/>
        <w:rPr>
          <w:sz w:val="20"/>
          <w:szCs w:val="20"/>
          <w:color w:val="auto"/>
        </w:rPr>
      </w:pPr>
    </w:p>
    <w:p>
      <w:pPr>
        <w:ind w:left="120" w:right="200" w:firstLine="881"/>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Michael Holdbrook </w:t>
      </w:r>
      <w:r>
        <w:rPr>
          <w:rFonts w:ascii="Times New Roman" w:cs="Times New Roman" w:eastAsia="Times New Roman" w:hAnsi="Times New Roman"/>
          <w:sz w:val="18"/>
          <w:szCs w:val="18"/>
          <w:color w:val="auto"/>
        </w:rPr>
        <w:t>has served as our Vice President of Clinical Affairs since November 2018. Prior to this Mr. Holdbrook was 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independent consultant from October 2017 to November 2018 and served as Senior/Executive Director for Oculeve, which was acquired by Allergan, from May 2014 to October 2017. Mr. Holdbrook received a B.A. from the University of California at San Diego.</w:t>
      </w:r>
    </w:p>
    <w:p>
      <w:pPr>
        <w:spacing w:after="0" w:line="17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Non-Employee Directors</w:t>
      </w:r>
    </w:p>
    <w:p>
      <w:pPr>
        <w:spacing w:after="0" w:line="225" w:lineRule="exact"/>
        <w:rPr>
          <w:sz w:val="20"/>
          <w:szCs w:val="20"/>
          <w:color w:val="auto"/>
        </w:rPr>
      </w:pPr>
    </w:p>
    <w:p>
      <w:pPr>
        <w:ind w:left="120" w:right="20" w:firstLine="881"/>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Michael Ackermann, Ph.D. </w:t>
      </w:r>
      <w:r>
        <w:rPr>
          <w:rFonts w:ascii="Times New Roman" w:cs="Times New Roman" w:eastAsia="Times New Roman" w:hAnsi="Times New Roman"/>
          <w:sz w:val="18"/>
          <w:szCs w:val="18"/>
          <w:color w:val="auto"/>
        </w:rPr>
        <w:t>has served as a member of our board of directors and as chairperson of our board of directors since July 2017.</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Dr. Ackermann has been the Chief Executive Officer of Presidio Medical, Inc. since September 2017 and chairman of the board of Oyster Point Pharma since October 2017. Prior to that, he was Vice President, Neurostimulation for Allergan from August 2015 to June 2017 after serving as Chief Executive Officer of Oculeve, which was acquired by Allergan, from June 2012 to August 2015. Dr. Ackermann received a B.E. in biomedical engineering from Vanderbilt University and a M.S. and Ph.D. in biomedical engineering from Case Western Reserve University. We believe Dr. Ackermann is qualified to serve on our board of directors because of his substantial business and academic experience in the medical device and pharmaceutical development industries.</w:t>
      </w:r>
    </w:p>
    <w:p>
      <w:pPr>
        <w:spacing w:after="0" w:line="183" w:lineRule="exact"/>
        <w:rPr>
          <w:sz w:val="20"/>
          <w:szCs w:val="20"/>
          <w:color w:val="auto"/>
        </w:rPr>
      </w:pPr>
    </w:p>
    <w:p>
      <w:pPr>
        <w:ind w:left="120" w:right="40" w:firstLine="881"/>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Bhaskar Chaudhuri, Ph.D. </w:t>
      </w:r>
      <w:r>
        <w:rPr>
          <w:rFonts w:ascii="Times New Roman" w:cs="Times New Roman" w:eastAsia="Times New Roman" w:hAnsi="Times New Roman"/>
          <w:sz w:val="18"/>
          <w:szCs w:val="18"/>
          <w:color w:val="auto"/>
        </w:rPr>
        <w:t>has served as a member of our board of directors since December 2019. Dr. Chaudhuri has more than 20 years’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experience in pharmaceutical management, research and development. Since June 2011, he has been the Operating Partner at Frazier Healthcare Ventures. Prior to that time, Dr. Chaudhuri served as President of Valeant Pharmaceuticals International, Inc. from January 2009 to September 2010. Prior to joining Valeant, Dr. Chaudhuri served for seven years as President and Chief Executive Officer of Dow Pharmaceutical Sciences, Inc. and as a member of its board of directors from 2003 to 2008, at which time Dow was acquired by Valeant. Prior to that, Dr. Chaudhuri served as Executive Vice President of</w:t>
      </w:r>
    </w:p>
    <w:p>
      <w:pPr>
        <w:spacing w:after="0" w:line="11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-166-</w:t>
      </w:r>
    </w:p>
    <w:p>
      <w:pPr>
        <w:sectPr>
          <w:pgSz w:w="11900" w:h="16838" w:orient="portrait"/>
          <w:cols w:equalWidth="0" w:num="1">
            <w:col w:w="11100"/>
          </w:cols>
          <w:pgMar w:left="320" w:top="455" w:right="479" w:bottom="1440" w:gutter="0" w:footer="0" w:header="0"/>
        </w:sectPr>
      </w:pPr>
    </w:p>
    <w:bookmarkStart w:id="169" w:name="page170"/>
    <w:bookmarkEnd w:id="16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54" w:lineRule="auto"/>
        <w:rPr>
          <w:sz w:val="20"/>
          <w:szCs w:val="20"/>
          <w:color w:val="auto"/>
        </w:rPr>
      </w:pPr>
      <w:r>
        <w:rPr>
          <w:rFonts w:ascii="Times New Roman" w:cs="Times New Roman" w:eastAsia="Times New Roman" w:hAnsi="Times New Roman"/>
          <w:sz w:val="18"/>
          <w:szCs w:val="18"/>
          <w:color w:val="auto"/>
        </w:rPr>
        <w:t>Scientific Affairs at Bertek Pharmaceuticals, Inc., a subsidiary of Mylan N.V., from 1998 to 2000. Prior to his positions at Bertek, Dr. Chaudhuri served as the General Manager of the Dermatology Division of Mylan. Dr. Chaudhuri joined Mylan through the acquisition of Penederm, Inc., where he worked from 1992 to 1998 in a number of senior positions before becoming the Vice President of Research and Development. Dr. Chaudhuri currently serves on the boards of directors of Arcutis Biotherapeutics, Inc., since June 2016, Teligent Pharmaceuticals, Inc. since November 2010 and Vyome Biosciences, Ltd. since June 2015. He also serves on the Advisory Board of the Berman Institute of John Hopkins University. Dr. Chaudhuri holds a Bachelor of Science degree in Pharmacy and an M.S. in Industrial Pharmacy from Jadavpur University and a Ph.D. in Pharmaceutics form the University of Louisiana. We believe Dr. Chaudhuri’s qualifications to serve on the Board of Directors include his many years of experience in the pharmaceutical industry, including his prior positions in senior executive roles at major pharmaceutical companies.</w:t>
      </w:r>
    </w:p>
    <w:p>
      <w:pPr>
        <w:spacing w:after="0" w:line="188" w:lineRule="exact"/>
        <w:rPr>
          <w:sz w:val="20"/>
          <w:szCs w:val="20"/>
          <w:color w:val="auto"/>
        </w:rPr>
      </w:pPr>
    </w:p>
    <w:p>
      <w:pPr>
        <w:ind w:left="120" w:right="480" w:firstLine="881"/>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 xml:space="preserve">Andrew Goldberg, M.D. </w:t>
      </w:r>
      <w:r>
        <w:rPr>
          <w:rFonts w:ascii="Times New Roman" w:cs="Times New Roman" w:eastAsia="Times New Roman" w:hAnsi="Times New Roman"/>
          <w:sz w:val="18"/>
          <w:szCs w:val="18"/>
          <w:color w:val="auto"/>
        </w:rPr>
        <w:t>has served as a member of our board of directors since August 2020. Since February 2016, Dr. Goldberg has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served as a principal of Vivo Capital, a global healthcare investment firm that focuses exclusively on the life sciences industry. Prior to this,</w:t>
      </w:r>
    </w:p>
    <w:p>
      <w:pPr>
        <w:spacing w:after="0" w:line="1" w:lineRule="exact"/>
        <w:rPr>
          <w:sz w:val="20"/>
          <w:szCs w:val="20"/>
          <w:color w:val="auto"/>
        </w:rPr>
      </w:pPr>
    </w:p>
    <w:p>
      <w:pPr>
        <w:ind w:left="120" w:right="100"/>
        <w:spacing w:after="0" w:line="251" w:lineRule="auto"/>
        <w:rPr>
          <w:sz w:val="20"/>
          <w:szCs w:val="20"/>
          <w:color w:val="auto"/>
        </w:rPr>
      </w:pPr>
      <w:r>
        <w:rPr>
          <w:rFonts w:ascii="Times New Roman" w:cs="Times New Roman" w:eastAsia="Times New Roman" w:hAnsi="Times New Roman"/>
          <w:sz w:val="18"/>
          <w:szCs w:val="18"/>
          <w:color w:val="auto"/>
        </w:rPr>
        <w:t>Dr. Goldberg was a consultant at McKinsey &amp; Company from September 2014 to February 2016, where he served pharmaceutical, medical device, and biotechnology companies across a range of strategy, M&amp;A, sales, marketing, and product development topics. Dr. Goldberg is a U.S. board-certified physician in both Critical Care Medicine and Emergency Medicine. He recently served as an Instructor in Medicine at the Mayo Clinic College of Medicine in Rochester, MN, from January 2013 to June 2013, where he also completed a fellowship in Critical Care Medicine and served as an Attending Physician in the Department of Emergency Medicine. Prior to this, he completed Emergency Medicine residency training at Los Angeles County + University of Southern California Medical Center (LAC+USC). His research has spanned a variety of topics, from traumatic brain injury and cardiac arrest to biomarker analysis and healthcare quality. He has over 25 scientific publications in leading peer-reviewed journals, including JAMA, Resuscitation, and the Cleveland Clinic Journal of Medicine. Dr. Goldberg received his M.D. from The George Washington University School of Medicine in Washington, DC, and a post-doctoral diploma in translational science from the Mayo Graduate School. He has held prior academic and clinical appointments at Oregon Health &amp; Science University and the University of Arizona and currently at the Washington Township Medical Foundation. We believe Dr. Goldberg’s qualifications to serve on the Board of Directors include his many years of experience in strategy and product development in the pharmaceutical industry, and his experience investing in pharmaceutical companies.</w:t>
      </w:r>
    </w:p>
    <w:p>
      <w:pPr>
        <w:spacing w:after="0" w:line="188" w:lineRule="exact"/>
        <w:rPr>
          <w:sz w:val="20"/>
          <w:szCs w:val="20"/>
          <w:color w:val="auto"/>
        </w:rPr>
      </w:pPr>
    </w:p>
    <w:p>
      <w:pPr>
        <w:ind w:left="120" w:firstLine="881"/>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William J. Link, Ph.D. </w:t>
      </w:r>
      <w:r>
        <w:rPr>
          <w:rFonts w:ascii="Times New Roman" w:cs="Times New Roman" w:eastAsia="Times New Roman" w:hAnsi="Times New Roman"/>
          <w:sz w:val="18"/>
          <w:szCs w:val="18"/>
          <w:color w:val="auto"/>
        </w:rPr>
        <w:t>has served as a member of our board of directors since January 2017. Dr. Link is a managing director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co-founder of both Flying L Partners, a venture capital firm formed in 2016 to focus on investing primarily in the ophthalmic space, and Versant Venture Management LLC, a life science venture capital firm investing in early stage healthcare companies. Prior to co-founding Versant in 1999, Dr. Link was a general partner at Brentwood Venture Capital. From 1987 to 1997, Dr. Link was founder, chairman, and Chief Executive Officer of Chiron Vision Corporation (acquired by Bausch &amp; Lomb). He also founded and served as President of American Medical Optics (acquired by Allergan). Dr. Link served as a director of Advanced Medical Optics (acquired by Abbott) from 2002 to 2009 and Inogen from 2003 to February 2014. Before entering the healthcare industry, Dr. Link was an assistant professor in the Department of Surgery at the Indiana University School of Medicine. He has been a member of the board of directors of Edwards Lifesciences Corporation since May 2009, Second Sight Medical Products from 2003 to May 31, 2020, Glaukos Corporation since 2001, and Oyster Point Pharma since July 2015. Dr. Link holds a B.S., an M.S., and a Ph.D. in mechanical engineering from Purdue University. We believe Dr. Link is qualified to serve on our board of directors because of his extensive experience in successfully commercializing products in the medical device industry, as well as his prior experience on the boards of U.S. public companies.</w:t>
      </w:r>
    </w:p>
    <w:p>
      <w:pPr>
        <w:spacing w:after="0" w:line="182" w:lineRule="exact"/>
        <w:rPr>
          <w:sz w:val="20"/>
          <w:szCs w:val="20"/>
          <w:color w:val="auto"/>
        </w:rPr>
      </w:pPr>
    </w:p>
    <w:p>
      <w:pPr>
        <w:ind w:left="120" w:right="20" w:firstLine="881"/>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 xml:space="preserve">Jason Tester </w:t>
      </w:r>
      <w:r>
        <w:rPr>
          <w:rFonts w:ascii="Times New Roman" w:cs="Times New Roman" w:eastAsia="Times New Roman" w:hAnsi="Times New Roman"/>
          <w:sz w:val="17"/>
          <w:szCs w:val="17"/>
          <w:color w:val="auto"/>
        </w:rPr>
        <w:t>has served as a member of our board of directors since March 2018. Since September 2017 Mr. Tester has served as Chief</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Financial Officer of the Horowitz Group. From September 2008 to August 2017 Mr. Tester was Chief Financial Officer of AcuFocus, an ophthalmic medical device company. From July 2007 to May 2008, Mr. Tester was Vice President of Jefferies &amp; Company, a healthcare investment bank. Mr. Tester</w:t>
      </w:r>
    </w:p>
    <w:p>
      <w:pPr>
        <w:spacing w:after="0" w:line="8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-167-</w:t>
      </w:r>
    </w:p>
    <w:p>
      <w:pPr>
        <w:sectPr>
          <w:pgSz w:w="11900" w:h="16838" w:orient="portrait"/>
          <w:cols w:equalWidth="0" w:num="1">
            <w:col w:w="11120"/>
          </w:cols>
          <w:pgMar w:left="320" w:top="455" w:right="459" w:bottom="1440" w:gutter="0" w:footer="0" w:header="0"/>
        </w:sectPr>
      </w:pPr>
    </w:p>
    <w:bookmarkStart w:id="170" w:name="page171"/>
    <w:bookmarkEnd w:id="17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60"/>
        <w:spacing w:after="0" w:line="266" w:lineRule="auto"/>
        <w:rPr>
          <w:sz w:val="20"/>
          <w:szCs w:val="20"/>
          <w:color w:val="auto"/>
        </w:rPr>
      </w:pPr>
      <w:r>
        <w:rPr>
          <w:rFonts w:ascii="Times New Roman" w:cs="Times New Roman" w:eastAsia="Times New Roman" w:hAnsi="Times New Roman"/>
          <w:sz w:val="18"/>
          <w:szCs w:val="18"/>
          <w:color w:val="auto"/>
        </w:rPr>
        <w:t>holds an MBA in finance from the Emory University Goizueta Business School, a Master of Accountancy with a specialization in taxation and a Bachelor of Business Administration from the University of Georgia. We believe that Mr. Tester is qualified to serve on our board of directors because of his financial and accounting expertise and his experience in the life science industry.</w:t>
      </w:r>
    </w:p>
    <w:p>
      <w:pPr>
        <w:spacing w:after="0" w:line="1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Board Composition</w:t>
      </w:r>
    </w:p>
    <w:p>
      <w:pPr>
        <w:spacing w:after="0" w:line="229" w:lineRule="exact"/>
        <w:rPr>
          <w:sz w:val="20"/>
          <w:szCs w:val="20"/>
          <w:color w:val="auto"/>
        </w:rPr>
      </w:pPr>
    </w:p>
    <w:p>
      <w:pPr>
        <w:jc w:val="both"/>
        <w:ind w:left="120" w:right="40" w:firstLine="881"/>
        <w:spacing w:after="0" w:line="266" w:lineRule="auto"/>
        <w:rPr>
          <w:sz w:val="20"/>
          <w:szCs w:val="20"/>
          <w:color w:val="auto"/>
        </w:rPr>
      </w:pPr>
      <w:r>
        <w:rPr>
          <w:rFonts w:ascii="Times New Roman" w:cs="Times New Roman" w:eastAsia="Times New Roman" w:hAnsi="Times New Roman"/>
          <w:sz w:val="18"/>
          <w:szCs w:val="18"/>
          <w:color w:val="auto"/>
        </w:rPr>
        <w:t>Our board of directors is currently authorized to have six members and currently consists of six members, who were elected pursuant to the amended and restated voting agreement that we entered into with certain holders of our common stock and certain holders of our preferred stock and the related provisions of our amended and restated certificate of incorporation.</w:t>
      </w:r>
    </w:p>
    <w:p>
      <w:pPr>
        <w:spacing w:after="0" w:line="176" w:lineRule="exact"/>
        <w:rPr>
          <w:sz w:val="20"/>
          <w:szCs w:val="20"/>
          <w:color w:val="auto"/>
        </w:rPr>
      </w:pPr>
    </w:p>
    <w:p>
      <w:pPr>
        <w:ind w:left="120" w:right="100" w:firstLine="881"/>
        <w:spacing w:after="0" w:line="266" w:lineRule="auto"/>
        <w:rPr>
          <w:sz w:val="20"/>
          <w:szCs w:val="20"/>
          <w:color w:val="auto"/>
        </w:rPr>
      </w:pPr>
      <w:r>
        <w:rPr>
          <w:rFonts w:ascii="Times New Roman" w:cs="Times New Roman" w:eastAsia="Times New Roman" w:hAnsi="Times New Roman"/>
          <w:sz w:val="18"/>
          <w:szCs w:val="18"/>
          <w:color w:val="auto"/>
        </w:rPr>
        <w:t>The provisions of this voting agreement will terminate upon the completion of this offering, after which there will be no further contractual obligations regarding the election of our directors. Our directors hold office until their successors have been elected and qualified or appointed, or the earlier of their death, resignation or removal.</w:t>
      </w:r>
    </w:p>
    <w:p>
      <w:pPr>
        <w:spacing w:after="0" w:line="176" w:lineRule="exact"/>
        <w:rPr>
          <w:sz w:val="20"/>
          <w:szCs w:val="20"/>
          <w:color w:val="auto"/>
        </w:rPr>
      </w:pPr>
    </w:p>
    <w:p>
      <w:pPr>
        <w:ind w:left="120" w:right="40" w:firstLine="881"/>
        <w:spacing w:after="0" w:line="261" w:lineRule="auto"/>
        <w:rPr>
          <w:sz w:val="20"/>
          <w:szCs w:val="20"/>
          <w:color w:val="auto"/>
        </w:rPr>
      </w:pPr>
      <w:r>
        <w:rPr>
          <w:rFonts w:ascii="Times New Roman" w:cs="Times New Roman" w:eastAsia="Times New Roman" w:hAnsi="Times New Roman"/>
          <w:sz w:val="18"/>
          <w:szCs w:val="18"/>
          <w:color w:val="auto"/>
        </w:rPr>
        <w:t>In accordance with the terms of our amended and restated certificate of incorporation and amended and restated bylaws that will be in effect upon the completion of this offering, our board of directors will be divided into three classes with staggered three-year terms. At each annual meeting of stockholders, the successors to directors whose terms then expire will be elected to serve from the time of election and qualification until the third annual meeting following election. Our directors will be divided among the three classes as follows:</w:t>
      </w:r>
    </w:p>
    <w:p>
      <w:pPr>
        <w:spacing w:after="0" w:line="207" w:lineRule="exact"/>
        <w:rPr>
          <w:sz w:val="20"/>
          <w:szCs w:val="20"/>
          <w:color w:val="auto"/>
        </w:rPr>
      </w:pPr>
    </w:p>
    <w:p>
      <w:pPr>
        <w:ind w:left="1420" w:right="240" w:hanging="319"/>
        <w:spacing w:after="0" w:line="282" w:lineRule="auto"/>
        <w:tabs>
          <w:tab w:leader="none" w:pos="142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I directors will be William J. Link and Jason Tester and their terms will expire at the annual meeting of stockholders to be held in 2021;</w:t>
      </w:r>
    </w:p>
    <w:p>
      <w:pPr>
        <w:spacing w:after="0" w:line="188" w:lineRule="exact"/>
        <w:rPr>
          <w:rFonts w:ascii="Times New Roman" w:cs="Times New Roman" w:eastAsia="Times New Roman" w:hAnsi="Times New Roman"/>
          <w:sz w:val="18"/>
          <w:szCs w:val="18"/>
          <w:color w:val="auto"/>
        </w:rPr>
      </w:pPr>
    </w:p>
    <w:p>
      <w:pPr>
        <w:ind w:left="1420" w:right="900" w:hanging="319"/>
        <w:spacing w:after="0" w:line="282" w:lineRule="auto"/>
        <w:tabs>
          <w:tab w:leader="none" w:pos="142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II directors will be Michael Ackermann and Bobak Azamian and their terms will expire at the annual meeting of stockholders to be held in 2022; and</w:t>
      </w:r>
    </w:p>
    <w:p>
      <w:pPr>
        <w:spacing w:after="0" w:line="188" w:lineRule="exact"/>
        <w:rPr>
          <w:rFonts w:ascii="Times New Roman" w:cs="Times New Roman" w:eastAsia="Times New Roman" w:hAnsi="Times New Roman"/>
          <w:sz w:val="18"/>
          <w:szCs w:val="18"/>
          <w:color w:val="auto"/>
        </w:rPr>
      </w:pPr>
    </w:p>
    <w:p>
      <w:pPr>
        <w:ind w:left="1420" w:right="780" w:hanging="319"/>
        <w:spacing w:after="0" w:line="282" w:lineRule="auto"/>
        <w:tabs>
          <w:tab w:leader="none" w:pos="142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III directors will be Bhaskar Chaudhuri and Andrew Goldberg and their terms will expire at the annual meeting of stockholders to be held in 2023.</w:t>
      </w:r>
    </w:p>
    <w:p>
      <w:pPr>
        <w:spacing w:after="0" w:line="162" w:lineRule="exact"/>
        <w:rPr>
          <w:sz w:val="20"/>
          <w:szCs w:val="20"/>
          <w:color w:val="auto"/>
        </w:rPr>
      </w:pPr>
    </w:p>
    <w:p>
      <w:pPr>
        <w:ind w:left="120" w:right="60" w:firstLine="881"/>
        <w:spacing w:after="0" w:line="261" w:lineRule="auto"/>
        <w:rPr>
          <w:sz w:val="20"/>
          <w:szCs w:val="20"/>
          <w:color w:val="auto"/>
        </w:rPr>
      </w:pPr>
      <w:r>
        <w:rPr>
          <w:rFonts w:ascii="Times New Roman" w:cs="Times New Roman" w:eastAsia="Times New Roman" w:hAnsi="Times New Roman"/>
          <w:sz w:val="18"/>
          <w:szCs w:val="18"/>
          <w:color w:val="auto"/>
        </w:rPr>
        <w:t>Directors in a particular class will be elected for three-year terms at the annual meeting of stockholders in the year in which their terms expire. As a result, only one class of directors will be elected at each annual meeting of our stockholders, with the other classes continuing for the remainder of their respective three-year terms. Each director’s term continues until the election and qualification of his or her successor, or the earlier of his or her death, resignation or removal.</w:t>
      </w:r>
    </w:p>
    <w:p>
      <w:pPr>
        <w:spacing w:after="0" w:line="180" w:lineRule="exact"/>
        <w:rPr>
          <w:sz w:val="20"/>
          <w:szCs w:val="20"/>
          <w:color w:val="auto"/>
        </w:rPr>
      </w:pPr>
    </w:p>
    <w:p>
      <w:pPr>
        <w:ind w:left="120" w:right="60" w:firstLine="881"/>
        <w:spacing w:after="0" w:line="261" w:lineRule="auto"/>
        <w:rPr>
          <w:sz w:val="20"/>
          <w:szCs w:val="20"/>
          <w:color w:val="auto"/>
        </w:rPr>
      </w:pPr>
      <w:r>
        <w:rPr>
          <w:rFonts w:ascii="Times New Roman" w:cs="Times New Roman" w:eastAsia="Times New Roman" w:hAnsi="Times New Roman"/>
          <w:sz w:val="18"/>
          <w:szCs w:val="18"/>
          <w:color w:val="auto"/>
        </w:rPr>
        <w:t>Our amended and restated certificate of incorporation and amended and restated bylaws that will be in effect upon the completion of this offering provide that only our board of directors can fill vacant directorships, including newly-created seats. Any additional directorships resulting from an increase in the authorized number of directors would be distributed pro rata among the three classes so that, as nearly as possible, each class would consist of one-third of the authorized number of directors.</w:t>
      </w:r>
    </w:p>
    <w:p>
      <w:pPr>
        <w:spacing w:after="0" w:line="180" w:lineRule="exact"/>
        <w:rPr>
          <w:sz w:val="20"/>
          <w:szCs w:val="20"/>
          <w:color w:val="auto"/>
        </w:rPr>
      </w:pPr>
    </w:p>
    <w:p>
      <w:pPr>
        <w:ind w:left="120" w:right="300" w:firstLine="881"/>
        <w:spacing w:after="0" w:line="266" w:lineRule="auto"/>
        <w:rPr>
          <w:sz w:val="20"/>
          <w:szCs w:val="20"/>
          <w:color w:val="auto"/>
        </w:rPr>
      </w:pPr>
      <w:r>
        <w:rPr>
          <w:rFonts w:ascii="Times New Roman" w:cs="Times New Roman" w:eastAsia="Times New Roman" w:hAnsi="Times New Roman"/>
          <w:sz w:val="18"/>
          <w:szCs w:val="18"/>
          <w:color w:val="auto"/>
        </w:rPr>
        <w:t>The classification of our board of directors may have the effect of delaying or preventing changes in our control or management. See the section titled “Description of Capital Stock — Anti-Takeover Provisions — Certificate of Incorporation and Bylaw Provisions” elsewhere in this prospectus.</w:t>
      </w:r>
    </w:p>
    <w:p>
      <w:pPr>
        <w:spacing w:after="0" w:line="1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229" w:lineRule="exact"/>
        <w:rPr>
          <w:sz w:val="20"/>
          <w:szCs w:val="20"/>
          <w:color w:val="auto"/>
        </w:rPr>
      </w:pPr>
    </w:p>
    <w:p>
      <w:pPr>
        <w:ind w:left="120" w:firstLine="881"/>
        <w:spacing w:after="0" w:line="282" w:lineRule="auto"/>
        <w:rPr>
          <w:sz w:val="20"/>
          <w:szCs w:val="20"/>
          <w:color w:val="auto"/>
        </w:rPr>
      </w:pPr>
      <w:r>
        <w:rPr>
          <w:rFonts w:ascii="Times New Roman" w:cs="Times New Roman" w:eastAsia="Times New Roman" w:hAnsi="Times New Roman"/>
          <w:sz w:val="18"/>
          <w:szCs w:val="18"/>
          <w:color w:val="auto"/>
        </w:rPr>
        <w:t>Upon the completion of this offering, we anticipate that our common stock will be listed on Nasdaq. Under the rules of Nasdaq, independent directors must comprise a majority of a listed company’s board of</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-168-</w:t>
      </w:r>
    </w:p>
    <w:p>
      <w:pPr>
        <w:sectPr>
          <w:pgSz w:w="11900" w:h="16838" w:orient="portrait"/>
          <w:cols w:equalWidth="0" w:num="1">
            <w:col w:w="11120"/>
          </w:cols>
          <w:pgMar w:left="320" w:top="455" w:right="459" w:bottom="1440" w:gutter="0" w:footer="0" w:header="0"/>
        </w:sectPr>
      </w:pPr>
    </w:p>
    <w:bookmarkStart w:id="171" w:name="page172"/>
    <w:bookmarkEnd w:id="17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directors within one year of the completion of this offering. In addition, the rules of Nasdaq require that, subject to specified exceptions and phase-in periods, each member of a listed company’s audit, compensation and nominating and corporate governance committees be independent. Audit committee members and compensation committee members must also satisfy the independence criteria set forth in Rule 10A-3 and Rule 10C-1, respectively, under the Exchange Act. Under the rules of Nasdaq, a director will only qualify as an “independent director” if, in the opinion of that company’s board of directors, that person does not have a relationship that would interfere with the exercise of independent judgment in carrying out the responsibilities of a director.</w:t>
      </w:r>
    </w:p>
    <w:p>
      <w:pPr>
        <w:spacing w:after="0" w:line="187" w:lineRule="exact"/>
        <w:rPr>
          <w:sz w:val="20"/>
          <w:szCs w:val="20"/>
          <w:color w:val="auto"/>
        </w:rPr>
      </w:pPr>
    </w:p>
    <w:p>
      <w:pPr>
        <w:ind w:left="120" w:right="60" w:firstLine="881"/>
        <w:spacing w:after="0" w:line="261" w:lineRule="auto"/>
        <w:rPr>
          <w:sz w:val="20"/>
          <w:szCs w:val="20"/>
          <w:color w:val="auto"/>
        </w:rPr>
      </w:pPr>
      <w:r>
        <w:rPr>
          <w:rFonts w:ascii="Times New Roman" w:cs="Times New Roman" w:eastAsia="Times New Roman" w:hAnsi="Times New Roman"/>
          <w:sz w:val="18"/>
          <w:szCs w:val="18"/>
          <w:color w:val="auto"/>
        </w:rPr>
        <w:t>To be considered to be independent for purposes of Rule 10A-3 and under the rules of Nasdaq, a member of an audit committee of a listed company may not, other than in his or her capacity as a member of the audit committee, the board of directors or any other board committee: (1) accept, directly or indirectly, any consulting, advisory or other compensatory fee from the listed company or any of its subsidiaries or (2) be an affiliated person of the listed company or any of its subsidiaries.</w:t>
      </w:r>
    </w:p>
    <w:p>
      <w:pPr>
        <w:spacing w:after="0" w:line="180" w:lineRule="exact"/>
        <w:rPr>
          <w:sz w:val="20"/>
          <w:szCs w:val="20"/>
          <w:color w:val="auto"/>
        </w:rPr>
      </w:pPr>
    </w:p>
    <w:p>
      <w:pPr>
        <w:ind w:left="120" w:firstLine="881"/>
        <w:spacing w:after="0" w:line="256" w:lineRule="auto"/>
        <w:rPr>
          <w:sz w:val="20"/>
          <w:szCs w:val="20"/>
          <w:color w:val="auto"/>
        </w:rPr>
      </w:pPr>
      <w:r>
        <w:rPr>
          <w:rFonts w:ascii="Times New Roman" w:cs="Times New Roman" w:eastAsia="Times New Roman" w:hAnsi="Times New Roman"/>
          <w:sz w:val="18"/>
          <w:szCs w:val="18"/>
          <w:color w:val="auto"/>
        </w:rPr>
        <w:t>To be considered independent for purposes of Rule 10C-1 and under the rules of Nasdaq, the board of directors must affirmatively determine that each member of the compensation committee is independent, including a consideration of all factors specifically relevant to determining whether the director has a relationship to the company which is material to that director’s ability to be independent from management in connection with the duties of a compensation committee member, including, but not limited to: (i) the source of compensation of such director, including any consulting, advisory or other compensatory fee paid by the company to such director and (ii) whether such director is affiliated with the company, a subsidiary of the company or an affiliate of a subsidiary of the company.</w:t>
      </w:r>
    </w:p>
    <w:p>
      <w:pPr>
        <w:spacing w:after="0" w:line="187" w:lineRule="exact"/>
        <w:rPr>
          <w:sz w:val="20"/>
          <w:szCs w:val="20"/>
          <w:color w:val="auto"/>
        </w:rPr>
      </w:pPr>
    </w:p>
    <w:p>
      <w:pPr>
        <w:ind w:left="120" w:right="60" w:firstLine="881"/>
        <w:spacing w:after="0" w:line="254" w:lineRule="auto"/>
        <w:rPr>
          <w:sz w:val="20"/>
          <w:szCs w:val="20"/>
          <w:color w:val="auto"/>
        </w:rPr>
      </w:pPr>
      <w:r>
        <w:rPr>
          <w:rFonts w:ascii="Times New Roman" w:cs="Times New Roman" w:eastAsia="Times New Roman" w:hAnsi="Times New Roman"/>
          <w:sz w:val="18"/>
          <w:szCs w:val="18"/>
          <w:color w:val="auto"/>
        </w:rPr>
        <w:t>Our board of directors undertook a review of its composition, the composition of its committees and the independence of our directors and considered whether any director has a material relationship with us that could compromise his or her ability to exercise independent judgment in carrying out his or her responsibilities. Based upon information requested from and provided by each director concerning his background, employment and affiliations, including family relationships, our board of directors has determined that none of our directors other than Dr. Azamian have a relationship that would interfere with the exercise of independent judgment in carrying out the responsibilities of a director and that each of these directors is “independent” as that term is defined under the rules of Nasdaq, including in the case of all the members of our audit committee, the independence criteria set forth in Rule 10A-3 under the Exchange Act, and in the case of all the members of our compensation committee, the independence criteria set forth in Rule 10C-1 under the Exchange Act. Dr. Azamian is not an independent director because he is our President and Chief Executive Officer.</w:t>
      </w:r>
    </w:p>
    <w:p>
      <w:pPr>
        <w:spacing w:after="0" w:line="188" w:lineRule="exact"/>
        <w:rPr>
          <w:sz w:val="20"/>
          <w:szCs w:val="20"/>
          <w:color w:val="auto"/>
        </w:rPr>
      </w:pPr>
    </w:p>
    <w:p>
      <w:pPr>
        <w:ind w:left="120" w:right="200" w:firstLine="881"/>
        <w:spacing w:after="0" w:line="258" w:lineRule="auto"/>
        <w:rPr>
          <w:sz w:val="20"/>
          <w:szCs w:val="20"/>
          <w:color w:val="auto"/>
        </w:rPr>
      </w:pPr>
      <w:r>
        <w:rPr>
          <w:rFonts w:ascii="Times New Roman" w:cs="Times New Roman" w:eastAsia="Times New Roman" w:hAnsi="Times New Roman"/>
          <w:sz w:val="18"/>
          <w:szCs w:val="18"/>
          <w:color w:val="auto"/>
        </w:rPr>
        <w:t>In making these determinations, our board of directors considered the current and prior relationships that each non-employee director has with our company and all other facts and circumstances our board of directors deemed relevant in determining his or her independence, including the beneficial ownership of our capital stock by each non-employee director, and the transactions involving them described in the section titled “Certain Relationships and Related Party Transactions” elsewhere in this prospectus. There are no family relationships among any of our directors or executive officers.</w:t>
      </w:r>
    </w:p>
    <w:p>
      <w:pPr>
        <w:spacing w:after="0" w:line="1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Board Leadership Structure</w:t>
      </w:r>
    </w:p>
    <w:p>
      <w:pPr>
        <w:spacing w:after="0" w:line="229" w:lineRule="exact"/>
        <w:rPr>
          <w:sz w:val="20"/>
          <w:szCs w:val="20"/>
          <w:color w:val="auto"/>
        </w:rPr>
      </w:pPr>
    </w:p>
    <w:p>
      <w:pPr>
        <w:ind w:left="120" w:right="40" w:firstLine="881"/>
        <w:spacing w:after="0" w:line="256" w:lineRule="auto"/>
        <w:rPr>
          <w:sz w:val="20"/>
          <w:szCs w:val="20"/>
          <w:color w:val="auto"/>
        </w:rPr>
      </w:pPr>
      <w:r>
        <w:rPr>
          <w:rFonts w:ascii="Times New Roman" w:cs="Times New Roman" w:eastAsia="Times New Roman" w:hAnsi="Times New Roman"/>
          <w:sz w:val="18"/>
          <w:szCs w:val="18"/>
          <w:color w:val="auto"/>
        </w:rPr>
        <w:t>Our board of directors is currently chaired by Dr. Ackermann. As a general policy, our board of directors believes that separation of the positions of chairperson of our board of directors and Chief Executive Officer reinforces the independence of our board of directors from management, creates an environment that encourages objective oversight of management’s performance and enhances the effectiveness of our board of directors as a whole. As such, Dr. Azamian serves as our President and Chief Executive Officer while Dr. Ackermann serves as the chairperson of our board of directors but is not an officer of the Company. We currently expect and intend the positions of chairperson of our board of directors and Chief Executive Officer to continue to be held by two individuals in the future.</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-169-</w:t>
      </w:r>
    </w:p>
    <w:p>
      <w:pPr>
        <w:sectPr>
          <w:pgSz w:w="11900" w:h="16838" w:orient="portrait"/>
          <w:cols w:equalWidth="0" w:num="1">
            <w:col w:w="11120"/>
          </w:cols>
          <w:pgMar w:left="320" w:top="455" w:right="459" w:bottom="1440" w:gutter="0" w:footer="0" w:header="0"/>
        </w:sectPr>
      </w:pPr>
    </w:p>
    <w:bookmarkStart w:id="172" w:name="page173"/>
    <w:bookmarkEnd w:id="17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Role of the Board in Risk Oversight</w:t>
      </w:r>
    </w:p>
    <w:p>
      <w:pPr>
        <w:spacing w:after="0" w:line="229" w:lineRule="exact"/>
        <w:rPr>
          <w:sz w:val="20"/>
          <w:szCs w:val="20"/>
          <w:color w:val="auto"/>
        </w:rPr>
      </w:pPr>
    </w:p>
    <w:p>
      <w:pPr>
        <w:ind w:left="120" w:firstLine="881"/>
        <w:spacing w:after="0" w:line="254" w:lineRule="auto"/>
        <w:rPr>
          <w:sz w:val="20"/>
          <w:szCs w:val="20"/>
          <w:color w:val="auto"/>
        </w:rPr>
      </w:pPr>
      <w:r>
        <w:rPr>
          <w:rFonts w:ascii="Times New Roman" w:cs="Times New Roman" w:eastAsia="Times New Roman" w:hAnsi="Times New Roman"/>
          <w:sz w:val="18"/>
          <w:szCs w:val="18"/>
          <w:color w:val="auto"/>
        </w:rPr>
        <w:t>One of the key functions of our board of directors is informed oversight of our risk management process. In particular, our board of directors is responsible for monitoring and assessing strategic risk exposure. Our executive officers are responsible for the day-to-day management of the material risks we face. Our board of directors administers its oversight function directly as a whole. Our board of directors will also administer its oversight through various standing committees, which will be constituted prior to the completion of this offering, that address risks inherent in their respective areas of oversight. For example, our audit committee will be responsible for overseeing the management of risks associated with our financial reporting, accounting and auditing matters; our compensation committee will oversee the management of risks associated with our compensation policies and programs; and our nominating and corporate governance committee will oversee the management of risks associated with director independence, conflicts of interest, composition and organization of our board of directors and director succession planning.</w:t>
      </w:r>
    </w:p>
    <w:p>
      <w:pPr>
        <w:spacing w:after="0" w:line="1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Board Committees</w:t>
      </w:r>
    </w:p>
    <w:p>
      <w:pPr>
        <w:spacing w:after="0" w:line="229" w:lineRule="exact"/>
        <w:rPr>
          <w:sz w:val="20"/>
          <w:szCs w:val="20"/>
          <w:color w:val="auto"/>
        </w:rPr>
      </w:pPr>
    </w:p>
    <w:p>
      <w:pPr>
        <w:ind w:left="120" w:firstLine="881"/>
        <w:spacing w:after="0" w:line="253" w:lineRule="auto"/>
        <w:rPr>
          <w:sz w:val="20"/>
          <w:szCs w:val="20"/>
          <w:color w:val="auto"/>
        </w:rPr>
      </w:pPr>
      <w:r>
        <w:rPr>
          <w:rFonts w:ascii="Times New Roman" w:cs="Times New Roman" w:eastAsia="Times New Roman" w:hAnsi="Times New Roman"/>
          <w:sz w:val="18"/>
          <w:szCs w:val="18"/>
          <w:color w:val="auto"/>
        </w:rPr>
        <w:t>Our board of directors will establish an audit committee, a compensation committee and a nominating and corporate governance committee prior to the completion of this offering. Our board of directors may establish other committees to facilitate the management of our business. Our board of directors and its committees will set schedules for meeting throughout the year and can also hold special meetings and act by written consent from time to time, as appropriate. Our board of directors expects to delegate various responsibilities and authority to committees as generally described below. The committees will regularly report on their activities and actions to the full board of directors. Each member of each committee of our board of directors will qualify as an independent director in accordance with the listing standards of Nasdaq. Each committee of our board of directors will have a written charter approved by our board of directors. Upon the completion of this offering, copies of each charter will be posted on our website at www.tarsusrx.com under the Investor Relations section. The inclusion of our website address in this prospectus does not include or incorporate by reference the information on our website into this prospectus. Members will serve on these committees until their resignation or until otherwise determined by our board of directors.</w:t>
      </w:r>
    </w:p>
    <w:p>
      <w:pPr>
        <w:spacing w:after="0" w:line="1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229" w:lineRule="exact"/>
        <w:rPr>
          <w:sz w:val="20"/>
          <w:szCs w:val="20"/>
          <w:color w:val="auto"/>
        </w:rPr>
      </w:pPr>
    </w:p>
    <w:p>
      <w:pPr>
        <w:ind w:left="120" w:right="220" w:firstLine="881"/>
        <w:spacing w:after="0" w:line="277" w:lineRule="auto"/>
        <w:rPr>
          <w:sz w:val="20"/>
          <w:szCs w:val="20"/>
          <w:color w:val="auto"/>
        </w:rPr>
      </w:pPr>
      <w:r>
        <w:rPr>
          <w:rFonts w:ascii="Times New Roman" w:cs="Times New Roman" w:eastAsia="Times New Roman" w:hAnsi="Times New Roman"/>
          <w:sz w:val="17"/>
          <w:szCs w:val="17"/>
          <w:color w:val="auto"/>
        </w:rPr>
        <w:t>Effective immediately after the effectiveness of the registration statement of which this prospectus forms a part, the members of our audit committee will be Dr. Chaudhuri, Dr. Link and Mr. Tester, each of whom can read and understand fundamental financial statements. Each member of our audit committee is independent under the rules and regulations of the SEC and the listing standards of Nasdaq applicable to audit committee members. Mr. Tester will be the chair of the audit committee. Our board of directors has determined that each of Dr. Link and Mr. Tester qualify as an audit committee financial expert within the meaning of SEC regulations and each member meets the financial sophistication requirements of Nasdaq.</w:t>
      </w:r>
    </w:p>
    <w:p>
      <w:pPr>
        <w:spacing w:after="0" w:line="168" w:lineRule="exact"/>
        <w:rPr>
          <w:sz w:val="20"/>
          <w:szCs w:val="20"/>
          <w:color w:val="auto"/>
        </w:rPr>
      </w:pPr>
    </w:p>
    <w:p>
      <w:pPr>
        <w:ind w:left="120" w:right="20" w:firstLine="881"/>
        <w:spacing w:after="0" w:line="254" w:lineRule="auto"/>
        <w:rPr>
          <w:sz w:val="20"/>
          <w:szCs w:val="20"/>
          <w:color w:val="auto"/>
        </w:rPr>
      </w:pPr>
      <w:r>
        <w:rPr>
          <w:rFonts w:ascii="Times New Roman" w:cs="Times New Roman" w:eastAsia="Times New Roman" w:hAnsi="Times New Roman"/>
          <w:sz w:val="18"/>
          <w:szCs w:val="18"/>
          <w:color w:val="auto"/>
        </w:rPr>
        <w:t>Our audit committee will assist our board of directors with its oversight of the integrity of our financial statements; our compliance with legal and regulatory requirements; the qualifications, independence and performance of the independent registered public accounting firm; the design and implementation of our risk assessment and risk management. Among other things, our audit committee is responsible for reviewing and discussing with our management the adequacy and effectiveness of our disclosure controls and procedures. The audit committee also will discuss with our management and independent registered public accounting firm the annual audit plan and scope of audit activities, scope and timing of the annual audit of our financial statements, and the results of the audit, quarterly reviews of our financial statements and, as appropriate, initiates inquiries into certain aspects of our financial affairs. Our audit committee is responsible for establishing and overseeing procedures for the receipt, retention and treatment of any complaints regarding accounting, internal accounting controls or auditing matters, as well as for the confidential and anonymous submissions by our employees of concerns regarding questionable accounting or auditing matters. In addition, our audit committee has direct</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-170-</w:t>
      </w:r>
    </w:p>
    <w:p>
      <w:pPr>
        <w:sectPr>
          <w:pgSz w:w="11900" w:h="16838" w:orient="portrait"/>
          <w:cols w:equalWidth="0" w:num="1">
            <w:col w:w="11120"/>
          </w:cols>
          <w:pgMar w:left="320" w:top="455" w:right="459" w:bottom="1440" w:gutter="0" w:footer="0" w:header="0"/>
        </w:sectPr>
      </w:pPr>
    </w:p>
    <w:bookmarkStart w:id="173" w:name="page174"/>
    <w:bookmarkEnd w:id="17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responsibility for the appointment, compensation, retention and oversight of the work of our independent registered public accounting firm. Our audit committee has sole authority to approve the hiring and discharging of our independent registered public accounting firm, all audit engagement terms and fees and all permissible non-audit engagements with the independent auditor. Our audit committee will review and oversee all related person transactions in accordance with our policies and procedures.</w:t>
      </w:r>
    </w:p>
    <w:p>
      <w:pPr>
        <w:spacing w:after="0" w:line="180" w:lineRule="exact"/>
        <w:rPr>
          <w:sz w:val="20"/>
          <w:szCs w:val="20"/>
          <w:color w:val="auto"/>
        </w:rPr>
      </w:pPr>
    </w:p>
    <w:p>
      <w:pPr>
        <w:jc w:val="both"/>
        <w:ind w:left="120" w:right="140" w:firstLine="881"/>
        <w:spacing w:after="0" w:line="312" w:lineRule="auto"/>
        <w:rPr>
          <w:sz w:val="20"/>
          <w:szCs w:val="20"/>
          <w:color w:val="auto"/>
        </w:rPr>
      </w:pPr>
      <w:r>
        <w:rPr>
          <w:rFonts w:ascii="Times New Roman" w:cs="Times New Roman" w:eastAsia="Times New Roman" w:hAnsi="Times New Roman"/>
          <w:sz w:val="17"/>
          <w:szCs w:val="17"/>
          <w:color w:val="auto"/>
        </w:rPr>
        <w:t>Our audit committee operates under a written charter that satisfies the applicable rules of the SEC and the listing standards of Nasdaq. We believe that the composition of our audit committee will meet the requirements for independence under current Nasdaq and SEC rules and regulations.</w:t>
      </w:r>
    </w:p>
    <w:p>
      <w:pPr>
        <w:spacing w:after="0" w:line="13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w:t>
      </w:r>
    </w:p>
    <w:p>
      <w:pPr>
        <w:spacing w:after="0" w:line="229" w:lineRule="exact"/>
        <w:rPr>
          <w:sz w:val="20"/>
          <w:szCs w:val="20"/>
          <w:color w:val="auto"/>
        </w:rPr>
      </w:pPr>
    </w:p>
    <w:p>
      <w:pPr>
        <w:ind w:left="120" w:right="20" w:firstLine="881"/>
        <w:spacing w:after="0" w:line="254" w:lineRule="auto"/>
        <w:rPr>
          <w:sz w:val="20"/>
          <w:szCs w:val="20"/>
          <w:color w:val="auto"/>
        </w:rPr>
      </w:pPr>
      <w:r>
        <w:rPr>
          <w:rFonts w:ascii="Times New Roman" w:cs="Times New Roman" w:eastAsia="Times New Roman" w:hAnsi="Times New Roman"/>
          <w:sz w:val="18"/>
          <w:szCs w:val="18"/>
          <w:color w:val="auto"/>
        </w:rPr>
        <w:t>Upon the effectiveness of the registration statement of which this prospectus forms a part, the members of our compensation committee will be Dr. Ackermann, Dr. Goldberg and Dr. Link. Dr. Ackermann will be the chair of the compensation committee. Each member of our compensation committee is independent under the rules and regulations of the SEC and the listing standards of Nasdaq applicable to compensation committee members. Our compensation committee will assist our board of directors with its oversight of the forms and amount of compensation for our executive officers (including officers reporting under Section 16 of the Exchange Act ), the administration of our equity and non-equity incentive plans for employees and other service providers and certain other matters related to our compensation programs. Our compensation committee, among other responsibilities, evaluates the performance of our chief executive officer and, in consultation with him, evaluates the performance of our other executive officers (including officers reporting under Section 16 of the Exchange Act).</w:t>
      </w:r>
    </w:p>
    <w:p>
      <w:pPr>
        <w:spacing w:after="0" w:line="192" w:lineRule="exact"/>
        <w:rPr>
          <w:sz w:val="20"/>
          <w:szCs w:val="20"/>
          <w:color w:val="auto"/>
        </w:rPr>
      </w:pPr>
    </w:p>
    <w:p>
      <w:pPr>
        <w:jc w:val="both"/>
        <w:ind w:left="120" w:right="180" w:firstLine="881"/>
        <w:spacing w:after="0" w:line="266" w:lineRule="auto"/>
        <w:rPr>
          <w:sz w:val="20"/>
          <w:szCs w:val="20"/>
          <w:color w:val="auto"/>
        </w:rPr>
      </w:pPr>
      <w:r>
        <w:rPr>
          <w:rFonts w:ascii="Times New Roman" w:cs="Times New Roman" w:eastAsia="Times New Roman" w:hAnsi="Times New Roman"/>
          <w:sz w:val="18"/>
          <w:szCs w:val="18"/>
          <w:color w:val="auto"/>
        </w:rPr>
        <w:t>Our compensation committee will operate under a written charter that satisfies the applicable rules of the SEC and the listing standards of Nasdaq. We believe that the composition of our compensation committee will meet the requirements for independence under current Nasdaq and SEC rules and regulations.</w:t>
      </w:r>
    </w:p>
    <w:p>
      <w:pPr>
        <w:spacing w:after="0" w:line="1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Nominating and Corporate Governance Committee</w:t>
      </w:r>
    </w:p>
    <w:p>
      <w:pPr>
        <w:spacing w:after="0" w:line="229" w:lineRule="exact"/>
        <w:rPr>
          <w:sz w:val="20"/>
          <w:szCs w:val="20"/>
          <w:color w:val="auto"/>
        </w:rPr>
      </w:pPr>
    </w:p>
    <w:p>
      <w:pPr>
        <w:ind w:left="120" w:right="160" w:firstLine="881"/>
        <w:spacing w:after="0" w:line="272" w:lineRule="auto"/>
        <w:rPr>
          <w:sz w:val="20"/>
          <w:szCs w:val="20"/>
          <w:color w:val="auto"/>
        </w:rPr>
      </w:pPr>
      <w:r>
        <w:rPr>
          <w:rFonts w:ascii="Times New Roman" w:cs="Times New Roman" w:eastAsia="Times New Roman" w:hAnsi="Times New Roman"/>
          <w:sz w:val="17"/>
          <w:szCs w:val="17"/>
          <w:color w:val="auto"/>
        </w:rPr>
        <w:t>Upon the effectiveness of the registration statement of which this prospectus forms a part, the members of our nominating and corporate governance committee will be Dr. Ackermann, Dr. Goldberg and Dr. Link. Each member of our nominating and governance committee is independent under the rules and regulations of the SEC and the listing standards of Nasdaq, applicable to nominating and governance committee members.</w:t>
      </w:r>
    </w:p>
    <w:p>
      <w:pPr>
        <w:spacing w:after="0" w:line="2"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Dr. Ackermann will be the chair of the nominating and corporate governance committee. Our nominating and corporate governance committee will assist our board of directors with its oversight of and identification of individuals qualified to become members of our board of directors, consistent with criteria approved by our board of directors, and selects, or recommends that our board of directors selects, director nominees; develops and recommends to our board of directors a set of corporate governance guidelines and oversees the evaluation of our board of directors.</w:t>
      </w:r>
    </w:p>
    <w:p>
      <w:pPr>
        <w:spacing w:after="0" w:line="189" w:lineRule="exact"/>
        <w:rPr>
          <w:sz w:val="20"/>
          <w:szCs w:val="20"/>
          <w:color w:val="auto"/>
        </w:rPr>
      </w:pPr>
    </w:p>
    <w:p>
      <w:pPr>
        <w:jc w:val="both"/>
        <w:ind w:left="120" w:right="80" w:firstLine="881"/>
        <w:spacing w:after="0" w:line="266" w:lineRule="auto"/>
        <w:rPr>
          <w:sz w:val="20"/>
          <w:szCs w:val="20"/>
          <w:color w:val="auto"/>
        </w:rPr>
      </w:pPr>
      <w:r>
        <w:rPr>
          <w:rFonts w:ascii="Times New Roman" w:cs="Times New Roman" w:eastAsia="Times New Roman" w:hAnsi="Times New Roman"/>
          <w:sz w:val="18"/>
          <w:szCs w:val="18"/>
          <w:color w:val="auto"/>
        </w:rPr>
        <w:t>Our nominating and corporate governance committee will operate under a written charter that satisfies the applicable rules of the SEC and the listing standards of Nasdaq. We believe that the composition of our nominating and corporate governance committee will meet the requirements for independence under current Nasdaq and SEC rules and regulations.</w:t>
      </w:r>
    </w:p>
    <w:p>
      <w:pPr>
        <w:spacing w:after="0" w:line="1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229" w:lineRule="exact"/>
        <w:rPr>
          <w:sz w:val="20"/>
          <w:szCs w:val="20"/>
          <w:color w:val="auto"/>
        </w:rPr>
      </w:pPr>
    </w:p>
    <w:p>
      <w:pPr>
        <w:ind w:left="120" w:right="80" w:firstLine="881"/>
        <w:spacing w:after="0" w:line="266" w:lineRule="auto"/>
        <w:rPr>
          <w:sz w:val="20"/>
          <w:szCs w:val="20"/>
          <w:color w:val="auto"/>
        </w:rPr>
      </w:pPr>
      <w:r>
        <w:rPr>
          <w:rFonts w:ascii="Times New Roman" w:cs="Times New Roman" w:eastAsia="Times New Roman" w:hAnsi="Times New Roman"/>
          <w:sz w:val="18"/>
          <w:szCs w:val="18"/>
          <w:color w:val="auto"/>
        </w:rPr>
        <w:t>None of our executive officers currently serves, or in the past fiscal year has served, as a member of the board of directors or compensation committee (or other board committee performing equivalent functions or, in the absence of any such committee, the entire board of directors) of any entity that has one or more executive officers serving on our board of directors or compensation committee.</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-171-</w:t>
      </w:r>
    </w:p>
    <w:p>
      <w:pPr>
        <w:sectPr>
          <w:pgSz w:w="11900" w:h="16838" w:orient="portrait"/>
          <w:cols w:equalWidth="0" w:num="1">
            <w:col w:w="11100"/>
          </w:cols>
          <w:pgMar w:left="320" w:top="455" w:right="479" w:bottom="1440" w:gutter="0" w:footer="0" w:header="0"/>
        </w:sectPr>
      </w:pPr>
    </w:p>
    <w:bookmarkStart w:id="174" w:name="page175"/>
    <w:bookmarkEnd w:id="17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Code of Conduct</w:t>
      </w:r>
    </w:p>
    <w:p>
      <w:pPr>
        <w:spacing w:after="0" w:line="229" w:lineRule="exact"/>
        <w:rPr>
          <w:sz w:val="20"/>
          <w:szCs w:val="20"/>
          <w:color w:val="auto"/>
        </w:rPr>
      </w:pPr>
    </w:p>
    <w:p>
      <w:pPr>
        <w:ind w:left="120" w:right="60" w:firstLine="881"/>
        <w:spacing w:after="0" w:line="255" w:lineRule="auto"/>
        <w:rPr>
          <w:sz w:val="20"/>
          <w:szCs w:val="20"/>
          <w:color w:val="auto"/>
        </w:rPr>
      </w:pPr>
      <w:r>
        <w:rPr>
          <w:rFonts w:ascii="Times New Roman" w:cs="Times New Roman" w:eastAsia="Times New Roman" w:hAnsi="Times New Roman"/>
          <w:sz w:val="18"/>
          <w:szCs w:val="18"/>
          <w:color w:val="auto"/>
        </w:rPr>
        <w:t>Our board of directors will adopt a Code of Conduct, or the Conduct Code, prior to the completion of this offering. The Conduct Code will apply to all of our employees, officers, directors, contractors, consultants, suppliers and agents. Upon the completion of this offering, the full text of the Conduct Code will be posted on our website at www.tarsusrx.com under the Investor Relations section. We intend to disclose future amendments to, or waivers of, the Conduct Code, as and to the extent required by SEC regulations, at the same location on our website identified above or in public filings. Information contained on our website is not incorporated by reference into this prospectus, and you should not consider information contained on our website to be part of this prospectus or in deciding whether to purchase shares of our common stock. We have included our website address in this prospectus solely as an inactive textual reference.</w:t>
      </w:r>
    </w:p>
    <w:p>
      <w:pPr>
        <w:spacing w:after="0" w:line="1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229" w:lineRule="exact"/>
        <w:rPr>
          <w:sz w:val="20"/>
          <w:szCs w:val="20"/>
          <w:color w:val="auto"/>
        </w:rPr>
      </w:pPr>
    </w:p>
    <w:p>
      <w:pPr>
        <w:ind w:left="120" w:right="120" w:firstLine="881"/>
        <w:spacing w:after="0" w:line="281" w:lineRule="auto"/>
        <w:rPr>
          <w:sz w:val="20"/>
          <w:szCs w:val="20"/>
          <w:color w:val="auto"/>
        </w:rPr>
      </w:pPr>
      <w:r>
        <w:rPr>
          <w:rFonts w:ascii="Times New Roman" w:cs="Times New Roman" w:eastAsia="Times New Roman" w:hAnsi="Times New Roman"/>
          <w:sz w:val="17"/>
          <w:szCs w:val="17"/>
          <w:color w:val="auto"/>
        </w:rPr>
        <w:t>Prior to this offering, we have not implemented a formal policy with respect to compensation payable to our non-employee directors. Other than as set forth in the table and described more fully below, we did not pay any compensation, including equity awards, to any of our non-employee directors in 2019. We also reimburse our directors for expenses associated with attending meetings of our board of directors and its committees. Following the completion of this offering, we expect to implement an annual cash and equity compensation program for our non-employee directors.</w:t>
      </w:r>
    </w:p>
    <w:p>
      <w:pPr>
        <w:spacing w:after="0" w:line="164" w:lineRule="exact"/>
        <w:rPr>
          <w:sz w:val="20"/>
          <w:szCs w:val="20"/>
          <w:color w:val="auto"/>
        </w:rPr>
      </w:pPr>
    </w:p>
    <w:p>
      <w:pPr>
        <w:ind w:left="120" w:right="400" w:firstLine="881"/>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total compensation that we paid to Michael Ackermann, our only non-employee director who received compensation during the year ended December 31, 2019.</w:t>
      </w:r>
    </w:p>
    <w:p>
      <w:pPr>
        <w:spacing w:after="0" w:line="17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60" w:type="dxa"/>
            <w:vAlign w:val="bottom"/>
          </w:tcPr>
          <w:p>
            <w:pPr>
              <w:spacing w:after="0"/>
              <w:rPr>
                <w:sz w:val="13"/>
                <w:szCs w:val="13"/>
                <w:color w:val="auto"/>
              </w:rPr>
            </w:pPr>
          </w:p>
        </w:tc>
        <w:tc>
          <w:tcPr>
            <w:tcW w:w="330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1400" w:type="dxa"/>
            <w:vAlign w:val="bottom"/>
            <w:gridSpan w:val="2"/>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rPr>
              <w:t>Fees Earned</w:t>
            </w:r>
          </w:p>
        </w:tc>
        <w:tc>
          <w:tcPr>
            <w:tcW w:w="1300" w:type="dxa"/>
            <w:vAlign w:val="bottom"/>
            <w:gridSpan w:val="2"/>
            <w:vMerge w:val="restart"/>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3300" w:type="dxa"/>
            <w:vAlign w:val="bottom"/>
            <w:vMerge w:val="restart"/>
          </w:tcPr>
          <w:p>
            <w:pPr>
              <w:spacing w:after="0"/>
              <w:rPr>
                <w:sz w:val="12"/>
                <w:szCs w:val="12"/>
                <w:color w:val="auto"/>
              </w:rPr>
            </w:pPr>
          </w:p>
        </w:tc>
        <w:tc>
          <w:tcPr>
            <w:tcW w:w="2200" w:type="dxa"/>
            <w:vAlign w:val="bottom"/>
          </w:tcPr>
          <w:p>
            <w:pPr>
              <w:spacing w:after="0"/>
              <w:rPr>
                <w:sz w:val="12"/>
                <w:szCs w:val="12"/>
                <w:color w:val="auto"/>
              </w:rPr>
            </w:pPr>
          </w:p>
        </w:tc>
        <w:tc>
          <w:tcPr>
            <w:tcW w:w="1400" w:type="dxa"/>
            <w:vAlign w:val="bottom"/>
            <w:gridSpan w:val="2"/>
          </w:tcPr>
          <w:p>
            <w:pPr>
              <w:jc w:val="center"/>
              <w:ind w:right="600"/>
              <w:spacing w:after="0" w:line="149" w:lineRule="exact"/>
              <w:rPr>
                <w:sz w:val="20"/>
                <w:szCs w:val="20"/>
                <w:color w:val="auto"/>
              </w:rPr>
            </w:pPr>
            <w:r>
              <w:rPr>
                <w:rFonts w:ascii="Times New Roman" w:cs="Times New Roman" w:eastAsia="Times New Roman" w:hAnsi="Times New Roman"/>
                <w:sz w:val="14"/>
                <w:szCs w:val="14"/>
                <w:b w:val="1"/>
                <w:bCs w:val="1"/>
                <w:color w:val="auto"/>
              </w:rPr>
              <w:t>or Paid in</w:t>
            </w:r>
          </w:p>
        </w:tc>
        <w:tc>
          <w:tcPr>
            <w:tcW w:w="1300" w:type="dxa"/>
            <w:vAlign w:val="bottom"/>
            <w:gridSpan w:val="2"/>
            <w:vMerge w:val="continue"/>
          </w:tcPr>
          <w:p>
            <w:pPr>
              <w:spacing w:after="0"/>
              <w:rPr>
                <w:sz w:val="12"/>
                <w:szCs w:val="12"/>
                <w:color w:val="auto"/>
              </w:rPr>
            </w:pPr>
          </w:p>
        </w:tc>
        <w:tc>
          <w:tcPr>
            <w:tcW w:w="1080" w:type="dxa"/>
            <w:vAlign w:val="bottom"/>
            <w:vMerge w:val="continue"/>
          </w:tcPr>
          <w:p>
            <w:pPr>
              <w:spacing w:after="0"/>
              <w:rPr>
                <w:sz w:val="12"/>
                <w:szCs w:val="12"/>
                <w:color w:val="auto"/>
              </w:rPr>
            </w:pPr>
          </w:p>
        </w:tc>
        <w:tc>
          <w:tcPr>
            <w:tcW w:w="620" w:type="dxa"/>
            <w:vAlign w:val="bottom"/>
          </w:tcPr>
          <w:p>
            <w:pPr>
              <w:spacing w:after="0"/>
              <w:rPr>
                <w:sz w:val="12"/>
                <w:szCs w:val="12"/>
                <w:color w:val="auto"/>
              </w:rPr>
            </w:pPr>
          </w:p>
        </w:tc>
        <w:tc>
          <w:tcPr>
            <w:tcW w:w="76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Total ($)</w:t>
            </w:r>
          </w:p>
        </w:tc>
        <w:tc>
          <w:tcPr>
            <w:tcW w:w="0" w:type="dxa"/>
            <w:vAlign w:val="bottom"/>
          </w:tcPr>
          <w:p>
            <w:pPr>
              <w:spacing w:after="0"/>
              <w:rPr>
                <w:sz w:val="1"/>
                <w:szCs w:val="1"/>
                <w:color w:val="auto"/>
              </w:rPr>
            </w:pPr>
          </w:p>
        </w:tc>
      </w:tr>
      <w:tr>
        <w:trPr>
          <w:trHeight w:val="180"/>
        </w:trPr>
        <w:tc>
          <w:tcPr>
            <w:tcW w:w="360" w:type="dxa"/>
            <w:vAlign w:val="bottom"/>
            <w:tcBorders>
              <w:bottom w:val="single" w:sz="8" w:color="auto"/>
            </w:tcBorders>
            <w:vMerge w:val="continue"/>
          </w:tcPr>
          <w:p>
            <w:pPr>
              <w:spacing w:after="0"/>
              <w:rPr>
                <w:sz w:val="15"/>
                <w:szCs w:val="15"/>
                <w:color w:val="auto"/>
              </w:rPr>
            </w:pPr>
          </w:p>
        </w:tc>
        <w:tc>
          <w:tcPr>
            <w:tcW w:w="3300" w:type="dxa"/>
            <w:vAlign w:val="bottom"/>
            <w:vMerge w:val="continue"/>
          </w:tcPr>
          <w:p>
            <w:pPr>
              <w:spacing w:after="0"/>
              <w:rPr>
                <w:sz w:val="15"/>
                <w:szCs w:val="15"/>
                <w:color w:val="auto"/>
              </w:rPr>
            </w:pPr>
          </w:p>
        </w:tc>
        <w:tc>
          <w:tcPr>
            <w:tcW w:w="2200" w:type="dxa"/>
            <w:vAlign w:val="bottom"/>
          </w:tcPr>
          <w:p>
            <w:pPr>
              <w:spacing w:after="0"/>
              <w:rPr>
                <w:sz w:val="15"/>
                <w:szCs w:val="15"/>
                <w:color w:val="auto"/>
              </w:rPr>
            </w:pPr>
          </w:p>
        </w:tc>
        <w:tc>
          <w:tcPr>
            <w:tcW w:w="1400" w:type="dxa"/>
            <w:vAlign w:val="bottom"/>
            <w:gridSpan w:val="2"/>
          </w:tcPr>
          <w:p>
            <w:pPr>
              <w:jc w:val="center"/>
              <w:ind w:right="600"/>
              <w:spacing w:after="0" w:line="160" w:lineRule="exact"/>
              <w:rPr>
                <w:sz w:val="20"/>
                <w:szCs w:val="20"/>
                <w:color w:val="auto"/>
              </w:rPr>
            </w:pPr>
            <w:r>
              <w:rPr>
                <w:rFonts w:ascii="Times New Roman" w:cs="Times New Roman" w:eastAsia="Times New Roman" w:hAnsi="Times New Roman"/>
                <w:sz w:val="14"/>
                <w:szCs w:val="14"/>
                <w:b w:val="1"/>
                <w:bCs w:val="1"/>
                <w:color w:val="auto"/>
              </w:rPr>
              <w:t>Cash ($)</w:t>
            </w:r>
          </w:p>
        </w:tc>
        <w:tc>
          <w:tcPr>
            <w:tcW w:w="1300" w:type="dxa"/>
            <w:vAlign w:val="bottom"/>
            <w:gridSpan w:val="2"/>
          </w:tcPr>
          <w:p>
            <w:pPr>
              <w:jc w:val="center"/>
              <w:ind w:right="620"/>
              <w:spacing w:after="0" w:line="160" w:lineRule="exact"/>
              <w:rPr>
                <w:sz w:val="20"/>
                <w:szCs w:val="20"/>
                <w:color w:val="auto"/>
              </w:rPr>
            </w:pPr>
            <w:r>
              <w:rPr>
                <w:rFonts w:ascii="Times New Roman" w:cs="Times New Roman" w:eastAsia="Times New Roman" w:hAnsi="Times New Roman"/>
                <w:sz w:val="14"/>
                <w:szCs w:val="14"/>
                <w:b w:val="1"/>
                <w:bCs w:val="1"/>
                <w:color w:val="auto"/>
              </w:rPr>
              <w:t xml:space="preserve">Awards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w:t>
            </w:r>
          </w:p>
        </w:tc>
        <w:tc>
          <w:tcPr>
            <w:tcW w:w="108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 xml:space="preserve">Compensation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w:t>
            </w:r>
          </w:p>
        </w:tc>
        <w:tc>
          <w:tcPr>
            <w:tcW w:w="62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66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Michael Ackermann</w:t>
            </w:r>
          </w:p>
        </w:tc>
        <w:tc>
          <w:tcPr>
            <w:tcW w:w="220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rPr>
              <w:t>$ 100,000</w:t>
            </w:r>
          </w:p>
        </w:tc>
        <w:tc>
          <w:tcPr>
            <w:tcW w:w="62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ind w:left="400"/>
              <w:spacing w:after="0" w:line="203" w:lineRule="exact"/>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ind w:left="820"/>
              <w:spacing w:after="0" w:line="203" w:lineRule="exact"/>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$100,000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240030</wp:posOffset>
            </wp:positionV>
            <wp:extent cx="771525"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00" w:lineRule="exact"/>
        <w:rPr>
          <w:sz w:val="20"/>
          <w:szCs w:val="20"/>
          <w:color w:val="auto"/>
        </w:rPr>
      </w:pPr>
    </w:p>
    <w:p>
      <w:pPr>
        <w:spacing w:after="0" w:line="369" w:lineRule="exact"/>
        <w:rPr>
          <w:sz w:val="20"/>
          <w:szCs w:val="20"/>
          <w:color w:val="auto"/>
        </w:rPr>
      </w:pPr>
    </w:p>
    <w:p>
      <w:pPr>
        <w:ind w:left="120" w:right="400" w:firstLine="881"/>
        <w:spacing w:after="0" w:line="282" w:lineRule="auto"/>
        <w:rPr>
          <w:sz w:val="20"/>
          <w:szCs w:val="20"/>
          <w:color w:val="auto"/>
        </w:rPr>
      </w:pPr>
      <w:r>
        <w:rPr>
          <w:rFonts w:ascii="Times New Roman" w:cs="Times New Roman" w:eastAsia="Times New Roman" w:hAnsi="Times New Roman"/>
          <w:sz w:val="18"/>
          <w:szCs w:val="18"/>
          <w:color w:val="auto"/>
        </w:rPr>
        <w:t>Directors who are also our employees or officers receive no additional compensation for their service as directors. See the section titled “Executive Compensation” elsewhere in this prospectus for additional information about the compensation of our employee directors.</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-172-</w:t>
      </w:r>
    </w:p>
    <w:p>
      <w:pPr>
        <w:sectPr>
          <w:pgSz w:w="11900" w:h="16838" w:orient="portrait"/>
          <w:cols w:equalWidth="0" w:num="1">
            <w:col w:w="11140"/>
          </w:cols>
          <w:pgMar w:left="320" w:top="455" w:right="439" w:bottom="1440" w:gutter="0" w:footer="0" w:header="0"/>
        </w:sectPr>
      </w:pPr>
    </w:p>
    <w:bookmarkStart w:id="175" w:name="page176"/>
    <w:bookmarkEnd w:id="17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229" w:lineRule="exact"/>
        <w:rPr>
          <w:sz w:val="20"/>
          <w:szCs w:val="20"/>
          <w:color w:val="auto"/>
        </w:rPr>
      </w:pPr>
    </w:p>
    <w:p>
      <w:pPr>
        <w:ind w:left="120" w:right="1000" w:firstLine="881"/>
        <w:spacing w:after="0" w:line="282" w:lineRule="auto"/>
        <w:rPr>
          <w:sz w:val="20"/>
          <w:szCs w:val="20"/>
          <w:color w:val="auto"/>
        </w:rPr>
      </w:pPr>
      <w:r>
        <w:rPr>
          <w:rFonts w:ascii="Times New Roman" w:cs="Times New Roman" w:eastAsia="Times New Roman" w:hAnsi="Times New Roman"/>
          <w:sz w:val="18"/>
          <w:szCs w:val="18"/>
          <w:color w:val="auto"/>
        </w:rPr>
        <w:t>The following table shows information regarding the compensation of our named executive officers</w:t>
      </w:r>
      <w:r>
        <w:rPr>
          <w:rFonts w:ascii="Times New Roman" w:cs="Times New Roman" w:eastAsia="Times New Roman" w:hAnsi="Times New Roman"/>
          <w:sz w:val="15"/>
          <w:szCs w:val="15"/>
          <w:color w:val="auto"/>
        </w:rPr>
        <w:t>(1)</w:t>
      </w:r>
      <w:r>
        <w:rPr>
          <w:rFonts w:ascii="Times New Roman" w:cs="Times New Roman" w:eastAsia="Times New Roman" w:hAnsi="Times New Roman"/>
          <w:sz w:val="18"/>
          <w:szCs w:val="18"/>
          <w:color w:val="auto"/>
        </w:rPr>
        <w:t xml:space="preserve"> for the fiscal year ended December 31, 2019.</w:t>
      </w:r>
    </w:p>
    <w:p>
      <w:pPr>
        <w:spacing w:after="0" w:line="17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76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Non-Equity</w:t>
            </w: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Nonqualified</w:t>
            </w: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7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20" w:type="dxa"/>
            <w:vAlign w:val="bottom"/>
          </w:tcPr>
          <w:p>
            <w:pPr>
              <w:spacing w:after="0"/>
              <w:rPr>
                <w:sz w:val="12"/>
                <w:szCs w:val="12"/>
                <w:color w:val="auto"/>
              </w:rPr>
            </w:pPr>
          </w:p>
        </w:tc>
        <w:tc>
          <w:tcPr>
            <w:tcW w:w="4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2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Deferred</w:t>
            </w:r>
          </w:p>
        </w:tc>
        <w:tc>
          <w:tcPr>
            <w:tcW w:w="200" w:type="dxa"/>
            <w:vAlign w:val="bottom"/>
          </w:tcPr>
          <w:p>
            <w:pPr>
              <w:spacing w:after="0"/>
              <w:rPr>
                <w:sz w:val="12"/>
                <w:szCs w:val="12"/>
                <w:color w:val="auto"/>
              </w:rPr>
            </w:pPr>
          </w:p>
        </w:tc>
        <w:tc>
          <w:tcPr>
            <w:tcW w:w="11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4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Bonus</w:t>
            </w:r>
          </w:p>
        </w:tc>
        <w:tc>
          <w:tcPr>
            <w:tcW w:w="220" w:type="dxa"/>
            <w:vAlign w:val="bottom"/>
          </w:tcPr>
          <w:p>
            <w:pPr>
              <w:spacing w:after="0"/>
              <w:rPr>
                <w:sz w:val="12"/>
                <w:szCs w:val="12"/>
                <w:color w:val="auto"/>
              </w:rPr>
            </w:pPr>
          </w:p>
        </w:tc>
        <w:tc>
          <w:tcPr>
            <w:tcW w:w="4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Incentive Plan</w:t>
            </w: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2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6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9"/>
        </w:trPr>
        <w:tc>
          <w:tcPr>
            <w:tcW w:w="17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Principal Position</w:t>
            </w:r>
          </w:p>
        </w:tc>
        <w:tc>
          <w:tcPr>
            <w:tcW w:w="1460" w:type="dxa"/>
            <w:vAlign w:val="bottom"/>
            <w:vMerge w:val="restart"/>
          </w:tcPr>
          <w:p>
            <w:pPr>
              <w:spacing w:after="0"/>
              <w:rPr>
                <w:sz w:val="12"/>
                <w:szCs w:val="12"/>
                <w:color w:val="auto"/>
              </w:rPr>
            </w:pPr>
          </w:p>
        </w:tc>
        <w:tc>
          <w:tcPr>
            <w:tcW w:w="700" w:type="dxa"/>
            <w:vAlign w:val="bottom"/>
            <w:gridSpan w:val="3"/>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Year</w:t>
            </w:r>
          </w:p>
        </w:tc>
        <w:tc>
          <w:tcPr>
            <w:tcW w:w="16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460" w:type="dxa"/>
            <w:vAlign w:val="bottom"/>
            <w:vMerge w:val="continue"/>
          </w:tcPr>
          <w:p>
            <w:pPr>
              <w:spacing w:after="0"/>
              <w:rPr>
                <w:sz w:val="12"/>
                <w:szCs w:val="12"/>
                <w:color w:val="auto"/>
              </w:rPr>
            </w:pPr>
          </w:p>
        </w:tc>
        <w:tc>
          <w:tcPr>
            <w:tcW w:w="680" w:type="dxa"/>
            <w:vAlign w:val="bottom"/>
            <w:gridSpan w:val="2"/>
          </w:tcPr>
          <w:p>
            <w:pPr>
              <w:jc w:val="center"/>
              <w:ind w:left="128"/>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680" w:type="dxa"/>
            <w:vAlign w:val="bottom"/>
            <w:gridSpan w:val="2"/>
          </w:tcPr>
          <w:p>
            <w:pPr>
              <w:jc w:val="center"/>
              <w:ind w:left="108"/>
              <w:spacing w:after="0" w:line="149" w:lineRule="exact"/>
              <w:rPr>
                <w:sz w:val="20"/>
                <w:szCs w:val="20"/>
                <w:color w:val="auto"/>
              </w:rPr>
            </w:pPr>
            <w:r>
              <w:rPr>
                <w:rFonts w:ascii="Times New Roman" w:cs="Times New Roman" w:eastAsia="Times New Roman" w:hAnsi="Times New Roman"/>
                <w:sz w:val="14"/>
                <w:szCs w:val="14"/>
                <w:b w:val="1"/>
                <w:bCs w:val="1"/>
                <w:color w:val="auto"/>
                <w:w w:val="98"/>
              </w:rPr>
              <w:t>Awards</w:t>
            </w:r>
          </w:p>
        </w:tc>
        <w:tc>
          <w:tcPr>
            <w:tcW w:w="200" w:type="dxa"/>
            <w:vAlign w:val="bottom"/>
          </w:tcPr>
          <w:p>
            <w:pPr>
              <w:spacing w:after="0"/>
              <w:rPr>
                <w:sz w:val="12"/>
                <w:szCs w:val="12"/>
                <w:color w:val="auto"/>
              </w:rPr>
            </w:pPr>
          </w:p>
        </w:tc>
        <w:tc>
          <w:tcPr>
            <w:tcW w:w="11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200" w:type="dxa"/>
            <w:vAlign w:val="bottom"/>
          </w:tcPr>
          <w:p>
            <w:pPr>
              <w:spacing w:after="0"/>
              <w:rPr>
                <w:sz w:val="12"/>
                <w:szCs w:val="12"/>
                <w:color w:val="auto"/>
              </w:rPr>
            </w:pPr>
          </w:p>
        </w:tc>
        <w:tc>
          <w:tcPr>
            <w:tcW w:w="11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6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1760" w:type="dxa"/>
            <w:vAlign w:val="bottom"/>
            <w:vMerge w:val="continue"/>
          </w:tcPr>
          <w:p>
            <w:pPr>
              <w:spacing w:after="0"/>
              <w:rPr>
                <w:sz w:val="15"/>
                <w:szCs w:val="15"/>
                <w:color w:val="auto"/>
              </w:rPr>
            </w:pPr>
          </w:p>
        </w:tc>
        <w:tc>
          <w:tcPr>
            <w:tcW w:w="1460" w:type="dxa"/>
            <w:vAlign w:val="bottom"/>
            <w:vMerge w:val="continue"/>
          </w:tcPr>
          <w:p>
            <w:pPr>
              <w:spacing w:after="0"/>
              <w:rPr>
                <w:sz w:val="15"/>
                <w:szCs w:val="15"/>
                <w:color w:val="auto"/>
              </w:rPr>
            </w:pPr>
          </w:p>
        </w:tc>
        <w:tc>
          <w:tcPr>
            <w:tcW w:w="700" w:type="dxa"/>
            <w:vAlign w:val="bottom"/>
            <w:gridSpan w:val="3"/>
            <w:vMerge w:val="continue"/>
          </w:tcPr>
          <w:p>
            <w:pPr>
              <w:spacing w:after="0"/>
              <w:rPr>
                <w:sz w:val="15"/>
                <w:szCs w:val="15"/>
                <w:color w:val="auto"/>
              </w:rPr>
            </w:pPr>
          </w:p>
        </w:tc>
        <w:tc>
          <w:tcPr>
            <w:tcW w:w="62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tcPr>
          <w:p>
            <w:pPr>
              <w:spacing w:after="0"/>
              <w:rPr>
                <w:sz w:val="15"/>
                <w:szCs w:val="15"/>
                <w:color w:val="auto"/>
              </w:rPr>
            </w:pPr>
          </w:p>
        </w:tc>
        <w:tc>
          <w:tcPr>
            <w:tcW w:w="460" w:type="dxa"/>
            <w:vAlign w:val="bottom"/>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gridSpan w:val="2"/>
          </w:tcPr>
          <w:p>
            <w:pPr>
              <w:jc w:val="center"/>
              <w:ind w:left="128"/>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680" w:type="dxa"/>
            <w:vAlign w:val="bottom"/>
            <w:gridSpan w:val="2"/>
          </w:tcPr>
          <w:p>
            <w:pPr>
              <w:jc w:val="center"/>
              <w:ind w:left="128"/>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160" w:type="dxa"/>
            <w:vAlign w:val="bottom"/>
            <w:gridSpan w:val="2"/>
          </w:tcPr>
          <w:p>
            <w:pPr>
              <w:jc w:val="center"/>
              <w:ind w:left="56"/>
              <w:spacing w:after="0"/>
              <w:rPr>
                <w:sz w:val="20"/>
                <w:szCs w:val="20"/>
                <w:color w:val="auto"/>
              </w:rPr>
            </w:pPr>
            <w:r>
              <w:rPr>
                <w:rFonts w:ascii="Times New Roman" w:cs="Times New Roman" w:eastAsia="Times New Roman" w:hAnsi="Times New Roman"/>
                <w:sz w:val="14"/>
                <w:szCs w:val="14"/>
                <w:b w:val="1"/>
                <w:bCs w:val="1"/>
                <w:color w:val="auto"/>
              </w:rPr>
              <w:t>($)(2)</w:t>
            </w:r>
          </w:p>
        </w:tc>
        <w:tc>
          <w:tcPr>
            <w:tcW w:w="200" w:type="dxa"/>
            <w:vAlign w:val="bottom"/>
          </w:tcPr>
          <w:p>
            <w:pPr>
              <w:spacing w:after="0"/>
              <w:rPr>
                <w:sz w:val="15"/>
                <w:szCs w:val="15"/>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w:t>
            </w:r>
          </w:p>
        </w:tc>
        <w:tc>
          <w:tcPr>
            <w:tcW w:w="1120" w:type="dxa"/>
            <w:vAlign w:val="bottom"/>
            <w:gridSpan w:val="2"/>
          </w:tcPr>
          <w:p>
            <w:pPr>
              <w:jc w:val="center"/>
              <w:ind w:left="76"/>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40" w:type="dxa"/>
            <w:vAlign w:val="bottom"/>
          </w:tcPr>
          <w:p>
            <w:pPr>
              <w:spacing w:after="0"/>
              <w:rPr>
                <w:sz w:val="15"/>
                <w:szCs w:val="15"/>
                <w:color w:val="auto"/>
              </w:rPr>
            </w:pPr>
          </w:p>
        </w:tc>
        <w:tc>
          <w:tcPr>
            <w:tcW w:w="600" w:type="dxa"/>
            <w:vAlign w:val="bottom"/>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760" w:type="dxa"/>
            <w:vAlign w:val="bottom"/>
            <w:shd w:val="clear" w:color="auto" w:fill="000000"/>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Bobak Azamian, MD, PhD</w:t>
            </w:r>
          </w:p>
        </w:tc>
        <w:tc>
          <w:tcPr>
            <w:tcW w:w="70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2019</w:t>
            </w:r>
          </w:p>
        </w:tc>
        <w:tc>
          <w:tcPr>
            <w:tcW w:w="9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300,000</w:t>
            </w:r>
          </w:p>
        </w:tc>
        <w:tc>
          <w:tcPr>
            <w:tcW w:w="4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116,137</w:t>
            </w:r>
          </w:p>
        </w:tc>
        <w:tc>
          <w:tcPr>
            <w:tcW w:w="9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12,240</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312,240</w:t>
            </w:r>
          </w:p>
        </w:tc>
        <w:tc>
          <w:tcPr>
            <w:tcW w:w="0" w:type="dxa"/>
            <w:vAlign w:val="bottom"/>
          </w:tcPr>
          <w:p>
            <w:pPr>
              <w:spacing w:after="0"/>
              <w:rPr>
                <w:sz w:val="1"/>
                <w:szCs w:val="1"/>
                <w:color w:val="auto"/>
              </w:rPr>
            </w:pPr>
          </w:p>
        </w:tc>
      </w:tr>
      <w:tr>
        <w:trPr>
          <w:trHeight w:val="216"/>
        </w:trPr>
        <w:tc>
          <w:tcPr>
            <w:tcW w:w="32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Chief Executive Officer</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3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Mark Holdbrook</w:t>
            </w:r>
          </w:p>
        </w:tc>
        <w:tc>
          <w:tcPr>
            <w:tcW w:w="70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2019</w:t>
            </w:r>
          </w:p>
        </w:tc>
        <w:tc>
          <w:tcPr>
            <w:tcW w:w="9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250,000</w:t>
            </w:r>
          </w:p>
        </w:tc>
        <w:tc>
          <w:tcPr>
            <w:tcW w:w="4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2"/>
                <w:szCs w:val="22"/>
                <w:color w:val="auto"/>
              </w:rPr>
            </w:pPr>
          </w:p>
        </w:tc>
        <w:tc>
          <w:tcPr>
            <w:tcW w:w="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2"/>
                <w:szCs w:val="22"/>
                <w:color w:val="auto"/>
              </w:rPr>
            </w:pPr>
          </w:p>
        </w:tc>
        <w:tc>
          <w:tcPr>
            <w:tcW w:w="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58,219</w:t>
            </w:r>
          </w:p>
        </w:tc>
        <w:tc>
          <w:tcPr>
            <w:tcW w:w="9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12,240</w:t>
            </w: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262,240</w:t>
            </w:r>
          </w:p>
        </w:tc>
        <w:tc>
          <w:tcPr>
            <w:tcW w:w="0" w:type="dxa"/>
            <w:vAlign w:val="bottom"/>
          </w:tcPr>
          <w:p>
            <w:pPr>
              <w:spacing w:after="0"/>
              <w:rPr>
                <w:sz w:val="1"/>
                <w:szCs w:val="1"/>
                <w:color w:val="auto"/>
              </w:rPr>
            </w:pPr>
          </w:p>
        </w:tc>
      </w:tr>
      <w:tr>
        <w:trPr>
          <w:trHeight w:val="236"/>
        </w:trPr>
        <w:tc>
          <w:tcPr>
            <w:tcW w:w="3220" w:type="dxa"/>
            <w:vAlign w:val="bottom"/>
            <w:gridSpan w:val="2"/>
          </w:tcPr>
          <w:p>
            <w:pPr>
              <w:ind w:left="180"/>
              <w:spacing w:after="0"/>
              <w:rPr>
                <w:sz w:val="20"/>
                <w:szCs w:val="20"/>
                <w:color w:val="auto"/>
              </w:rPr>
            </w:pPr>
            <w:r>
              <w:rPr>
                <w:rFonts w:ascii="Times New Roman" w:cs="Times New Roman" w:eastAsia="Times New Roman" w:hAnsi="Times New Roman"/>
                <w:sz w:val="18"/>
                <w:szCs w:val="18"/>
                <w:i w:val="1"/>
                <w:iCs w:val="1"/>
                <w:color w:val="auto"/>
              </w:rPr>
              <w:t>Vice President, Clinical Affairs</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46" w:lineRule="exact"/>
        <w:rPr>
          <w:sz w:val="20"/>
          <w:szCs w:val="20"/>
          <w:color w:val="auto"/>
        </w:rPr>
      </w:pPr>
    </w:p>
    <w:p>
      <w:pPr>
        <w:ind w:left="540" w:right="340" w:hanging="424"/>
        <w:spacing w:after="0" w:line="261" w:lineRule="auto"/>
        <w:tabs>
          <w:tab w:leader="none" w:pos="540" w:val="left"/>
        </w:tabs>
        <w:numPr>
          <w:ilvl w:val="0"/>
          <w:numId w:val="1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Leo Greenstein, Sesha Neervannan and Aziz Mottiwala were not executive officers prior to 2020 and, accordingly, are not named executive officers with respect to our fiscal year ended December 31, 2019.</w:t>
      </w:r>
    </w:p>
    <w:p>
      <w:pPr>
        <w:spacing w:after="0" w:line="189" w:lineRule="exact"/>
        <w:rPr>
          <w:rFonts w:ascii="Times New Roman" w:cs="Times New Roman" w:eastAsia="Times New Roman" w:hAnsi="Times New Roman"/>
          <w:sz w:val="14"/>
          <w:szCs w:val="14"/>
          <w:color w:val="auto"/>
        </w:rPr>
      </w:pPr>
    </w:p>
    <w:p>
      <w:pPr>
        <w:ind w:left="540" w:hanging="424"/>
        <w:spacing w:after="0"/>
        <w:tabs>
          <w:tab w:leader="none" w:pos="540" w:val="left"/>
        </w:tabs>
        <w:numPr>
          <w:ilvl w:val="0"/>
          <w:numId w:val="1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cash performance award earned with respect to prior fiscal year but paid in fiscal year 2020.</w:t>
      </w:r>
    </w:p>
    <w:p>
      <w:pPr>
        <w:spacing w:after="0" w:line="20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Narrative Explanation of Compensation Arrangements with our Named Executive Officers</w:t>
      </w:r>
    </w:p>
    <w:p>
      <w:pPr>
        <w:spacing w:after="0" w:line="2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Base Salaries and Annual Incentive Opportunities</w:t>
      </w:r>
    </w:p>
    <w:p>
      <w:pPr>
        <w:spacing w:after="0" w:line="227" w:lineRule="exact"/>
        <w:rPr>
          <w:sz w:val="20"/>
          <w:szCs w:val="20"/>
          <w:color w:val="auto"/>
        </w:rPr>
      </w:pPr>
    </w:p>
    <w:p>
      <w:pPr>
        <w:ind w:left="120" w:right="60" w:firstLine="881"/>
        <w:spacing w:after="0" w:line="266" w:lineRule="auto"/>
        <w:rPr>
          <w:sz w:val="20"/>
          <w:szCs w:val="20"/>
          <w:color w:val="auto"/>
        </w:rPr>
      </w:pPr>
      <w:r>
        <w:rPr>
          <w:rFonts w:ascii="Times New Roman" w:cs="Times New Roman" w:eastAsia="Times New Roman" w:hAnsi="Times New Roman"/>
          <w:sz w:val="18"/>
          <w:szCs w:val="18"/>
          <w:color w:val="auto"/>
        </w:rPr>
        <w:t>The base salaries of all of our named executive officers are reviewed from time to time and adjusted when our board of directors or compensation committee determines an adjustment is appropriate. For our 2019 fiscal year, the base salary was $300,000 for Dr. Azamian and $250,000 for Mr. Holdbrook.</w:t>
      </w:r>
    </w:p>
    <w:p>
      <w:pPr>
        <w:spacing w:after="0" w:line="176" w:lineRule="exact"/>
        <w:rPr>
          <w:sz w:val="20"/>
          <w:szCs w:val="20"/>
          <w:color w:val="auto"/>
        </w:rPr>
      </w:pPr>
    </w:p>
    <w:p>
      <w:pPr>
        <w:ind w:left="120" w:firstLine="881"/>
        <w:spacing w:after="0" w:line="256" w:lineRule="auto"/>
        <w:rPr>
          <w:sz w:val="20"/>
          <w:szCs w:val="20"/>
          <w:color w:val="auto"/>
        </w:rPr>
      </w:pPr>
      <w:r>
        <w:rPr>
          <w:rFonts w:ascii="Times New Roman" w:cs="Times New Roman" w:eastAsia="Times New Roman" w:hAnsi="Times New Roman"/>
          <w:sz w:val="18"/>
          <w:szCs w:val="18"/>
          <w:color w:val="auto"/>
        </w:rPr>
        <w:t>Each of our named executive officers is eligible to earn an incentive bonus for each of our fiscal years, with such bonus awarded based on individual performance goals, as well as corporate goals related to our product development and advancement of clinical studies established by our chief executive officer and approved by our board of directors. During our fiscal year ended December 31, 2019, our named executive officers were eligible to earn cash incentive bonuses based on a combination of corporate and individual goals. We require that participants continue to be employed through the payment date to receive a bonus. For our 2019 fiscal year, the target bonus rate (as a percentage of base salary) was 30% for Dr. Azamian and 20% for Mr. Holdbrook.</w:t>
      </w:r>
    </w:p>
    <w:p>
      <w:pPr>
        <w:spacing w:after="0" w:line="187" w:lineRule="exact"/>
        <w:rPr>
          <w:sz w:val="20"/>
          <w:szCs w:val="20"/>
          <w:color w:val="auto"/>
        </w:rPr>
      </w:pPr>
    </w:p>
    <w:p>
      <w:pPr>
        <w:ind w:left="120" w:right="40" w:firstLine="881"/>
        <w:spacing w:after="0" w:line="282" w:lineRule="auto"/>
        <w:rPr>
          <w:sz w:val="20"/>
          <w:szCs w:val="20"/>
          <w:color w:val="auto"/>
        </w:rPr>
      </w:pPr>
      <w:r>
        <w:rPr>
          <w:rFonts w:ascii="Times New Roman" w:cs="Times New Roman" w:eastAsia="Times New Roman" w:hAnsi="Times New Roman"/>
          <w:sz w:val="18"/>
          <w:szCs w:val="18"/>
          <w:color w:val="auto"/>
        </w:rPr>
        <w:t>Pursuant to his letter agreement with us, Dr. Azamian is eligible to receive certain acceleration benefits in the event of our change in control, as described in the footnotes to the “Outstanding Equity Awards at 2019 Fiscal Year-End” table.</w:t>
      </w:r>
    </w:p>
    <w:p>
      <w:pPr>
        <w:spacing w:after="0" w:line="16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Equity Compensation</w:t>
      </w:r>
    </w:p>
    <w:p>
      <w:pPr>
        <w:spacing w:after="0" w:line="227" w:lineRule="exact"/>
        <w:rPr>
          <w:sz w:val="20"/>
          <w:szCs w:val="20"/>
          <w:color w:val="auto"/>
        </w:rPr>
      </w:pPr>
    </w:p>
    <w:p>
      <w:pPr>
        <w:ind w:left="120" w:right="140" w:firstLine="881"/>
        <w:spacing w:after="0" w:line="277" w:lineRule="auto"/>
        <w:rPr>
          <w:sz w:val="20"/>
          <w:szCs w:val="20"/>
          <w:color w:val="auto"/>
        </w:rPr>
      </w:pPr>
      <w:r>
        <w:rPr>
          <w:rFonts w:ascii="Times New Roman" w:cs="Times New Roman" w:eastAsia="Times New Roman" w:hAnsi="Times New Roman"/>
          <w:sz w:val="17"/>
          <w:szCs w:val="17"/>
          <w:color w:val="auto"/>
        </w:rPr>
        <w:t>We offer stock options to our employees, including our named executive officers, as the long-term incentive component of our compensation program. Our stock options allow our employees to purchase shares of our common stock at a price equal to the fair market value of our common stock on the date of grant. In the past, our board of directors or compensation committee has determined the fair market value of our common stock based on inputs including valuation reports prepared by third party valuation firms. Generally, our stock options granted to new hires have vested as to 25% of the total number of option shares on the first anniversary of the award and in equal monthly installments over the following 36 months.</w:t>
      </w:r>
    </w:p>
    <w:p>
      <w:pPr>
        <w:spacing w:after="0" w:line="10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-173-</w:t>
      </w:r>
    </w:p>
    <w:p>
      <w:pPr>
        <w:sectPr>
          <w:pgSz w:w="11900" w:h="16838" w:orient="portrait"/>
          <w:cols w:equalWidth="0" w:num="1">
            <w:col w:w="11140"/>
          </w:cols>
          <w:pgMar w:left="320" w:top="455" w:right="439" w:bottom="1440" w:gutter="0" w:footer="0" w:header="0"/>
        </w:sectPr>
      </w:pPr>
    </w:p>
    <w:bookmarkStart w:id="176" w:name="page177"/>
    <w:bookmarkEnd w:id="17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Employee Benefits and Perquisites.</w:t>
      </w:r>
    </w:p>
    <w:p>
      <w:pPr>
        <w:spacing w:after="0" w:line="227" w:lineRule="exact"/>
        <w:rPr>
          <w:sz w:val="20"/>
          <w:szCs w:val="20"/>
          <w:color w:val="auto"/>
        </w:rPr>
      </w:pPr>
    </w:p>
    <w:p>
      <w:pPr>
        <w:ind w:left="120" w:right="140" w:firstLine="881"/>
        <w:spacing w:after="0" w:line="266" w:lineRule="auto"/>
        <w:rPr>
          <w:sz w:val="20"/>
          <w:szCs w:val="20"/>
          <w:color w:val="auto"/>
        </w:rPr>
      </w:pPr>
      <w:r>
        <w:rPr>
          <w:rFonts w:ascii="Times New Roman" w:cs="Times New Roman" w:eastAsia="Times New Roman" w:hAnsi="Times New Roman"/>
          <w:sz w:val="18"/>
          <w:szCs w:val="18"/>
          <w:color w:val="auto"/>
        </w:rPr>
        <w:t>Our named executive officers are eligible to participate in our health and welfare plans to the same extent as our full-time employees generally. We generally do not provide our named executive officers with perquisites or other personal benefits. We contract with Trinet, a professional employer organization that helps us administer pay and benefits, among other things.</w:t>
      </w:r>
    </w:p>
    <w:p>
      <w:pPr>
        <w:spacing w:after="0" w:line="17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Retirement Benefits.</w:t>
      </w:r>
    </w:p>
    <w:p>
      <w:pPr>
        <w:spacing w:after="0" w:line="227" w:lineRule="exact"/>
        <w:rPr>
          <w:sz w:val="20"/>
          <w:szCs w:val="20"/>
          <w:color w:val="auto"/>
        </w:rPr>
      </w:pPr>
    </w:p>
    <w:p>
      <w:pPr>
        <w:ind w:left="120" w:right="140" w:firstLine="881"/>
        <w:spacing w:after="0" w:line="266" w:lineRule="auto"/>
        <w:rPr>
          <w:sz w:val="20"/>
          <w:szCs w:val="20"/>
          <w:color w:val="auto"/>
        </w:rPr>
      </w:pPr>
      <w:r>
        <w:rPr>
          <w:rFonts w:ascii="Times New Roman" w:cs="Times New Roman" w:eastAsia="Times New Roman" w:hAnsi="Times New Roman"/>
          <w:sz w:val="18"/>
          <w:szCs w:val="18"/>
          <w:color w:val="auto"/>
        </w:rPr>
        <w:t>We have established a 401(k) tax-deferred savings plan through Trinet, which permits participants, including our named executive officers, to make contributions by salary deduction pursuant to Section 401(k) of the Internal Revenue Code. We are responsible for administrative costs of the 401(k) plan.</w:t>
      </w:r>
    </w:p>
    <w:p>
      <w:pPr>
        <w:spacing w:after="0" w:line="1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Outstanding Equity Awards at 2019 Fiscal Year-End</w:t>
      </w:r>
    </w:p>
    <w:p>
      <w:pPr>
        <w:spacing w:after="0" w:line="229" w:lineRule="exact"/>
        <w:rPr>
          <w:sz w:val="20"/>
          <w:szCs w:val="20"/>
          <w:color w:val="auto"/>
        </w:rPr>
      </w:pPr>
    </w:p>
    <w:p>
      <w:pPr>
        <w:ind w:left="120" w:right="260" w:firstLine="881"/>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regarding each unexercised option and all unvested stock held by each of our named executive officers as of December 31, 2019.</w:t>
      </w:r>
    </w:p>
    <w:p>
      <w:pPr>
        <w:spacing w:after="0" w:line="162"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The vesting schedule applicable to each outstanding award is described in the footnotes to the table below.</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6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2300" w:type="dxa"/>
            <w:vAlign w:val="bottom"/>
            <w:tcBorders>
              <w:bottom w:val="single" w:sz="8" w:color="auto"/>
            </w:tcBorders>
            <w:gridSpan w:val="4"/>
          </w:tcPr>
          <w:p>
            <w:pPr>
              <w:ind w:left="460"/>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88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1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340" w:type="dxa"/>
            <w:vAlign w:val="bottom"/>
            <w:gridSpan w:val="2"/>
          </w:tcPr>
          <w:p>
            <w:pPr>
              <w:jc w:val="center"/>
              <w:ind w:right="560"/>
              <w:spacing w:after="0" w:line="118"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1340" w:type="dxa"/>
            <w:vAlign w:val="bottom"/>
            <w:gridSpan w:val="2"/>
          </w:tcPr>
          <w:p>
            <w:pPr>
              <w:jc w:val="center"/>
              <w:ind w:right="580"/>
              <w:spacing w:after="0" w:line="118"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6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6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40" w:type="dxa"/>
            <w:vAlign w:val="bottom"/>
            <w:gridSpan w:val="2"/>
          </w:tcPr>
          <w:p>
            <w:pPr>
              <w:jc w:val="center"/>
              <w:ind w:right="580"/>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1340" w:type="dxa"/>
            <w:vAlign w:val="bottom"/>
            <w:gridSpan w:val="2"/>
          </w:tcPr>
          <w:p>
            <w:pPr>
              <w:jc w:val="center"/>
              <w:ind w:right="580"/>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96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40" w:type="dxa"/>
            <w:vAlign w:val="bottom"/>
            <w:gridSpan w:val="2"/>
          </w:tcPr>
          <w:p>
            <w:pPr>
              <w:jc w:val="center"/>
              <w:ind w:right="560"/>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1340" w:type="dxa"/>
            <w:vAlign w:val="bottom"/>
            <w:gridSpan w:val="2"/>
          </w:tcPr>
          <w:p>
            <w:pPr>
              <w:jc w:val="center"/>
              <w:ind w:right="560"/>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960" w:type="dxa"/>
            <w:vAlign w:val="bottom"/>
            <w:gridSpan w:val="2"/>
            <w:vMerge w:val="continue"/>
          </w:tcPr>
          <w:p>
            <w:pPr>
              <w:spacing w:after="0"/>
              <w:rPr>
                <w:sz w:val="12"/>
                <w:szCs w:val="12"/>
                <w:color w:val="auto"/>
              </w:rPr>
            </w:pPr>
          </w:p>
        </w:tc>
        <w:tc>
          <w:tcPr>
            <w:tcW w:w="94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0" w:type="dxa"/>
            <w:vAlign w:val="bottom"/>
          </w:tcPr>
          <w:p>
            <w:pPr>
              <w:spacing w:after="0"/>
              <w:rPr>
                <w:sz w:val="1"/>
                <w:szCs w:val="1"/>
                <w:color w:val="auto"/>
              </w:rPr>
            </w:pPr>
          </w:p>
        </w:tc>
      </w:tr>
      <w:tr>
        <w:trPr>
          <w:trHeight w:val="148"/>
        </w:trPr>
        <w:tc>
          <w:tcPr>
            <w:tcW w:w="6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40" w:type="dxa"/>
            <w:vAlign w:val="bottom"/>
            <w:gridSpan w:val="2"/>
          </w:tcPr>
          <w:p>
            <w:pPr>
              <w:jc w:val="center"/>
              <w:ind w:right="560"/>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1340" w:type="dxa"/>
            <w:vAlign w:val="bottom"/>
            <w:gridSpan w:val="2"/>
          </w:tcPr>
          <w:p>
            <w:pPr>
              <w:jc w:val="center"/>
              <w:ind w:right="580"/>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96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9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140" w:type="dxa"/>
            <w:vAlign w:val="bottom"/>
            <w:vMerge w:val="restart"/>
          </w:tcPr>
          <w:p>
            <w:pPr>
              <w:ind w:left="2880"/>
              <w:spacing w:after="0"/>
              <w:rPr>
                <w:sz w:val="20"/>
                <w:szCs w:val="20"/>
                <w:color w:val="auto"/>
              </w:rPr>
            </w:pPr>
            <w:r>
              <w:rPr>
                <w:rFonts w:ascii="Times New Roman" w:cs="Times New Roman" w:eastAsia="Times New Roman" w:hAnsi="Times New Roman"/>
                <w:sz w:val="14"/>
                <w:szCs w:val="14"/>
                <w:b w:val="1"/>
                <w:bCs w:val="1"/>
                <w:color w:val="auto"/>
              </w:rPr>
              <w:t>Name</w:t>
            </w:r>
          </w:p>
        </w:tc>
        <w:tc>
          <w:tcPr>
            <w:tcW w:w="300" w:type="dxa"/>
            <w:vAlign w:val="bottom"/>
            <w:vMerge w:val="restart"/>
          </w:tcPr>
          <w:p>
            <w:pPr>
              <w:spacing w:after="0"/>
              <w:rPr>
                <w:sz w:val="12"/>
                <w:szCs w:val="12"/>
                <w:color w:val="auto"/>
              </w:rPr>
            </w:pPr>
          </w:p>
        </w:tc>
        <w:tc>
          <w:tcPr>
            <w:tcW w:w="1340" w:type="dxa"/>
            <w:vAlign w:val="bottom"/>
            <w:gridSpan w:val="2"/>
          </w:tcPr>
          <w:p>
            <w:pPr>
              <w:jc w:val="center"/>
              <w:ind w:right="560"/>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1340" w:type="dxa"/>
            <w:vAlign w:val="bottom"/>
            <w:gridSpan w:val="2"/>
          </w:tcPr>
          <w:p>
            <w:pPr>
              <w:jc w:val="center"/>
              <w:ind w:right="580"/>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96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Price</w:t>
            </w:r>
          </w:p>
        </w:tc>
        <w:tc>
          <w:tcPr>
            <w:tcW w:w="94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Expiration</w:t>
            </w:r>
          </w:p>
        </w:tc>
        <w:tc>
          <w:tcPr>
            <w:tcW w:w="0" w:type="dxa"/>
            <w:vAlign w:val="bottom"/>
          </w:tcPr>
          <w:p>
            <w:pPr>
              <w:spacing w:after="0"/>
              <w:rPr>
                <w:sz w:val="1"/>
                <w:szCs w:val="1"/>
                <w:color w:val="auto"/>
              </w:rPr>
            </w:pPr>
          </w:p>
        </w:tc>
      </w:tr>
      <w:tr>
        <w:trPr>
          <w:trHeight w:val="173"/>
        </w:trPr>
        <w:tc>
          <w:tcPr>
            <w:tcW w:w="6140" w:type="dxa"/>
            <w:vAlign w:val="bottom"/>
            <w:tcBorders>
              <w:bottom w:val="single" w:sz="8" w:color="auto"/>
            </w:tcBorders>
            <w:vMerge w:val="continue"/>
          </w:tcPr>
          <w:p>
            <w:pPr>
              <w:spacing w:after="0"/>
              <w:rPr>
                <w:sz w:val="15"/>
                <w:szCs w:val="15"/>
                <w:color w:val="auto"/>
              </w:rPr>
            </w:pPr>
          </w:p>
        </w:tc>
        <w:tc>
          <w:tcPr>
            <w:tcW w:w="300" w:type="dxa"/>
            <w:vAlign w:val="bottom"/>
            <w:tcBorders>
              <w:bottom w:val="single" w:sz="8" w:color="CCEEFF"/>
            </w:tcBorders>
            <w:vMerge w:val="continue"/>
          </w:tcPr>
          <w:p>
            <w:pPr>
              <w:spacing w:after="0"/>
              <w:rPr>
                <w:sz w:val="15"/>
                <w:szCs w:val="15"/>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Vested (#)</w:t>
            </w:r>
          </w:p>
        </w:tc>
        <w:tc>
          <w:tcPr>
            <w:tcW w:w="58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Unvested (#)</w:t>
            </w:r>
          </w:p>
        </w:tc>
        <w:tc>
          <w:tcPr>
            <w:tcW w:w="560" w:type="dxa"/>
            <w:vAlign w:val="bottom"/>
            <w:tcBorders>
              <w:bottom w:val="single" w:sz="8" w:color="CCEEFF"/>
            </w:tcBorders>
          </w:tcPr>
          <w:p>
            <w:pPr>
              <w:spacing w:after="0"/>
              <w:rPr>
                <w:sz w:val="15"/>
                <w:szCs w:val="15"/>
                <w:color w:val="auto"/>
              </w:rPr>
            </w:pP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36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6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Bobak Azamian</w:t>
            </w:r>
          </w:p>
        </w:tc>
        <w:tc>
          <w:tcPr>
            <w:tcW w:w="3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266,685(1)</w:t>
            </w:r>
          </w:p>
        </w:tc>
        <w:tc>
          <w:tcPr>
            <w:tcW w:w="13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586,708(1)</w:t>
            </w: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0.06</w:t>
            </w: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10/26/2028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6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Mark Holdbrook</w:t>
            </w:r>
          </w:p>
        </w:tc>
        <w:tc>
          <w:tcPr>
            <w:tcW w:w="13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432,291(2)</w:t>
            </w:r>
          </w:p>
        </w:tc>
        <w:tc>
          <w:tcPr>
            <w:tcW w:w="13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190,209(2)</w:t>
            </w:r>
          </w:p>
        </w:tc>
        <w:tc>
          <w:tcPr>
            <w:tcW w:w="9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rPr>
              <w:t>$0.0001</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11/28/2027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46" w:lineRule="exact"/>
        <w:rPr>
          <w:sz w:val="20"/>
          <w:szCs w:val="20"/>
          <w:color w:val="auto"/>
        </w:rPr>
      </w:pPr>
    </w:p>
    <w:p>
      <w:pPr>
        <w:ind w:left="540" w:right="40" w:hanging="424"/>
        <w:spacing w:after="0" w:line="261" w:lineRule="auto"/>
        <w:tabs>
          <w:tab w:leader="none" w:pos="540" w:val="left"/>
        </w:tabs>
        <w:numPr>
          <w:ilvl w:val="0"/>
          <w:numId w:val="1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Option vests in 48 substantially equal monthly installments beginning on September 15, 2018 provided Dr. Azamian remains in continuous service through each such vesting date. The option will also become fully vested on an accelerated basis if Dr. Azamian remains in continuous service through a change in control.</w:t>
      </w:r>
    </w:p>
    <w:p>
      <w:pPr>
        <w:spacing w:after="0" w:line="189" w:lineRule="exact"/>
        <w:rPr>
          <w:rFonts w:ascii="Times New Roman" w:cs="Times New Roman" w:eastAsia="Times New Roman" w:hAnsi="Times New Roman"/>
          <w:sz w:val="14"/>
          <w:szCs w:val="14"/>
          <w:color w:val="auto"/>
        </w:rPr>
      </w:pPr>
    </w:p>
    <w:p>
      <w:pPr>
        <w:ind w:left="540" w:right="200" w:hanging="424"/>
        <w:spacing w:after="0" w:line="261" w:lineRule="auto"/>
        <w:tabs>
          <w:tab w:leader="none" w:pos="540" w:val="left"/>
        </w:tabs>
        <w:numPr>
          <w:ilvl w:val="0"/>
          <w:numId w:val="1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Option vests in 36 substantially equal monthly installments beginning on November 1, 2017, provided Mr. Holdbrook remains in continuous service through each such vesting date. The option will also become fully vested on an accelerated basis if Mr. Holdbrook remains in continuous service through a change in control.</w:t>
      </w:r>
    </w:p>
    <w:p>
      <w:pPr>
        <w:spacing w:after="0" w:line="16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Severance and Change in Control Benefits</w:t>
      </w:r>
    </w:p>
    <w:p>
      <w:pPr>
        <w:spacing w:after="0" w:line="229" w:lineRule="exact"/>
        <w:rPr>
          <w:sz w:val="20"/>
          <w:szCs w:val="20"/>
          <w:color w:val="auto"/>
        </w:rPr>
      </w:pPr>
    </w:p>
    <w:p>
      <w:pPr>
        <w:ind w:left="120" w:right="20" w:firstLine="881"/>
        <w:spacing w:after="0" w:line="256" w:lineRule="auto"/>
        <w:rPr>
          <w:sz w:val="20"/>
          <w:szCs w:val="20"/>
          <w:color w:val="auto"/>
        </w:rPr>
      </w:pPr>
      <w:r>
        <w:rPr>
          <w:rFonts w:ascii="Times New Roman" w:cs="Times New Roman" w:eastAsia="Times New Roman" w:hAnsi="Times New Roman"/>
          <w:sz w:val="18"/>
          <w:szCs w:val="18"/>
          <w:color w:val="auto"/>
        </w:rPr>
        <w:t>The restricted shares and option to purchase shares of our Common Stock held by Dr. Azamian fully vest in the event we are subject to a change in control. Change in control means our consummation of a merger or consolidation with or into another entity or our dissolution, liquidation or winding up. The foregoing notwithstanding, our merger or consolidation does not constitute a change in control if immediately after the merger or consolidation a majority of the voting power of the capital stock of the continuing or surviving entity, or any direct or indirect parent corporation of the continuing or surviving entity, will be owned by the persons who were our stockholders immediately prior to the merger or consolidation in substantially the same proportions as their ownership of the voting power of our capital stock immediately prior to the merger or consolidation.</w:t>
      </w:r>
    </w:p>
    <w:p>
      <w:pPr>
        <w:spacing w:after="0" w:line="18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Neither Dr. Azamian nor Mr. Holdbrook are eligible for any severance benefits.</w:t>
      </w:r>
    </w:p>
    <w:p>
      <w:pPr>
        <w:spacing w:after="0" w:line="158"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color w:val="auto"/>
        </w:rPr>
        <w:t>-174-</w:t>
      </w:r>
    </w:p>
    <w:p>
      <w:pPr>
        <w:sectPr>
          <w:pgSz w:w="11900" w:h="16838" w:orient="portrait"/>
          <w:cols w:equalWidth="0" w:num="1">
            <w:col w:w="11140"/>
          </w:cols>
          <w:pgMar w:left="320" w:top="455" w:right="439" w:bottom="1440" w:gutter="0" w:footer="0" w:header="0"/>
        </w:sectPr>
      </w:pPr>
    </w:p>
    <w:bookmarkStart w:id="177" w:name="page178"/>
    <w:bookmarkEnd w:id="17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Equity Plans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2020 Equity Incentive Plan</w:t>
      </w:r>
    </w:p>
    <w:p>
      <w:pPr>
        <w:spacing w:after="0" w:line="229" w:lineRule="exact"/>
        <w:rPr>
          <w:sz w:val="20"/>
          <w:szCs w:val="20"/>
          <w:color w:val="auto"/>
        </w:rPr>
      </w:pPr>
    </w:p>
    <w:p>
      <w:pPr>
        <w:ind w:left="120" w:right="100" w:firstLine="881"/>
        <w:spacing w:after="0" w:line="258" w:lineRule="auto"/>
        <w:rPr>
          <w:sz w:val="20"/>
          <w:szCs w:val="20"/>
          <w:color w:val="auto"/>
        </w:rPr>
      </w:pPr>
      <w:r>
        <w:rPr>
          <w:rFonts w:ascii="Times New Roman" w:cs="Times New Roman" w:eastAsia="Times New Roman" w:hAnsi="Times New Roman"/>
          <w:sz w:val="18"/>
          <w:szCs w:val="18"/>
          <w:color w:val="auto"/>
        </w:rPr>
        <w:t>Our board of directors intends to adopt our 2020 Plan prior to the offering, and it will be submitted to our stockholders for approval. We expect that our 2020 Plan will become effective immediately on adoption although no awards will be made under it until the effective date of the registration statement of which this prospectus is a part. Our 2020 Plan is intended to replace our 2016 Plan. However, awards outstanding under our 2016 Plan will continue to be governed by their existing terms. Although not yet adopted, we expect that our 2020 Plan will have the features described below.</w:t>
      </w:r>
    </w:p>
    <w:p>
      <w:pPr>
        <w:spacing w:after="0" w:line="181"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i w:val="1"/>
          <w:iCs w:val="1"/>
          <w:color w:val="auto"/>
        </w:rPr>
        <w:t xml:space="preserve">Share Reserve. </w:t>
      </w:r>
      <w:r>
        <w:rPr>
          <w:rFonts w:ascii="Times New Roman" w:cs="Times New Roman" w:eastAsia="Times New Roman" w:hAnsi="Times New Roman"/>
          <w:sz w:val="18"/>
          <w:szCs w:val="18"/>
          <w:color w:val="auto"/>
        </w:rPr>
        <w:t>The number of shares of our common stock available for issuance under our 2020 Plan will equal the sum of</w:t>
      </w:r>
    </w:p>
    <w:p>
      <w:pPr>
        <w:spacing w:after="0" w:line="29"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shares plus up to shares remaining available for issuance under our 2016 Plan, or issued pursuant to or subject to awards granted under, our 2016 Plan. The number of shares reserved for issuance under our 2020 Plan will be increased automatically on the first business day of each of our fiscal years, commencing in 2021 and ending in 2030, by a number equal to the smallest of:</w:t>
      </w:r>
    </w:p>
    <w:p>
      <w:pPr>
        <w:spacing w:after="0" w:line="213" w:lineRule="exact"/>
        <w:rPr>
          <w:sz w:val="20"/>
          <w:szCs w:val="20"/>
          <w:color w:val="auto"/>
        </w:rPr>
      </w:pPr>
    </w:p>
    <w:p>
      <w:pPr>
        <w:ind w:left="2140" w:hanging="1039"/>
        <w:spacing w:after="0"/>
        <w:tabs>
          <w:tab w:leader="none" w:pos="214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w:t>
      </w:r>
    </w:p>
    <w:p>
      <w:pPr>
        <w:spacing w:after="0" w:line="252" w:lineRule="exact"/>
        <w:rPr>
          <w:rFonts w:ascii="Times New Roman" w:cs="Times New Roman" w:eastAsia="Times New Roman" w:hAnsi="Times New Roman"/>
          <w:sz w:val="18"/>
          <w:szCs w:val="18"/>
          <w:color w:val="auto"/>
        </w:rPr>
      </w:pPr>
    </w:p>
    <w:p>
      <w:pPr>
        <w:ind w:left="1600" w:hanging="499"/>
        <w:spacing w:after="0"/>
        <w:tabs>
          <w:tab w:leader="none" w:pos="160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of the shares of common stock outstanding on the last business day of the prior fiscal year; or</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determined by our board of directors.</w:t>
      </w:r>
    </w:p>
    <w:p>
      <w:pPr>
        <w:spacing w:after="0" w:line="225" w:lineRule="exact"/>
        <w:rPr>
          <w:sz w:val="20"/>
          <w:szCs w:val="20"/>
          <w:color w:val="auto"/>
        </w:rPr>
      </w:pPr>
    </w:p>
    <w:p>
      <w:pPr>
        <w:jc w:val="both"/>
        <w:ind w:left="120" w:right="40" w:firstLine="881"/>
        <w:spacing w:after="0" w:line="266" w:lineRule="auto"/>
        <w:rPr>
          <w:sz w:val="20"/>
          <w:szCs w:val="20"/>
          <w:color w:val="auto"/>
        </w:rPr>
      </w:pPr>
      <w:r>
        <w:rPr>
          <w:rFonts w:ascii="Times New Roman" w:cs="Times New Roman" w:eastAsia="Times New Roman" w:hAnsi="Times New Roman"/>
          <w:sz w:val="18"/>
          <w:szCs w:val="18"/>
          <w:color w:val="auto"/>
        </w:rPr>
        <w:t>In general, to the extent that any awards under our 2020 Plan are forfeited, terminate, expire or lapse without the issuance of shares, or if we repurchase the shares subject to awards granted under our 2020 Plan, those shares will again become available for issuance under our 2020 Plan, as will shares applied to pay the exercise or purchase price of an award or to satisfy tax withholding obligations related to any award.</w:t>
      </w:r>
    </w:p>
    <w:p>
      <w:pPr>
        <w:spacing w:after="0" w:line="174" w:lineRule="exact"/>
        <w:rPr>
          <w:sz w:val="20"/>
          <w:szCs w:val="20"/>
          <w:color w:val="auto"/>
        </w:rPr>
      </w:pPr>
    </w:p>
    <w:p>
      <w:pPr>
        <w:ind w:left="120" w:right="40" w:firstLine="881"/>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Administration. </w:t>
      </w:r>
      <w:r>
        <w:rPr>
          <w:rFonts w:ascii="Times New Roman" w:cs="Times New Roman" w:eastAsia="Times New Roman" w:hAnsi="Times New Roman"/>
          <w:sz w:val="18"/>
          <w:szCs w:val="18"/>
          <w:color w:val="auto"/>
        </w:rPr>
        <w:t>The compensation committee of our board of directors will administer our 2020 Plan. The compensation committee will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have complete discretion to make all decisions relating to our 2020 Plan and outstanding awards, including repricing outstanding options and modifying outstanding awards in other ways.</w:t>
      </w:r>
    </w:p>
    <w:p>
      <w:pPr>
        <w:spacing w:after="0" w:line="173"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i w:val="1"/>
          <w:iCs w:val="1"/>
          <w:color w:val="auto"/>
        </w:rPr>
        <w:t xml:space="preserve">Eligibility. </w:t>
      </w:r>
      <w:r>
        <w:rPr>
          <w:rFonts w:ascii="Times New Roman" w:cs="Times New Roman" w:eastAsia="Times New Roman" w:hAnsi="Times New Roman"/>
          <w:sz w:val="18"/>
          <w:szCs w:val="18"/>
          <w:color w:val="auto"/>
        </w:rPr>
        <w:t>Employees, non-employee directors, consultants and advisors will be eligible to participate in our 2020 Plan.</w:t>
      </w:r>
    </w:p>
    <w:p>
      <w:pPr>
        <w:sectPr>
          <w:pgSz w:w="11900" w:h="16838" w:orient="portrait"/>
          <w:cols w:equalWidth="0" w:num="1">
            <w:col w:w="11120"/>
          </w:cols>
          <w:pgMar w:left="320" w:top="455" w:right="459" w:bottom="1440" w:gutter="0" w:footer="0" w:header="0"/>
        </w:sectPr>
      </w:pPr>
    </w:p>
    <w:p>
      <w:pPr>
        <w:spacing w:after="0" w:line="227" w:lineRule="exact"/>
        <w:rPr>
          <w:sz w:val="20"/>
          <w:szCs w:val="20"/>
          <w:color w:val="auto"/>
        </w:rPr>
      </w:pPr>
    </w:p>
    <w:p>
      <w:pPr>
        <w:ind w:left="120" w:firstLine="881"/>
        <w:spacing w:after="0" w:line="266" w:lineRule="auto"/>
        <w:rPr>
          <w:sz w:val="20"/>
          <w:szCs w:val="20"/>
          <w:color w:val="auto"/>
        </w:rPr>
      </w:pPr>
      <w:r>
        <w:rPr>
          <w:rFonts w:ascii="Times New Roman" w:cs="Times New Roman" w:eastAsia="Times New Roman" w:hAnsi="Times New Roman"/>
          <w:sz w:val="18"/>
          <w:szCs w:val="18"/>
          <w:color w:val="auto"/>
        </w:rPr>
        <w:t>Under our 2020 Plan, the aggregate grant date fair value of awards granted to our non-employee directors may not exceed $ one fiscal year, except that the grant date fair value of awards granted to newly appointed non-employee directors may not exceed $ fiscal year in which such non-employee director is initially appointed to our board of directors.</w:t>
      </w:r>
    </w:p>
    <w:p>
      <w:pPr>
        <w:spacing w:after="0" w:line="20" w:lineRule="exact"/>
        <w:rPr>
          <w:sz w:val="20"/>
          <w:szCs w:val="20"/>
          <w:color w:val="auto"/>
        </w:rPr>
      </w:pPr>
      <w:r>
        <w:rPr>
          <w:sz w:val="20"/>
          <w:szCs w:val="20"/>
          <w:color w:val="auto"/>
        </w:rPr>
        <w:br w:type="column"/>
      </w:r>
    </w:p>
    <w:p>
      <w:pPr>
        <w:spacing w:after="0" w:line="207" w:lineRule="exact"/>
        <w:rPr>
          <w:sz w:val="20"/>
          <w:szCs w:val="20"/>
          <w:color w:val="auto"/>
        </w:rPr>
      </w:pPr>
    </w:p>
    <w:p>
      <w:pPr>
        <w:ind w:firstLine="304"/>
        <w:spacing w:after="0" w:line="282" w:lineRule="auto"/>
        <w:rPr>
          <w:sz w:val="20"/>
          <w:szCs w:val="20"/>
          <w:color w:val="auto"/>
        </w:rPr>
      </w:pPr>
      <w:r>
        <w:rPr>
          <w:rFonts w:ascii="Times New Roman" w:cs="Times New Roman" w:eastAsia="Times New Roman" w:hAnsi="Times New Roman"/>
          <w:sz w:val="18"/>
          <w:szCs w:val="18"/>
          <w:color w:val="auto"/>
        </w:rPr>
        <w:t>in any in the</w:t>
      </w:r>
    </w:p>
    <w:p>
      <w:pPr>
        <w:spacing w:after="0" w:line="375" w:lineRule="exact"/>
        <w:rPr>
          <w:sz w:val="20"/>
          <w:szCs w:val="20"/>
          <w:color w:val="auto"/>
        </w:rPr>
      </w:pPr>
    </w:p>
    <w:p>
      <w:pPr>
        <w:sectPr>
          <w:pgSz w:w="11900" w:h="16838" w:orient="portrait"/>
          <w:cols w:equalWidth="0" w:num="2">
            <w:col w:w="9900" w:space="460"/>
            <w:col w:w="760"/>
          </w:cols>
          <w:pgMar w:left="320" w:top="455" w:right="459" w:bottom="1440" w:gutter="0" w:footer="0" w:header="0"/>
          <w:type w:val="continuous"/>
        </w:sectPr>
      </w:pPr>
    </w:p>
    <w:p>
      <w:pPr>
        <w:ind w:left="1000"/>
        <w:spacing w:after="0"/>
        <w:rPr>
          <w:sz w:val="20"/>
          <w:szCs w:val="20"/>
          <w:color w:val="auto"/>
        </w:rPr>
      </w:pPr>
      <w:r>
        <w:rPr>
          <w:rFonts w:ascii="Times New Roman" w:cs="Times New Roman" w:eastAsia="Times New Roman" w:hAnsi="Times New Roman"/>
          <w:sz w:val="17"/>
          <w:szCs w:val="17"/>
          <w:i w:val="1"/>
          <w:iCs w:val="1"/>
          <w:color w:val="auto"/>
        </w:rPr>
        <w:t xml:space="preserve">Types of Awards. </w:t>
      </w:r>
      <w:r>
        <w:rPr>
          <w:rFonts w:ascii="Times New Roman" w:cs="Times New Roman" w:eastAsia="Times New Roman" w:hAnsi="Times New Roman"/>
          <w:sz w:val="17"/>
          <w:szCs w:val="17"/>
          <w:color w:val="auto"/>
        </w:rPr>
        <w:t>Our 2020 Plan will provide for the following types of awards:</w:t>
      </w:r>
    </w:p>
    <w:p>
      <w:pPr>
        <w:sectPr>
          <w:pgSz w:w="11900" w:h="16838" w:orient="portrait"/>
          <w:cols w:equalWidth="0" w:num="1">
            <w:col w:w="11120"/>
          </w:cols>
          <w:pgMar w:left="320" w:top="455" w:right="459" w:bottom="1440" w:gutter="0" w:footer="0" w:header="0"/>
          <w:type w:val="continuous"/>
        </w:sectPr>
      </w:pPr>
    </w:p>
    <w:p>
      <w:pPr>
        <w:spacing w:after="0" w:line="266"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incentive and nonstatutory stock options;</w:t>
      </w:r>
    </w:p>
    <w:p>
      <w:pPr>
        <w:spacing w:after="0" w:line="200" w:lineRule="exact"/>
        <w:rPr>
          <w:sz w:val="20"/>
          <w:szCs w:val="20"/>
          <w:color w:val="auto"/>
        </w:rPr>
      </w:pPr>
    </w:p>
    <w:p>
      <w:pPr>
        <w:sectPr>
          <w:pgSz w:w="11900" w:h="16838" w:orient="portrait"/>
          <w:cols w:equalWidth="0" w:num="2">
            <w:col w:w="1160" w:space="260"/>
            <w:col w:w="9700"/>
          </w:cols>
          <w:pgMar w:left="320" w:top="455" w:right="459" w:bottom="1440" w:gutter="0" w:footer="0" w:header="0"/>
          <w:type w:val="continuous"/>
        </w:sectPr>
      </w:pPr>
    </w:p>
    <w:p>
      <w:pPr>
        <w:spacing w:after="0" w:line="64"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stock appreciation rights;</w:t>
      </w:r>
    </w:p>
    <w:p>
      <w:pPr>
        <w:spacing w:after="0" w:line="200" w:lineRule="exact"/>
        <w:rPr>
          <w:sz w:val="20"/>
          <w:szCs w:val="20"/>
          <w:color w:val="auto"/>
        </w:rPr>
      </w:pPr>
    </w:p>
    <w:p>
      <w:pPr>
        <w:sectPr>
          <w:pgSz w:w="11900" w:h="16838" w:orient="portrait"/>
          <w:cols w:equalWidth="0" w:num="2">
            <w:col w:w="1160" w:space="260"/>
            <w:col w:w="9700"/>
          </w:cols>
          <w:pgMar w:left="320" w:top="455" w:right="459" w:bottom="1440" w:gutter="0" w:footer="0" w:header="0"/>
          <w:type w:val="continuous"/>
        </w:sectPr>
      </w:pPr>
    </w:p>
    <w:p>
      <w:pPr>
        <w:spacing w:after="0" w:line="64"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restricted shares; and</w:t>
      </w:r>
    </w:p>
    <w:p>
      <w:pPr>
        <w:spacing w:after="0" w:line="200" w:lineRule="exact"/>
        <w:rPr>
          <w:sz w:val="20"/>
          <w:szCs w:val="20"/>
          <w:color w:val="auto"/>
        </w:rPr>
      </w:pPr>
    </w:p>
    <w:p>
      <w:pPr>
        <w:sectPr>
          <w:pgSz w:w="11900" w:h="16838" w:orient="portrait"/>
          <w:cols w:equalWidth="0" w:num="2">
            <w:col w:w="1160" w:space="260"/>
            <w:col w:w="9700"/>
          </w:cols>
          <w:pgMar w:left="320" w:top="455" w:right="459" w:bottom="1440" w:gutter="0" w:footer="0" w:header="0"/>
          <w:type w:val="continuous"/>
        </w:sectPr>
      </w:pPr>
    </w:p>
    <w:p>
      <w:pPr>
        <w:spacing w:after="0" w:line="64"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restricted stock units.</w:t>
      </w:r>
    </w:p>
    <w:p>
      <w:pPr>
        <w:spacing w:after="0" w:line="200" w:lineRule="exact"/>
        <w:rPr>
          <w:sz w:val="20"/>
          <w:szCs w:val="20"/>
          <w:color w:val="auto"/>
        </w:rPr>
      </w:pPr>
    </w:p>
    <w:p>
      <w:pPr>
        <w:sectPr>
          <w:pgSz w:w="11900" w:h="16838" w:orient="portrait"/>
          <w:cols w:equalWidth="0" w:num="2">
            <w:col w:w="1160" w:space="260"/>
            <w:col w:w="9700"/>
          </w:cols>
          <w:pgMar w:left="320" w:top="455" w:right="459" w:bottom="1440" w:gutter="0" w:footer="0" w:header="0"/>
          <w:type w:val="continuous"/>
        </w:sectPr>
      </w:pPr>
    </w:p>
    <w:p>
      <w:pPr>
        <w:spacing w:after="0" w:line="23" w:lineRule="exact"/>
        <w:rPr>
          <w:sz w:val="20"/>
          <w:szCs w:val="20"/>
          <w:color w:val="auto"/>
        </w:rPr>
      </w:pPr>
    </w:p>
    <w:p>
      <w:pPr>
        <w:ind w:left="120" w:right="260" w:firstLine="881"/>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Options and Stock Appreciation Rights. </w:t>
      </w:r>
      <w:r>
        <w:rPr>
          <w:rFonts w:ascii="Times New Roman" w:cs="Times New Roman" w:eastAsia="Times New Roman" w:hAnsi="Times New Roman"/>
          <w:sz w:val="18"/>
          <w:szCs w:val="18"/>
          <w:color w:val="auto"/>
        </w:rPr>
        <w:t>The exercise price for options granted under our 2020 Plan may not be less than 100% of the fair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market value of our common stock on the grant date. Optionees will be permitted to pay the exercise price in cash or, with the consent of the compensation committee:</w:t>
      </w:r>
    </w:p>
    <w:p>
      <w:pPr>
        <w:spacing w:after="0" w:line="202" w:lineRule="exact"/>
        <w:rPr>
          <w:sz w:val="20"/>
          <w:szCs w:val="20"/>
          <w:color w:val="auto"/>
        </w:rPr>
      </w:pPr>
    </w:p>
    <w:p>
      <w:pPr>
        <w:ind w:left="1420" w:hanging="319"/>
        <w:spacing w:after="0"/>
        <w:tabs>
          <w:tab w:leader="none" w:pos="142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shares of common stock that the optionee already owns;</w:t>
      </w:r>
    </w:p>
    <w:p>
      <w:pPr>
        <w:spacing w:after="0" w:line="157" w:lineRule="exact"/>
        <w:rPr>
          <w:rFonts w:ascii="Times New Roman" w:cs="Times New Roman" w:eastAsia="Times New Roman" w:hAnsi="Times New Roman"/>
          <w:sz w:val="18"/>
          <w:szCs w:val="18"/>
          <w:color w:val="auto"/>
        </w:rPr>
      </w:pPr>
    </w:p>
    <w:p>
      <w:pPr>
        <w:ind w:left="5480" w:hanging="96"/>
        <w:spacing w:after="0"/>
        <w:tabs>
          <w:tab w:leader="none" w:pos="5480" w:val="left"/>
        </w:tabs>
        <w:numPr>
          <w:ilvl w:val="1"/>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175 -</w:t>
      </w:r>
    </w:p>
    <w:p>
      <w:pPr>
        <w:sectPr>
          <w:pgSz w:w="11900" w:h="16838" w:orient="portrait"/>
          <w:cols w:equalWidth="0" w:num="1">
            <w:col w:w="11120"/>
          </w:cols>
          <w:pgMar w:left="320" w:top="455" w:right="459" w:bottom="1440" w:gutter="0" w:footer="0" w:header="0"/>
          <w:type w:val="continuous"/>
        </w:sectPr>
      </w:pPr>
    </w:p>
    <w:bookmarkStart w:id="178" w:name="page179"/>
    <w:bookmarkEnd w:id="17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420" w:hanging="319"/>
        <w:spacing w:after="0"/>
        <w:tabs>
          <w:tab w:leader="none" w:pos="142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an immediate sale of shares through a broker approved by us;</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instructing us to withhold a number of shares having an aggregate fair market value that does not exceed the exercise price; or</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other methods permitted by applicable law.</w:t>
      </w:r>
    </w:p>
    <w:p>
      <w:pPr>
        <w:spacing w:after="0" w:line="225" w:lineRule="exact"/>
        <w:rPr>
          <w:sz w:val="20"/>
          <w:szCs w:val="20"/>
          <w:color w:val="auto"/>
        </w:rPr>
      </w:pPr>
    </w:p>
    <w:p>
      <w:pPr>
        <w:jc w:val="both"/>
        <w:ind w:left="120" w:right="40" w:firstLine="881"/>
        <w:spacing w:after="0" w:line="266" w:lineRule="auto"/>
        <w:rPr>
          <w:sz w:val="20"/>
          <w:szCs w:val="20"/>
          <w:color w:val="auto"/>
        </w:rPr>
      </w:pPr>
      <w:r>
        <w:rPr>
          <w:rFonts w:ascii="Times New Roman" w:cs="Times New Roman" w:eastAsia="Times New Roman" w:hAnsi="Times New Roman"/>
          <w:sz w:val="18"/>
          <w:szCs w:val="18"/>
          <w:color w:val="auto"/>
        </w:rPr>
        <w:t>An optionee who exercises a stock appreciation right receives the increase in value of our common stock over the base price. The base price for stock appreciation rights may not be less than 100% of the fair market value of our common stock on the grant date. The settlement value of a stock appreciation right may be paid in cash, shares of our common stock or a combination.</w:t>
      </w:r>
    </w:p>
    <w:p>
      <w:pPr>
        <w:spacing w:after="0" w:line="176" w:lineRule="exact"/>
        <w:rPr>
          <w:sz w:val="20"/>
          <w:szCs w:val="20"/>
          <w:color w:val="auto"/>
        </w:rPr>
      </w:pPr>
    </w:p>
    <w:p>
      <w:pPr>
        <w:ind w:left="120" w:right="140" w:firstLine="881"/>
        <w:spacing w:after="0" w:line="266" w:lineRule="auto"/>
        <w:rPr>
          <w:sz w:val="20"/>
          <w:szCs w:val="20"/>
          <w:color w:val="auto"/>
        </w:rPr>
      </w:pPr>
      <w:r>
        <w:rPr>
          <w:rFonts w:ascii="Times New Roman" w:cs="Times New Roman" w:eastAsia="Times New Roman" w:hAnsi="Times New Roman"/>
          <w:sz w:val="18"/>
          <w:szCs w:val="18"/>
          <w:color w:val="auto"/>
        </w:rPr>
        <w:t>Options and stock appreciation rights vest as determined by the compensation committee. In general, they will vest over a four-year period following the date of grant. Options and stock appreciation rights expire at the time determined by the compensation committee but in no event more than ten years after they are granted. These awards generally expire earlier if the participant’s service terminates earlier.</w:t>
      </w:r>
    </w:p>
    <w:p>
      <w:pPr>
        <w:spacing w:after="0" w:line="174" w:lineRule="exact"/>
        <w:rPr>
          <w:sz w:val="20"/>
          <w:szCs w:val="20"/>
          <w:color w:val="auto"/>
        </w:rPr>
      </w:pPr>
    </w:p>
    <w:p>
      <w:pPr>
        <w:ind w:left="120" w:right="120" w:firstLine="881"/>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Restricted Shares and Stock Units. </w:t>
      </w:r>
      <w:r>
        <w:rPr>
          <w:rFonts w:ascii="Times New Roman" w:cs="Times New Roman" w:eastAsia="Times New Roman" w:hAnsi="Times New Roman"/>
          <w:sz w:val="18"/>
          <w:szCs w:val="18"/>
          <w:color w:val="auto"/>
        </w:rPr>
        <w:t>Restricted shares and stock units may be awarded under our 2020 Plan in return for any lawful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consideration, and participants who receive restricted shares or stock units generally are not required to pay cash for their awards. In general, these awards will be subject to vesting. Vesting may be based on length of service, the attainment of performance-based milestones or a combination of both, as determined by the compensation committee.</w:t>
      </w:r>
    </w:p>
    <w:p>
      <w:pPr>
        <w:spacing w:after="0" w:line="180" w:lineRule="exact"/>
        <w:rPr>
          <w:sz w:val="20"/>
          <w:szCs w:val="20"/>
          <w:color w:val="auto"/>
        </w:rPr>
      </w:pPr>
    </w:p>
    <w:p>
      <w:pPr>
        <w:ind w:left="120" w:firstLine="881"/>
        <w:spacing w:after="0" w:line="261" w:lineRule="auto"/>
        <w:rPr>
          <w:sz w:val="20"/>
          <w:szCs w:val="20"/>
          <w:color w:val="auto"/>
        </w:rPr>
      </w:pPr>
      <w:r>
        <w:rPr>
          <w:rFonts w:ascii="Times New Roman" w:cs="Times New Roman" w:eastAsia="Times New Roman" w:hAnsi="Times New Roman"/>
          <w:sz w:val="18"/>
          <w:szCs w:val="18"/>
          <w:i w:val="1"/>
          <w:iCs w:val="1"/>
          <w:color w:val="auto"/>
        </w:rPr>
        <w:t>Corporate Transactions</w:t>
      </w:r>
      <w:r>
        <w:rPr>
          <w:rFonts w:ascii="Times New Roman" w:cs="Times New Roman" w:eastAsia="Times New Roman" w:hAnsi="Times New Roman"/>
          <w:sz w:val="18"/>
          <w:szCs w:val="18"/>
          <w:color w:val="auto"/>
        </w:rPr>
        <w:t>. In the event we are a party to a merger, consolidation or certain change in control transactions, outstanding awards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granted under our 2020 Plan, and all shares acquired under our 2020 Plan, will be subject to the terms of the definitive transaction agreement (or, if there is no such agreement, as determined by our compensation committee). Unless an award agreement provides otherwise, such treatment may include any of the following with respect to each outstanding award:</w:t>
      </w:r>
    </w:p>
    <w:p>
      <w:pPr>
        <w:spacing w:after="0" w:line="209" w:lineRule="exact"/>
        <w:rPr>
          <w:sz w:val="20"/>
          <w:szCs w:val="20"/>
          <w:color w:val="auto"/>
        </w:rPr>
      </w:pPr>
    </w:p>
    <w:p>
      <w:pPr>
        <w:ind w:left="1420" w:hanging="319"/>
        <w:spacing w:after="0"/>
        <w:tabs>
          <w:tab w:leader="none" w:pos="142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continuation, assumption or substitution of an award by a surviving entity or its parent;</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cancellation of an award without payment of any consideration, provided that the optionee shall be notified of such treatment;</w:t>
      </w:r>
    </w:p>
    <w:p>
      <w:pPr>
        <w:spacing w:after="0" w:line="252" w:lineRule="exact"/>
        <w:rPr>
          <w:rFonts w:ascii="Times New Roman" w:cs="Times New Roman" w:eastAsia="Times New Roman" w:hAnsi="Times New Roman"/>
          <w:sz w:val="18"/>
          <w:szCs w:val="18"/>
          <w:color w:val="auto"/>
        </w:rPr>
      </w:pPr>
    </w:p>
    <w:p>
      <w:pPr>
        <w:ind w:left="1420" w:right="180" w:hanging="319"/>
        <w:spacing w:after="0" w:line="266" w:lineRule="auto"/>
        <w:tabs>
          <w:tab w:leader="none" w:pos="142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cancellation of the vested portion of an award (and any portion that becomes vested as of the effective time of the transaction) in exchange for a payment equal to the excess, if any, of the value that the holder of each share of our common stock receives in the transaction over (if applicable) the exercise price otherwise payable in connection with the award; or</w:t>
      </w:r>
    </w:p>
    <w:p>
      <w:pPr>
        <w:spacing w:after="0" w:line="202" w:lineRule="exact"/>
        <w:rPr>
          <w:rFonts w:ascii="Times New Roman" w:cs="Times New Roman" w:eastAsia="Times New Roman" w:hAnsi="Times New Roman"/>
          <w:sz w:val="18"/>
          <w:szCs w:val="18"/>
          <w:color w:val="auto"/>
        </w:rPr>
      </w:pPr>
    </w:p>
    <w:p>
      <w:pPr>
        <w:ind w:left="1420" w:right="60" w:hanging="319"/>
        <w:spacing w:after="0" w:line="282" w:lineRule="auto"/>
        <w:tabs>
          <w:tab w:leader="none" w:pos="142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assignment of any reacquisition or repurchase rights held by us with respect to an award of restricted shares to the surviving entity or its parent (with proportionate adjustments made to the price per share to be paid upon exercise of such rights).</w:t>
      </w:r>
    </w:p>
    <w:p>
      <w:pPr>
        <w:spacing w:after="0" w:line="162"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The compensation committee is not required to treat all awards, or portions thereof, in the same manner.</w:t>
      </w:r>
    </w:p>
    <w:p>
      <w:pPr>
        <w:spacing w:after="0" w:line="225" w:lineRule="exact"/>
        <w:rPr>
          <w:sz w:val="20"/>
          <w:szCs w:val="20"/>
          <w:color w:val="auto"/>
        </w:rPr>
      </w:pPr>
    </w:p>
    <w:p>
      <w:pPr>
        <w:ind w:left="120" w:right="60" w:firstLine="881"/>
        <w:spacing w:after="0" w:line="282" w:lineRule="auto"/>
        <w:rPr>
          <w:sz w:val="20"/>
          <w:szCs w:val="20"/>
          <w:color w:val="auto"/>
        </w:rPr>
      </w:pPr>
      <w:r>
        <w:rPr>
          <w:rFonts w:ascii="Times New Roman" w:cs="Times New Roman" w:eastAsia="Times New Roman" w:hAnsi="Times New Roman"/>
          <w:sz w:val="18"/>
          <w:szCs w:val="18"/>
          <w:color w:val="auto"/>
        </w:rPr>
        <w:t>The vesting of an outstanding award may be accelerated by the administrator upon the occurrence of a change in control, whether or not the award is to be assumed or replaced in the transaction, or in connection with a termination of service following a change in control transaction.</w:t>
      </w:r>
    </w:p>
    <w:p>
      <w:pPr>
        <w:spacing w:after="0" w:line="162"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A change in control includes:</w:t>
      </w:r>
    </w:p>
    <w:p>
      <w:pPr>
        <w:spacing w:after="0" w:line="252" w:lineRule="exact"/>
        <w:rPr>
          <w:sz w:val="20"/>
          <w:szCs w:val="20"/>
          <w:color w:val="auto"/>
        </w:rPr>
      </w:pPr>
    </w:p>
    <w:p>
      <w:pPr>
        <w:ind w:left="1420" w:hanging="319"/>
        <w:spacing w:after="0"/>
        <w:tabs>
          <w:tab w:leader="none" w:pos="142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acquiring beneficial ownership of more than 50% of our total voting power;</w:t>
      </w:r>
    </w:p>
    <w:p>
      <w:pPr>
        <w:spacing w:after="0" w:line="157" w:lineRule="exact"/>
        <w:rPr>
          <w:rFonts w:ascii="Times New Roman" w:cs="Times New Roman" w:eastAsia="Times New Roman" w:hAnsi="Times New Roman"/>
          <w:sz w:val="18"/>
          <w:szCs w:val="18"/>
          <w:color w:val="auto"/>
        </w:rPr>
      </w:pPr>
    </w:p>
    <w:p>
      <w:pPr>
        <w:ind w:left="5480" w:hanging="96"/>
        <w:spacing w:after="0"/>
        <w:tabs>
          <w:tab w:leader="none" w:pos="5480" w:val="left"/>
        </w:tabs>
        <w:numPr>
          <w:ilvl w:val="1"/>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176 -</w:t>
      </w:r>
    </w:p>
    <w:p>
      <w:pPr>
        <w:sectPr>
          <w:pgSz w:w="11900" w:h="16838" w:orient="portrait"/>
          <w:cols w:equalWidth="0" w:num="1">
            <w:col w:w="11120"/>
          </w:cols>
          <w:pgMar w:left="320" w:top="455" w:right="459" w:bottom="1440" w:gutter="0" w:footer="0" w:header="0"/>
        </w:sectPr>
      </w:pPr>
    </w:p>
    <w:bookmarkStart w:id="179" w:name="page180"/>
    <w:bookmarkEnd w:id="17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420" w:hanging="319"/>
        <w:spacing w:after="0"/>
        <w:tabs>
          <w:tab w:leader="none" w:pos="142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or other disposition of all or substantially all of our assets; or</w:t>
      </w:r>
    </w:p>
    <w:p>
      <w:pPr>
        <w:spacing w:after="0" w:line="252" w:lineRule="exact"/>
        <w:rPr>
          <w:rFonts w:ascii="Times New Roman" w:cs="Times New Roman" w:eastAsia="Times New Roman" w:hAnsi="Times New Roman"/>
          <w:sz w:val="18"/>
          <w:szCs w:val="18"/>
          <w:color w:val="auto"/>
        </w:rPr>
      </w:pPr>
    </w:p>
    <w:p>
      <w:pPr>
        <w:ind w:left="1420" w:right="520" w:hanging="319"/>
        <w:spacing w:after="0" w:line="282" w:lineRule="auto"/>
        <w:tabs>
          <w:tab w:leader="none" w:pos="142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merger or consolidation after which our voting securities represent 50% or less of the total voting power of the surviving or acquiring entity.</w:t>
      </w:r>
    </w:p>
    <w:p>
      <w:pPr>
        <w:spacing w:after="0" w:line="160" w:lineRule="exact"/>
        <w:rPr>
          <w:sz w:val="20"/>
          <w:szCs w:val="20"/>
          <w:color w:val="auto"/>
        </w:rPr>
      </w:pPr>
    </w:p>
    <w:p>
      <w:pPr>
        <w:ind w:left="120" w:right="80" w:firstLine="881"/>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Changes in Capitalization. </w:t>
      </w:r>
      <w:r>
        <w:rPr>
          <w:rFonts w:ascii="Times New Roman" w:cs="Times New Roman" w:eastAsia="Times New Roman" w:hAnsi="Times New Roman"/>
          <w:sz w:val="18"/>
          <w:szCs w:val="18"/>
          <w:color w:val="auto"/>
        </w:rPr>
        <w:t>In the event of certain changes in our capital structure without our receipt of consideration, such as a stock split,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reverse stock split or dividend paid in common stock, proportionate adjustments will automatically be made to:</w:t>
      </w:r>
    </w:p>
    <w:p>
      <w:pPr>
        <w:spacing w:after="0" w:line="187" w:lineRule="exact"/>
        <w:rPr>
          <w:sz w:val="20"/>
          <w:szCs w:val="20"/>
          <w:color w:val="auto"/>
        </w:rPr>
      </w:pPr>
    </w:p>
    <w:p>
      <w:pPr>
        <w:ind w:left="1420" w:right="360" w:hanging="319"/>
        <w:spacing w:after="0" w:line="282" w:lineRule="auto"/>
        <w:tabs>
          <w:tab w:leader="none" w:pos="142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maximum number and kind of shares available for issuance under our 2020 Plan, including the maximum number and kind of shares that may be issued upon the exercise of incentive stock options;</w:t>
      </w:r>
    </w:p>
    <w:p>
      <w:pPr>
        <w:spacing w:after="0" w:line="188" w:lineRule="exact"/>
        <w:rPr>
          <w:rFonts w:ascii="Times New Roman" w:cs="Times New Roman" w:eastAsia="Times New Roman" w:hAnsi="Times New Roman"/>
          <w:sz w:val="18"/>
          <w:szCs w:val="18"/>
          <w:color w:val="auto"/>
        </w:rPr>
      </w:pPr>
    </w:p>
    <w:p>
      <w:pPr>
        <w:ind w:left="1420" w:right="560" w:hanging="319"/>
        <w:spacing w:after="0" w:line="282" w:lineRule="auto"/>
        <w:tabs>
          <w:tab w:leader="none" w:pos="142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maximum number and kind of shares covered by, and exercise price, base price or purchase price, if any, applicable to each outstanding stock award; and</w:t>
      </w:r>
    </w:p>
    <w:p>
      <w:pPr>
        <w:spacing w:after="0" w:line="188"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maximum number and kind of shares by which the share reserve may increase automatically each year.</w:t>
      </w:r>
    </w:p>
    <w:p>
      <w:pPr>
        <w:spacing w:after="0" w:line="225" w:lineRule="exact"/>
        <w:rPr>
          <w:sz w:val="20"/>
          <w:szCs w:val="20"/>
          <w:color w:val="auto"/>
        </w:rPr>
      </w:pPr>
    </w:p>
    <w:p>
      <w:pPr>
        <w:ind w:left="120" w:right="160" w:firstLine="881"/>
        <w:spacing w:after="0" w:line="266" w:lineRule="auto"/>
        <w:rPr>
          <w:sz w:val="20"/>
          <w:szCs w:val="20"/>
          <w:color w:val="auto"/>
        </w:rPr>
      </w:pPr>
      <w:r>
        <w:rPr>
          <w:rFonts w:ascii="Times New Roman" w:cs="Times New Roman" w:eastAsia="Times New Roman" w:hAnsi="Times New Roman"/>
          <w:sz w:val="18"/>
          <w:szCs w:val="18"/>
          <w:color w:val="auto"/>
        </w:rPr>
        <w:t>In the event that there is a declaration of an extraordinary dividend payable in a form other than our common stock in an amount that has a material effect on the price of our common stock, a recapitalization, a spin-off or a similar occurrence, the compensation committee may make such adjustments to any of the foregoing as it deems appropriate, in its sole discretion.</w:t>
      </w:r>
    </w:p>
    <w:p>
      <w:pPr>
        <w:spacing w:after="0" w:line="174" w:lineRule="exact"/>
        <w:rPr>
          <w:sz w:val="20"/>
          <w:szCs w:val="20"/>
          <w:color w:val="auto"/>
        </w:rPr>
      </w:pPr>
    </w:p>
    <w:p>
      <w:pPr>
        <w:ind w:left="120" w:right="140" w:firstLine="881"/>
        <w:spacing w:after="0" w:line="261" w:lineRule="auto"/>
        <w:rPr>
          <w:sz w:val="20"/>
          <w:szCs w:val="20"/>
          <w:color w:val="auto"/>
        </w:rPr>
      </w:pPr>
      <w:r>
        <w:rPr>
          <w:rFonts w:ascii="Times New Roman" w:cs="Times New Roman" w:eastAsia="Times New Roman" w:hAnsi="Times New Roman"/>
          <w:sz w:val="18"/>
          <w:szCs w:val="18"/>
          <w:i w:val="1"/>
          <w:iCs w:val="1"/>
          <w:color w:val="auto"/>
        </w:rPr>
        <w:t>Amendments or Termination</w:t>
      </w:r>
      <w:r>
        <w:rPr>
          <w:rFonts w:ascii="Times New Roman" w:cs="Times New Roman" w:eastAsia="Times New Roman" w:hAnsi="Times New Roman"/>
          <w:sz w:val="18"/>
          <w:szCs w:val="18"/>
          <w:color w:val="auto"/>
        </w:rPr>
        <w:t>. Our board of directors may amend, suspend or terminate our 2020 Plan at any time. If our board of directors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amends our 2020 Plan, it does not need stockholder approval of the amendment unless required by applicable law, regulation or rules. Our 2020 Plan will terminate automatically 10 years after the later of the date when our board of directors adopted our 2020 Plan or approved the latest share increase that was also approved by our stockholders.</w:t>
      </w:r>
    </w:p>
    <w:p>
      <w:pPr>
        <w:spacing w:after="0" w:line="17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2016 Stock Plan</w:t>
      </w:r>
    </w:p>
    <w:p>
      <w:pPr>
        <w:spacing w:after="0" w:line="229" w:lineRule="exact"/>
        <w:rPr>
          <w:sz w:val="20"/>
          <w:szCs w:val="20"/>
          <w:color w:val="auto"/>
        </w:rPr>
      </w:pPr>
    </w:p>
    <w:p>
      <w:pPr>
        <w:ind w:left="120" w:right="120" w:firstLine="881"/>
        <w:spacing w:after="0" w:line="266" w:lineRule="auto"/>
        <w:rPr>
          <w:sz w:val="20"/>
          <w:szCs w:val="20"/>
          <w:color w:val="auto"/>
        </w:rPr>
      </w:pPr>
      <w:r>
        <w:rPr>
          <w:rFonts w:ascii="Times New Roman" w:cs="Times New Roman" w:eastAsia="Times New Roman" w:hAnsi="Times New Roman"/>
          <w:sz w:val="18"/>
          <w:szCs w:val="18"/>
          <w:color w:val="auto"/>
        </w:rPr>
        <w:t>Our board of directors adopted our 2016 Plan in December 2016, and it was approved by our stockholders on January 17, 2017. No further awards will be made under our 2016 Plan after this offering; however, awards outstanding under our 2016 Plan will continue to be governed by their existing terms.</w:t>
      </w:r>
    </w:p>
    <w:p>
      <w:pPr>
        <w:spacing w:after="0" w:line="174" w:lineRule="exact"/>
        <w:rPr>
          <w:sz w:val="20"/>
          <w:szCs w:val="20"/>
          <w:color w:val="auto"/>
        </w:rPr>
      </w:pPr>
    </w:p>
    <w:p>
      <w:pPr>
        <w:ind w:left="120" w:firstLine="881"/>
        <w:spacing w:after="0" w:line="255" w:lineRule="auto"/>
        <w:rPr>
          <w:sz w:val="20"/>
          <w:szCs w:val="20"/>
          <w:color w:val="auto"/>
        </w:rPr>
      </w:pPr>
      <w:r>
        <w:rPr>
          <w:rFonts w:ascii="Times New Roman" w:cs="Times New Roman" w:eastAsia="Times New Roman" w:hAnsi="Times New Roman"/>
          <w:sz w:val="18"/>
          <w:szCs w:val="18"/>
          <w:i w:val="1"/>
          <w:iCs w:val="1"/>
          <w:color w:val="auto"/>
        </w:rPr>
        <w:t>Share Reserve</w:t>
      </w:r>
      <w:r>
        <w:rPr>
          <w:rFonts w:ascii="Times New Roman" w:cs="Times New Roman" w:eastAsia="Times New Roman" w:hAnsi="Times New Roman"/>
          <w:sz w:val="18"/>
          <w:szCs w:val="18"/>
          <w:color w:val="auto"/>
        </w:rPr>
        <w:t>. As of June 30, 2020 we have reserved 19,832,815 shares of our common stock, for issuance under our 2016 Plan, all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may be issued as incentive stock options. As of December 31, 2019, options to purchase 2,207,154 shares of our common stock, at exercise prices ranging from $0.0001 to $0.06 per share, or a weighted-average exercise price of $0.04 per share were outstanding under our 2016 Plan, and 15,975,661 shares of our common stock remained available for future issuance. As of June 30, 2020, options to purchase 9,141,330 shares of our common stock, at exercise prices ranging from $0.0001 to $0.27 per share, or a weighted-average exercise price of $0.22 per share were outstanding under our 2016 Plan, and 8,533,485 shares of our common stock remained available for future issuance. Unissued shares subject to awards that expire or are cancelled, shares reacquired by us and shares withheld in payment of the purchase price or exercise price of an award or in satisfaction of withholding taxes will again become available for issuance under our 2016 Plan or, following consummation of this offering, under our 2020 Plan.</w:t>
      </w:r>
    </w:p>
    <w:p>
      <w:pPr>
        <w:spacing w:after="0" w:line="185" w:lineRule="exact"/>
        <w:rPr>
          <w:sz w:val="20"/>
          <w:szCs w:val="20"/>
          <w:color w:val="auto"/>
        </w:rPr>
      </w:pPr>
    </w:p>
    <w:p>
      <w:pPr>
        <w:ind w:left="120" w:right="540" w:firstLine="881"/>
        <w:spacing w:after="0" w:line="267" w:lineRule="auto"/>
        <w:rPr>
          <w:sz w:val="20"/>
          <w:szCs w:val="20"/>
          <w:color w:val="auto"/>
        </w:rPr>
      </w:pPr>
      <w:r>
        <w:rPr>
          <w:rFonts w:ascii="Times New Roman" w:cs="Times New Roman" w:eastAsia="Times New Roman" w:hAnsi="Times New Roman"/>
          <w:sz w:val="18"/>
          <w:szCs w:val="18"/>
          <w:i w:val="1"/>
          <w:iCs w:val="1"/>
          <w:color w:val="auto"/>
        </w:rPr>
        <w:t>Administration</w:t>
      </w:r>
      <w:r>
        <w:rPr>
          <w:rFonts w:ascii="Times New Roman" w:cs="Times New Roman" w:eastAsia="Times New Roman" w:hAnsi="Times New Roman"/>
          <w:sz w:val="18"/>
          <w:szCs w:val="18"/>
          <w:color w:val="auto"/>
        </w:rPr>
        <w:t>. Our board of directors has administered our 2016 Plan since its adoption; however, following this offering,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compensation committee of our board of directors will generally administer our 2016 Plan. The administrator has complete discretion to make all decisions relating to our 2016 Plan and outstanding awards.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-177-</w:t>
      </w:r>
    </w:p>
    <w:p>
      <w:pPr>
        <w:sectPr>
          <w:pgSz w:w="11900" w:h="16838" w:orient="portrait"/>
          <w:cols w:equalWidth="0" w:num="1">
            <w:col w:w="11120"/>
          </w:cols>
          <w:pgMar w:left="320" w:top="455" w:right="459" w:bottom="1440" w:gutter="0" w:footer="0" w:header="0"/>
        </w:sectPr>
      </w:pPr>
    </w:p>
    <w:bookmarkStart w:id="180" w:name="page181"/>
    <w:bookmarkEnd w:id="18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i w:val="1"/>
          <w:iCs w:val="1"/>
          <w:color w:val="auto"/>
        </w:rPr>
        <w:t>Eligibility</w:t>
      </w:r>
      <w:r>
        <w:rPr>
          <w:rFonts w:ascii="Times New Roman" w:cs="Times New Roman" w:eastAsia="Times New Roman" w:hAnsi="Times New Roman"/>
          <w:sz w:val="18"/>
          <w:szCs w:val="18"/>
          <w:color w:val="auto"/>
        </w:rPr>
        <w:t>. Employees, non-employee members of our board of directors and consultants are eligible to participate in our 2016 Plan.</w:t>
      </w:r>
    </w:p>
    <w:p>
      <w:pPr>
        <w:spacing w:after="0" w:line="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However, only employees are eligible to receive incentive stock options.</w:t>
      </w:r>
    </w:p>
    <w:p>
      <w:pPr>
        <w:spacing w:after="0" w:line="2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Types of Awards</w:t>
      </w:r>
      <w:r>
        <w:rPr>
          <w:rFonts w:ascii="Times New Roman" w:cs="Times New Roman" w:eastAsia="Times New Roman" w:hAnsi="Times New Roman"/>
          <w:sz w:val="18"/>
          <w:szCs w:val="18"/>
          <w:color w:val="auto"/>
        </w:rPr>
        <w:t>. Our 2016 Plan provides for the following types of awards granted with respect to shares of our common stock:</w:t>
      </w:r>
    </w:p>
    <w:p>
      <w:pPr>
        <w:spacing w:after="0" w:line="254" w:lineRule="exact"/>
        <w:rPr>
          <w:sz w:val="20"/>
          <w:szCs w:val="20"/>
          <w:color w:val="auto"/>
        </w:rPr>
      </w:pPr>
    </w:p>
    <w:p>
      <w:pPr>
        <w:ind w:left="1420" w:hanging="319"/>
        <w:spacing w:after="0"/>
        <w:tabs>
          <w:tab w:leader="none" w:pos="142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incentive and nonstatutory stock options to purchase shares of our common stock; and</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 award or sale of shares of our common stock, including restricted shares.</w:t>
      </w:r>
    </w:p>
    <w:p>
      <w:pPr>
        <w:spacing w:after="0" w:line="223" w:lineRule="exact"/>
        <w:rPr>
          <w:sz w:val="20"/>
          <w:szCs w:val="20"/>
          <w:color w:val="auto"/>
        </w:rPr>
      </w:pPr>
    </w:p>
    <w:p>
      <w:pPr>
        <w:ind w:left="120" w:right="60" w:firstLine="881"/>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Options. </w:t>
      </w:r>
      <w:r>
        <w:rPr>
          <w:rFonts w:ascii="Times New Roman" w:cs="Times New Roman" w:eastAsia="Times New Roman" w:hAnsi="Times New Roman"/>
          <w:sz w:val="18"/>
          <w:szCs w:val="18"/>
          <w:color w:val="auto"/>
        </w:rPr>
        <w:t>The exercise price for options granted under our 2016 Plan is determined by our board of directors, but may not be less than 100%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fair market value of our common stock on the grant date. Optionees may pay the exercise price in cash or cash equivalents or by one, or any combination of, the following forms of payment, as permitted by the administrator in its sole discretion:</w:t>
      </w:r>
    </w:p>
    <w:p>
      <w:pPr>
        <w:spacing w:after="0" w:line="202" w:lineRule="exact"/>
        <w:rPr>
          <w:sz w:val="20"/>
          <w:szCs w:val="20"/>
          <w:color w:val="auto"/>
        </w:rPr>
      </w:pPr>
    </w:p>
    <w:p>
      <w:pPr>
        <w:ind w:left="1420" w:hanging="319"/>
        <w:spacing w:after="0"/>
        <w:tabs>
          <w:tab w:leader="none" w:pos="142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Surrender of shares of common stock that the optionee already owns;</w:t>
      </w:r>
    </w:p>
    <w:p>
      <w:pPr>
        <w:spacing w:after="0" w:line="252" w:lineRule="exact"/>
        <w:rPr>
          <w:rFonts w:ascii="Times New Roman" w:cs="Times New Roman" w:eastAsia="Times New Roman" w:hAnsi="Times New Roman"/>
          <w:sz w:val="18"/>
          <w:szCs w:val="18"/>
          <w:color w:val="auto"/>
        </w:rPr>
      </w:pPr>
    </w:p>
    <w:p>
      <w:pPr>
        <w:ind w:left="1420" w:hanging="319"/>
        <w:spacing w:after="0" w:line="282" w:lineRule="auto"/>
        <w:tabs>
          <w:tab w:leader="none" w:pos="142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Delivery of a full-recourse promissory note, with the option shares pledged as security against the principal and accrued interest on the note;</w:t>
      </w:r>
    </w:p>
    <w:p>
      <w:pPr>
        <w:spacing w:after="0" w:line="188"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immediate sale of the option shares through a company-approved broker, if the shares of our common stock are publicly traded;</w:t>
      </w:r>
    </w:p>
    <w:p>
      <w:pPr>
        <w:spacing w:after="0" w:line="252" w:lineRule="exact"/>
        <w:rPr>
          <w:rFonts w:ascii="Times New Roman" w:cs="Times New Roman" w:eastAsia="Times New Roman" w:hAnsi="Times New Roman"/>
          <w:sz w:val="18"/>
          <w:szCs w:val="18"/>
          <w:color w:val="auto"/>
        </w:rPr>
      </w:pPr>
    </w:p>
    <w:p>
      <w:pPr>
        <w:ind w:left="1420" w:right="40" w:hanging="319"/>
        <w:spacing w:after="0" w:line="266" w:lineRule="auto"/>
        <w:tabs>
          <w:tab w:leader="none" w:pos="142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Surrendering a number of vested shares subject to the option having an aggregate fair market value no greater than the aggregate exercise price, or the sum of such exercise price plus all or a portion of the minimum amount required to be withheld under applicable law; or</w:t>
      </w:r>
    </w:p>
    <w:p>
      <w:pPr>
        <w:spacing w:after="0" w:line="20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methods permitted by the Delaware General Corporation Law, as amended.</w:t>
      </w:r>
    </w:p>
    <w:p>
      <w:pPr>
        <w:spacing w:after="0" w:line="225" w:lineRule="exact"/>
        <w:rPr>
          <w:sz w:val="20"/>
          <w:szCs w:val="20"/>
          <w:color w:val="auto"/>
        </w:rPr>
      </w:pPr>
    </w:p>
    <w:p>
      <w:pPr>
        <w:ind w:left="120" w:right="80" w:firstLine="881"/>
        <w:spacing w:after="0" w:line="266" w:lineRule="auto"/>
        <w:rPr>
          <w:sz w:val="20"/>
          <w:szCs w:val="20"/>
          <w:color w:val="auto"/>
        </w:rPr>
      </w:pPr>
      <w:r>
        <w:rPr>
          <w:rFonts w:ascii="Times New Roman" w:cs="Times New Roman" w:eastAsia="Times New Roman" w:hAnsi="Times New Roman"/>
          <w:sz w:val="18"/>
          <w:szCs w:val="18"/>
          <w:color w:val="auto"/>
        </w:rPr>
        <w:t>Options vest as determined by the administrator. In general, we have granted options that vest over a four-year period. Options expire at the time determined by the administrator, but in no event more than ten years after they are granted, and generally expire earlier if the optionee’s service terminates.</w:t>
      </w:r>
    </w:p>
    <w:p>
      <w:pPr>
        <w:spacing w:after="0" w:line="174" w:lineRule="exact"/>
        <w:rPr>
          <w:sz w:val="20"/>
          <w:szCs w:val="20"/>
          <w:color w:val="auto"/>
        </w:rPr>
      </w:pPr>
    </w:p>
    <w:p>
      <w:pPr>
        <w:ind w:left="120" w:right="180" w:firstLine="881"/>
        <w:spacing w:after="0" w:line="267" w:lineRule="auto"/>
        <w:rPr>
          <w:sz w:val="20"/>
          <w:szCs w:val="20"/>
          <w:color w:val="auto"/>
        </w:rPr>
      </w:pPr>
      <w:r>
        <w:rPr>
          <w:rFonts w:ascii="Times New Roman" w:cs="Times New Roman" w:eastAsia="Times New Roman" w:hAnsi="Times New Roman"/>
          <w:sz w:val="18"/>
          <w:szCs w:val="18"/>
          <w:i w:val="1"/>
          <w:iCs w:val="1"/>
          <w:color w:val="auto"/>
        </w:rPr>
        <w:t>Restricted Shares</w:t>
      </w:r>
      <w:r>
        <w:rPr>
          <w:rFonts w:ascii="Times New Roman" w:cs="Times New Roman" w:eastAsia="Times New Roman" w:hAnsi="Times New Roman"/>
          <w:sz w:val="18"/>
          <w:szCs w:val="18"/>
          <w:color w:val="auto"/>
        </w:rPr>
        <w:t>. Restricted shares may be awarded or sold under our 2016 Plan in return for cash or cash equivalents or, as permitted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administrator in its sole discretion, in exchange for services rendered to us, by delivery of a full-recourse promissory note or through any other means permitted by applicable law. Restricted shares vest as determined by the administrator.</w:t>
      </w:r>
    </w:p>
    <w:p>
      <w:pPr>
        <w:spacing w:after="0" w:line="173" w:lineRule="exact"/>
        <w:rPr>
          <w:sz w:val="20"/>
          <w:szCs w:val="20"/>
          <w:color w:val="auto"/>
        </w:rPr>
      </w:pPr>
    </w:p>
    <w:p>
      <w:pPr>
        <w:ind w:left="120" w:right="20" w:firstLine="881"/>
        <w:spacing w:after="0" w:line="261" w:lineRule="auto"/>
        <w:rPr>
          <w:sz w:val="20"/>
          <w:szCs w:val="20"/>
          <w:color w:val="auto"/>
        </w:rPr>
      </w:pPr>
      <w:r>
        <w:rPr>
          <w:rFonts w:ascii="Times New Roman" w:cs="Times New Roman" w:eastAsia="Times New Roman" w:hAnsi="Times New Roman"/>
          <w:sz w:val="18"/>
          <w:szCs w:val="18"/>
          <w:i w:val="1"/>
          <w:iCs w:val="1"/>
          <w:color w:val="auto"/>
        </w:rPr>
        <w:t>Corporate Transactions</w:t>
      </w:r>
      <w:r>
        <w:rPr>
          <w:rFonts w:ascii="Times New Roman" w:cs="Times New Roman" w:eastAsia="Times New Roman" w:hAnsi="Times New Roman"/>
          <w:sz w:val="18"/>
          <w:szCs w:val="18"/>
          <w:color w:val="auto"/>
        </w:rPr>
        <w:t>. In the event that we are a party to a merger or consolidation or in the event of a sale of all or substantially all of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 or assets, awards granted under our 2016 Plan will be subject to the agreement governing such transaction or, in the absence of such agreement, in the manner determined by the administrator. Such treatment may include, without limitation, one or more of the following with respect to outstanding awards:</w:t>
      </w:r>
    </w:p>
    <w:p>
      <w:pPr>
        <w:spacing w:after="0" w:line="209" w:lineRule="exact"/>
        <w:rPr>
          <w:sz w:val="20"/>
          <w:szCs w:val="20"/>
          <w:color w:val="auto"/>
        </w:rPr>
      </w:pPr>
    </w:p>
    <w:p>
      <w:pPr>
        <w:ind w:left="1420" w:hanging="319"/>
        <w:spacing w:after="0"/>
        <w:tabs>
          <w:tab w:leader="none" w:pos="142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continuation, assumption or substitution of an award by the surviving entity or its parent;</w:t>
      </w:r>
    </w:p>
    <w:p>
      <w:pPr>
        <w:spacing w:after="0" w:line="252" w:lineRule="exact"/>
        <w:rPr>
          <w:rFonts w:ascii="Times New Roman" w:cs="Times New Roman" w:eastAsia="Times New Roman" w:hAnsi="Times New Roman"/>
          <w:sz w:val="18"/>
          <w:szCs w:val="18"/>
          <w:color w:val="auto"/>
        </w:rPr>
      </w:pPr>
    </w:p>
    <w:p>
      <w:pPr>
        <w:ind w:left="1420" w:right="20" w:hanging="319"/>
        <w:spacing w:after="0" w:line="282" w:lineRule="auto"/>
        <w:tabs>
          <w:tab w:leader="none" w:pos="142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Cancellation of the vested portion of the award in exchange for a payment equal to the excess, if any, of the value of the shares subject to the award over any exercise price per share applicable to the award;</w:t>
      </w:r>
    </w:p>
    <w:p>
      <w:pPr>
        <w:spacing w:after="0" w:line="188"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Cancellation of the award without payment of any consideration;</w:t>
      </w:r>
    </w:p>
    <w:p>
      <w:pPr>
        <w:spacing w:after="0" w:line="157" w:lineRule="exact"/>
        <w:rPr>
          <w:rFonts w:ascii="Times New Roman" w:cs="Times New Roman" w:eastAsia="Times New Roman" w:hAnsi="Times New Roman"/>
          <w:sz w:val="18"/>
          <w:szCs w:val="18"/>
          <w:color w:val="auto"/>
        </w:rPr>
      </w:pPr>
    </w:p>
    <w:p>
      <w:pPr>
        <w:ind w:left="5480" w:hanging="96"/>
        <w:spacing w:after="0"/>
        <w:tabs>
          <w:tab w:leader="none" w:pos="5480" w:val="left"/>
        </w:tabs>
        <w:numPr>
          <w:ilvl w:val="1"/>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178 -</w:t>
      </w:r>
    </w:p>
    <w:p>
      <w:pPr>
        <w:sectPr>
          <w:pgSz w:w="11900" w:h="16838" w:orient="portrait"/>
          <w:cols w:equalWidth="0" w:num="1">
            <w:col w:w="11120"/>
          </w:cols>
          <w:pgMar w:left="320" w:top="455" w:right="459" w:bottom="1440" w:gutter="0" w:footer="0" w:header="0"/>
        </w:sectPr>
      </w:pPr>
    </w:p>
    <w:bookmarkStart w:id="181" w:name="page182"/>
    <w:bookmarkEnd w:id="18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420" w:right="180" w:hanging="319"/>
        <w:spacing w:after="0" w:line="282" w:lineRule="auto"/>
        <w:tabs>
          <w:tab w:leader="none" w:pos="142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of the optionee’s right to exercise the option during a limited period of time preceding the completion of the transaction; or</w:t>
      </w:r>
    </w:p>
    <w:p>
      <w:pPr>
        <w:spacing w:after="0" w:line="188"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of any right the optionee has to exercise the option prior to vesting in the shares subject to the option.</w:t>
      </w:r>
    </w:p>
    <w:p>
      <w:pPr>
        <w:spacing w:after="0" w:line="225" w:lineRule="exact"/>
        <w:rPr>
          <w:sz w:val="20"/>
          <w:szCs w:val="20"/>
          <w:color w:val="auto"/>
        </w:rPr>
      </w:pPr>
    </w:p>
    <w:p>
      <w:pPr>
        <w:ind w:left="120" w:firstLine="881"/>
        <w:spacing w:after="0" w:line="261" w:lineRule="auto"/>
        <w:rPr>
          <w:sz w:val="20"/>
          <w:szCs w:val="20"/>
          <w:color w:val="auto"/>
        </w:rPr>
      </w:pPr>
      <w:r>
        <w:rPr>
          <w:rFonts w:ascii="Times New Roman" w:cs="Times New Roman" w:eastAsia="Times New Roman" w:hAnsi="Times New Roman"/>
          <w:sz w:val="18"/>
          <w:szCs w:val="18"/>
          <w:color w:val="auto"/>
        </w:rPr>
        <w:t>The administrator is not obligated to treat all awards in the same manner. The administrator has the discretion, at any time, to provide that an award under our 2016 Plan will vest on an accelerated basis in connection with a corporate transaction or to amend or modify an award so long as such amendment or modification is not inconsistent with the terms of the 2016 Plan or would not result in the impairment of a participant’s rights without the participant’s consent.</w:t>
      </w:r>
    </w:p>
    <w:p>
      <w:pPr>
        <w:spacing w:after="0" w:line="178" w:lineRule="exact"/>
        <w:rPr>
          <w:sz w:val="20"/>
          <w:szCs w:val="20"/>
          <w:color w:val="auto"/>
        </w:rPr>
      </w:pPr>
    </w:p>
    <w:p>
      <w:pPr>
        <w:ind w:left="120" w:right="20" w:firstLine="881"/>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Changes in Capitalization. </w:t>
      </w:r>
      <w:r>
        <w:rPr>
          <w:rFonts w:ascii="Times New Roman" w:cs="Times New Roman" w:eastAsia="Times New Roman" w:hAnsi="Times New Roman"/>
          <w:sz w:val="18"/>
          <w:szCs w:val="18"/>
          <w:color w:val="auto"/>
        </w:rPr>
        <w:t>In the event of certain specified changes in the capital structure of our common stock, such as a stock split,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reverse stock split, stock dividend, reclassification or any other increase or decrease in the number of issued shares of stock effective without receipt of consideration by us, proportionate adjustments will automatically be made in (i) each of the number and kind of shares available for future grants under our 2016 Plan, (ii) the number and kind of shares covered by each outstanding option and all restricted shares, (iii) the exercise price per share subject to each outstanding option and (iv) any repurchase price applicable to shares granted under our 2016 Plan. In the event of an extraordinary cash divided that has a material effect on the fair market value of our common stock, a recapitalization, spin-off or other similar occurrence, the administrator at its sole discretion may make appropriate adjustments to one or more of the items described above.</w:t>
      </w:r>
    </w:p>
    <w:p>
      <w:pPr>
        <w:spacing w:after="0" w:line="183" w:lineRule="exact"/>
        <w:rPr>
          <w:sz w:val="20"/>
          <w:szCs w:val="20"/>
          <w:color w:val="auto"/>
        </w:rPr>
      </w:pPr>
    </w:p>
    <w:p>
      <w:pPr>
        <w:ind w:left="120" w:firstLine="881"/>
        <w:spacing w:after="0" w:line="257" w:lineRule="auto"/>
        <w:rPr>
          <w:sz w:val="20"/>
          <w:szCs w:val="20"/>
          <w:color w:val="auto"/>
        </w:rPr>
      </w:pPr>
      <w:r>
        <w:rPr>
          <w:rFonts w:ascii="Times New Roman" w:cs="Times New Roman" w:eastAsia="Times New Roman" w:hAnsi="Times New Roman"/>
          <w:sz w:val="18"/>
          <w:szCs w:val="18"/>
          <w:i w:val="1"/>
          <w:iCs w:val="1"/>
          <w:color w:val="auto"/>
        </w:rPr>
        <w:t>Amendments or Termination</w:t>
      </w:r>
      <w:r>
        <w:rPr>
          <w:rFonts w:ascii="Times New Roman" w:cs="Times New Roman" w:eastAsia="Times New Roman" w:hAnsi="Times New Roman"/>
          <w:sz w:val="18"/>
          <w:szCs w:val="18"/>
          <w:color w:val="auto"/>
        </w:rPr>
        <w:t>. The administrator may at any time amend, suspend or terminate our 2016 Plan, subject to stockholder approval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the case of an amendment if the amendment increases the number of shares available for issuance or materially changes the class of persons eligible to receive incentive stock options. Our 2016 Plan will terminate automatically ten years after the later of the date when our board of directors adopted the plan or the date when our board of directors most recently approved an increase in the number of shares reserved thereunder which was also approved by our stockholders, provided, however, that in any event, it will terminate upon the completion of this offering, but as noted above, awards outstanding under our 2016 Plan will remain outstanding and will continue to be governed by their existing terms.</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Employee Stock Purchase Plan</w:t>
      </w:r>
    </w:p>
    <w:p>
      <w:pPr>
        <w:spacing w:after="0" w:line="227" w:lineRule="exact"/>
        <w:rPr>
          <w:sz w:val="20"/>
          <w:szCs w:val="20"/>
          <w:color w:val="auto"/>
        </w:rPr>
      </w:pPr>
    </w:p>
    <w:p>
      <w:pPr>
        <w:ind w:left="120" w:right="60" w:firstLine="881"/>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General. </w:t>
      </w:r>
      <w:r>
        <w:rPr>
          <w:rFonts w:ascii="Times New Roman" w:cs="Times New Roman" w:eastAsia="Times New Roman" w:hAnsi="Times New Roman"/>
          <w:sz w:val="18"/>
          <w:szCs w:val="18"/>
          <w:color w:val="auto"/>
        </w:rPr>
        <w:t>We expect that our board of directors will adopt a 2020 ESPP prior to this offering. If adopted, our 2020 ESPP will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subsequently approved by our stockholders. We expect that our 2020 ESPP will become effective as of the effective date of the registration statement of which this prospectus is a part. Our 2020 ESPP is intended to qualify under Section 423 of the Internal Revenue Code. Although not yet adopted, we expect that our 2020 ESPP will have the features described below.</w:t>
      </w:r>
    </w:p>
    <w:p>
      <w:pPr>
        <w:spacing w:after="0" w:line="180" w:lineRule="exact"/>
        <w:rPr>
          <w:sz w:val="20"/>
          <w:szCs w:val="20"/>
          <w:color w:val="auto"/>
        </w:rPr>
      </w:pPr>
    </w:p>
    <w:p>
      <w:pPr>
        <w:ind w:left="120" w:right="20" w:firstLine="881"/>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Share Reserve. </w:t>
      </w:r>
      <w:r>
        <w:rPr>
          <w:rFonts w:ascii="Times New Roman" w:cs="Times New Roman" w:eastAsia="Times New Roman" w:hAnsi="Times New Roman"/>
          <w:sz w:val="18"/>
          <w:szCs w:val="18"/>
          <w:color w:val="auto"/>
        </w:rPr>
        <w:t>shares of our common stock will be reserved for issuance under our 2020 ESPP. The number of shares reserved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issuance under our 2020 ESPP will automatically be increased on the first business day of each of our fiscal years, commencing in 2021 and ending in 2040, by a number equal to the least of:</w:t>
      </w:r>
    </w:p>
    <w:p>
      <w:pPr>
        <w:spacing w:after="0" w:line="202" w:lineRule="exact"/>
        <w:rPr>
          <w:sz w:val="20"/>
          <w:szCs w:val="20"/>
          <w:color w:val="auto"/>
        </w:rPr>
      </w:pPr>
    </w:p>
    <w:p>
      <w:pPr>
        <w:ind w:left="2140" w:hanging="1039"/>
        <w:spacing w:after="0"/>
        <w:tabs>
          <w:tab w:leader="none" w:pos="214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w:t>
      </w:r>
    </w:p>
    <w:p>
      <w:pPr>
        <w:spacing w:after="0" w:line="252" w:lineRule="exact"/>
        <w:rPr>
          <w:rFonts w:ascii="Times New Roman" w:cs="Times New Roman" w:eastAsia="Times New Roman" w:hAnsi="Times New Roman"/>
          <w:sz w:val="18"/>
          <w:szCs w:val="18"/>
          <w:color w:val="auto"/>
        </w:rPr>
      </w:pPr>
    </w:p>
    <w:p>
      <w:pPr>
        <w:ind w:left="2140" w:hanging="1039"/>
        <w:spacing w:after="0"/>
        <w:tabs>
          <w:tab w:leader="none" w:pos="214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of the shares of common stock outstanding on the last business day of the prior fiscal year; or</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determined by our board of directors.</w:t>
      </w:r>
    </w:p>
    <w:p>
      <w:pPr>
        <w:spacing w:after="0" w:line="157" w:lineRule="exact"/>
        <w:rPr>
          <w:rFonts w:ascii="Times New Roman" w:cs="Times New Roman" w:eastAsia="Times New Roman" w:hAnsi="Times New Roman"/>
          <w:sz w:val="18"/>
          <w:szCs w:val="18"/>
          <w:color w:val="auto"/>
        </w:rPr>
      </w:pPr>
    </w:p>
    <w:p>
      <w:pPr>
        <w:ind w:left="5480" w:hanging="96"/>
        <w:spacing w:after="0"/>
        <w:tabs>
          <w:tab w:leader="none" w:pos="5480" w:val="left"/>
        </w:tabs>
        <w:numPr>
          <w:ilvl w:val="1"/>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179 -</w:t>
      </w:r>
    </w:p>
    <w:p>
      <w:pPr>
        <w:sectPr>
          <w:pgSz w:w="11900" w:h="16838" w:orient="portrait"/>
          <w:cols w:equalWidth="0" w:num="1">
            <w:col w:w="11120"/>
          </w:cols>
          <w:pgMar w:left="320" w:top="455" w:right="459" w:bottom="1440" w:gutter="0" w:footer="0" w:header="0"/>
        </w:sectPr>
      </w:pPr>
    </w:p>
    <w:bookmarkStart w:id="182" w:name="page183"/>
    <w:bookmarkEnd w:id="18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881"/>
        <w:spacing w:after="0" w:line="282" w:lineRule="auto"/>
        <w:rPr>
          <w:sz w:val="20"/>
          <w:szCs w:val="20"/>
          <w:color w:val="auto"/>
        </w:rPr>
      </w:pPr>
      <w:r>
        <w:rPr>
          <w:rFonts w:ascii="Times New Roman" w:cs="Times New Roman" w:eastAsia="Times New Roman" w:hAnsi="Times New Roman"/>
          <w:sz w:val="18"/>
          <w:szCs w:val="18"/>
          <w:color w:val="auto"/>
        </w:rPr>
        <w:t>The number of shares reserved under our 2020 ESPP will automatically be adjusted in the event of a stock split, stock dividend or a reverse stock split (including an adjustment to the per-purchase period share limit).</w:t>
      </w:r>
    </w:p>
    <w:p>
      <w:pPr>
        <w:spacing w:after="0" w:line="160"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i w:val="1"/>
          <w:iCs w:val="1"/>
          <w:color w:val="auto"/>
        </w:rPr>
        <w:t>Administration</w:t>
      </w:r>
      <w:r>
        <w:rPr>
          <w:rFonts w:ascii="Times New Roman" w:cs="Times New Roman" w:eastAsia="Times New Roman" w:hAnsi="Times New Roman"/>
          <w:sz w:val="18"/>
          <w:szCs w:val="18"/>
          <w:color w:val="auto"/>
        </w:rPr>
        <w:t>. The compensation committee of our board of directors will administer our 2020 ESPP.</w:t>
      </w:r>
    </w:p>
    <w:p>
      <w:pPr>
        <w:spacing w:after="0" w:line="225" w:lineRule="exact"/>
        <w:rPr>
          <w:sz w:val="20"/>
          <w:szCs w:val="20"/>
          <w:color w:val="auto"/>
        </w:rPr>
      </w:pPr>
    </w:p>
    <w:p>
      <w:pPr>
        <w:ind w:left="120" w:right="340" w:firstLine="881"/>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Eligibility. </w:t>
      </w:r>
      <w:r>
        <w:rPr>
          <w:rFonts w:ascii="Times New Roman" w:cs="Times New Roman" w:eastAsia="Times New Roman" w:hAnsi="Times New Roman"/>
          <w:sz w:val="18"/>
          <w:szCs w:val="18"/>
          <w:color w:val="auto"/>
        </w:rPr>
        <w:t>All of our employees will be eligible to participate if we employ them for more than 20 hours per week and for five or more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months per year. Eligible employees may begin participating in our 2020 ESPP at the start of any offering period.</w:t>
      </w:r>
    </w:p>
    <w:p>
      <w:pPr>
        <w:spacing w:after="0" w:line="158"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i w:val="1"/>
          <w:iCs w:val="1"/>
          <w:color w:val="auto"/>
        </w:rPr>
        <w:t xml:space="preserve">Offering Periods. </w:t>
      </w:r>
      <w:r>
        <w:rPr>
          <w:rFonts w:ascii="Times New Roman" w:cs="Times New Roman" w:eastAsia="Times New Roman" w:hAnsi="Times New Roman"/>
          <w:sz w:val="18"/>
          <w:szCs w:val="18"/>
          <w:color w:val="auto"/>
        </w:rPr>
        <w:t>Each offering period will last a number of months determined by the compensation committee, not to exceed 27 months.</w:t>
      </w:r>
    </w:p>
    <w:p>
      <w:pPr>
        <w:spacing w:after="0" w:line="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 new offering period will begin periodically, as determined by the compensation committee. Offering periods may overlap or may be consecutive.</w:t>
      </w:r>
    </w:p>
    <w:p>
      <w:pPr>
        <w:spacing w:after="0" w:line="9" w:lineRule="exact"/>
        <w:rPr>
          <w:sz w:val="20"/>
          <w:szCs w:val="20"/>
          <w:color w:val="auto"/>
        </w:rPr>
      </w:pPr>
    </w:p>
    <w:p>
      <w:pPr>
        <w:ind w:left="120" w:right="340"/>
        <w:spacing w:after="0" w:line="255" w:lineRule="auto"/>
        <w:rPr>
          <w:sz w:val="20"/>
          <w:szCs w:val="20"/>
          <w:color w:val="auto"/>
        </w:rPr>
      </w:pPr>
      <w:r>
        <w:rPr>
          <w:rFonts w:ascii="Times New Roman" w:cs="Times New Roman" w:eastAsia="Times New Roman" w:hAnsi="Times New Roman"/>
          <w:sz w:val="18"/>
          <w:szCs w:val="18"/>
          <w:color w:val="auto"/>
        </w:rPr>
        <w:t>Unless otherwise determined by the compensation committee, two offering periods of six months’ duration will begin in each year on and . However, if so determined by the compensation committee, the first offering period may start on the effective date of the registration statement related to this offering and will end on , 2021, with the first purchase date occurring on , 2021.</w:t>
      </w:r>
    </w:p>
    <w:p>
      <w:pPr>
        <w:spacing w:after="0" w:line="184" w:lineRule="exact"/>
        <w:rPr>
          <w:sz w:val="20"/>
          <w:szCs w:val="20"/>
          <w:color w:val="auto"/>
        </w:rPr>
      </w:pPr>
    </w:p>
    <w:p>
      <w:pPr>
        <w:ind w:left="120" w:firstLine="881"/>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Amount of Contributions. </w:t>
      </w:r>
      <w:r>
        <w:rPr>
          <w:rFonts w:ascii="Times New Roman" w:cs="Times New Roman" w:eastAsia="Times New Roman" w:hAnsi="Times New Roman"/>
          <w:sz w:val="18"/>
          <w:szCs w:val="18"/>
          <w:color w:val="auto"/>
        </w:rPr>
        <w:t>Our 2020 ESPP will permit each eligible employee to purchase common stock through payroll deductions. Each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employee’s payroll deductions may not exceed % of the employee’s cash compensation. Each participant may purchase up to the number of shares determined by our board of directors on any purchase date, not to exceed shares. The value of the shares purchased in any calendar year may not exceed $25,000. Participants may withdraw their contributions at any time before stock is purchased.</w:t>
      </w:r>
    </w:p>
    <w:p>
      <w:pPr>
        <w:spacing w:after="0" w:line="180" w:lineRule="exact"/>
        <w:rPr>
          <w:sz w:val="20"/>
          <w:szCs w:val="20"/>
          <w:color w:val="auto"/>
        </w:rPr>
      </w:pPr>
    </w:p>
    <w:p>
      <w:pPr>
        <w:ind w:left="120" w:firstLine="881"/>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Purchase Price. </w:t>
      </w:r>
      <w:r>
        <w:rPr>
          <w:rFonts w:ascii="Times New Roman" w:cs="Times New Roman" w:eastAsia="Times New Roman" w:hAnsi="Times New Roman"/>
          <w:sz w:val="18"/>
          <w:szCs w:val="18"/>
          <w:color w:val="auto"/>
        </w:rPr>
        <w:t>The price of each share of common stock purchased under our 2020 ESPP will not be less than 85% of the lower of the fair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market value per share of common stock on the first day of the applicable offering period (or, in the case of the first offering period, the price at which one share of common stock is offered to the public in this offering) or the fair market value per share of common stock on the purchase date.</w:t>
      </w:r>
    </w:p>
    <w:p>
      <w:pPr>
        <w:spacing w:after="0" w:line="173" w:lineRule="exact"/>
        <w:rPr>
          <w:sz w:val="20"/>
          <w:szCs w:val="20"/>
          <w:color w:val="auto"/>
        </w:rPr>
      </w:pPr>
    </w:p>
    <w:p>
      <w:pPr>
        <w:ind w:left="120" w:right="60" w:firstLine="881"/>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Other Provisions. </w:t>
      </w:r>
      <w:r>
        <w:rPr>
          <w:rFonts w:ascii="Times New Roman" w:cs="Times New Roman" w:eastAsia="Times New Roman" w:hAnsi="Times New Roman"/>
          <w:sz w:val="18"/>
          <w:szCs w:val="18"/>
          <w:color w:val="auto"/>
        </w:rPr>
        <w:t>Employees may end their participation in our 2020 ESPP at any time. Participation ends automatically upon termination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employment with us. If we experience a change in control, our 2020 ESPP will end and shares will be purchased with the payroll deductions accumulated to date by participating employees. Our board of directors or our compensation committee may amend or terminate our 2020 ESPP at any time.</w:t>
      </w:r>
    </w:p>
    <w:p>
      <w:pPr>
        <w:spacing w:after="0" w:line="11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-180-</w:t>
      </w:r>
    </w:p>
    <w:p>
      <w:pPr>
        <w:sectPr>
          <w:pgSz w:w="11900" w:h="16838" w:orient="portrait"/>
          <w:cols w:equalWidth="0" w:num="1">
            <w:col w:w="11060"/>
          </w:cols>
          <w:pgMar w:left="320" w:top="455" w:right="519" w:bottom="1440" w:gutter="0" w:footer="0" w:header="0"/>
        </w:sectPr>
      </w:pPr>
    </w:p>
    <w:bookmarkStart w:id="183" w:name="page184"/>
    <w:bookmarkEnd w:id="18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CERTAIN RELATIONSHIPS AND RELATED PARTY TRANSACTIONS</w:t>
      </w:r>
    </w:p>
    <w:p>
      <w:pPr>
        <w:spacing w:after="0" w:line="229" w:lineRule="exact"/>
        <w:rPr>
          <w:sz w:val="20"/>
          <w:szCs w:val="20"/>
          <w:color w:val="auto"/>
        </w:rPr>
      </w:pPr>
    </w:p>
    <w:p>
      <w:pPr>
        <w:ind w:left="120" w:right="140" w:firstLine="881"/>
        <w:spacing w:after="0" w:line="256" w:lineRule="auto"/>
        <w:rPr>
          <w:sz w:val="20"/>
          <w:szCs w:val="20"/>
          <w:color w:val="auto"/>
        </w:rPr>
      </w:pPr>
      <w:r>
        <w:rPr>
          <w:rFonts w:ascii="Times New Roman" w:cs="Times New Roman" w:eastAsia="Times New Roman" w:hAnsi="Times New Roman"/>
          <w:sz w:val="18"/>
          <w:szCs w:val="18"/>
          <w:color w:val="auto"/>
        </w:rPr>
        <w:t>The following is a description of transactions since January 1, 2017 to which we have been a party in which the amount involved exceeded $120,000 and in which any of our executive officers, directors or beneficial holders of more than 5% of our capital stock (or any immediate family member of, or person sharing the household with, any of these individuals or entities), which we collectively refer to as a related person, had or will have a direct or indirect material interest, other than compensation arrangements which are described in “Management — Director Compensation” and “Executive Compensation.” We believe that all of these transactions were on terms as favorable as could have been obtained from unrelated third parties.</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Sales of Securities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Sale of Common Stock</w:t>
      </w:r>
    </w:p>
    <w:p>
      <w:pPr>
        <w:spacing w:after="0" w:line="229" w:lineRule="exact"/>
        <w:rPr>
          <w:sz w:val="20"/>
          <w:szCs w:val="20"/>
          <w:color w:val="auto"/>
        </w:rPr>
      </w:pPr>
    </w:p>
    <w:p>
      <w:pPr>
        <w:ind w:left="120" w:right="160" w:firstLine="881"/>
        <w:spacing w:after="0" w:line="282" w:lineRule="auto"/>
        <w:rPr>
          <w:sz w:val="20"/>
          <w:szCs w:val="20"/>
          <w:color w:val="auto"/>
        </w:rPr>
      </w:pPr>
      <w:r>
        <w:rPr>
          <w:rFonts w:ascii="Times New Roman" w:cs="Times New Roman" w:eastAsia="Times New Roman" w:hAnsi="Times New Roman"/>
          <w:sz w:val="18"/>
          <w:szCs w:val="18"/>
          <w:color w:val="auto"/>
        </w:rPr>
        <w:t>From January 2017 to March 2018, we issued and sold an aggregate of 19,890,000 shares of our common stock at a cash purchase price of $0.0001 per share for an aggregate purchase price of approximately $1,989.00.</w:t>
      </w:r>
    </w:p>
    <w:p>
      <w:pPr>
        <w:spacing w:after="0" w:line="162" w:lineRule="exact"/>
        <w:rPr>
          <w:sz w:val="20"/>
          <w:szCs w:val="20"/>
          <w:color w:val="auto"/>
        </w:rPr>
      </w:pPr>
    </w:p>
    <w:p>
      <w:pPr>
        <w:ind w:left="120" w:right="180" w:firstLine="881"/>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number of shares of our common stock sold to our directors, executive officers and holders of more than 5% of our capital stock:</w:t>
      </w:r>
    </w:p>
    <w:p>
      <w:pPr>
        <w:spacing w:after="0" w:line="17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00" w:type="dxa"/>
            <w:vAlign w:val="bottom"/>
          </w:tcPr>
          <w:p>
            <w:pPr>
              <w:spacing w:after="0"/>
              <w:rPr>
                <w:sz w:val="13"/>
                <w:szCs w:val="13"/>
                <w:color w:val="auto"/>
              </w:rPr>
            </w:pPr>
          </w:p>
        </w:tc>
        <w:tc>
          <w:tcPr>
            <w:tcW w:w="3940" w:type="dxa"/>
            <w:vAlign w:val="bottom"/>
          </w:tcPr>
          <w:p>
            <w:pPr>
              <w:spacing w:after="0"/>
              <w:rPr>
                <w:sz w:val="13"/>
                <w:szCs w:val="13"/>
                <w:color w:val="auto"/>
              </w:rPr>
            </w:pPr>
          </w:p>
        </w:tc>
        <w:tc>
          <w:tcPr>
            <w:tcW w:w="3400" w:type="dxa"/>
            <w:vAlign w:val="bottom"/>
          </w:tcPr>
          <w:p>
            <w:pPr>
              <w:spacing w:after="0"/>
              <w:rPr>
                <w:sz w:val="13"/>
                <w:szCs w:val="13"/>
                <w:color w:val="auto"/>
              </w:rPr>
            </w:pPr>
          </w:p>
        </w:tc>
        <w:tc>
          <w:tcPr>
            <w:tcW w:w="1280" w:type="dxa"/>
            <w:vAlign w:val="bottom"/>
            <w:gridSpan w:val="2"/>
          </w:tcPr>
          <w:p>
            <w:pPr>
              <w:jc w:val="center"/>
              <w:ind w:right="700"/>
              <w:spacing w:after="0"/>
              <w:rPr>
                <w:sz w:val="20"/>
                <w:szCs w:val="20"/>
                <w:color w:val="auto"/>
              </w:rPr>
            </w:pPr>
            <w:r>
              <w:rPr>
                <w:rFonts w:ascii="Times New Roman" w:cs="Times New Roman" w:eastAsia="Times New Roman" w:hAnsi="Times New Roman"/>
                <w:sz w:val="14"/>
                <w:szCs w:val="14"/>
                <w:b w:val="1"/>
                <w:bCs w:val="1"/>
                <w:color w:val="auto"/>
              </w:rPr>
              <w:t>Affiliated</w:t>
            </w:r>
          </w:p>
        </w:tc>
        <w:tc>
          <w:tcPr>
            <w:tcW w:w="1060" w:type="dxa"/>
            <w:vAlign w:val="bottom"/>
            <w:gridSpan w:val="3"/>
          </w:tcPr>
          <w:p>
            <w:pPr>
              <w:ind w:left="260"/>
              <w:spacing w:after="0"/>
              <w:rPr>
                <w:sz w:val="20"/>
                <w:szCs w:val="20"/>
                <w:color w:val="auto"/>
              </w:rPr>
            </w:pPr>
            <w:r>
              <w:rPr>
                <w:rFonts w:ascii="Times New Roman" w:cs="Times New Roman" w:eastAsia="Times New Roman" w:hAnsi="Times New Roman"/>
                <w:sz w:val="14"/>
                <w:szCs w:val="14"/>
                <w:b w:val="1"/>
                <w:bCs w:val="1"/>
                <w:color w:val="auto"/>
              </w:rPr>
              <w:t>Shares of</w:t>
            </w:r>
          </w:p>
        </w:tc>
        <w:tc>
          <w:tcPr>
            <w:tcW w:w="260" w:type="dxa"/>
            <w:vAlign w:val="bottom"/>
          </w:tcPr>
          <w:p>
            <w:pPr>
              <w:spacing w:after="0"/>
              <w:rPr>
                <w:sz w:val="13"/>
                <w:szCs w:val="13"/>
                <w:color w:val="auto"/>
              </w:rPr>
            </w:pPr>
          </w:p>
        </w:tc>
        <w:tc>
          <w:tcPr>
            <w:tcW w:w="5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9"/>
        </w:trPr>
        <w:tc>
          <w:tcPr>
            <w:tcW w:w="44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Investor</w:t>
            </w:r>
          </w:p>
        </w:tc>
        <w:tc>
          <w:tcPr>
            <w:tcW w:w="4680" w:type="dxa"/>
            <w:vAlign w:val="bottom"/>
            <w:gridSpan w:val="3"/>
          </w:tcPr>
          <w:p>
            <w:pPr>
              <w:jc w:val="center"/>
              <w:ind w:left="2635"/>
              <w:spacing w:after="0" w:line="149" w:lineRule="exact"/>
              <w:rPr>
                <w:sz w:val="20"/>
                <w:szCs w:val="20"/>
                <w:color w:val="auto"/>
              </w:rPr>
            </w:pPr>
            <w:r>
              <w:rPr>
                <w:rFonts w:ascii="Times New Roman" w:cs="Times New Roman" w:eastAsia="Times New Roman" w:hAnsi="Times New Roman"/>
                <w:sz w:val="14"/>
                <w:szCs w:val="14"/>
                <w:b w:val="1"/>
                <w:bCs w:val="1"/>
                <w:color w:val="auto"/>
              </w:rPr>
              <w:t>Director(s) or</w:t>
            </w:r>
          </w:p>
        </w:tc>
        <w:tc>
          <w:tcPr>
            <w:tcW w:w="1060" w:type="dxa"/>
            <w:vAlign w:val="bottom"/>
            <w:gridSpan w:val="3"/>
          </w:tcPr>
          <w:p>
            <w:pPr>
              <w:ind w:left="260"/>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840" w:type="dxa"/>
            <w:vAlign w:val="bottom"/>
            <w:gridSpan w:val="3"/>
          </w:tcPr>
          <w:p>
            <w:pPr>
              <w:ind w:left="140"/>
              <w:spacing w:after="0" w:line="149" w:lineRule="exact"/>
              <w:rPr>
                <w:sz w:val="20"/>
                <w:szCs w:val="20"/>
                <w:color w:val="auto"/>
              </w:rPr>
            </w:pPr>
            <w:r>
              <w:rPr>
                <w:rFonts w:ascii="Times New Roman" w:cs="Times New Roman" w:eastAsia="Times New Roman" w:hAnsi="Times New Roman"/>
                <w:sz w:val="14"/>
                <w:szCs w:val="14"/>
                <w:b w:val="1"/>
                <w:bCs w:val="1"/>
                <w:color w:val="auto"/>
              </w:rPr>
              <w:t>Purchase</w:t>
            </w:r>
          </w:p>
        </w:tc>
        <w:tc>
          <w:tcPr>
            <w:tcW w:w="0" w:type="dxa"/>
            <w:vAlign w:val="bottom"/>
          </w:tcPr>
          <w:p>
            <w:pPr>
              <w:spacing w:after="0"/>
              <w:rPr>
                <w:sz w:val="1"/>
                <w:szCs w:val="1"/>
                <w:color w:val="auto"/>
              </w:rPr>
            </w:pPr>
          </w:p>
        </w:tc>
      </w:tr>
      <w:tr>
        <w:trPr>
          <w:trHeight w:val="173"/>
        </w:trPr>
        <w:tc>
          <w:tcPr>
            <w:tcW w:w="4440" w:type="dxa"/>
            <w:vAlign w:val="bottom"/>
            <w:gridSpan w:val="2"/>
            <w:vMerge w:val="continue"/>
          </w:tcPr>
          <w:p>
            <w:pPr>
              <w:spacing w:after="0"/>
              <w:rPr>
                <w:sz w:val="15"/>
                <w:szCs w:val="15"/>
                <w:color w:val="auto"/>
              </w:rPr>
            </w:pPr>
          </w:p>
        </w:tc>
        <w:tc>
          <w:tcPr>
            <w:tcW w:w="3400" w:type="dxa"/>
            <w:vAlign w:val="bottom"/>
          </w:tcPr>
          <w:p>
            <w:pPr>
              <w:spacing w:after="0"/>
              <w:rPr>
                <w:sz w:val="15"/>
                <w:szCs w:val="15"/>
                <w:color w:val="auto"/>
              </w:rPr>
            </w:pPr>
          </w:p>
        </w:tc>
        <w:tc>
          <w:tcPr>
            <w:tcW w:w="1280" w:type="dxa"/>
            <w:vAlign w:val="bottom"/>
            <w:gridSpan w:val="2"/>
          </w:tcPr>
          <w:p>
            <w:pPr>
              <w:jc w:val="center"/>
              <w:ind w:right="680"/>
              <w:spacing w:after="0"/>
              <w:rPr>
                <w:sz w:val="20"/>
                <w:szCs w:val="20"/>
                <w:color w:val="auto"/>
              </w:rPr>
            </w:pPr>
            <w:r>
              <w:rPr>
                <w:rFonts w:ascii="Times New Roman" w:cs="Times New Roman" w:eastAsia="Times New Roman" w:hAnsi="Times New Roman"/>
                <w:sz w:val="14"/>
                <w:szCs w:val="14"/>
                <w:b w:val="1"/>
                <w:bCs w:val="1"/>
                <w:color w:val="auto"/>
              </w:rPr>
              <w:t>Officer(s)</w:t>
            </w:r>
          </w:p>
        </w:tc>
        <w:tc>
          <w:tcPr>
            <w:tcW w:w="1060" w:type="dxa"/>
            <w:vAlign w:val="bottom"/>
            <w:gridSpan w:val="3"/>
          </w:tcPr>
          <w:p>
            <w:pPr>
              <w:ind w:left="38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60" w:type="dxa"/>
            <w:vAlign w:val="bottom"/>
          </w:tcPr>
          <w:p>
            <w:pPr>
              <w:spacing w:after="0"/>
              <w:rPr>
                <w:sz w:val="15"/>
                <w:szCs w:val="15"/>
                <w:color w:val="auto"/>
              </w:rPr>
            </w:pPr>
          </w:p>
        </w:tc>
        <w:tc>
          <w:tcPr>
            <w:tcW w:w="5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Price</w:t>
            </w: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Bobak Azamian</w:t>
            </w:r>
          </w:p>
        </w:tc>
        <w:tc>
          <w:tcPr>
            <w:tcW w:w="4680" w:type="dxa"/>
            <w:vAlign w:val="bottom"/>
            <w:gridSpan w:val="3"/>
            <w:shd w:val="clear" w:color="auto" w:fill="CCEEFF"/>
          </w:tcPr>
          <w:p>
            <w:pPr>
              <w:jc w:val="center"/>
              <w:ind w:left="2635"/>
              <w:spacing w:after="0"/>
              <w:rPr>
                <w:sz w:val="20"/>
                <w:szCs w:val="20"/>
                <w:color w:val="auto"/>
              </w:rPr>
            </w:pPr>
            <w:r>
              <w:rPr>
                <w:rFonts w:ascii="Times New Roman" w:cs="Times New Roman" w:eastAsia="Times New Roman" w:hAnsi="Times New Roman"/>
                <w:sz w:val="18"/>
                <w:szCs w:val="18"/>
                <w:color w:val="auto"/>
                <w:w w:val="99"/>
              </w:rPr>
              <w:t>Bobak Azamian</w:t>
            </w:r>
          </w:p>
        </w:tc>
        <w:tc>
          <w:tcPr>
            <w:tcW w:w="106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9,000,000</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900.00</w:t>
            </w:r>
          </w:p>
        </w:tc>
        <w:tc>
          <w:tcPr>
            <w:tcW w:w="0" w:type="dxa"/>
            <w:vAlign w:val="bottom"/>
          </w:tcPr>
          <w:p>
            <w:pPr>
              <w:spacing w:after="0"/>
              <w:rPr>
                <w:sz w:val="1"/>
                <w:szCs w:val="1"/>
                <w:color w:val="auto"/>
              </w:rPr>
            </w:pPr>
          </w:p>
        </w:tc>
      </w:tr>
      <w:tr>
        <w:trPr>
          <w:trHeight w:val="216"/>
        </w:trPr>
        <w:tc>
          <w:tcPr>
            <w:tcW w:w="4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Michael Ackermann</w:t>
            </w:r>
          </w:p>
        </w:tc>
        <w:tc>
          <w:tcPr>
            <w:tcW w:w="4680" w:type="dxa"/>
            <w:vAlign w:val="bottom"/>
            <w:gridSpan w:val="3"/>
          </w:tcPr>
          <w:p>
            <w:pPr>
              <w:jc w:val="center"/>
              <w:ind w:left="2615"/>
              <w:spacing w:after="0"/>
              <w:rPr>
                <w:sz w:val="20"/>
                <w:szCs w:val="20"/>
                <w:color w:val="auto"/>
              </w:rPr>
            </w:pPr>
            <w:r>
              <w:rPr>
                <w:rFonts w:ascii="Times New Roman" w:cs="Times New Roman" w:eastAsia="Times New Roman" w:hAnsi="Times New Roman"/>
                <w:sz w:val="18"/>
                <w:szCs w:val="18"/>
                <w:color w:val="auto"/>
                <w:w w:val="98"/>
              </w:rPr>
              <w:t>Michael Ackermann</w:t>
            </w:r>
          </w:p>
        </w:tc>
        <w:tc>
          <w:tcPr>
            <w:tcW w:w="106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9,000,000</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900.00</w:t>
            </w:r>
          </w:p>
        </w:tc>
        <w:tc>
          <w:tcPr>
            <w:tcW w:w="0" w:type="dxa"/>
            <w:vAlign w:val="bottom"/>
          </w:tcPr>
          <w:p>
            <w:pPr>
              <w:spacing w:after="0"/>
              <w:rPr>
                <w:sz w:val="1"/>
                <w:szCs w:val="1"/>
                <w:color w:val="auto"/>
              </w:rPr>
            </w:pPr>
          </w:p>
        </w:tc>
      </w:tr>
      <w:tr>
        <w:trPr>
          <w:trHeight w:val="216"/>
        </w:trPr>
        <w:tc>
          <w:tcPr>
            <w:tcW w:w="44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William J. Link</w:t>
            </w:r>
          </w:p>
        </w:tc>
        <w:tc>
          <w:tcPr>
            <w:tcW w:w="4680" w:type="dxa"/>
            <w:vAlign w:val="bottom"/>
            <w:gridSpan w:val="3"/>
            <w:shd w:val="clear" w:color="auto" w:fill="CCEEFF"/>
          </w:tcPr>
          <w:p>
            <w:pPr>
              <w:jc w:val="center"/>
              <w:ind w:left="2635"/>
              <w:spacing w:after="0"/>
              <w:rPr>
                <w:sz w:val="20"/>
                <w:szCs w:val="20"/>
                <w:color w:val="auto"/>
              </w:rPr>
            </w:pPr>
            <w:r>
              <w:rPr>
                <w:rFonts w:ascii="Times New Roman" w:cs="Times New Roman" w:eastAsia="Times New Roman" w:hAnsi="Times New Roman"/>
                <w:sz w:val="18"/>
                <w:szCs w:val="18"/>
                <w:color w:val="auto"/>
                <w:w w:val="98"/>
              </w:rPr>
              <w:t>William J. Link</w:t>
            </w:r>
          </w:p>
        </w:tc>
        <w:tc>
          <w:tcPr>
            <w:tcW w:w="106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1,000,000</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100.00</w:t>
            </w: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Series A Preferred Stock Financing</w:t>
      </w:r>
    </w:p>
    <w:p>
      <w:pPr>
        <w:spacing w:after="0" w:line="229" w:lineRule="exact"/>
        <w:rPr>
          <w:sz w:val="20"/>
          <w:szCs w:val="20"/>
          <w:color w:val="auto"/>
        </w:rPr>
      </w:pPr>
    </w:p>
    <w:p>
      <w:pPr>
        <w:ind w:left="120" w:right="100" w:firstLine="881"/>
        <w:spacing w:after="0" w:line="266" w:lineRule="auto"/>
        <w:rPr>
          <w:sz w:val="20"/>
          <w:szCs w:val="20"/>
          <w:color w:val="auto"/>
        </w:rPr>
      </w:pPr>
      <w:r>
        <w:rPr>
          <w:rFonts w:ascii="Times New Roman" w:cs="Times New Roman" w:eastAsia="Times New Roman" w:hAnsi="Times New Roman"/>
          <w:sz w:val="18"/>
          <w:szCs w:val="18"/>
          <w:color w:val="auto"/>
        </w:rPr>
        <w:t>In March and May 2018, we issued and sold an aggregate of 11,698,716 shares of our Series A Preferred Stock at a cash purchase price of $0.312 per share for an aggregate purchase price of approximately $3.6 million. These shares of Series A Preferred Stock will convert into an aggregate of 11,698,716 shares of Common Stock upon the completion of this offering.</w:t>
      </w:r>
    </w:p>
    <w:p>
      <w:pPr>
        <w:spacing w:after="0" w:line="176" w:lineRule="exact"/>
        <w:rPr>
          <w:sz w:val="20"/>
          <w:szCs w:val="20"/>
          <w:color w:val="auto"/>
        </w:rPr>
      </w:pPr>
    </w:p>
    <w:p>
      <w:pPr>
        <w:ind w:left="120" w:right="20" w:firstLine="881"/>
        <w:spacing w:after="0" w:line="282" w:lineRule="auto"/>
        <w:rPr>
          <w:sz w:val="20"/>
          <w:szCs w:val="20"/>
          <w:color w:val="auto"/>
        </w:rPr>
      </w:pPr>
      <w:r>
        <w:rPr>
          <w:rFonts w:ascii="Times New Roman" w:cs="Times New Roman" w:eastAsia="Times New Roman" w:hAnsi="Times New Roman"/>
          <w:sz w:val="18"/>
          <w:szCs w:val="18"/>
          <w:color w:val="auto"/>
        </w:rPr>
        <w:t>The following table summarizes purchases of shares of our Series A Preferred Stock by our executive officers, directors and holders of more than 5% of our capital stock:</w:t>
      </w:r>
    </w:p>
    <w:p>
      <w:pPr>
        <w:spacing w:after="0" w:line="17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00" w:type="dxa"/>
            <w:vAlign w:val="bottom"/>
          </w:tcPr>
          <w:p>
            <w:pPr>
              <w:spacing w:after="0"/>
              <w:rPr>
                <w:sz w:val="13"/>
                <w:szCs w:val="13"/>
                <w:color w:val="auto"/>
              </w:rPr>
            </w:pPr>
          </w:p>
        </w:tc>
        <w:tc>
          <w:tcPr>
            <w:tcW w:w="50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280" w:type="dxa"/>
            <w:vAlign w:val="bottom"/>
            <w:gridSpan w:val="2"/>
            <w:vMerge w:val="restart"/>
          </w:tcPr>
          <w:p>
            <w:pPr>
              <w:jc w:val="center"/>
              <w:ind w:right="700"/>
              <w:spacing w:after="0"/>
              <w:rPr>
                <w:sz w:val="20"/>
                <w:szCs w:val="20"/>
                <w:color w:val="auto"/>
              </w:rPr>
            </w:pPr>
            <w:r>
              <w:rPr>
                <w:rFonts w:ascii="Times New Roman" w:cs="Times New Roman" w:eastAsia="Times New Roman" w:hAnsi="Times New Roman"/>
                <w:sz w:val="14"/>
                <w:szCs w:val="14"/>
                <w:b w:val="1"/>
                <w:bCs w:val="1"/>
                <w:color w:val="auto"/>
              </w:rPr>
              <w:t>Affiliated</w:t>
            </w:r>
          </w:p>
        </w:tc>
        <w:tc>
          <w:tcPr>
            <w:tcW w:w="116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Shares of</w:t>
            </w: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00" w:type="dxa"/>
            <w:vAlign w:val="bottom"/>
          </w:tcPr>
          <w:p>
            <w:pPr>
              <w:spacing w:after="0"/>
              <w:rPr>
                <w:sz w:val="12"/>
                <w:szCs w:val="12"/>
                <w:color w:val="auto"/>
              </w:rPr>
            </w:pPr>
          </w:p>
        </w:tc>
        <w:tc>
          <w:tcPr>
            <w:tcW w:w="50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160" w:type="dxa"/>
            <w:vAlign w:val="bottom"/>
            <w:gridSpan w:val="3"/>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Series A</w:t>
            </w:r>
          </w:p>
        </w:tc>
        <w:tc>
          <w:tcPr>
            <w:tcW w:w="240" w:type="dxa"/>
            <w:vAlign w:val="bottom"/>
          </w:tcPr>
          <w:p>
            <w:pPr>
              <w:spacing w:after="0"/>
              <w:rPr>
                <w:sz w:val="12"/>
                <w:szCs w:val="12"/>
                <w:color w:val="auto"/>
              </w:rPr>
            </w:pPr>
          </w:p>
        </w:tc>
        <w:tc>
          <w:tcPr>
            <w:tcW w:w="1240" w:type="dxa"/>
            <w:vAlign w:val="bottom"/>
            <w:gridSpan w:val="3"/>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Total Purchase</w:t>
            </w:r>
          </w:p>
        </w:tc>
        <w:tc>
          <w:tcPr>
            <w:tcW w:w="0" w:type="dxa"/>
            <w:vAlign w:val="bottom"/>
          </w:tcPr>
          <w:p>
            <w:pPr>
              <w:spacing w:after="0"/>
              <w:rPr>
                <w:sz w:val="1"/>
                <w:szCs w:val="1"/>
                <w:color w:val="auto"/>
              </w:rPr>
            </w:pPr>
          </w:p>
        </w:tc>
      </w:tr>
      <w:tr>
        <w:trPr>
          <w:trHeight w:val="148"/>
        </w:trPr>
        <w:tc>
          <w:tcPr>
            <w:tcW w:w="55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Investor</w:t>
            </w:r>
          </w:p>
        </w:tc>
        <w:tc>
          <w:tcPr>
            <w:tcW w:w="2860" w:type="dxa"/>
            <w:vAlign w:val="bottom"/>
            <w:gridSpan w:val="3"/>
          </w:tcPr>
          <w:p>
            <w:pPr>
              <w:jc w:val="center"/>
              <w:ind w:left="814"/>
              <w:spacing w:after="0" w:line="149" w:lineRule="exact"/>
              <w:rPr>
                <w:sz w:val="20"/>
                <w:szCs w:val="20"/>
                <w:color w:val="auto"/>
              </w:rPr>
            </w:pPr>
            <w:r>
              <w:rPr>
                <w:rFonts w:ascii="Times New Roman" w:cs="Times New Roman" w:eastAsia="Times New Roman" w:hAnsi="Times New Roman"/>
                <w:sz w:val="14"/>
                <w:szCs w:val="14"/>
                <w:b w:val="1"/>
                <w:bCs w:val="1"/>
                <w:color w:val="auto"/>
              </w:rPr>
              <w:t>Director(s) or</w:t>
            </w:r>
          </w:p>
        </w:tc>
        <w:tc>
          <w:tcPr>
            <w:tcW w:w="1160" w:type="dxa"/>
            <w:vAlign w:val="bottom"/>
            <w:gridSpan w:val="3"/>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Preferred</w:t>
            </w:r>
          </w:p>
        </w:tc>
        <w:tc>
          <w:tcPr>
            <w:tcW w:w="240" w:type="dxa"/>
            <w:vAlign w:val="bottom"/>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520" w:type="dxa"/>
            <w:vAlign w:val="bottom"/>
            <w:gridSpan w:val="2"/>
            <w:vMerge w:val="continue"/>
          </w:tcPr>
          <w:p>
            <w:pPr>
              <w:spacing w:after="0"/>
              <w:rPr>
                <w:sz w:val="15"/>
                <w:szCs w:val="15"/>
                <w:color w:val="auto"/>
              </w:rPr>
            </w:pPr>
          </w:p>
        </w:tc>
        <w:tc>
          <w:tcPr>
            <w:tcW w:w="1580" w:type="dxa"/>
            <w:vAlign w:val="bottom"/>
          </w:tcPr>
          <w:p>
            <w:pPr>
              <w:spacing w:after="0"/>
              <w:rPr>
                <w:sz w:val="15"/>
                <w:szCs w:val="15"/>
                <w:color w:val="auto"/>
              </w:rPr>
            </w:pPr>
          </w:p>
        </w:tc>
        <w:tc>
          <w:tcPr>
            <w:tcW w:w="1280" w:type="dxa"/>
            <w:vAlign w:val="bottom"/>
            <w:gridSpan w:val="2"/>
          </w:tcPr>
          <w:p>
            <w:pPr>
              <w:jc w:val="center"/>
              <w:ind w:right="700"/>
              <w:spacing w:after="0"/>
              <w:rPr>
                <w:sz w:val="20"/>
                <w:szCs w:val="20"/>
                <w:color w:val="auto"/>
              </w:rPr>
            </w:pPr>
            <w:r>
              <w:rPr>
                <w:rFonts w:ascii="Times New Roman" w:cs="Times New Roman" w:eastAsia="Times New Roman" w:hAnsi="Times New Roman"/>
                <w:sz w:val="14"/>
                <w:szCs w:val="14"/>
                <w:b w:val="1"/>
                <w:bCs w:val="1"/>
                <w:color w:val="auto"/>
              </w:rPr>
              <w:t>Officer(s)</w:t>
            </w:r>
          </w:p>
        </w:tc>
        <w:tc>
          <w:tcPr>
            <w:tcW w:w="380" w:type="dxa"/>
            <w:vAlign w:val="bottom"/>
          </w:tcPr>
          <w:p>
            <w:pPr>
              <w:spacing w:after="0"/>
              <w:rPr>
                <w:sz w:val="15"/>
                <w:szCs w:val="15"/>
                <w:color w:val="auto"/>
              </w:rPr>
            </w:pPr>
          </w:p>
        </w:tc>
        <w:tc>
          <w:tcPr>
            <w:tcW w:w="78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w w:val="96"/>
              </w:rPr>
              <w:t>Price</w:t>
            </w: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Entities affiliated with Horowitz Limited Partnership VIII </w:t>
            </w:r>
            <w:r>
              <w:rPr>
                <w:rFonts w:ascii="Times New Roman" w:cs="Times New Roman" w:eastAsia="Times New Roman" w:hAnsi="Times New Roman"/>
                <w:sz w:val="15"/>
                <w:szCs w:val="15"/>
                <w:color w:val="auto"/>
              </w:rPr>
              <w:t>(1)</w:t>
            </w:r>
          </w:p>
        </w:tc>
        <w:tc>
          <w:tcPr>
            <w:tcW w:w="2860" w:type="dxa"/>
            <w:vAlign w:val="bottom"/>
            <w:gridSpan w:val="3"/>
            <w:shd w:val="clear" w:color="auto" w:fill="CCEEFF"/>
          </w:tcPr>
          <w:p>
            <w:pPr>
              <w:jc w:val="center"/>
              <w:ind w:left="814"/>
              <w:spacing w:after="0"/>
              <w:rPr>
                <w:sz w:val="20"/>
                <w:szCs w:val="20"/>
                <w:color w:val="auto"/>
              </w:rPr>
            </w:pPr>
            <w:r>
              <w:rPr>
                <w:rFonts w:ascii="Times New Roman" w:cs="Times New Roman" w:eastAsia="Times New Roman" w:hAnsi="Times New Roman"/>
                <w:sz w:val="18"/>
                <w:szCs w:val="18"/>
                <w:color w:val="auto"/>
                <w:w w:val="98"/>
              </w:rPr>
              <w:t>Jason Tester</w:t>
            </w:r>
          </w:p>
        </w:tc>
        <w:tc>
          <w:tcPr>
            <w:tcW w:w="11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10,977,563</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3,424,999.66</w:t>
            </w:r>
          </w:p>
        </w:tc>
        <w:tc>
          <w:tcPr>
            <w:tcW w:w="0" w:type="dxa"/>
            <w:vAlign w:val="bottom"/>
          </w:tcPr>
          <w:p>
            <w:pPr>
              <w:spacing w:after="0"/>
              <w:rPr>
                <w:sz w:val="1"/>
                <w:szCs w:val="1"/>
                <w:color w:val="auto"/>
              </w:rPr>
            </w:pPr>
          </w:p>
        </w:tc>
      </w:tr>
      <w:tr>
        <w:trPr>
          <w:trHeight w:val="216"/>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Entities Affiliated with Jason Tester </w:t>
            </w:r>
            <w:r>
              <w:rPr>
                <w:rFonts w:ascii="Times New Roman" w:cs="Times New Roman" w:eastAsia="Times New Roman" w:hAnsi="Times New Roman"/>
                <w:sz w:val="15"/>
                <w:szCs w:val="15"/>
                <w:color w:val="auto"/>
              </w:rPr>
              <w:t>(2)</w:t>
            </w:r>
          </w:p>
        </w:tc>
        <w:tc>
          <w:tcPr>
            <w:tcW w:w="2860" w:type="dxa"/>
            <w:vAlign w:val="bottom"/>
            <w:gridSpan w:val="3"/>
          </w:tcPr>
          <w:p>
            <w:pPr>
              <w:jc w:val="center"/>
              <w:ind w:left="814"/>
              <w:spacing w:after="0"/>
              <w:rPr>
                <w:sz w:val="20"/>
                <w:szCs w:val="20"/>
                <w:color w:val="auto"/>
              </w:rPr>
            </w:pPr>
            <w:r>
              <w:rPr>
                <w:rFonts w:ascii="Times New Roman" w:cs="Times New Roman" w:eastAsia="Times New Roman" w:hAnsi="Times New Roman"/>
                <w:sz w:val="18"/>
                <w:szCs w:val="18"/>
                <w:color w:val="auto"/>
                <w:w w:val="98"/>
              </w:rPr>
              <w:t>Jason Tester</w:t>
            </w:r>
          </w:p>
        </w:tc>
        <w:tc>
          <w:tcPr>
            <w:tcW w:w="11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160,256</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49,999.97</w:t>
            </w:r>
          </w:p>
        </w:tc>
        <w:tc>
          <w:tcPr>
            <w:tcW w:w="0" w:type="dxa"/>
            <w:vAlign w:val="bottom"/>
          </w:tcPr>
          <w:p>
            <w:pPr>
              <w:spacing w:after="0"/>
              <w:rPr>
                <w:sz w:val="1"/>
                <w:szCs w:val="1"/>
                <w:color w:val="auto"/>
              </w:rPr>
            </w:pPr>
          </w:p>
        </w:tc>
      </w:tr>
      <w:tr>
        <w:trPr>
          <w:trHeight w:val="216"/>
        </w:trPr>
        <w:tc>
          <w:tcPr>
            <w:tcW w:w="5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Michael Ackermann</w:t>
            </w:r>
          </w:p>
        </w:tc>
        <w:tc>
          <w:tcPr>
            <w:tcW w:w="2860" w:type="dxa"/>
            <w:vAlign w:val="bottom"/>
            <w:gridSpan w:val="3"/>
            <w:shd w:val="clear" w:color="auto" w:fill="CCEEFF"/>
          </w:tcPr>
          <w:p>
            <w:pPr>
              <w:jc w:val="center"/>
              <w:ind w:left="794"/>
              <w:spacing w:after="0"/>
              <w:rPr>
                <w:sz w:val="20"/>
                <w:szCs w:val="20"/>
                <w:color w:val="auto"/>
              </w:rPr>
            </w:pPr>
            <w:r>
              <w:rPr>
                <w:rFonts w:ascii="Times New Roman" w:cs="Times New Roman" w:eastAsia="Times New Roman" w:hAnsi="Times New Roman"/>
                <w:sz w:val="18"/>
                <w:szCs w:val="18"/>
                <w:color w:val="auto"/>
                <w:w w:val="98"/>
              </w:rPr>
              <w:t>Michael Ackermann</w:t>
            </w:r>
          </w:p>
        </w:tc>
        <w:tc>
          <w:tcPr>
            <w:tcW w:w="11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400,641</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125,000.00</w:t>
            </w:r>
          </w:p>
        </w:tc>
        <w:tc>
          <w:tcPr>
            <w:tcW w:w="0" w:type="dxa"/>
            <w:vAlign w:val="bottom"/>
          </w:tcPr>
          <w:p>
            <w:pPr>
              <w:spacing w:after="0"/>
              <w:rPr>
                <w:sz w:val="1"/>
                <w:szCs w:val="1"/>
                <w:color w:val="auto"/>
              </w:rPr>
            </w:pPr>
          </w:p>
        </w:tc>
      </w:tr>
      <w:tr>
        <w:trPr>
          <w:trHeight w:val="234"/>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Bobak Azamian</w:t>
            </w:r>
          </w:p>
        </w:tc>
        <w:tc>
          <w:tcPr>
            <w:tcW w:w="2860" w:type="dxa"/>
            <w:vAlign w:val="bottom"/>
            <w:gridSpan w:val="3"/>
          </w:tcPr>
          <w:p>
            <w:pPr>
              <w:jc w:val="center"/>
              <w:ind w:left="814"/>
              <w:spacing w:after="0"/>
              <w:rPr>
                <w:sz w:val="20"/>
                <w:szCs w:val="20"/>
                <w:color w:val="auto"/>
              </w:rPr>
            </w:pPr>
            <w:r>
              <w:rPr>
                <w:rFonts w:ascii="Times New Roman" w:cs="Times New Roman" w:eastAsia="Times New Roman" w:hAnsi="Times New Roman"/>
                <w:sz w:val="18"/>
                <w:szCs w:val="18"/>
                <w:color w:val="auto"/>
                <w:w w:val="99"/>
              </w:rPr>
              <w:t>Bobak Azamian</w:t>
            </w:r>
          </w:p>
        </w:tc>
        <w:tc>
          <w:tcPr>
            <w:tcW w:w="11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160,256</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49,999.87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74295</wp:posOffset>
            </wp:positionV>
            <wp:extent cx="771525"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28" w:lineRule="exact"/>
        <w:rPr>
          <w:sz w:val="20"/>
          <w:szCs w:val="20"/>
          <w:color w:val="auto"/>
        </w:rPr>
      </w:pPr>
    </w:p>
    <w:p>
      <w:pPr>
        <w:ind w:left="540" w:right="420" w:hanging="424"/>
        <w:spacing w:after="0" w:line="233" w:lineRule="auto"/>
        <w:tabs>
          <w:tab w:leader="none" w:pos="540" w:val="left"/>
        </w:tabs>
        <w:numPr>
          <w:ilvl w:val="0"/>
          <w:numId w:val="1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Entities affiliated with the Horowitz Limited Partnership VIII, who purchased shares of Series A Preferred Stock include the Horowitz Limited Partnership VIII and the Adam S Horowitz Revocable Trust. Jason Tester is an affiliate of Horowitz Limited Partnership VIII.</w:t>
      </w:r>
    </w:p>
    <w:p>
      <w:pPr>
        <w:ind w:left="540" w:hanging="424"/>
        <w:spacing w:after="0"/>
        <w:tabs>
          <w:tab w:leader="none" w:pos="540" w:val="left"/>
        </w:tabs>
        <w:numPr>
          <w:ilvl w:val="0"/>
          <w:numId w:val="1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Entities affiliated with Jason Tester who purchased shares of Series A Preferred Stock includes the Tester Living Trust.</w:t>
      </w:r>
    </w:p>
    <w:p>
      <w:pPr>
        <w:spacing w:after="0" w:line="1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2019 Convertible Notes</w:t>
      </w:r>
    </w:p>
    <w:p>
      <w:pPr>
        <w:spacing w:after="0" w:line="229" w:lineRule="exact"/>
        <w:rPr>
          <w:sz w:val="20"/>
          <w:szCs w:val="20"/>
          <w:color w:val="auto"/>
        </w:rPr>
      </w:pPr>
    </w:p>
    <w:p>
      <w:pPr>
        <w:jc w:val="both"/>
        <w:ind w:left="120" w:right="140" w:firstLine="881"/>
        <w:spacing w:after="0" w:line="266" w:lineRule="auto"/>
        <w:rPr>
          <w:sz w:val="20"/>
          <w:szCs w:val="20"/>
          <w:color w:val="auto"/>
        </w:rPr>
      </w:pPr>
      <w:r>
        <w:rPr>
          <w:rFonts w:ascii="Times New Roman" w:cs="Times New Roman" w:eastAsia="Times New Roman" w:hAnsi="Times New Roman"/>
          <w:sz w:val="18"/>
          <w:szCs w:val="18"/>
          <w:color w:val="auto"/>
        </w:rPr>
        <w:t>Throughout 2019, we issued various convertible notes with an aggregate principle amount of $2.0 million, or the 2019 Notes. All principal and interest accrued under the 2019 Notes was converted at various discounts into shares of Series B Preferred Stock in connection with the closing of our Series B preferred stock financing in December 2019.</w:t>
      </w:r>
    </w:p>
    <w:p>
      <w:pPr>
        <w:spacing w:after="0" w:line="10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-181-</w:t>
      </w:r>
    </w:p>
    <w:p>
      <w:pPr>
        <w:sectPr>
          <w:pgSz w:w="11900" w:h="16838" w:orient="portrait"/>
          <w:cols w:equalWidth="0" w:num="1">
            <w:col w:w="11140"/>
          </w:cols>
          <w:pgMar w:left="320" w:top="455" w:right="439" w:bottom="1440" w:gutter="0" w:footer="0" w:header="0"/>
        </w:sectPr>
      </w:pPr>
    </w:p>
    <w:bookmarkStart w:id="184" w:name="page185"/>
    <w:bookmarkEnd w:id="18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80" w:firstLine="881"/>
        <w:spacing w:after="0" w:line="266" w:lineRule="auto"/>
        <w:rPr>
          <w:sz w:val="20"/>
          <w:szCs w:val="20"/>
          <w:color w:val="auto"/>
        </w:rPr>
      </w:pPr>
      <w:r>
        <w:rPr>
          <w:rFonts w:ascii="Times New Roman" w:cs="Times New Roman" w:eastAsia="Times New Roman" w:hAnsi="Times New Roman"/>
          <w:sz w:val="18"/>
          <w:szCs w:val="18"/>
          <w:color w:val="auto"/>
        </w:rPr>
        <w:t>The following table sets forth the aggregate principal amount plus accrued interest of the 2019 Notes that was converted, the number of shares of Series B Preferred Stock issued upon conversion of such notes to our executive officers, directors and holders of more than 5% of our capital stock, and their respective affiliates upon conversion of such notes and the aggregate purchase price for such notes:</w:t>
      </w:r>
    </w:p>
    <w:p>
      <w:pPr>
        <w:spacing w:after="0" w:line="18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00" w:type="dxa"/>
            <w:vAlign w:val="bottom"/>
          </w:tcPr>
          <w:p>
            <w:pPr>
              <w:spacing w:after="0"/>
              <w:rPr>
                <w:sz w:val="13"/>
                <w:szCs w:val="13"/>
                <w:color w:val="auto"/>
              </w:rPr>
            </w:pPr>
          </w:p>
        </w:tc>
        <w:tc>
          <w:tcPr>
            <w:tcW w:w="506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Series B</w:t>
            </w:r>
          </w:p>
        </w:tc>
        <w:tc>
          <w:tcPr>
            <w:tcW w:w="104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Shares of</w:t>
            </w:r>
          </w:p>
        </w:tc>
        <w:tc>
          <w:tcPr>
            <w:tcW w:w="0" w:type="dxa"/>
            <w:vAlign w:val="bottom"/>
          </w:tcPr>
          <w:p>
            <w:pPr>
              <w:spacing w:after="0"/>
              <w:rPr>
                <w:sz w:val="1"/>
                <w:szCs w:val="1"/>
                <w:color w:val="auto"/>
              </w:rPr>
            </w:pPr>
          </w:p>
        </w:tc>
      </w:tr>
      <w:tr>
        <w:trPr>
          <w:trHeight w:val="148"/>
        </w:trPr>
        <w:tc>
          <w:tcPr>
            <w:tcW w:w="50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2780" w:type="dxa"/>
            <w:vAlign w:val="bottom"/>
            <w:gridSpan w:val="3"/>
            <w:vMerge w:val="restart"/>
          </w:tcPr>
          <w:p>
            <w:pPr>
              <w:jc w:val="center"/>
              <w:ind w:left="998"/>
              <w:spacing w:after="0"/>
              <w:rPr>
                <w:sz w:val="20"/>
                <w:szCs w:val="20"/>
                <w:color w:val="auto"/>
              </w:rPr>
            </w:pPr>
            <w:r>
              <w:rPr>
                <w:rFonts w:ascii="Times New Roman" w:cs="Times New Roman" w:eastAsia="Times New Roman" w:hAnsi="Times New Roman"/>
                <w:sz w:val="14"/>
                <w:szCs w:val="14"/>
                <w:b w:val="1"/>
                <w:bCs w:val="1"/>
                <w:color w:val="auto"/>
              </w:rPr>
              <w:t>Affiliated</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Convertible</w:t>
            </w:r>
          </w:p>
        </w:tc>
        <w:tc>
          <w:tcPr>
            <w:tcW w:w="10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0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2780" w:type="dxa"/>
            <w:vAlign w:val="bottom"/>
            <w:gridSpan w:val="3"/>
            <w:vMerge w:val="continue"/>
          </w:tcPr>
          <w:p>
            <w:pPr>
              <w:spacing w:after="0"/>
              <w:rPr>
                <w:sz w:val="12"/>
                <w:szCs w:val="12"/>
                <w:color w:val="auto"/>
              </w:rPr>
            </w:pPr>
          </w:p>
        </w:tc>
        <w:tc>
          <w:tcPr>
            <w:tcW w:w="240" w:type="dxa"/>
            <w:vAlign w:val="bottom"/>
          </w:tcPr>
          <w:p>
            <w:pPr>
              <w:spacing w:after="0"/>
              <w:rPr>
                <w:sz w:val="12"/>
                <w:szCs w:val="12"/>
                <w:color w:val="auto"/>
              </w:rPr>
            </w:pPr>
          </w:p>
        </w:tc>
        <w:tc>
          <w:tcPr>
            <w:tcW w:w="1400" w:type="dxa"/>
            <w:vAlign w:val="bottom"/>
            <w:gridSpan w:val="3"/>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Promissory Note</w:t>
            </w:r>
          </w:p>
        </w:tc>
        <w:tc>
          <w:tcPr>
            <w:tcW w:w="104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Series B</w:t>
            </w:r>
          </w:p>
        </w:tc>
        <w:tc>
          <w:tcPr>
            <w:tcW w:w="0" w:type="dxa"/>
            <w:vAlign w:val="bottom"/>
          </w:tcPr>
          <w:p>
            <w:pPr>
              <w:spacing w:after="0"/>
              <w:rPr>
                <w:sz w:val="1"/>
                <w:szCs w:val="1"/>
                <w:color w:val="auto"/>
              </w:rPr>
            </w:pPr>
          </w:p>
        </w:tc>
      </w:tr>
      <w:tr>
        <w:trPr>
          <w:trHeight w:val="148"/>
        </w:trPr>
        <w:tc>
          <w:tcPr>
            <w:tcW w:w="55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Investor</w:t>
            </w:r>
          </w:p>
        </w:tc>
        <w:tc>
          <w:tcPr>
            <w:tcW w:w="2780" w:type="dxa"/>
            <w:vAlign w:val="bottom"/>
            <w:gridSpan w:val="3"/>
          </w:tcPr>
          <w:p>
            <w:pPr>
              <w:jc w:val="center"/>
              <w:ind w:left="978"/>
              <w:spacing w:after="0" w:line="149" w:lineRule="exact"/>
              <w:rPr>
                <w:sz w:val="20"/>
                <w:szCs w:val="20"/>
                <w:color w:val="auto"/>
              </w:rPr>
            </w:pPr>
            <w:r>
              <w:rPr>
                <w:rFonts w:ascii="Times New Roman" w:cs="Times New Roman" w:eastAsia="Times New Roman" w:hAnsi="Times New Roman"/>
                <w:sz w:val="14"/>
                <w:szCs w:val="14"/>
                <w:b w:val="1"/>
                <w:bCs w:val="1"/>
                <w:color w:val="auto"/>
              </w:rPr>
              <w:t>Director(s) or</w:t>
            </w:r>
          </w:p>
        </w:tc>
        <w:tc>
          <w:tcPr>
            <w:tcW w:w="240" w:type="dxa"/>
            <w:vAlign w:val="bottom"/>
          </w:tcPr>
          <w:p>
            <w:pPr>
              <w:spacing w:after="0"/>
              <w:rPr>
                <w:sz w:val="12"/>
                <w:szCs w:val="12"/>
                <w:color w:val="auto"/>
              </w:rPr>
            </w:pPr>
          </w:p>
        </w:tc>
        <w:tc>
          <w:tcPr>
            <w:tcW w:w="1400" w:type="dxa"/>
            <w:vAlign w:val="bottom"/>
            <w:gridSpan w:val="3"/>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Principal Amount</w:t>
            </w:r>
          </w:p>
        </w:tc>
        <w:tc>
          <w:tcPr>
            <w:tcW w:w="104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9"/>
              </w:rPr>
              <w:t>Preferred</w:t>
            </w:r>
          </w:p>
        </w:tc>
        <w:tc>
          <w:tcPr>
            <w:tcW w:w="0" w:type="dxa"/>
            <w:vAlign w:val="bottom"/>
          </w:tcPr>
          <w:p>
            <w:pPr>
              <w:spacing w:after="0"/>
              <w:rPr>
                <w:sz w:val="1"/>
                <w:szCs w:val="1"/>
                <w:color w:val="auto"/>
              </w:rPr>
            </w:pPr>
          </w:p>
        </w:tc>
      </w:tr>
      <w:tr>
        <w:trPr>
          <w:trHeight w:val="173"/>
        </w:trPr>
        <w:tc>
          <w:tcPr>
            <w:tcW w:w="5560" w:type="dxa"/>
            <w:vAlign w:val="bottom"/>
            <w:gridSpan w:val="2"/>
            <w:vMerge w:val="continue"/>
          </w:tcPr>
          <w:p>
            <w:pPr>
              <w:spacing w:after="0"/>
              <w:rPr>
                <w:sz w:val="15"/>
                <w:szCs w:val="15"/>
                <w:color w:val="auto"/>
              </w:rPr>
            </w:pPr>
          </w:p>
        </w:tc>
        <w:tc>
          <w:tcPr>
            <w:tcW w:w="2780" w:type="dxa"/>
            <w:vAlign w:val="bottom"/>
            <w:gridSpan w:val="3"/>
          </w:tcPr>
          <w:p>
            <w:pPr>
              <w:jc w:val="center"/>
              <w:ind w:left="978"/>
              <w:spacing w:after="0"/>
              <w:rPr>
                <w:sz w:val="20"/>
                <w:szCs w:val="20"/>
                <w:color w:val="auto"/>
              </w:rPr>
            </w:pPr>
            <w:r>
              <w:rPr>
                <w:rFonts w:ascii="Times New Roman" w:cs="Times New Roman" w:eastAsia="Times New Roman" w:hAnsi="Times New Roman"/>
                <w:sz w:val="14"/>
                <w:szCs w:val="14"/>
                <w:b w:val="1"/>
                <w:bCs w:val="1"/>
                <w:color w:val="auto"/>
              </w:rPr>
              <w:t>Officer(s)</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 xml:space="preserve">and Interest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w:t>
            </w:r>
          </w:p>
        </w:tc>
        <w:tc>
          <w:tcPr>
            <w:tcW w:w="104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Entities affiliated with Horowitz Limited Partnership VIII </w:t>
            </w:r>
            <w:r>
              <w:rPr>
                <w:rFonts w:ascii="Times New Roman" w:cs="Times New Roman" w:eastAsia="Times New Roman" w:hAnsi="Times New Roman"/>
                <w:sz w:val="15"/>
                <w:szCs w:val="15"/>
                <w:color w:val="auto"/>
              </w:rPr>
              <w:t>(1)</w:t>
            </w:r>
          </w:p>
        </w:tc>
        <w:tc>
          <w:tcPr>
            <w:tcW w:w="2780" w:type="dxa"/>
            <w:vAlign w:val="bottom"/>
            <w:gridSpan w:val="3"/>
            <w:shd w:val="clear" w:color="auto" w:fill="CCEEFF"/>
          </w:tcPr>
          <w:p>
            <w:pPr>
              <w:jc w:val="center"/>
              <w:ind w:left="978"/>
              <w:spacing w:after="0"/>
              <w:rPr>
                <w:sz w:val="20"/>
                <w:szCs w:val="20"/>
                <w:color w:val="auto"/>
              </w:rPr>
            </w:pPr>
            <w:r>
              <w:rPr>
                <w:rFonts w:ascii="Times New Roman" w:cs="Times New Roman" w:eastAsia="Times New Roman" w:hAnsi="Times New Roman"/>
                <w:sz w:val="18"/>
                <w:szCs w:val="18"/>
                <w:color w:val="auto"/>
                <w:w w:val="98"/>
              </w:rPr>
              <w:t>Jason Tester</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1,930,070.20</w:t>
            </w:r>
          </w:p>
        </w:tc>
        <w:tc>
          <w:tcPr>
            <w:tcW w:w="10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1,881,896</w:t>
            </w:r>
          </w:p>
        </w:tc>
        <w:tc>
          <w:tcPr>
            <w:tcW w:w="0" w:type="dxa"/>
            <w:vAlign w:val="bottom"/>
          </w:tcPr>
          <w:p>
            <w:pPr>
              <w:spacing w:after="0"/>
              <w:rPr>
                <w:sz w:val="1"/>
                <w:szCs w:val="1"/>
                <w:color w:val="auto"/>
              </w:rPr>
            </w:pPr>
          </w:p>
        </w:tc>
      </w:tr>
      <w:tr>
        <w:trPr>
          <w:trHeight w:val="216"/>
        </w:trPr>
        <w:tc>
          <w:tcPr>
            <w:tcW w:w="5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Entities Affiliated with Jason Tester </w:t>
            </w:r>
            <w:r>
              <w:rPr>
                <w:rFonts w:ascii="Times New Roman" w:cs="Times New Roman" w:eastAsia="Times New Roman" w:hAnsi="Times New Roman"/>
                <w:sz w:val="15"/>
                <w:szCs w:val="15"/>
                <w:color w:val="auto"/>
              </w:rPr>
              <w:t>(2)</w:t>
            </w:r>
          </w:p>
        </w:tc>
        <w:tc>
          <w:tcPr>
            <w:tcW w:w="2780" w:type="dxa"/>
            <w:vAlign w:val="bottom"/>
            <w:gridSpan w:val="3"/>
          </w:tcPr>
          <w:p>
            <w:pPr>
              <w:jc w:val="center"/>
              <w:ind w:left="978"/>
              <w:spacing w:after="0"/>
              <w:rPr>
                <w:sz w:val="20"/>
                <w:szCs w:val="20"/>
                <w:color w:val="auto"/>
              </w:rPr>
            </w:pPr>
            <w:r>
              <w:rPr>
                <w:rFonts w:ascii="Times New Roman" w:cs="Times New Roman" w:eastAsia="Times New Roman" w:hAnsi="Times New Roman"/>
                <w:sz w:val="18"/>
                <w:szCs w:val="18"/>
                <w:color w:val="auto"/>
                <w:w w:val="98"/>
              </w:rPr>
              <w:t>Jason Tester</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28,176.15</w:t>
            </w:r>
          </w:p>
        </w:tc>
        <w:tc>
          <w:tcPr>
            <w:tcW w:w="10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27,473</w:t>
            </w:r>
          </w:p>
        </w:tc>
        <w:tc>
          <w:tcPr>
            <w:tcW w:w="0" w:type="dxa"/>
            <w:vAlign w:val="bottom"/>
          </w:tcPr>
          <w:p>
            <w:pPr>
              <w:spacing w:after="0"/>
              <w:rPr>
                <w:sz w:val="1"/>
                <w:szCs w:val="1"/>
                <w:color w:val="auto"/>
              </w:rPr>
            </w:pPr>
          </w:p>
        </w:tc>
      </w:tr>
      <w:tr>
        <w:trPr>
          <w:trHeight w:val="216"/>
        </w:trPr>
        <w:tc>
          <w:tcPr>
            <w:tcW w:w="5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Bobak Azamian</w:t>
            </w:r>
          </w:p>
        </w:tc>
        <w:tc>
          <w:tcPr>
            <w:tcW w:w="2780" w:type="dxa"/>
            <w:vAlign w:val="bottom"/>
            <w:gridSpan w:val="3"/>
            <w:shd w:val="clear" w:color="auto" w:fill="CCEEFF"/>
          </w:tcPr>
          <w:p>
            <w:pPr>
              <w:jc w:val="center"/>
              <w:ind w:left="978"/>
              <w:spacing w:after="0"/>
              <w:rPr>
                <w:sz w:val="20"/>
                <w:szCs w:val="20"/>
                <w:color w:val="auto"/>
              </w:rPr>
            </w:pPr>
            <w:r>
              <w:rPr>
                <w:rFonts w:ascii="Times New Roman" w:cs="Times New Roman" w:eastAsia="Times New Roman" w:hAnsi="Times New Roman"/>
                <w:sz w:val="18"/>
                <w:szCs w:val="18"/>
                <w:color w:val="auto"/>
                <w:w w:val="99"/>
              </w:rPr>
              <w:t>Bobak Azamian</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14,162.48</w:t>
            </w:r>
          </w:p>
        </w:tc>
        <w:tc>
          <w:tcPr>
            <w:tcW w:w="10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13,001</w:t>
            </w:r>
          </w:p>
        </w:tc>
        <w:tc>
          <w:tcPr>
            <w:tcW w:w="0" w:type="dxa"/>
            <w:vAlign w:val="bottom"/>
          </w:tcPr>
          <w:p>
            <w:pPr>
              <w:spacing w:after="0"/>
              <w:rPr>
                <w:sz w:val="1"/>
                <w:szCs w:val="1"/>
                <w:color w:val="auto"/>
              </w:rPr>
            </w:pPr>
          </w:p>
        </w:tc>
      </w:tr>
      <w:tr>
        <w:trPr>
          <w:trHeight w:val="234"/>
        </w:trPr>
        <w:tc>
          <w:tcPr>
            <w:tcW w:w="5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Michael Ackermann</w:t>
            </w:r>
          </w:p>
        </w:tc>
        <w:tc>
          <w:tcPr>
            <w:tcW w:w="2780" w:type="dxa"/>
            <w:vAlign w:val="bottom"/>
            <w:gridSpan w:val="3"/>
          </w:tcPr>
          <w:p>
            <w:pPr>
              <w:jc w:val="center"/>
              <w:ind w:left="978"/>
              <w:spacing w:after="0"/>
              <w:rPr>
                <w:sz w:val="20"/>
                <w:szCs w:val="20"/>
                <w:color w:val="auto"/>
              </w:rPr>
            </w:pPr>
            <w:r>
              <w:rPr>
                <w:rFonts w:ascii="Times New Roman" w:cs="Times New Roman" w:eastAsia="Times New Roman" w:hAnsi="Times New Roman"/>
                <w:sz w:val="18"/>
                <w:szCs w:val="18"/>
                <w:color w:val="auto"/>
              </w:rPr>
              <w:t>Michael Ackermann</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70,440.52</w:t>
            </w:r>
          </w:p>
        </w:tc>
        <w:tc>
          <w:tcPr>
            <w:tcW w:w="10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68,682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74295</wp:posOffset>
            </wp:positionV>
            <wp:extent cx="771525"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28" w:lineRule="exact"/>
        <w:rPr>
          <w:sz w:val="20"/>
          <w:szCs w:val="20"/>
          <w:color w:val="auto"/>
        </w:rPr>
      </w:pPr>
    </w:p>
    <w:p>
      <w:pPr>
        <w:ind w:left="540" w:right="320" w:hanging="424"/>
        <w:spacing w:after="0" w:line="233" w:lineRule="auto"/>
        <w:tabs>
          <w:tab w:leader="none" w:pos="540" w:val="left"/>
        </w:tabs>
        <w:numPr>
          <w:ilvl w:val="0"/>
          <w:numId w:val="1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Entities affiliated with Horowitz Limited Partnership VIII whose convertible promissory notes converted into shares of our Series B Preferred Stock include the Horowitz Limited Partnership VIII and the Adam S Horowitz Revocable Trust. Mr. Tester is an affiliate of Horowitz Limited Partnership VIII.</w:t>
      </w:r>
    </w:p>
    <w:p>
      <w:pPr>
        <w:ind w:left="540" w:hanging="424"/>
        <w:spacing w:after="0"/>
        <w:tabs>
          <w:tab w:leader="none" w:pos="540" w:val="left"/>
        </w:tabs>
        <w:numPr>
          <w:ilvl w:val="0"/>
          <w:numId w:val="1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Entities affiliated with Mr. Tester whose convertible promissory notes converted into shares of our Series B Preferred Stock include the Tester Living Trust.</w:t>
      </w:r>
    </w:p>
    <w:p>
      <w:pPr>
        <w:spacing w:after="0" w:line="1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Series B Preferred Stock Financing</w:t>
      </w:r>
    </w:p>
    <w:p>
      <w:pPr>
        <w:spacing w:after="0" w:line="229" w:lineRule="exact"/>
        <w:rPr>
          <w:sz w:val="20"/>
          <w:szCs w:val="20"/>
          <w:color w:val="auto"/>
        </w:rPr>
      </w:pPr>
    </w:p>
    <w:p>
      <w:pPr>
        <w:ind w:left="120" w:right="60" w:firstLine="881"/>
        <w:spacing w:after="0" w:line="256" w:lineRule="auto"/>
        <w:rPr>
          <w:sz w:val="20"/>
          <w:szCs w:val="20"/>
          <w:color w:val="auto"/>
        </w:rPr>
      </w:pPr>
      <w:r>
        <w:rPr>
          <w:rFonts w:ascii="Times New Roman" w:cs="Times New Roman" w:eastAsia="Times New Roman" w:hAnsi="Times New Roman"/>
          <w:sz w:val="18"/>
          <w:szCs w:val="18"/>
          <w:color w:val="auto"/>
        </w:rPr>
        <w:t>In December 2019, we issued and sold an aggregate of 47,587,571 shares of our Series B Preferred Stock (exclusive of 1,991,052 shares issued upon the conversion of the 2019 Notes) at a cash purchase price of $1.2104 per share for an aggregate purchase price of approximately $57.6 million. These shares of Series B Preferred Stock, together with the shares issued upon conversion of the 2019 Notes, will convert into an aggregate of 49,578,623 shares of common stock upon the completion of this offering. The table below sets forth the number of shares of Series B Preferred Stock sold to our directors, executive officers and holders of more than 5% of our capital stock (not including the 1,991,052 shares of Series B Preferred Stock issued upon the conversion of the 2019 Notes):</w:t>
      </w:r>
    </w:p>
    <w:p>
      <w:pPr>
        <w:spacing w:after="0" w:line="19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00" w:type="dxa"/>
            <w:vAlign w:val="bottom"/>
          </w:tcPr>
          <w:p>
            <w:pPr>
              <w:spacing w:after="0"/>
              <w:rPr>
                <w:sz w:val="13"/>
                <w:szCs w:val="13"/>
                <w:color w:val="auto"/>
              </w:rPr>
            </w:pPr>
          </w:p>
        </w:tc>
        <w:tc>
          <w:tcPr>
            <w:tcW w:w="4480" w:type="dxa"/>
            <w:vAlign w:val="bottom"/>
          </w:tcPr>
          <w:p>
            <w:pPr>
              <w:spacing w:after="0"/>
              <w:rPr>
                <w:sz w:val="13"/>
                <w:szCs w:val="13"/>
                <w:color w:val="auto"/>
              </w:rPr>
            </w:pPr>
          </w:p>
        </w:tc>
        <w:tc>
          <w:tcPr>
            <w:tcW w:w="3320" w:type="dxa"/>
            <w:vAlign w:val="bottom"/>
            <w:gridSpan w:val="3"/>
            <w:vMerge w:val="restart"/>
          </w:tcPr>
          <w:p>
            <w:pPr>
              <w:jc w:val="center"/>
              <w:ind w:left="1019"/>
              <w:spacing w:after="0"/>
              <w:rPr>
                <w:sz w:val="20"/>
                <w:szCs w:val="20"/>
                <w:color w:val="auto"/>
              </w:rPr>
            </w:pPr>
            <w:r>
              <w:rPr>
                <w:rFonts w:ascii="Times New Roman" w:cs="Times New Roman" w:eastAsia="Times New Roman" w:hAnsi="Times New Roman"/>
                <w:sz w:val="14"/>
                <w:szCs w:val="14"/>
                <w:b w:val="1"/>
                <w:bCs w:val="1"/>
                <w:color w:val="auto"/>
              </w:rPr>
              <w:t>Affiliated</w:t>
            </w:r>
          </w:p>
        </w:tc>
        <w:tc>
          <w:tcPr>
            <w:tcW w:w="118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Shares of</w:t>
            </w: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00" w:type="dxa"/>
            <w:vAlign w:val="bottom"/>
          </w:tcPr>
          <w:p>
            <w:pPr>
              <w:spacing w:after="0"/>
              <w:rPr>
                <w:sz w:val="12"/>
                <w:szCs w:val="12"/>
                <w:color w:val="auto"/>
              </w:rPr>
            </w:pPr>
          </w:p>
        </w:tc>
        <w:tc>
          <w:tcPr>
            <w:tcW w:w="4480" w:type="dxa"/>
            <w:vAlign w:val="bottom"/>
          </w:tcPr>
          <w:p>
            <w:pPr>
              <w:spacing w:after="0"/>
              <w:rPr>
                <w:sz w:val="12"/>
                <w:szCs w:val="12"/>
                <w:color w:val="auto"/>
              </w:rPr>
            </w:pPr>
          </w:p>
        </w:tc>
        <w:tc>
          <w:tcPr>
            <w:tcW w:w="3320" w:type="dxa"/>
            <w:vAlign w:val="bottom"/>
            <w:gridSpan w:val="3"/>
            <w:vMerge w:val="continue"/>
          </w:tcPr>
          <w:p>
            <w:pPr>
              <w:spacing w:after="0"/>
              <w:rPr>
                <w:sz w:val="12"/>
                <w:szCs w:val="12"/>
                <w:color w:val="auto"/>
              </w:rPr>
            </w:pPr>
          </w:p>
        </w:tc>
        <w:tc>
          <w:tcPr>
            <w:tcW w:w="1180" w:type="dxa"/>
            <w:vAlign w:val="bottom"/>
            <w:gridSpan w:val="3"/>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Series B</w:t>
            </w:r>
          </w:p>
        </w:tc>
        <w:tc>
          <w:tcPr>
            <w:tcW w:w="240" w:type="dxa"/>
            <w:vAlign w:val="bottom"/>
          </w:tcPr>
          <w:p>
            <w:pPr>
              <w:spacing w:after="0"/>
              <w:rPr>
                <w:sz w:val="12"/>
                <w:szCs w:val="12"/>
                <w:color w:val="auto"/>
              </w:rPr>
            </w:pPr>
          </w:p>
        </w:tc>
        <w:tc>
          <w:tcPr>
            <w:tcW w:w="1300" w:type="dxa"/>
            <w:vAlign w:val="bottom"/>
            <w:gridSpan w:val="3"/>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Total Purchase</w:t>
            </w:r>
          </w:p>
        </w:tc>
        <w:tc>
          <w:tcPr>
            <w:tcW w:w="0" w:type="dxa"/>
            <w:vAlign w:val="bottom"/>
          </w:tcPr>
          <w:p>
            <w:pPr>
              <w:spacing w:after="0"/>
              <w:rPr>
                <w:sz w:val="1"/>
                <w:szCs w:val="1"/>
                <w:color w:val="auto"/>
              </w:rPr>
            </w:pPr>
          </w:p>
        </w:tc>
      </w:tr>
      <w:tr>
        <w:trPr>
          <w:trHeight w:val="148"/>
        </w:trPr>
        <w:tc>
          <w:tcPr>
            <w:tcW w:w="49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Investor</w:t>
            </w:r>
          </w:p>
        </w:tc>
        <w:tc>
          <w:tcPr>
            <w:tcW w:w="3320" w:type="dxa"/>
            <w:vAlign w:val="bottom"/>
            <w:gridSpan w:val="3"/>
          </w:tcPr>
          <w:p>
            <w:pPr>
              <w:jc w:val="center"/>
              <w:ind w:left="1039"/>
              <w:spacing w:after="0" w:line="149" w:lineRule="exact"/>
              <w:rPr>
                <w:sz w:val="20"/>
                <w:szCs w:val="20"/>
                <w:color w:val="auto"/>
              </w:rPr>
            </w:pPr>
            <w:r>
              <w:rPr>
                <w:rFonts w:ascii="Times New Roman" w:cs="Times New Roman" w:eastAsia="Times New Roman" w:hAnsi="Times New Roman"/>
                <w:sz w:val="14"/>
                <w:szCs w:val="14"/>
                <w:b w:val="1"/>
                <w:bCs w:val="1"/>
                <w:color w:val="auto"/>
              </w:rPr>
              <w:t>Director(s) or</w:t>
            </w:r>
          </w:p>
        </w:tc>
        <w:tc>
          <w:tcPr>
            <w:tcW w:w="1180" w:type="dxa"/>
            <w:vAlign w:val="bottom"/>
            <w:gridSpan w:val="3"/>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w w:val="99"/>
              </w:rPr>
              <w:t>Preferred</w:t>
            </w:r>
          </w:p>
        </w:tc>
        <w:tc>
          <w:tcPr>
            <w:tcW w:w="240" w:type="dxa"/>
            <w:vAlign w:val="bottom"/>
          </w:tcPr>
          <w:p>
            <w:pPr>
              <w:spacing w:after="0"/>
              <w:rPr>
                <w:sz w:val="12"/>
                <w:szCs w:val="12"/>
                <w:color w:val="auto"/>
              </w:rPr>
            </w:pPr>
          </w:p>
        </w:tc>
        <w:tc>
          <w:tcPr>
            <w:tcW w:w="13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980" w:type="dxa"/>
            <w:vAlign w:val="bottom"/>
            <w:gridSpan w:val="2"/>
            <w:vMerge w:val="continue"/>
          </w:tcPr>
          <w:p>
            <w:pPr>
              <w:spacing w:after="0"/>
              <w:rPr>
                <w:sz w:val="15"/>
                <w:szCs w:val="15"/>
                <w:color w:val="auto"/>
              </w:rPr>
            </w:pPr>
          </w:p>
        </w:tc>
        <w:tc>
          <w:tcPr>
            <w:tcW w:w="3320" w:type="dxa"/>
            <w:vAlign w:val="bottom"/>
            <w:gridSpan w:val="3"/>
          </w:tcPr>
          <w:p>
            <w:pPr>
              <w:jc w:val="center"/>
              <w:ind w:left="1039"/>
              <w:spacing w:after="0"/>
              <w:rPr>
                <w:sz w:val="20"/>
                <w:szCs w:val="20"/>
                <w:color w:val="auto"/>
              </w:rPr>
            </w:pPr>
            <w:r>
              <w:rPr>
                <w:rFonts w:ascii="Times New Roman" w:cs="Times New Roman" w:eastAsia="Times New Roman" w:hAnsi="Times New Roman"/>
                <w:sz w:val="14"/>
                <w:szCs w:val="14"/>
                <w:b w:val="1"/>
                <w:bCs w:val="1"/>
                <w:color w:val="auto"/>
              </w:rPr>
              <w:t>Officer(s)</w:t>
            </w:r>
          </w:p>
        </w:tc>
        <w:tc>
          <w:tcPr>
            <w:tcW w:w="118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40" w:type="dxa"/>
            <w:vAlign w:val="bottom"/>
          </w:tcPr>
          <w:p>
            <w:pPr>
              <w:spacing w:after="0"/>
              <w:rPr>
                <w:sz w:val="15"/>
                <w:szCs w:val="15"/>
                <w:color w:val="auto"/>
              </w:rPr>
            </w:pPr>
          </w:p>
        </w:tc>
        <w:tc>
          <w:tcPr>
            <w:tcW w:w="1300" w:type="dxa"/>
            <w:vAlign w:val="bottom"/>
            <w:gridSpan w:val="3"/>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Vivo Capital Fund IX, L.P.</w:t>
            </w:r>
          </w:p>
        </w:tc>
        <w:tc>
          <w:tcPr>
            <w:tcW w:w="3320" w:type="dxa"/>
            <w:vAlign w:val="bottom"/>
            <w:gridSpan w:val="3"/>
            <w:shd w:val="clear" w:color="auto" w:fill="CCEEFF"/>
          </w:tcPr>
          <w:p>
            <w:pPr>
              <w:jc w:val="center"/>
              <w:ind w:left="1039"/>
              <w:spacing w:after="0"/>
              <w:rPr>
                <w:sz w:val="20"/>
                <w:szCs w:val="20"/>
                <w:color w:val="auto"/>
              </w:rPr>
            </w:pPr>
            <w:r>
              <w:rPr>
                <w:rFonts w:ascii="Times New Roman" w:cs="Times New Roman" w:eastAsia="Times New Roman" w:hAnsi="Times New Roman"/>
                <w:sz w:val="18"/>
                <w:szCs w:val="18"/>
                <w:color w:val="auto"/>
                <w:w w:val="99"/>
              </w:rPr>
              <w:t xml:space="preserve">Andrew Goldberg </w:t>
            </w:r>
            <w:r>
              <w:rPr>
                <w:rFonts w:ascii="Times New Roman" w:cs="Times New Roman" w:eastAsia="Times New Roman" w:hAnsi="Times New Roman"/>
                <w:sz w:val="15"/>
                <w:szCs w:val="15"/>
                <w:color w:val="auto"/>
                <w:w w:val="99"/>
              </w:rPr>
              <w:t>(1)</w:t>
            </w:r>
          </w:p>
        </w:tc>
        <w:tc>
          <w:tcPr>
            <w:tcW w:w="11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20,654,329</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24,999,999.83</w:t>
            </w:r>
          </w:p>
        </w:tc>
        <w:tc>
          <w:tcPr>
            <w:tcW w:w="0" w:type="dxa"/>
            <w:vAlign w:val="bottom"/>
          </w:tcPr>
          <w:p>
            <w:pPr>
              <w:spacing w:after="0"/>
              <w:rPr>
                <w:sz w:val="1"/>
                <w:szCs w:val="1"/>
                <w:color w:val="auto"/>
              </w:rPr>
            </w:pPr>
          </w:p>
        </w:tc>
      </w:tr>
      <w:tr>
        <w:trPr>
          <w:trHeight w:val="216"/>
        </w:trPr>
        <w:tc>
          <w:tcPr>
            <w:tcW w:w="4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Frazier Life Sciences IX, L.P.</w:t>
            </w:r>
          </w:p>
        </w:tc>
        <w:tc>
          <w:tcPr>
            <w:tcW w:w="3320" w:type="dxa"/>
            <w:vAlign w:val="bottom"/>
            <w:gridSpan w:val="3"/>
          </w:tcPr>
          <w:p>
            <w:pPr>
              <w:jc w:val="center"/>
              <w:ind w:left="1019"/>
              <w:spacing w:after="0"/>
              <w:rPr>
                <w:sz w:val="20"/>
                <w:szCs w:val="20"/>
                <w:color w:val="auto"/>
              </w:rPr>
            </w:pPr>
            <w:r>
              <w:rPr>
                <w:rFonts w:ascii="Times New Roman" w:cs="Times New Roman" w:eastAsia="Times New Roman" w:hAnsi="Times New Roman"/>
                <w:sz w:val="18"/>
                <w:szCs w:val="18"/>
                <w:color w:val="auto"/>
              </w:rPr>
              <w:t xml:space="preserve">Bhaskar Chaudhuri </w:t>
            </w:r>
            <w:r>
              <w:rPr>
                <w:rFonts w:ascii="Times New Roman" w:cs="Times New Roman" w:eastAsia="Times New Roman" w:hAnsi="Times New Roman"/>
                <w:sz w:val="15"/>
                <w:szCs w:val="15"/>
                <w:color w:val="auto"/>
              </w:rPr>
              <w:t>(2)</w:t>
            </w:r>
          </w:p>
        </w:tc>
        <w:tc>
          <w:tcPr>
            <w:tcW w:w="11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10,327,164</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12,499,999.31</w:t>
            </w:r>
          </w:p>
        </w:tc>
        <w:tc>
          <w:tcPr>
            <w:tcW w:w="0" w:type="dxa"/>
            <w:vAlign w:val="bottom"/>
          </w:tcPr>
          <w:p>
            <w:pPr>
              <w:spacing w:after="0"/>
              <w:rPr>
                <w:sz w:val="1"/>
                <w:szCs w:val="1"/>
                <w:color w:val="auto"/>
              </w:rPr>
            </w:pPr>
          </w:p>
        </w:tc>
      </w:tr>
      <w:tr>
        <w:trPr>
          <w:trHeight w:val="216"/>
        </w:trPr>
        <w:tc>
          <w:tcPr>
            <w:tcW w:w="4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Flying L Investments XI, LLC</w:t>
            </w:r>
          </w:p>
        </w:tc>
        <w:tc>
          <w:tcPr>
            <w:tcW w:w="3320" w:type="dxa"/>
            <w:vAlign w:val="bottom"/>
            <w:gridSpan w:val="3"/>
            <w:shd w:val="clear" w:color="auto" w:fill="CCEEFF"/>
          </w:tcPr>
          <w:p>
            <w:pPr>
              <w:jc w:val="center"/>
              <w:ind w:left="1039"/>
              <w:spacing w:after="0"/>
              <w:rPr>
                <w:sz w:val="20"/>
                <w:szCs w:val="20"/>
                <w:color w:val="auto"/>
              </w:rPr>
            </w:pPr>
            <w:r>
              <w:rPr>
                <w:rFonts w:ascii="Times New Roman" w:cs="Times New Roman" w:eastAsia="Times New Roman" w:hAnsi="Times New Roman"/>
                <w:sz w:val="18"/>
                <w:szCs w:val="18"/>
                <w:color w:val="auto"/>
                <w:w w:val="98"/>
              </w:rPr>
              <w:t>William J. Link</w:t>
            </w:r>
          </w:p>
        </w:tc>
        <w:tc>
          <w:tcPr>
            <w:tcW w:w="11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8,261,731</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9,999,999.21</w:t>
            </w:r>
          </w:p>
        </w:tc>
        <w:tc>
          <w:tcPr>
            <w:tcW w:w="0" w:type="dxa"/>
            <w:vAlign w:val="bottom"/>
          </w:tcPr>
          <w:p>
            <w:pPr>
              <w:spacing w:after="0"/>
              <w:rPr>
                <w:sz w:val="1"/>
                <w:szCs w:val="1"/>
                <w:color w:val="auto"/>
              </w:rPr>
            </w:pPr>
          </w:p>
        </w:tc>
      </w:tr>
      <w:tr>
        <w:trPr>
          <w:trHeight w:val="234"/>
        </w:trPr>
        <w:tc>
          <w:tcPr>
            <w:tcW w:w="4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Entities affiliated with Visionary Venture Fund </w:t>
            </w:r>
            <w:r>
              <w:rPr>
                <w:rFonts w:ascii="Times New Roman" w:cs="Times New Roman" w:eastAsia="Times New Roman" w:hAnsi="Times New Roman"/>
                <w:sz w:val="15"/>
                <w:szCs w:val="15"/>
                <w:color w:val="auto"/>
              </w:rPr>
              <w:t>(3)</w:t>
            </w:r>
          </w:p>
        </w:tc>
        <w:tc>
          <w:tcPr>
            <w:tcW w:w="19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6,196,298</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7,499,999.11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74295</wp:posOffset>
            </wp:positionV>
            <wp:extent cx="771525"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28" w:lineRule="exact"/>
        <w:rPr>
          <w:sz w:val="20"/>
          <w:szCs w:val="20"/>
          <w:color w:val="auto"/>
        </w:rPr>
      </w:pPr>
    </w:p>
    <w:p>
      <w:pPr>
        <w:ind w:left="540" w:hanging="424"/>
        <w:spacing w:after="0"/>
        <w:tabs>
          <w:tab w:leader="none" w:pos="540" w:val="left"/>
        </w:tabs>
        <w:numPr>
          <w:ilvl w:val="0"/>
          <w:numId w:val="1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Goldberg was designated by Vivo Capital Fund IX, L.P. but does not have any voting or investment control over the shares held by Vivo Capital Fund IX, L.P.</w:t>
      </w:r>
    </w:p>
    <w:p>
      <w:pPr>
        <w:spacing w:after="0" w:line="3" w:lineRule="exact"/>
        <w:rPr>
          <w:rFonts w:ascii="Times New Roman" w:cs="Times New Roman" w:eastAsia="Times New Roman" w:hAnsi="Times New Roman"/>
          <w:sz w:val="14"/>
          <w:szCs w:val="14"/>
          <w:color w:val="auto"/>
        </w:rPr>
      </w:pPr>
    </w:p>
    <w:p>
      <w:pPr>
        <w:ind w:left="540" w:hanging="424"/>
        <w:spacing w:after="0" w:line="221" w:lineRule="auto"/>
        <w:tabs>
          <w:tab w:leader="none" w:pos="540" w:val="left"/>
        </w:tabs>
        <w:numPr>
          <w:ilvl w:val="0"/>
          <w:numId w:val="1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Dr. Chaudhuri was designated by Frazier Life Sciences IX, L.P. but does not have any voting or investment control over the shares held by Frazier Life Sciences IX, L.P.</w:t>
      </w:r>
    </w:p>
    <w:p>
      <w:pPr>
        <w:ind w:left="540" w:right="300" w:hanging="424"/>
        <w:spacing w:after="0" w:line="239" w:lineRule="auto"/>
        <w:tabs>
          <w:tab w:leader="none" w:pos="540" w:val="left"/>
        </w:tabs>
        <w:numPr>
          <w:ilvl w:val="0"/>
          <w:numId w:val="1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Entities affiliated with Visionary Venture Fund holding shares of our Series B Preferred Stock which are aggregated for purposes of reporting share ownership information include Visionary Venture Fund II, LP and Visionary Venture Fund II (QP), LP.</w:t>
      </w:r>
    </w:p>
    <w:p>
      <w:pPr>
        <w:spacing w:after="0" w:line="113" w:lineRule="exact"/>
        <w:rPr>
          <w:rFonts w:ascii="Times New Roman" w:cs="Times New Roman" w:eastAsia="Times New Roman" w:hAnsi="Times New Roman"/>
          <w:sz w:val="14"/>
          <w:szCs w:val="14"/>
          <w:color w:val="auto"/>
        </w:rPr>
      </w:pPr>
    </w:p>
    <w:p>
      <w:pPr>
        <w:ind w:left="5480" w:hanging="96"/>
        <w:spacing w:after="0"/>
        <w:tabs>
          <w:tab w:leader="none" w:pos="5480" w:val="left"/>
        </w:tabs>
        <w:numPr>
          <w:ilvl w:val="1"/>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182 -</w:t>
      </w:r>
    </w:p>
    <w:p>
      <w:pPr>
        <w:sectPr>
          <w:pgSz w:w="11900" w:h="16838" w:orient="portrait"/>
          <w:cols w:equalWidth="0" w:num="1">
            <w:col w:w="11140"/>
          </w:cols>
          <w:pgMar w:left="320" w:top="455" w:right="439" w:bottom="1440" w:gutter="0" w:footer="0" w:header="0"/>
        </w:sectPr>
      </w:pPr>
    </w:p>
    <w:bookmarkStart w:id="185" w:name="page186"/>
    <w:bookmarkEnd w:id="18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Series C Preferred Stock Financing</w:t>
      </w:r>
    </w:p>
    <w:p>
      <w:pPr>
        <w:spacing w:after="0" w:line="229" w:lineRule="exact"/>
        <w:rPr>
          <w:sz w:val="20"/>
          <w:szCs w:val="20"/>
          <w:color w:val="auto"/>
        </w:rPr>
      </w:pPr>
    </w:p>
    <w:p>
      <w:pPr>
        <w:ind w:left="120" w:right="160" w:firstLine="881"/>
        <w:spacing w:after="0" w:line="261" w:lineRule="auto"/>
        <w:rPr>
          <w:sz w:val="20"/>
          <w:szCs w:val="20"/>
          <w:color w:val="auto"/>
        </w:rPr>
      </w:pPr>
      <w:r>
        <w:rPr>
          <w:rFonts w:ascii="Times New Roman" w:cs="Times New Roman" w:eastAsia="Times New Roman" w:hAnsi="Times New Roman"/>
          <w:sz w:val="18"/>
          <w:szCs w:val="18"/>
          <w:color w:val="auto"/>
        </w:rPr>
        <w:t>In September 2020, we issued and sold an aggregate of 21,221,280 shares of our Series C preferred stock at a cash purchase price of $1.8849 per share of Series C preferred Stock for an aggregate purchase price of approximately $40.0 million. These shares of Series C preferred stock will convert into an aggregate of 21,221,280 shares of common stock upon the completion of this offering. The table below sets forth the number of shares of Series C preferred stock sold to our directors, executive officers and holders of more than 5% of our capital stock:</w:t>
      </w:r>
    </w:p>
    <w:p>
      <w:pPr>
        <w:spacing w:after="0" w:line="188"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00" w:type="dxa"/>
            <w:vAlign w:val="bottom"/>
          </w:tcPr>
          <w:p>
            <w:pPr>
              <w:spacing w:after="0"/>
              <w:rPr>
                <w:sz w:val="13"/>
                <w:szCs w:val="13"/>
                <w:color w:val="auto"/>
              </w:rPr>
            </w:pPr>
          </w:p>
        </w:tc>
        <w:tc>
          <w:tcPr>
            <w:tcW w:w="4700" w:type="dxa"/>
            <w:vAlign w:val="bottom"/>
          </w:tcPr>
          <w:p>
            <w:pPr>
              <w:spacing w:after="0"/>
              <w:rPr>
                <w:sz w:val="13"/>
                <w:szCs w:val="13"/>
                <w:color w:val="auto"/>
              </w:rPr>
            </w:pPr>
          </w:p>
        </w:tc>
        <w:tc>
          <w:tcPr>
            <w:tcW w:w="3180" w:type="dxa"/>
            <w:vAlign w:val="bottom"/>
            <w:gridSpan w:val="3"/>
            <w:vMerge w:val="restart"/>
          </w:tcPr>
          <w:p>
            <w:pPr>
              <w:jc w:val="center"/>
              <w:ind w:left="959"/>
              <w:spacing w:after="0"/>
              <w:rPr>
                <w:sz w:val="20"/>
                <w:szCs w:val="20"/>
                <w:color w:val="auto"/>
              </w:rPr>
            </w:pPr>
            <w:r>
              <w:rPr>
                <w:rFonts w:ascii="Times New Roman" w:cs="Times New Roman" w:eastAsia="Times New Roman" w:hAnsi="Times New Roman"/>
                <w:sz w:val="14"/>
                <w:szCs w:val="14"/>
                <w:b w:val="1"/>
                <w:bCs w:val="1"/>
                <w:color w:val="auto"/>
              </w:rPr>
              <w:t>Affiliated</w:t>
            </w:r>
          </w:p>
        </w:tc>
        <w:tc>
          <w:tcPr>
            <w:tcW w:w="11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Shares of</w:t>
            </w: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0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3180" w:type="dxa"/>
            <w:vAlign w:val="bottom"/>
            <w:gridSpan w:val="3"/>
            <w:vMerge w:val="continue"/>
          </w:tcPr>
          <w:p>
            <w:pPr>
              <w:spacing w:after="0"/>
              <w:rPr>
                <w:sz w:val="12"/>
                <w:szCs w:val="12"/>
                <w:color w:val="auto"/>
              </w:rPr>
            </w:pPr>
          </w:p>
        </w:tc>
        <w:tc>
          <w:tcPr>
            <w:tcW w:w="110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Series C</w:t>
            </w:r>
          </w:p>
        </w:tc>
        <w:tc>
          <w:tcPr>
            <w:tcW w:w="240" w:type="dxa"/>
            <w:vAlign w:val="bottom"/>
          </w:tcPr>
          <w:p>
            <w:pPr>
              <w:spacing w:after="0"/>
              <w:rPr>
                <w:sz w:val="12"/>
                <w:szCs w:val="12"/>
                <w:color w:val="auto"/>
              </w:rPr>
            </w:pPr>
          </w:p>
        </w:tc>
        <w:tc>
          <w:tcPr>
            <w:tcW w:w="1300" w:type="dxa"/>
            <w:vAlign w:val="bottom"/>
            <w:gridSpan w:val="3"/>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Total Purchase</w:t>
            </w:r>
          </w:p>
        </w:tc>
        <w:tc>
          <w:tcPr>
            <w:tcW w:w="0" w:type="dxa"/>
            <w:vAlign w:val="bottom"/>
          </w:tcPr>
          <w:p>
            <w:pPr>
              <w:spacing w:after="0"/>
              <w:rPr>
                <w:sz w:val="1"/>
                <w:szCs w:val="1"/>
                <w:color w:val="auto"/>
              </w:rPr>
            </w:pPr>
          </w:p>
        </w:tc>
      </w:tr>
      <w:tr>
        <w:trPr>
          <w:trHeight w:val="149"/>
        </w:trPr>
        <w:tc>
          <w:tcPr>
            <w:tcW w:w="52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Investor</w:t>
            </w:r>
          </w:p>
        </w:tc>
        <w:tc>
          <w:tcPr>
            <w:tcW w:w="3180" w:type="dxa"/>
            <w:vAlign w:val="bottom"/>
            <w:gridSpan w:val="3"/>
          </w:tcPr>
          <w:p>
            <w:pPr>
              <w:jc w:val="center"/>
              <w:ind w:left="939"/>
              <w:spacing w:after="0" w:line="149" w:lineRule="exact"/>
              <w:rPr>
                <w:sz w:val="20"/>
                <w:szCs w:val="20"/>
                <w:color w:val="auto"/>
              </w:rPr>
            </w:pPr>
            <w:r>
              <w:rPr>
                <w:rFonts w:ascii="Times New Roman" w:cs="Times New Roman" w:eastAsia="Times New Roman" w:hAnsi="Times New Roman"/>
                <w:sz w:val="14"/>
                <w:szCs w:val="14"/>
                <w:b w:val="1"/>
                <w:bCs w:val="1"/>
                <w:color w:val="auto"/>
              </w:rPr>
              <w:t>Director(s) or</w:t>
            </w:r>
          </w:p>
        </w:tc>
        <w:tc>
          <w:tcPr>
            <w:tcW w:w="1100" w:type="dxa"/>
            <w:vAlign w:val="bottom"/>
            <w:gridSpan w:val="3"/>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Preferred</w:t>
            </w:r>
          </w:p>
        </w:tc>
        <w:tc>
          <w:tcPr>
            <w:tcW w:w="240" w:type="dxa"/>
            <w:vAlign w:val="bottom"/>
          </w:tcPr>
          <w:p>
            <w:pPr>
              <w:spacing w:after="0"/>
              <w:rPr>
                <w:sz w:val="12"/>
                <w:szCs w:val="12"/>
                <w:color w:val="auto"/>
              </w:rPr>
            </w:pPr>
          </w:p>
        </w:tc>
        <w:tc>
          <w:tcPr>
            <w:tcW w:w="13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200" w:type="dxa"/>
            <w:vAlign w:val="bottom"/>
            <w:gridSpan w:val="2"/>
            <w:vMerge w:val="continue"/>
          </w:tcPr>
          <w:p>
            <w:pPr>
              <w:spacing w:after="0"/>
              <w:rPr>
                <w:sz w:val="15"/>
                <w:szCs w:val="15"/>
                <w:color w:val="auto"/>
              </w:rPr>
            </w:pPr>
          </w:p>
        </w:tc>
        <w:tc>
          <w:tcPr>
            <w:tcW w:w="3180" w:type="dxa"/>
            <w:vAlign w:val="bottom"/>
            <w:gridSpan w:val="3"/>
          </w:tcPr>
          <w:p>
            <w:pPr>
              <w:jc w:val="center"/>
              <w:ind w:left="959"/>
              <w:spacing w:after="0"/>
              <w:rPr>
                <w:sz w:val="20"/>
                <w:szCs w:val="20"/>
                <w:color w:val="auto"/>
              </w:rPr>
            </w:pPr>
            <w:r>
              <w:rPr>
                <w:rFonts w:ascii="Times New Roman" w:cs="Times New Roman" w:eastAsia="Times New Roman" w:hAnsi="Times New Roman"/>
                <w:sz w:val="14"/>
                <w:szCs w:val="14"/>
                <w:b w:val="1"/>
                <w:bCs w:val="1"/>
                <w:color w:val="auto"/>
              </w:rPr>
              <w:t>Officer(s)</w:t>
            </w:r>
          </w:p>
        </w:tc>
        <w:tc>
          <w:tcPr>
            <w:tcW w:w="11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40" w:type="dxa"/>
            <w:vAlign w:val="bottom"/>
          </w:tcPr>
          <w:p>
            <w:pPr>
              <w:spacing w:after="0"/>
              <w:rPr>
                <w:sz w:val="15"/>
                <w:szCs w:val="15"/>
                <w:color w:val="auto"/>
              </w:rPr>
            </w:pPr>
          </w:p>
        </w:tc>
        <w:tc>
          <w:tcPr>
            <w:tcW w:w="1300" w:type="dxa"/>
            <w:vAlign w:val="bottom"/>
            <w:gridSpan w:val="3"/>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Vivo Capital Fund IX, L.P.</w:t>
            </w:r>
          </w:p>
        </w:tc>
        <w:tc>
          <w:tcPr>
            <w:tcW w:w="3180" w:type="dxa"/>
            <w:vAlign w:val="bottom"/>
            <w:gridSpan w:val="3"/>
            <w:shd w:val="clear" w:color="auto" w:fill="CCEEFF"/>
          </w:tcPr>
          <w:p>
            <w:pPr>
              <w:jc w:val="center"/>
              <w:ind w:left="939"/>
              <w:spacing w:after="0"/>
              <w:rPr>
                <w:sz w:val="20"/>
                <w:szCs w:val="20"/>
                <w:color w:val="auto"/>
              </w:rPr>
            </w:pPr>
            <w:r>
              <w:rPr>
                <w:rFonts w:ascii="Times New Roman" w:cs="Times New Roman" w:eastAsia="Times New Roman" w:hAnsi="Times New Roman"/>
                <w:sz w:val="18"/>
                <w:szCs w:val="18"/>
                <w:color w:val="auto"/>
                <w:w w:val="99"/>
              </w:rPr>
              <w:t xml:space="preserve">Andrew Goldberg </w:t>
            </w:r>
            <w:r>
              <w:rPr>
                <w:rFonts w:ascii="Times New Roman" w:cs="Times New Roman" w:eastAsia="Times New Roman" w:hAnsi="Times New Roman"/>
                <w:sz w:val="15"/>
                <w:szCs w:val="15"/>
                <w:color w:val="auto"/>
                <w:w w:val="99"/>
              </w:rPr>
              <w:t>(1)</w:t>
            </w:r>
          </w:p>
        </w:tc>
        <w:tc>
          <w:tcPr>
            <w:tcW w:w="11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1,591,596</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2,999,999.31</w:t>
            </w:r>
          </w:p>
        </w:tc>
        <w:tc>
          <w:tcPr>
            <w:tcW w:w="0" w:type="dxa"/>
            <w:vAlign w:val="bottom"/>
          </w:tcPr>
          <w:p>
            <w:pPr>
              <w:spacing w:after="0"/>
              <w:rPr>
                <w:sz w:val="1"/>
                <w:szCs w:val="1"/>
                <w:color w:val="auto"/>
              </w:rPr>
            </w:pPr>
          </w:p>
        </w:tc>
      </w:tr>
      <w:tr>
        <w:trPr>
          <w:trHeight w:val="216"/>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Frazier Life Sciences IX, L.P.</w:t>
            </w:r>
          </w:p>
        </w:tc>
        <w:tc>
          <w:tcPr>
            <w:tcW w:w="3180" w:type="dxa"/>
            <w:vAlign w:val="bottom"/>
            <w:gridSpan w:val="3"/>
          </w:tcPr>
          <w:p>
            <w:pPr>
              <w:jc w:val="center"/>
              <w:ind w:left="959"/>
              <w:spacing w:after="0"/>
              <w:rPr>
                <w:sz w:val="20"/>
                <w:szCs w:val="20"/>
                <w:color w:val="auto"/>
              </w:rPr>
            </w:pPr>
            <w:r>
              <w:rPr>
                <w:rFonts w:ascii="Times New Roman" w:cs="Times New Roman" w:eastAsia="Times New Roman" w:hAnsi="Times New Roman"/>
                <w:sz w:val="18"/>
                <w:szCs w:val="18"/>
                <w:color w:val="auto"/>
              </w:rPr>
              <w:t xml:space="preserve">Bhaskar Chaudhuri </w:t>
            </w:r>
            <w:r>
              <w:rPr>
                <w:rFonts w:ascii="Times New Roman" w:cs="Times New Roman" w:eastAsia="Times New Roman" w:hAnsi="Times New Roman"/>
                <w:sz w:val="15"/>
                <w:szCs w:val="15"/>
                <w:color w:val="auto"/>
              </w:rPr>
              <w:t>(2)</w:t>
            </w:r>
          </w:p>
        </w:tc>
        <w:tc>
          <w:tcPr>
            <w:tcW w:w="11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1,591,596</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2,999,999.31</w:t>
            </w:r>
          </w:p>
        </w:tc>
        <w:tc>
          <w:tcPr>
            <w:tcW w:w="0" w:type="dxa"/>
            <w:vAlign w:val="bottom"/>
          </w:tcPr>
          <w:p>
            <w:pPr>
              <w:spacing w:after="0"/>
              <w:rPr>
                <w:sz w:val="1"/>
                <w:szCs w:val="1"/>
                <w:color w:val="auto"/>
              </w:rPr>
            </w:pPr>
          </w:p>
        </w:tc>
      </w:tr>
      <w:tr>
        <w:trPr>
          <w:trHeight w:val="216"/>
        </w:trPr>
        <w:tc>
          <w:tcPr>
            <w:tcW w:w="5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Horowitz Limited Partnership VIII</w:t>
            </w:r>
          </w:p>
        </w:tc>
        <w:tc>
          <w:tcPr>
            <w:tcW w:w="3180" w:type="dxa"/>
            <w:vAlign w:val="bottom"/>
            <w:gridSpan w:val="3"/>
            <w:shd w:val="clear" w:color="auto" w:fill="CCEEFF"/>
          </w:tcPr>
          <w:p>
            <w:pPr>
              <w:jc w:val="center"/>
              <w:ind w:left="939"/>
              <w:spacing w:after="0"/>
              <w:rPr>
                <w:sz w:val="20"/>
                <w:szCs w:val="20"/>
                <w:color w:val="auto"/>
              </w:rPr>
            </w:pPr>
            <w:r>
              <w:rPr>
                <w:rFonts w:ascii="Times New Roman" w:cs="Times New Roman" w:eastAsia="Times New Roman" w:hAnsi="Times New Roman"/>
                <w:sz w:val="18"/>
                <w:szCs w:val="18"/>
                <w:color w:val="auto"/>
                <w:w w:val="98"/>
              </w:rPr>
              <w:t>Jason Tester</w:t>
            </w:r>
          </w:p>
        </w:tc>
        <w:tc>
          <w:tcPr>
            <w:tcW w:w="11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530,532</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999,999.77</w:t>
            </w:r>
          </w:p>
        </w:tc>
        <w:tc>
          <w:tcPr>
            <w:tcW w:w="0" w:type="dxa"/>
            <w:vAlign w:val="bottom"/>
          </w:tcPr>
          <w:p>
            <w:pPr>
              <w:spacing w:after="0"/>
              <w:rPr>
                <w:sz w:val="1"/>
                <w:szCs w:val="1"/>
                <w:color w:val="auto"/>
              </w:rPr>
            </w:pPr>
          </w:p>
        </w:tc>
      </w:tr>
      <w:tr>
        <w:trPr>
          <w:trHeight w:val="216"/>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Entities affiliated with RTW Investments, LP </w:t>
            </w:r>
            <w:r>
              <w:rPr>
                <w:rFonts w:ascii="Times New Roman" w:cs="Times New Roman" w:eastAsia="Times New Roman" w:hAnsi="Times New Roman"/>
                <w:sz w:val="15"/>
                <w:szCs w:val="15"/>
                <w:color w:val="auto"/>
              </w:rPr>
              <w:t>(3)</w:t>
            </w:r>
          </w:p>
        </w:tc>
        <w:tc>
          <w:tcPr>
            <w:tcW w:w="18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7,957,981</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14,999,998.40</w:t>
            </w:r>
          </w:p>
        </w:tc>
        <w:tc>
          <w:tcPr>
            <w:tcW w:w="0" w:type="dxa"/>
            <w:vAlign w:val="bottom"/>
          </w:tcPr>
          <w:p>
            <w:pPr>
              <w:spacing w:after="0"/>
              <w:rPr>
                <w:sz w:val="1"/>
                <w:szCs w:val="1"/>
                <w:color w:val="auto"/>
              </w:rPr>
            </w:pPr>
          </w:p>
        </w:tc>
      </w:tr>
      <w:tr>
        <w:trPr>
          <w:trHeight w:val="198"/>
        </w:trPr>
        <w:tc>
          <w:tcPr>
            <w:tcW w:w="52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Entities affiliated with Cormorant Asset Management,</w:t>
            </w:r>
          </w:p>
        </w:tc>
        <w:tc>
          <w:tcPr>
            <w:tcW w:w="18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2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xml:space="preserve">LP </w:t>
            </w:r>
            <w:r>
              <w:rPr>
                <w:rFonts w:ascii="Times New Roman" w:cs="Times New Roman" w:eastAsia="Times New Roman" w:hAnsi="Times New Roman"/>
                <w:sz w:val="15"/>
                <w:szCs w:val="15"/>
                <w:color w:val="auto"/>
              </w:rPr>
              <w:t>(4)</w:t>
            </w:r>
          </w:p>
        </w:tc>
        <w:tc>
          <w:tcPr>
            <w:tcW w:w="18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1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5,305,319</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9,999,995.81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46" w:lineRule="exact"/>
        <w:rPr>
          <w:sz w:val="20"/>
          <w:szCs w:val="20"/>
          <w:color w:val="auto"/>
        </w:rPr>
      </w:pPr>
    </w:p>
    <w:p>
      <w:pPr>
        <w:ind w:left="540" w:hanging="424"/>
        <w:spacing w:after="0"/>
        <w:tabs>
          <w:tab w:leader="none" w:pos="540" w:val="left"/>
        </w:tabs>
        <w:numPr>
          <w:ilvl w:val="0"/>
          <w:numId w:val="1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Goldberg was designated by Vivo Capital Fund IX, L.P. but does not have any voting or investment control over the shares held by Vivo Capital Fund IX, L.P.</w:t>
      </w:r>
    </w:p>
    <w:p>
      <w:pPr>
        <w:spacing w:after="0" w:line="3" w:lineRule="exact"/>
        <w:rPr>
          <w:rFonts w:ascii="Times New Roman" w:cs="Times New Roman" w:eastAsia="Times New Roman" w:hAnsi="Times New Roman"/>
          <w:sz w:val="14"/>
          <w:szCs w:val="14"/>
          <w:color w:val="auto"/>
        </w:rPr>
      </w:pPr>
    </w:p>
    <w:p>
      <w:pPr>
        <w:ind w:left="540" w:hanging="424"/>
        <w:spacing w:after="0" w:line="221" w:lineRule="auto"/>
        <w:tabs>
          <w:tab w:leader="none" w:pos="540" w:val="left"/>
        </w:tabs>
        <w:numPr>
          <w:ilvl w:val="0"/>
          <w:numId w:val="1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Dr. Chaudhuri was designated by Frazier Life Sciences IX, L.P. but does not have any voting or investment control over the shares held by Frazier Life Sciences IX, L.P.</w:t>
      </w:r>
    </w:p>
    <w:p>
      <w:pPr>
        <w:ind w:left="540" w:right="80" w:hanging="424"/>
        <w:spacing w:after="0" w:line="221" w:lineRule="auto"/>
        <w:tabs>
          <w:tab w:leader="none" w:pos="540" w:val="left"/>
        </w:tabs>
        <w:numPr>
          <w:ilvl w:val="0"/>
          <w:numId w:val="1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Entities affiliated with RTW Investments, LP holding shares of our Series C preferred stock which are aggregated for purposes of reporting share ownership information include RTW Master Fund, Ltd., RTW Innovation Master Fund, Ltd. and RTW Venture Fund Limited.</w:t>
      </w:r>
    </w:p>
    <w:p>
      <w:pPr>
        <w:ind w:left="540" w:right="160" w:hanging="424"/>
        <w:spacing w:after="0" w:line="239" w:lineRule="auto"/>
        <w:tabs>
          <w:tab w:leader="none" w:pos="540" w:val="left"/>
        </w:tabs>
        <w:numPr>
          <w:ilvl w:val="0"/>
          <w:numId w:val="1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Entities affiliated with Cormorant Asset Management, LP holding shares of our Series C preferred stock which are aggregated for purposes of reporting share ownership information include Cormorant Private Healthcare Fund III, LP, Cormorant Private Healthcare Fund II, LP, Cormorant Global Healthcare Master Fund, LP and CRMA SPV, L.P.</w:t>
      </w:r>
    </w:p>
    <w:p>
      <w:pPr>
        <w:spacing w:after="0" w:line="17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Agreements with Stockholders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Investors’ Rights Agreement</w:t>
      </w:r>
    </w:p>
    <w:p>
      <w:pPr>
        <w:spacing w:after="0" w:line="229" w:lineRule="exact"/>
        <w:rPr>
          <w:sz w:val="20"/>
          <w:szCs w:val="20"/>
          <w:color w:val="auto"/>
        </w:rPr>
      </w:pPr>
    </w:p>
    <w:p>
      <w:pPr>
        <w:ind w:left="120" w:right="80" w:firstLine="881"/>
        <w:spacing w:after="0" w:line="257" w:lineRule="auto"/>
        <w:rPr>
          <w:sz w:val="20"/>
          <w:szCs w:val="20"/>
          <w:color w:val="auto"/>
        </w:rPr>
      </w:pPr>
      <w:r>
        <w:rPr>
          <w:rFonts w:ascii="Times New Roman" w:cs="Times New Roman" w:eastAsia="Times New Roman" w:hAnsi="Times New Roman"/>
          <w:sz w:val="18"/>
          <w:szCs w:val="18"/>
          <w:color w:val="auto"/>
        </w:rPr>
        <w:t>We are party to an amended and restated investors’ rights agreement with certain holders of our capital stock, including (i) entities affiliated with Mr. Tester, (ii) entities affiliated with Visionary Venture Fund, (iii) Vivo Capital Fund IX, L.P., (iv) Frazier Life Sciences IX, L.P., (v) Flying L Investments XI, LLC, (vi) entities affiliated with RTW Investments, LP, (vii) entities affiliated with Cormorant Asset Management, LP,</w:t>
      </w:r>
    </w:p>
    <w:p>
      <w:pPr>
        <w:spacing w:after="0" w:line="1" w:lineRule="exact"/>
        <w:rPr>
          <w:sz w:val="20"/>
          <w:szCs w:val="20"/>
          <w:color w:val="auto"/>
        </w:rPr>
      </w:pPr>
    </w:p>
    <w:p>
      <w:pPr>
        <w:ind w:left="120" w:right="140" w:hanging="4"/>
        <w:spacing w:after="0" w:line="253" w:lineRule="auto"/>
        <w:tabs>
          <w:tab w:leader="none" w:pos="525"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Ackermann and (ix) Dr. Azamian. Under our investors’ rights agreement, certain holders of our capital stock have the right to demand that we file a registration statement or request that their shares of our capital stock be covered by a registration statement that we are otherwise filing. See the section titled “Description of Capital Stock — Registration Rights” elsewhere in this prospectus for additional information regarding these registration rights.</w:t>
      </w:r>
    </w:p>
    <w:p>
      <w:pPr>
        <w:spacing w:after="0" w:line="1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Voting Agreement</w:t>
      </w:r>
    </w:p>
    <w:p>
      <w:pPr>
        <w:spacing w:after="0" w:line="229" w:lineRule="exact"/>
        <w:rPr>
          <w:sz w:val="20"/>
          <w:szCs w:val="20"/>
          <w:color w:val="auto"/>
        </w:rPr>
      </w:pPr>
    </w:p>
    <w:p>
      <w:pPr>
        <w:ind w:left="120" w:right="420" w:firstLine="881"/>
        <w:spacing w:after="0" w:line="257" w:lineRule="auto"/>
        <w:rPr>
          <w:sz w:val="20"/>
          <w:szCs w:val="20"/>
          <w:color w:val="auto"/>
        </w:rPr>
      </w:pPr>
      <w:r>
        <w:rPr>
          <w:rFonts w:ascii="Times New Roman" w:cs="Times New Roman" w:eastAsia="Times New Roman" w:hAnsi="Times New Roman"/>
          <w:sz w:val="18"/>
          <w:szCs w:val="18"/>
          <w:color w:val="auto"/>
        </w:rPr>
        <w:t>We are party to an amended and restated voting agreement with certain holders of our capital stock, including (i) entities affiliated with Mr. Tester, (ii) entities affiliated with Visionary Venture Fund, (iii) Vivo Capital Fund IX, L.P., (iv) Frazier Life Sciences IX, L.P., (v) Flying L Investments XI, LLC, (vi) entities affiliated with RTW Investments, LP, (vii) entities affiliated with Cormorant Asset Management, LP,</w:t>
      </w:r>
    </w:p>
    <w:p>
      <w:pPr>
        <w:spacing w:after="0" w:line="1" w:lineRule="exact"/>
        <w:rPr>
          <w:sz w:val="20"/>
          <w:szCs w:val="20"/>
          <w:color w:val="auto"/>
        </w:rPr>
      </w:pPr>
    </w:p>
    <w:p>
      <w:pPr>
        <w:ind w:left="120" w:right="300" w:hanging="4"/>
        <w:spacing w:after="0" w:line="253" w:lineRule="auto"/>
        <w:tabs>
          <w:tab w:leader="none" w:pos="525"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Ackermann, (ix) Dr. Azamian, (x) Mr. Greenstein and (xi) Dr. Neervannan. Under our voting agreement, certain holders of our capital stock have agreed as to the manner in which they will vote their shares of our capital stock on certain matters, including with respect to the election of directors. The voting agreement will terminate upon the completion of this offering, at which time there will be no further contractual obligations regarding the manner in which shares are voted with respect to the election of our directors.</w:t>
      </w:r>
    </w:p>
    <w:p>
      <w:pPr>
        <w:spacing w:after="0" w:line="121" w:lineRule="exact"/>
        <w:rPr>
          <w:rFonts w:ascii="Times New Roman" w:cs="Times New Roman" w:eastAsia="Times New Roman" w:hAnsi="Times New Roman"/>
          <w:sz w:val="18"/>
          <w:szCs w:val="18"/>
          <w:color w:val="auto"/>
        </w:rPr>
      </w:pPr>
    </w:p>
    <w:p>
      <w:pPr>
        <w:ind w:left="5480" w:hanging="96"/>
        <w:spacing w:after="0"/>
        <w:tabs>
          <w:tab w:leader="none" w:pos="5480" w:val="left"/>
        </w:tabs>
        <w:numPr>
          <w:ilvl w:val="1"/>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183 -</w:t>
      </w:r>
    </w:p>
    <w:p>
      <w:pPr>
        <w:sectPr>
          <w:pgSz w:w="11900" w:h="16838" w:orient="portrait"/>
          <w:cols w:equalWidth="0" w:num="1">
            <w:col w:w="11140"/>
          </w:cols>
          <w:pgMar w:left="320" w:top="455" w:right="439" w:bottom="1440" w:gutter="0" w:footer="0" w:header="0"/>
        </w:sectPr>
      </w:pPr>
    </w:p>
    <w:bookmarkStart w:id="186" w:name="page187"/>
    <w:bookmarkEnd w:id="18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Right of First Refusal and Co-Sale Agreement</w:t>
      </w:r>
    </w:p>
    <w:p>
      <w:pPr>
        <w:spacing w:after="0" w:line="229" w:lineRule="exact"/>
        <w:rPr>
          <w:sz w:val="20"/>
          <w:szCs w:val="20"/>
          <w:color w:val="auto"/>
        </w:rPr>
      </w:pPr>
    </w:p>
    <w:p>
      <w:pPr>
        <w:ind w:left="120" w:right="240" w:firstLine="881"/>
        <w:spacing w:after="0" w:line="272" w:lineRule="auto"/>
        <w:rPr>
          <w:sz w:val="20"/>
          <w:szCs w:val="20"/>
          <w:color w:val="auto"/>
        </w:rPr>
      </w:pPr>
      <w:r>
        <w:rPr>
          <w:rFonts w:ascii="Times New Roman" w:cs="Times New Roman" w:eastAsia="Times New Roman" w:hAnsi="Times New Roman"/>
          <w:sz w:val="17"/>
          <w:szCs w:val="17"/>
          <w:color w:val="auto"/>
        </w:rPr>
        <w:t>We are party to an amended and restated first refusal and co-sale agreement with certain holders of our capital stock, including (i) entities affiliated with Mr. Tester, (ii) entities affiliated with Visionary Venture Fund, (iii) Vivo Capital Fund IX, L.P., (iv) Frazier Life Sciences IX, L.P., (v) Flying L Investments XI, LLC, (vi) entities affiliated with RTW Investments, LP, (vii) entities affiliated with Cormorant Asset Management, LP,</w:t>
      </w:r>
    </w:p>
    <w:p>
      <w:pPr>
        <w:spacing w:after="0" w:line="2" w:lineRule="exact"/>
        <w:rPr>
          <w:sz w:val="20"/>
          <w:szCs w:val="20"/>
          <w:color w:val="auto"/>
        </w:rPr>
      </w:pPr>
    </w:p>
    <w:p>
      <w:pPr>
        <w:ind w:left="120" w:hanging="4"/>
        <w:spacing w:after="0" w:line="255" w:lineRule="auto"/>
        <w:tabs>
          <w:tab w:leader="none" w:pos="525"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Ackermann, (ix) Dr. Azamian, (x) Mr. Greenstein and (xi) Dr. Neervannan. Under our first refusal and co-sale agreement, certain holders of our capital stock have the right of first refusal and co-sale relating to the shares of our common stock held by the parties to the agreement. Upon the consummation of this offering our first refusal and co-sale agreement will terminate.</w:t>
      </w:r>
    </w:p>
    <w:p>
      <w:pPr>
        <w:spacing w:after="0" w:line="1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Agreements</w:t>
      </w:r>
    </w:p>
    <w:p>
      <w:pPr>
        <w:spacing w:after="0" w:line="229" w:lineRule="exact"/>
        <w:rPr>
          <w:sz w:val="20"/>
          <w:szCs w:val="20"/>
          <w:color w:val="auto"/>
        </w:rPr>
      </w:pPr>
    </w:p>
    <w:p>
      <w:pPr>
        <w:ind w:left="120" w:right="40" w:firstLine="881"/>
        <w:spacing w:after="0" w:line="258" w:lineRule="auto"/>
        <w:rPr>
          <w:sz w:val="20"/>
          <w:szCs w:val="20"/>
          <w:color w:val="auto"/>
        </w:rPr>
      </w:pPr>
      <w:r>
        <w:rPr>
          <w:rFonts w:ascii="Times New Roman" w:cs="Times New Roman" w:eastAsia="Times New Roman" w:hAnsi="Times New Roman"/>
          <w:sz w:val="18"/>
          <w:szCs w:val="18"/>
          <w:color w:val="auto"/>
        </w:rPr>
        <w:t>We have entered, and intend to continue to enter, into separate indemnification agreements with each of our directors and executive officers, in addition to the indemnification provided for in our restated certificate of incorporation and amended and restated bylaws. The indemnification agreements and our restated certificate of incorporation and amended and restated bylaws that will be in effect upon the completion of this offering require us to indemnify our directors, executive officers and certain controlling persons to the fullest extent permitted by Delaware law. See the section titled “Executive Compensation — Limitation of Liability and Indemnification” elsewhere in this prospectus for additional information.</w:t>
      </w:r>
    </w:p>
    <w:p>
      <w:pPr>
        <w:spacing w:after="0" w:line="1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Compensation Arrangements with Executive Officers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Leo Greenstein Offer Letter</w:t>
      </w:r>
    </w:p>
    <w:p>
      <w:pPr>
        <w:spacing w:after="0" w:line="22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On March 15, 2020 we entered into an Offer Letter with Leo Greenstein to serve as our Chief Financial Officer pursuant to which</w:t>
      </w:r>
    </w:p>
    <w:p>
      <w:pPr>
        <w:spacing w:after="0" w:line="27" w:lineRule="exact"/>
        <w:rPr>
          <w:sz w:val="20"/>
          <w:szCs w:val="20"/>
          <w:color w:val="auto"/>
        </w:rPr>
      </w:pPr>
    </w:p>
    <w:p>
      <w:pPr>
        <w:ind w:left="120"/>
        <w:spacing w:after="0" w:line="251" w:lineRule="auto"/>
        <w:rPr>
          <w:sz w:val="20"/>
          <w:szCs w:val="20"/>
          <w:color w:val="auto"/>
        </w:rPr>
      </w:pPr>
      <w:r>
        <w:rPr>
          <w:rFonts w:ascii="Times New Roman" w:cs="Times New Roman" w:eastAsia="Times New Roman" w:hAnsi="Times New Roman"/>
          <w:sz w:val="18"/>
          <w:szCs w:val="18"/>
          <w:color w:val="auto"/>
        </w:rPr>
        <w:t>Mr. Greenstein is entitled to receive an annual base salary of $360,000, an annual incentive bonus with a target equal to 35% of his annual base salary, a signing bonus of $40,000 and an option to purchase 1,041,077 shares of our common stock. Pursuant to his Offer Letter, Mr. Greenstein is eligible to receive severance benefits upon an involuntary termination of his employment. If the involuntary termination is prior to or more than 12 months after a change in control, he is eligible to receive severance consisting of six months of base salary and company-paid continued benefits coverage. If the involuntary termination is in connection with or within 12 months after a change in control, he is eligible to receive accelerated vesting of all of his then-unvested option shares and severance consisting of 18 months of base salary and company-paid continued benefits coverage, plus a bonus payment equal to (i) a prorated portion of his target bonus for the year in which his termination occurs and (ii) 150% of such target bonus. As of August 31, 2020, Mr. Greenstein has exercised 500,000 shares of common stock pursuant to his option grant.</w:t>
      </w:r>
    </w:p>
    <w:p>
      <w:pPr>
        <w:spacing w:after="0" w:line="1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Seshadri Neervannan Offer Letter</w:t>
      </w:r>
    </w:p>
    <w:p>
      <w:pPr>
        <w:spacing w:after="0" w:line="22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On June 4, 2020 we entered into an Offer Letter with Seshadri Neervannan to serve as our Chief Operating Officer pursuant to which</w:t>
      </w:r>
    </w:p>
    <w:p>
      <w:pPr>
        <w:spacing w:after="0" w:line="27" w:lineRule="exact"/>
        <w:rPr>
          <w:sz w:val="20"/>
          <w:szCs w:val="20"/>
          <w:color w:val="auto"/>
        </w:rPr>
      </w:pPr>
    </w:p>
    <w:p>
      <w:pPr>
        <w:ind w:left="120" w:right="80"/>
        <w:spacing w:after="0" w:line="251" w:lineRule="auto"/>
        <w:rPr>
          <w:sz w:val="20"/>
          <w:szCs w:val="20"/>
          <w:color w:val="auto"/>
        </w:rPr>
      </w:pPr>
      <w:r>
        <w:rPr>
          <w:rFonts w:ascii="Times New Roman" w:cs="Times New Roman" w:eastAsia="Times New Roman" w:hAnsi="Times New Roman"/>
          <w:sz w:val="18"/>
          <w:szCs w:val="18"/>
          <w:color w:val="auto"/>
        </w:rPr>
        <w:t>Mr. Neervannan is entitled to receive an annual base salary of $400,000, an annual incentive bonus with a target equal to 35% of his annual base salary, a signing bonus of $75,000 (50% of which will be paid on January 31, 2021 and 50% of which will be paid on July 31, 2021) and an option to purchase 1,735,128 shares of our common stock. Pursuant to his Offer Letter, Mr. Neervannan is eligible to receive severance benefits upon an involuntary termination of his employment. If the involuntary termination is prior to or more than 12 months after a change in control, he is eligible to receive severance consisting of nine months of base salary and company-paid continued benefits coverage. If the involuntary termination is in connection with or within 12 months after a change in control, he is eligible to receive accelerated vesting of all of his then-unvested option shares and severance consisting of 12 months of base salary and company-paid continued benefits coverage, plus a bonus payment equal to (i) a prorated portion of his target bonus for the year in which his termination occurs and (ii) 100% of such target bonus. As of August 31, 2020, Mr. Neervannan has</w:t>
      </w:r>
    </w:p>
    <w:p>
      <w:pPr>
        <w:spacing w:after="0" w:line="12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-184-</w:t>
      </w:r>
    </w:p>
    <w:p>
      <w:pPr>
        <w:sectPr>
          <w:pgSz w:w="11900" w:h="16838" w:orient="portrait"/>
          <w:cols w:equalWidth="0" w:num="1">
            <w:col w:w="11120"/>
          </w:cols>
          <w:pgMar w:left="320" w:top="455" w:right="459" w:bottom="1440" w:gutter="0" w:footer="0" w:header="0"/>
        </w:sectPr>
      </w:pPr>
    </w:p>
    <w:bookmarkStart w:id="187" w:name="page188"/>
    <w:bookmarkEnd w:id="18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exercised 370,370 shares of common stock pursuant to his option grant. On July 13, 2020, pursuant to his Offer Letter, we granted Mr. Neervannan an option to purchase 1,735,128 shares of our common stock under our 2016 Plan at an exercise price per share of $0.27, for an aggregate exercise price of $468,484.56.</w:t>
      </w:r>
    </w:p>
    <w:p>
      <w:pPr>
        <w:spacing w:after="0" w:line="1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Aziz Mottiwala Offer Letter</w:t>
      </w:r>
    </w:p>
    <w:p>
      <w:pPr>
        <w:spacing w:after="0" w:line="22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On June 22, 2020 we entered into an Offer Letter with Aziz Mottiwala to serve as our Chief Commercial Officer pursuant to which</w:t>
      </w:r>
    </w:p>
    <w:p>
      <w:pPr>
        <w:spacing w:after="0" w:line="27" w:lineRule="exact"/>
        <w:rPr>
          <w:sz w:val="20"/>
          <w:szCs w:val="20"/>
          <w:color w:val="auto"/>
        </w:rPr>
      </w:pPr>
    </w:p>
    <w:p>
      <w:pPr>
        <w:ind w:left="120"/>
        <w:spacing w:after="0" w:line="251" w:lineRule="auto"/>
        <w:rPr>
          <w:sz w:val="20"/>
          <w:szCs w:val="20"/>
          <w:color w:val="auto"/>
        </w:rPr>
      </w:pPr>
      <w:r>
        <w:rPr>
          <w:rFonts w:ascii="Times New Roman" w:cs="Times New Roman" w:eastAsia="Times New Roman" w:hAnsi="Times New Roman"/>
          <w:sz w:val="18"/>
          <w:szCs w:val="18"/>
          <w:color w:val="auto"/>
        </w:rPr>
        <w:t>Mr. Mottiwala is entitled to receive an annual base salary of $360,000, an annual incentive bonus with a target equal to 35% of his annual base salary, a signing bonus of $100,000 (50% of which was paid on August 25, 2020 and 50% of which will be paid on February 10, 2021) and an option to purchase 778,329 shares of our common stock. Pursuant to his Offer Letter, Mr. Mottiwala is eligible to receive severance benefits upon an involuntary termination of his employment. If the involuntary termination is prior to or more than 12 months after a change in control, he is eligible to receive severance consisting of nine months of base salary and company-paid continued benefits coverage. If the involuntary termination is in connection with or within 12 months after a change in control, he is eligible to receive accelerated vesting of all of his then-unvested option shares and severance consisting of 12 months of base salary and company-paid continued benefits coverage, plus a bonus payment equal to (i) a prorated portion of his target bonus for the year in which his termination occurs and (ii) 100% of such target bonus. As of August 31, 2020, Mr. Mottiwala has exercised 400,000 shares of common stock pursuant to his option grant.</w:t>
      </w:r>
    </w:p>
    <w:p>
      <w:pPr>
        <w:spacing w:after="0" w:line="1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Related Party Transaction Policy</w:t>
      </w:r>
    </w:p>
    <w:p>
      <w:pPr>
        <w:spacing w:after="0" w:line="229" w:lineRule="exact"/>
        <w:rPr>
          <w:sz w:val="20"/>
          <w:szCs w:val="20"/>
          <w:color w:val="auto"/>
        </w:rPr>
      </w:pPr>
    </w:p>
    <w:p>
      <w:pPr>
        <w:ind w:left="120" w:right="100" w:firstLine="881"/>
        <w:spacing w:after="0" w:line="255" w:lineRule="auto"/>
        <w:rPr>
          <w:sz w:val="20"/>
          <w:szCs w:val="20"/>
          <w:color w:val="auto"/>
        </w:rPr>
      </w:pPr>
      <w:r>
        <w:rPr>
          <w:rFonts w:ascii="Times New Roman" w:cs="Times New Roman" w:eastAsia="Times New Roman" w:hAnsi="Times New Roman"/>
          <w:sz w:val="18"/>
          <w:szCs w:val="18"/>
          <w:color w:val="auto"/>
        </w:rPr>
        <w:t>Prior to the completion of this offering, we intend to adopt a formal written policy providing that we are not permitted to enter into any transaction that exceeds $120,000 and in which any related person has a direct or indirect material interest without the consent of our audit committee. Our audit committee will have the primary responsibility for reviewing and approving or disapproving such “related party transactions.” The charter of our audit committee will provide that our audit committee shall review and approve in advance any related party transaction. In approving or rejecting any such transaction, our audit committee is to consider the relevant facts and circumstances available and deemed relevant to our audit committee, including whether the transaction is on terms no less favorable than terms generally available to an unaffiliated third party under the same or similar circumstances and the extent of the related person’s interest in the transaction.</w:t>
      </w:r>
    </w:p>
    <w:p>
      <w:pPr>
        <w:spacing w:after="0" w:line="189" w:lineRule="exact"/>
        <w:rPr>
          <w:sz w:val="20"/>
          <w:szCs w:val="20"/>
          <w:color w:val="auto"/>
        </w:rPr>
      </w:pPr>
    </w:p>
    <w:p>
      <w:pPr>
        <w:ind w:left="120" w:firstLine="881"/>
        <w:spacing w:after="0" w:line="256" w:lineRule="auto"/>
        <w:rPr>
          <w:sz w:val="20"/>
          <w:szCs w:val="20"/>
          <w:color w:val="auto"/>
        </w:rPr>
      </w:pPr>
      <w:r>
        <w:rPr>
          <w:rFonts w:ascii="Times New Roman" w:cs="Times New Roman" w:eastAsia="Times New Roman" w:hAnsi="Times New Roman"/>
          <w:sz w:val="18"/>
          <w:szCs w:val="18"/>
          <w:color w:val="auto"/>
        </w:rPr>
        <w:t>All of the transactions described in this section were entered into prior to the adoption of this policy. Although we have not had a written policy for the review and approval of transactions with related persons, our board of directors has historically reviewed and approved any transaction where a director or officer had a financial interest, including the transactions described above. Prior to approving such a transaction, the material facts as to relationship or interest of the relevant director, officer or holder of 5% or more of any class of our voting securities in the agreement or transaction was disclosed to our board of directors. Our board of directors took this information into account when evaluating the transaction and in determining whether such transaction was fair to us and in the best interest of all our stockholders.</w:t>
      </w:r>
    </w:p>
    <w:p>
      <w:pPr>
        <w:spacing w:after="0" w:line="1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-185-</w:t>
      </w:r>
    </w:p>
    <w:p>
      <w:pPr>
        <w:sectPr>
          <w:pgSz w:w="11900" w:h="16838" w:orient="portrait"/>
          <w:cols w:equalWidth="0" w:num="1">
            <w:col w:w="11100"/>
          </w:cols>
          <w:pgMar w:left="320" w:top="455" w:right="479" w:bottom="1440" w:gutter="0" w:footer="0" w:header="0"/>
        </w:sectPr>
      </w:pPr>
    </w:p>
    <w:bookmarkStart w:id="188" w:name="page189"/>
    <w:bookmarkEnd w:id="18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PRINCIPAL STOCKHOLDERS</w:t>
      </w:r>
    </w:p>
    <w:p>
      <w:pPr>
        <w:spacing w:after="0" w:line="229" w:lineRule="exact"/>
        <w:rPr>
          <w:sz w:val="20"/>
          <w:szCs w:val="20"/>
          <w:color w:val="auto"/>
        </w:rPr>
      </w:pPr>
    </w:p>
    <w:p>
      <w:pPr>
        <w:ind w:left="120" w:right="240" w:firstLine="881"/>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with respect to the beneficial ownership of our common stock as of September 24, 2020 and as adjusted to reflect the sale of common stock offered by us in this offering, for:</w:t>
      </w:r>
    </w:p>
    <w:p>
      <w:pPr>
        <w:spacing w:after="0" w:line="189" w:lineRule="exact"/>
        <w:rPr>
          <w:sz w:val="20"/>
          <w:szCs w:val="20"/>
          <w:color w:val="auto"/>
        </w:rPr>
      </w:pPr>
    </w:p>
    <w:p>
      <w:pPr>
        <w:ind w:left="1420" w:hanging="319"/>
        <w:spacing w:after="0"/>
        <w:tabs>
          <w:tab w:leader="none" w:pos="142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named executive officers;</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executive officers and directors as a group; and</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or group of affiliated persons, who is known by us to beneficially own more than 5% of our common stock.</w:t>
      </w:r>
    </w:p>
    <w:p>
      <w:pPr>
        <w:spacing w:after="0" w:line="225" w:lineRule="exact"/>
        <w:rPr>
          <w:sz w:val="20"/>
          <w:szCs w:val="20"/>
          <w:color w:val="auto"/>
        </w:rPr>
      </w:pPr>
    </w:p>
    <w:p>
      <w:pPr>
        <w:jc w:val="both"/>
        <w:ind w:left="120" w:right="180" w:firstLine="881"/>
        <w:spacing w:after="0" w:line="266" w:lineRule="auto"/>
        <w:rPr>
          <w:sz w:val="20"/>
          <w:szCs w:val="20"/>
          <w:color w:val="auto"/>
        </w:rPr>
      </w:pPr>
      <w:r>
        <w:rPr>
          <w:rFonts w:ascii="Times New Roman" w:cs="Times New Roman" w:eastAsia="Times New Roman" w:hAnsi="Times New Roman"/>
          <w:sz w:val="18"/>
          <w:szCs w:val="18"/>
          <w:color w:val="auto"/>
        </w:rPr>
        <w:t>We have determined beneficial ownership in accordance with the rules of the SEC. Except as indicated in the footnotes below, we believe, based on the information furnished to us, that the persons and entities named in the table below have sole voting and investment power with respect to all shares of common stock that they beneficially own, subject to applicable community property laws.</w:t>
      </w:r>
    </w:p>
    <w:p>
      <w:pPr>
        <w:spacing w:after="0" w:line="176" w:lineRule="exact"/>
        <w:rPr>
          <w:sz w:val="20"/>
          <w:szCs w:val="20"/>
          <w:color w:val="auto"/>
        </w:rPr>
      </w:pPr>
    </w:p>
    <w:p>
      <w:pPr>
        <w:ind w:left="120" w:right="20" w:firstLine="881"/>
        <w:spacing w:after="0" w:line="270" w:lineRule="auto"/>
        <w:rPr>
          <w:sz w:val="20"/>
          <w:szCs w:val="20"/>
          <w:color w:val="auto"/>
        </w:rPr>
      </w:pPr>
      <w:r>
        <w:rPr>
          <w:rFonts w:ascii="Times New Roman" w:cs="Times New Roman" w:eastAsia="Times New Roman" w:hAnsi="Times New Roman"/>
          <w:sz w:val="17"/>
          <w:szCs w:val="17"/>
          <w:color w:val="auto"/>
        </w:rPr>
        <w:t>Applicable percentage ownership is based on 103,949,490 shares of common stock outstanding as of September 24, 2020, after giving effect to the conversion of all outstanding shares of preferred stock as of that date, including 21,221,280 shares of Series C preferred stock issued in September 2020, into an aggregate of 82,498,619 shares of our common stock, but excluding 1,332,338 shares of common stock, legally issued upon the early exercise of certain stock options, which are subject to service conditions and the rights of repurchase, that were outstanding as of September 24, 2020.</w:t>
      </w:r>
    </w:p>
    <w:p>
      <w:pPr>
        <w:spacing w:after="0" w:line="3" w:lineRule="exact"/>
        <w:rPr>
          <w:sz w:val="20"/>
          <w:szCs w:val="20"/>
          <w:color w:val="auto"/>
        </w:rPr>
      </w:pPr>
    </w:p>
    <w:p>
      <w:pPr>
        <w:ind w:left="120" w:right="80"/>
        <w:spacing w:after="0" w:line="250" w:lineRule="auto"/>
        <w:rPr>
          <w:sz w:val="20"/>
          <w:szCs w:val="20"/>
          <w:color w:val="auto"/>
        </w:rPr>
      </w:pPr>
      <w:r>
        <w:rPr>
          <w:rFonts w:ascii="Times New Roman" w:cs="Times New Roman" w:eastAsia="Times New Roman" w:hAnsi="Times New Roman"/>
          <w:sz w:val="18"/>
          <w:szCs w:val="18"/>
          <w:color w:val="auto"/>
        </w:rPr>
        <w:t>For purposes of computing percentage ownership after this offering, we have assumed that (i) shares of common stock will be issued by us in this offering; (ii) the underwriters will not exercise their option to purchase up to additional shares and (iii) none of our executive officers,</w:t>
      </w:r>
    </w:p>
    <w:p>
      <w:pPr>
        <w:spacing w:after="0" w:line="1" w:lineRule="exact"/>
        <w:rPr>
          <w:sz w:val="20"/>
          <w:szCs w:val="20"/>
          <w:color w:val="auto"/>
        </w:rPr>
      </w:pPr>
    </w:p>
    <w:p>
      <w:pPr>
        <w:ind w:left="120" w:right="40"/>
        <w:spacing w:after="0" w:line="253" w:lineRule="auto"/>
        <w:rPr>
          <w:sz w:val="20"/>
          <w:szCs w:val="20"/>
          <w:color w:val="auto"/>
        </w:rPr>
      </w:pPr>
      <w:r>
        <w:rPr>
          <w:rFonts w:ascii="Times New Roman" w:cs="Times New Roman" w:eastAsia="Times New Roman" w:hAnsi="Times New Roman"/>
          <w:sz w:val="18"/>
          <w:szCs w:val="18"/>
          <w:color w:val="auto"/>
        </w:rPr>
        <w:t>directors or stockholders who beneficially own more than five percent of our common stock will participate in this offering. In computing the number of shares of common stock beneficially owned by a person or entity and the percentage ownership of that person or entity, we deemed to be outstanding all shares of common stock subject to options held by that person or entity that are currently exercisable or that will become exercisable within 60 days of September 24, 2020. We did not deem these shares outstanding, however, such shares were included for the purpose of computing the percentage ownership of any other person or entity.</w:t>
      </w:r>
    </w:p>
    <w:p>
      <w:pPr>
        <w:spacing w:after="0" w:line="187" w:lineRule="exact"/>
        <w:rPr>
          <w:sz w:val="20"/>
          <w:szCs w:val="20"/>
          <w:color w:val="auto"/>
        </w:rPr>
      </w:pPr>
    </w:p>
    <w:p>
      <w:pPr>
        <w:ind w:left="120" w:right="80" w:firstLine="881"/>
        <w:spacing w:after="0" w:line="282" w:lineRule="auto"/>
        <w:rPr>
          <w:sz w:val="20"/>
          <w:szCs w:val="20"/>
          <w:color w:val="auto"/>
        </w:rPr>
      </w:pPr>
      <w:r>
        <w:rPr>
          <w:rFonts w:ascii="Times New Roman" w:cs="Times New Roman" w:eastAsia="Times New Roman" w:hAnsi="Times New Roman"/>
          <w:sz w:val="18"/>
          <w:szCs w:val="18"/>
          <w:color w:val="auto"/>
        </w:rPr>
        <w:t>Unless otherwise indicated, the address of each beneficial owner listed in the table below is c/o Tarsus Pharmaceuticals, Inc., 15440 Laguna Canyon Road, Suite 160, Irvine, California 92618.</w:t>
      </w:r>
    </w:p>
    <w:p>
      <w:pPr>
        <w:spacing w:after="0" w:line="17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620" w:type="dxa"/>
            <w:vAlign w:val="bottom"/>
          </w:tcPr>
          <w:p>
            <w:pPr>
              <w:spacing w:after="0"/>
              <w:rPr>
                <w:sz w:val="13"/>
                <w:szCs w:val="13"/>
                <w:color w:val="auto"/>
              </w:rPr>
            </w:pPr>
          </w:p>
        </w:tc>
        <w:tc>
          <w:tcPr>
            <w:tcW w:w="3260" w:type="dxa"/>
            <w:vAlign w:val="bottom"/>
          </w:tcPr>
          <w:p>
            <w:pPr>
              <w:spacing w:after="0"/>
              <w:rPr>
                <w:sz w:val="13"/>
                <w:szCs w:val="13"/>
                <w:color w:val="auto"/>
              </w:rPr>
            </w:pPr>
          </w:p>
        </w:tc>
        <w:tc>
          <w:tcPr>
            <w:tcW w:w="4480" w:type="dxa"/>
            <w:vAlign w:val="bottom"/>
            <w:gridSpan w:val="6"/>
            <w:vMerge w:val="restart"/>
          </w:tcPr>
          <w:p>
            <w:pPr>
              <w:ind w:left="1960"/>
              <w:spacing w:after="0"/>
              <w:rPr>
                <w:sz w:val="20"/>
                <w:szCs w:val="20"/>
                <w:color w:val="auto"/>
              </w:rPr>
            </w:pPr>
            <w:r>
              <w:rPr>
                <w:rFonts w:ascii="Times New Roman" w:cs="Times New Roman" w:eastAsia="Times New Roman" w:hAnsi="Times New Roman"/>
                <w:sz w:val="14"/>
                <w:szCs w:val="14"/>
                <w:b w:val="1"/>
                <w:bCs w:val="1"/>
                <w:color w:val="auto"/>
              </w:rPr>
              <w:t>Shares Beneficially Owned</w:t>
            </w:r>
          </w:p>
        </w:tc>
        <w:tc>
          <w:tcPr>
            <w:tcW w:w="1660" w:type="dxa"/>
            <w:vAlign w:val="bottom"/>
            <w:gridSpan w:val="4"/>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Shares Beneficially</w:t>
            </w:r>
          </w:p>
        </w:tc>
        <w:tc>
          <w:tcPr>
            <w:tcW w:w="0" w:type="dxa"/>
            <w:vAlign w:val="bottom"/>
          </w:tcPr>
          <w:p>
            <w:pPr>
              <w:spacing w:after="0"/>
              <w:rPr>
                <w:sz w:val="1"/>
                <w:szCs w:val="1"/>
                <w:color w:val="auto"/>
              </w:rPr>
            </w:pPr>
          </w:p>
        </w:tc>
      </w:tr>
      <w:tr>
        <w:trPr>
          <w:trHeight w:val="146"/>
        </w:trPr>
        <w:tc>
          <w:tcPr>
            <w:tcW w:w="162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4480" w:type="dxa"/>
            <w:vAlign w:val="bottom"/>
            <w:gridSpan w:val="6"/>
            <w:vMerge w:val="continue"/>
          </w:tcPr>
          <w:p>
            <w:pPr>
              <w:spacing w:after="0"/>
              <w:rPr>
                <w:sz w:val="12"/>
                <w:szCs w:val="12"/>
                <w:color w:val="auto"/>
              </w:rPr>
            </w:pPr>
          </w:p>
        </w:tc>
        <w:tc>
          <w:tcPr>
            <w:tcW w:w="1660" w:type="dxa"/>
            <w:vAlign w:val="bottom"/>
            <w:gridSpan w:val="4"/>
          </w:tcPr>
          <w:p>
            <w:pPr>
              <w:jc w:val="center"/>
              <w:ind w:right="40"/>
              <w:spacing w:after="0" w:line="146" w:lineRule="exact"/>
              <w:rPr>
                <w:sz w:val="20"/>
                <w:szCs w:val="20"/>
                <w:color w:val="auto"/>
              </w:rPr>
            </w:pPr>
            <w:r>
              <w:rPr>
                <w:rFonts w:ascii="Times New Roman" w:cs="Times New Roman" w:eastAsia="Times New Roman" w:hAnsi="Times New Roman"/>
                <w:sz w:val="14"/>
                <w:szCs w:val="14"/>
                <w:b w:val="1"/>
                <w:bCs w:val="1"/>
                <w:color w:val="auto"/>
                <w:w w:val="99"/>
              </w:rPr>
              <w:t>Owned After</w:t>
            </w:r>
          </w:p>
        </w:tc>
        <w:tc>
          <w:tcPr>
            <w:tcW w:w="0" w:type="dxa"/>
            <w:vAlign w:val="bottom"/>
          </w:tcPr>
          <w:p>
            <w:pPr>
              <w:spacing w:after="0"/>
              <w:rPr>
                <w:sz w:val="1"/>
                <w:szCs w:val="1"/>
                <w:color w:val="auto"/>
              </w:rPr>
            </w:pPr>
          </w:p>
        </w:tc>
      </w:tr>
      <w:tr>
        <w:trPr>
          <w:trHeight w:val="182"/>
        </w:trPr>
        <w:tc>
          <w:tcPr>
            <w:tcW w:w="16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Beneficial Owner</w:t>
            </w:r>
          </w:p>
        </w:tc>
        <w:tc>
          <w:tcPr>
            <w:tcW w:w="3260" w:type="dxa"/>
            <w:vAlign w:val="bottom"/>
            <w:vMerge w:val="restart"/>
          </w:tcPr>
          <w:p>
            <w:pPr>
              <w:spacing w:after="0"/>
              <w:rPr>
                <w:sz w:val="15"/>
                <w:szCs w:val="15"/>
                <w:color w:val="auto"/>
              </w:rPr>
            </w:pPr>
          </w:p>
        </w:tc>
        <w:tc>
          <w:tcPr>
            <w:tcW w:w="1980" w:type="dxa"/>
            <w:vAlign w:val="bottom"/>
          </w:tcPr>
          <w:p>
            <w:pPr>
              <w:spacing w:after="0"/>
              <w:rPr>
                <w:sz w:val="15"/>
                <w:szCs w:val="15"/>
                <w:color w:val="auto"/>
              </w:rPr>
            </w:pPr>
          </w:p>
        </w:tc>
        <w:tc>
          <w:tcPr>
            <w:tcW w:w="1640" w:type="dxa"/>
            <w:vAlign w:val="bottom"/>
            <w:tcBorders>
              <w:bottom w:val="single" w:sz="8" w:color="auto"/>
            </w:tcBorders>
            <w:gridSpan w:val="3"/>
          </w:tcPr>
          <w:p>
            <w:pPr>
              <w:ind w:left="160"/>
              <w:spacing w:after="0"/>
              <w:rPr>
                <w:sz w:val="20"/>
                <w:szCs w:val="20"/>
                <w:color w:val="auto"/>
              </w:rPr>
            </w:pPr>
            <w:r>
              <w:rPr>
                <w:rFonts w:ascii="Times New Roman" w:cs="Times New Roman" w:eastAsia="Times New Roman" w:hAnsi="Times New Roman"/>
                <w:sz w:val="14"/>
                <w:szCs w:val="14"/>
                <w:b w:val="1"/>
                <w:bCs w:val="1"/>
                <w:color w:val="auto"/>
              </w:rPr>
              <w:t>Prior to this Offering</w:t>
            </w:r>
          </w:p>
        </w:tc>
        <w:tc>
          <w:tcPr>
            <w:tcW w:w="860" w:type="dxa"/>
            <w:vAlign w:val="bottom"/>
            <w:gridSpan w:val="2"/>
          </w:tcPr>
          <w:p>
            <w:pPr>
              <w:spacing w:after="0"/>
              <w:rPr>
                <w:sz w:val="15"/>
                <w:szCs w:val="15"/>
                <w:color w:val="auto"/>
              </w:rPr>
            </w:pPr>
          </w:p>
        </w:tc>
        <w:tc>
          <w:tcPr>
            <w:tcW w:w="1660" w:type="dxa"/>
            <w:vAlign w:val="bottom"/>
            <w:gridSpan w:val="4"/>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this Offering</w:t>
            </w:r>
          </w:p>
        </w:tc>
        <w:tc>
          <w:tcPr>
            <w:tcW w:w="0" w:type="dxa"/>
            <w:vAlign w:val="bottom"/>
          </w:tcPr>
          <w:p>
            <w:pPr>
              <w:spacing w:after="0"/>
              <w:rPr>
                <w:sz w:val="1"/>
                <w:szCs w:val="1"/>
                <w:color w:val="auto"/>
              </w:rPr>
            </w:pPr>
          </w:p>
        </w:tc>
      </w:tr>
      <w:tr>
        <w:trPr>
          <w:trHeight w:val="135"/>
        </w:trPr>
        <w:tc>
          <w:tcPr>
            <w:tcW w:w="1620" w:type="dxa"/>
            <w:vAlign w:val="bottom"/>
            <w:tcBorders>
              <w:bottom w:val="single" w:sz="8" w:color="auto"/>
            </w:tcBorders>
            <w:vMerge w:val="continue"/>
          </w:tcPr>
          <w:p>
            <w:pPr>
              <w:spacing w:after="0"/>
              <w:rPr>
                <w:sz w:val="11"/>
                <w:szCs w:val="11"/>
                <w:color w:val="auto"/>
              </w:rPr>
            </w:pPr>
          </w:p>
        </w:tc>
        <w:tc>
          <w:tcPr>
            <w:tcW w:w="3260" w:type="dxa"/>
            <w:vAlign w:val="bottom"/>
            <w:vMerge w:val="continue"/>
          </w:tcPr>
          <w:p>
            <w:pPr>
              <w:spacing w:after="0"/>
              <w:rPr>
                <w:sz w:val="11"/>
                <w:szCs w:val="11"/>
                <w:color w:val="auto"/>
              </w:rPr>
            </w:pPr>
          </w:p>
        </w:tc>
        <w:tc>
          <w:tcPr>
            <w:tcW w:w="1980" w:type="dxa"/>
            <w:vAlign w:val="bottom"/>
          </w:tcPr>
          <w:p>
            <w:pPr>
              <w:spacing w:after="0"/>
              <w:rPr>
                <w:sz w:val="11"/>
                <w:szCs w:val="11"/>
                <w:color w:val="auto"/>
              </w:rPr>
            </w:pPr>
          </w:p>
        </w:tc>
        <w:tc>
          <w:tcPr>
            <w:tcW w:w="420" w:type="dxa"/>
            <w:vAlign w:val="bottom"/>
            <w:tcBorders>
              <w:bottom w:val="single" w:sz="8" w:color="auto"/>
            </w:tcBorders>
          </w:tcPr>
          <w:p>
            <w:pPr>
              <w:spacing w:after="0" w:line="136"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740" w:type="dxa"/>
            <w:vAlign w:val="bottom"/>
          </w:tcPr>
          <w:p>
            <w:pPr>
              <w:spacing w:after="0"/>
              <w:rPr>
                <w:sz w:val="11"/>
                <w:szCs w:val="11"/>
                <w:color w:val="auto"/>
              </w:rPr>
            </w:pPr>
          </w:p>
        </w:tc>
        <w:tc>
          <w:tcPr>
            <w:tcW w:w="680" w:type="dxa"/>
            <w:vAlign w:val="bottom"/>
            <w:tcBorders>
              <w:bottom w:val="single" w:sz="8" w:color="auto"/>
            </w:tcBorders>
            <w:gridSpan w:val="2"/>
          </w:tcPr>
          <w:p>
            <w:pPr>
              <w:jc w:val="right"/>
              <w:spacing w:after="0" w:line="136" w:lineRule="exact"/>
              <w:rPr>
                <w:sz w:val="20"/>
                <w:szCs w:val="20"/>
                <w:color w:val="auto"/>
              </w:rPr>
            </w:pPr>
            <w:r>
              <w:rPr>
                <w:rFonts w:ascii="Times New Roman" w:cs="Times New Roman" w:eastAsia="Times New Roman" w:hAnsi="Times New Roman"/>
                <w:sz w:val="14"/>
                <w:szCs w:val="14"/>
                <w:b w:val="1"/>
                <w:bCs w:val="1"/>
                <w:color w:val="auto"/>
                <w:w w:val="99"/>
              </w:rPr>
              <w:t>Percentage</w:t>
            </w:r>
          </w:p>
        </w:tc>
        <w:tc>
          <w:tcPr>
            <w:tcW w:w="660" w:type="dxa"/>
            <w:vAlign w:val="bottom"/>
          </w:tcPr>
          <w:p>
            <w:pPr>
              <w:spacing w:after="0"/>
              <w:rPr>
                <w:sz w:val="11"/>
                <w:szCs w:val="11"/>
                <w:color w:val="auto"/>
              </w:rPr>
            </w:pPr>
          </w:p>
        </w:tc>
        <w:tc>
          <w:tcPr>
            <w:tcW w:w="420" w:type="dxa"/>
            <w:vAlign w:val="bottom"/>
            <w:tcBorders>
              <w:top w:val="single" w:sz="8" w:color="auto"/>
              <w:bottom w:val="single" w:sz="8" w:color="auto"/>
            </w:tcBorders>
          </w:tcPr>
          <w:p>
            <w:pPr>
              <w:spacing w:after="0" w:line="136"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500" w:type="dxa"/>
            <w:vAlign w:val="bottom"/>
            <w:tcBorders>
              <w:top w:val="single" w:sz="8" w:color="auto"/>
            </w:tcBorders>
          </w:tcPr>
          <w:p>
            <w:pPr>
              <w:spacing w:after="0"/>
              <w:rPr>
                <w:sz w:val="11"/>
                <w:szCs w:val="11"/>
                <w:color w:val="auto"/>
              </w:rPr>
            </w:pPr>
          </w:p>
        </w:tc>
        <w:tc>
          <w:tcPr>
            <w:tcW w:w="700" w:type="dxa"/>
            <w:vAlign w:val="bottom"/>
            <w:tcBorders>
              <w:top w:val="single" w:sz="8" w:color="auto"/>
              <w:bottom w:val="single" w:sz="8" w:color="auto"/>
            </w:tcBorders>
          </w:tcPr>
          <w:p>
            <w:pPr>
              <w:spacing w:after="0" w:line="136" w:lineRule="exact"/>
              <w:rPr>
                <w:sz w:val="20"/>
                <w:szCs w:val="20"/>
                <w:color w:val="auto"/>
              </w:rPr>
            </w:pPr>
            <w:r>
              <w:rPr>
                <w:rFonts w:ascii="Times New Roman" w:cs="Times New Roman" w:eastAsia="Times New Roman" w:hAnsi="Times New Roman"/>
                <w:sz w:val="14"/>
                <w:szCs w:val="14"/>
                <w:b w:val="1"/>
                <w:bCs w:val="1"/>
                <w:color w:val="auto"/>
              </w:rPr>
              <w:t>Percentage</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4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Named Executive Officers and Directors:</w:t>
            </w:r>
          </w:p>
        </w:tc>
        <w:tc>
          <w:tcPr>
            <w:tcW w:w="19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Bobak Azamian </w:t>
            </w:r>
            <w:r>
              <w:rPr>
                <w:rFonts w:ascii="Times New Roman" w:cs="Times New Roman" w:eastAsia="Times New Roman" w:hAnsi="Times New Roman"/>
                <w:sz w:val="15"/>
                <w:szCs w:val="15"/>
                <w:color w:val="auto"/>
              </w:rPr>
              <w:t>(1)</w:t>
            </w:r>
          </w:p>
        </w:tc>
        <w:tc>
          <w:tcPr>
            <w:tcW w:w="314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color w:val="auto"/>
              </w:rPr>
              <w:t>10,576,037</w:t>
            </w:r>
          </w:p>
        </w:tc>
        <w:tc>
          <w:tcPr>
            <w:tcW w:w="134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auto"/>
              </w:rPr>
              <w:t>10.04%</w:t>
            </w:r>
          </w:p>
        </w:tc>
        <w:tc>
          <w:tcPr>
            <w:tcW w:w="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Michael Ackermann </w:t>
            </w:r>
            <w:r>
              <w:rPr>
                <w:rFonts w:ascii="Times New Roman" w:cs="Times New Roman" w:eastAsia="Times New Roman" w:hAnsi="Times New Roman"/>
                <w:sz w:val="15"/>
                <w:szCs w:val="15"/>
                <w:color w:val="auto"/>
              </w:rPr>
              <w:t>(2)</w:t>
            </w:r>
          </w:p>
        </w:tc>
        <w:tc>
          <w:tcPr>
            <w:tcW w:w="3140" w:type="dxa"/>
            <w:vAlign w:val="bottom"/>
            <w:gridSpan w:val="3"/>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10,863,094</w:t>
            </w:r>
          </w:p>
        </w:tc>
        <w:tc>
          <w:tcPr>
            <w:tcW w:w="134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10.28%</w:t>
            </w:r>
          </w:p>
        </w:tc>
        <w:tc>
          <w:tcPr>
            <w:tcW w:w="4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Jason Tester </w:t>
            </w:r>
            <w:r>
              <w:rPr>
                <w:rFonts w:ascii="Times New Roman" w:cs="Times New Roman" w:eastAsia="Times New Roman" w:hAnsi="Times New Roman"/>
                <w:sz w:val="15"/>
                <w:szCs w:val="15"/>
                <w:color w:val="auto"/>
              </w:rPr>
              <w:t>(3)</w:t>
            </w:r>
          </w:p>
        </w:tc>
        <w:tc>
          <w:tcPr>
            <w:tcW w:w="314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color w:val="auto"/>
              </w:rPr>
              <w:t>13,202,263</w:t>
            </w:r>
          </w:p>
        </w:tc>
        <w:tc>
          <w:tcPr>
            <w:tcW w:w="134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auto"/>
              </w:rPr>
              <w:t>12.70%</w:t>
            </w:r>
          </w:p>
        </w:tc>
        <w:tc>
          <w:tcPr>
            <w:tcW w:w="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Andrew Goldberg</w:t>
            </w:r>
          </w:p>
        </w:tc>
        <w:tc>
          <w:tcPr>
            <w:tcW w:w="19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William J. Link </w:t>
            </w:r>
            <w:r>
              <w:rPr>
                <w:rFonts w:ascii="Times New Roman" w:cs="Times New Roman" w:eastAsia="Times New Roman" w:hAnsi="Times New Roman"/>
                <w:sz w:val="15"/>
                <w:szCs w:val="15"/>
                <w:color w:val="auto"/>
              </w:rPr>
              <w:t>(4)</w:t>
            </w:r>
          </w:p>
        </w:tc>
        <w:tc>
          <w:tcPr>
            <w:tcW w:w="314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color w:val="auto"/>
              </w:rPr>
              <w:t>9,261,731</w:t>
            </w:r>
          </w:p>
        </w:tc>
        <w:tc>
          <w:tcPr>
            <w:tcW w:w="134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auto"/>
              </w:rPr>
              <w:t>8.91%</w:t>
            </w:r>
          </w:p>
        </w:tc>
        <w:tc>
          <w:tcPr>
            <w:tcW w:w="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Bhaskar Chaudhuri</w:t>
            </w:r>
          </w:p>
        </w:tc>
        <w:tc>
          <w:tcPr>
            <w:tcW w:w="19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Leo M. Greenstein </w:t>
            </w:r>
            <w:r>
              <w:rPr>
                <w:rFonts w:ascii="Times New Roman" w:cs="Times New Roman" w:eastAsia="Times New Roman" w:hAnsi="Times New Roman"/>
                <w:sz w:val="15"/>
                <w:szCs w:val="15"/>
                <w:color w:val="auto"/>
              </w:rPr>
              <w:t>(5)</w:t>
            </w:r>
          </w:p>
        </w:tc>
        <w:tc>
          <w:tcPr>
            <w:tcW w:w="314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color w:val="auto"/>
              </w:rPr>
              <w:t>870,370</w:t>
            </w:r>
          </w:p>
        </w:tc>
        <w:tc>
          <w:tcPr>
            <w:tcW w:w="1340" w:type="dxa"/>
            <w:vAlign w:val="bottom"/>
            <w:gridSpan w:val="3"/>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Seshadri Neervannan </w:t>
            </w:r>
            <w:r>
              <w:rPr>
                <w:rFonts w:ascii="Times New Roman" w:cs="Times New Roman" w:eastAsia="Times New Roman" w:hAnsi="Times New Roman"/>
                <w:sz w:val="15"/>
                <w:szCs w:val="15"/>
                <w:color w:val="auto"/>
              </w:rPr>
              <w:t>(6)</w:t>
            </w:r>
          </w:p>
        </w:tc>
        <w:tc>
          <w:tcPr>
            <w:tcW w:w="3140" w:type="dxa"/>
            <w:vAlign w:val="bottom"/>
            <w:gridSpan w:val="3"/>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740,740</w:t>
            </w:r>
          </w:p>
        </w:tc>
        <w:tc>
          <w:tcPr>
            <w:tcW w:w="1340" w:type="dxa"/>
            <w:vAlign w:val="bottom"/>
            <w:gridSpan w:val="3"/>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Aziz Mottiwala </w:t>
            </w:r>
            <w:r>
              <w:rPr>
                <w:rFonts w:ascii="Times New Roman" w:cs="Times New Roman" w:eastAsia="Times New Roman" w:hAnsi="Times New Roman"/>
                <w:sz w:val="15"/>
                <w:szCs w:val="15"/>
                <w:color w:val="auto"/>
              </w:rPr>
              <w:t>(7)</w:t>
            </w:r>
          </w:p>
        </w:tc>
        <w:tc>
          <w:tcPr>
            <w:tcW w:w="314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color w:val="auto"/>
              </w:rPr>
              <w:t>414,062</w:t>
            </w:r>
          </w:p>
        </w:tc>
        <w:tc>
          <w:tcPr>
            <w:tcW w:w="1340" w:type="dxa"/>
            <w:vAlign w:val="bottom"/>
            <w:gridSpan w:val="3"/>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Mark Holdbrook </w:t>
            </w:r>
            <w:r>
              <w:rPr>
                <w:rFonts w:ascii="Times New Roman" w:cs="Times New Roman" w:eastAsia="Times New Roman" w:hAnsi="Times New Roman"/>
                <w:sz w:val="15"/>
                <w:szCs w:val="15"/>
                <w:color w:val="auto"/>
              </w:rPr>
              <w:t>(8)</w:t>
            </w:r>
          </w:p>
        </w:tc>
        <w:tc>
          <w:tcPr>
            <w:tcW w:w="3140" w:type="dxa"/>
            <w:vAlign w:val="bottom"/>
            <w:gridSpan w:val="3"/>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638,896</w:t>
            </w:r>
          </w:p>
        </w:tc>
        <w:tc>
          <w:tcPr>
            <w:tcW w:w="1340" w:type="dxa"/>
            <w:vAlign w:val="bottom"/>
            <w:gridSpan w:val="3"/>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All executive officers and directors as a group (10 persons) </w:t>
            </w:r>
            <w:r>
              <w:rPr>
                <w:rFonts w:ascii="Times New Roman" w:cs="Times New Roman" w:eastAsia="Times New Roman" w:hAnsi="Times New Roman"/>
                <w:sz w:val="15"/>
                <w:szCs w:val="15"/>
                <w:color w:val="auto"/>
              </w:rPr>
              <w:t>(9)</w:t>
            </w:r>
          </w:p>
        </w:tc>
        <w:tc>
          <w:tcPr>
            <w:tcW w:w="314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color w:val="auto"/>
              </w:rPr>
              <w:t>46,567,193</w:t>
            </w:r>
          </w:p>
        </w:tc>
        <w:tc>
          <w:tcPr>
            <w:tcW w:w="134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auto"/>
              </w:rPr>
              <w:t>42.93%</w:t>
            </w:r>
          </w:p>
        </w:tc>
        <w:tc>
          <w:tcPr>
            <w:tcW w:w="4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6"/>
        </w:trPr>
        <w:tc>
          <w:tcPr>
            <w:tcW w:w="162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1980" w:type="dxa"/>
            <w:vAlign w:val="bottom"/>
          </w:tcPr>
          <w:p>
            <w:pPr>
              <w:jc w:val="right"/>
              <w:ind w:right="1032"/>
              <w:spacing w:after="0"/>
              <w:rPr>
                <w:sz w:val="20"/>
                <w:szCs w:val="20"/>
                <w:color w:val="auto"/>
              </w:rPr>
            </w:pPr>
            <w:r>
              <w:rPr>
                <w:rFonts w:ascii="Times New Roman" w:cs="Times New Roman" w:eastAsia="Times New Roman" w:hAnsi="Times New Roman"/>
                <w:sz w:val="18"/>
                <w:szCs w:val="18"/>
                <w:color w:val="auto"/>
              </w:rPr>
              <w:t>-186-</w:t>
            </w: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189" w:name="page190"/>
    <w:bookmarkEnd w:id="18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620" w:type="dxa"/>
            <w:vAlign w:val="bottom"/>
          </w:tcPr>
          <w:p>
            <w:pPr>
              <w:spacing w:after="0"/>
              <w:rPr>
                <w:sz w:val="13"/>
                <w:szCs w:val="13"/>
                <w:color w:val="auto"/>
              </w:rPr>
            </w:pPr>
          </w:p>
        </w:tc>
        <w:tc>
          <w:tcPr>
            <w:tcW w:w="3960" w:type="dxa"/>
            <w:vAlign w:val="bottom"/>
          </w:tcPr>
          <w:p>
            <w:pPr>
              <w:spacing w:after="0"/>
              <w:rPr>
                <w:sz w:val="13"/>
                <w:szCs w:val="13"/>
                <w:color w:val="auto"/>
              </w:rPr>
            </w:pPr>
          </w:p>
        </w:tc>
        <w:tc>
          <w:tcPr>
            <w:tcW w:w="3780" w:type="dxa"/>
            <w:vAlign w:val="bottom"/>
            <w:gridSpan w:val="6"/>
            <w:vMerge w:val="restart"/>
          </w:tcPr>
          <w:p>
            <w:pPr>
              <w:ind w:left="1260"/>
              <w:spacing w:after="0"/>
              <w:rPr>
                <w:sz w:val="20"/>
                <w:szCs w:val="20"/>
                <w:color w:val="auto"/>
              </w:rPr>
            </w:pPr>
            <w:r>
              <w:rPr>
                <w:rFonts w:ascii="Times New Roman" w:cs="Times New Roman" w:eastAsia="Times New Roman" w:hAnsi="Times New Roman"/>
                <w:sz w:val="14"/>
                <w:szCs w:val="14"/>
                <w:b w:val="1"/>
                <w:bCs w:val="1"/>
                <w:color w:val="auto"/>
              </w:rPr>
              <w:t>Shares Beneficially Owned</w:t>
            </w:r>
          </w:p>
        </w:tc>
        <w:tc>
          <w:tcPr>
            <w:tcW w:w="1660" w:type="dxa"/>
            <w:vAlign w:val="bottom"/>
            <w:gridSpan w:val="4"/>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Shares Beneficially</w:t>
            </w:r>
          </w:p>
        </w:tc>
        <w:tc>
          <w:tcPr>
            <w:tcW w:w="0" w:type="dxa"/>
            <w:vAlign w:val="bottom"/>
          </w:tcPr>
          <w:p>
            <w:pPr>
              <w:spacing w:after="0"/>
              <w:rPr>
                <w:sz w:val="1"/>
                <w:szCs w:val="1"/>
                <w:color w:val="auto"/>
              </w:rPr>
            </w:pPr>
          </w:p>
        </w:tc>
      </w:tr>
      <w:tr>
        <w:trPr>
          <w:trHeight w:val="146"/>
        </w:trPr>
        <w:tc>
          <w:tcPr>
            <w:tcW w:w="162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3780" w:type="dxa"/>
            <w:vAlign w:val="bottom"/>
            <w:gridSpan w:val="6"/>
            <w:vMerge w:val="continue"/>
          </w:tcPr>
          <w:p>
            <w:pPr>
              <w:spacing w:after="0"/>
              <w:rPr>
                <w:sz w:val="12"/>
                <w:szCs w:val="12"/>
                <w:color w:val="auto"/>
              </w:rPr>
            </w:pPr>
          </w:p>
        </w:tc>
        <w:tc>
          <w:tcPr>
            <w:tcW w:w="1660" w:type="dxa"/>
            <w:vAlign w:val="bottom"/>
            <w:gridSpan w:val="4"/>
          </w:tcPr>
          <w:p>
            <w:pPr>
              <w:jc w:val="center"/>
              <w:ind w:right="40"/>
              <w:spacing w:after="0" w:line="146" w:lineRule="exact"/>
              <w:rPr>
                <w:sz w:val="20"/>
                <w:szCs w:val="20"/>
                <w:color w:val="auto"/>
              </w:rPr>
            </w:pPr>
            <w:r>
              <w:rPr>
                <w:rFonts w:ascii="Times New Roman" w:cs="Times New Roman" w:eastAsia="Times New Roman" w:hAnsi="Times New Roman"/>
                <w:sz w:val="14"/>
                <w:szCs w:val="14"/>
                <w:b w:val="1"/>
                <w:bCs w:val="1"/>
                <w:color w:val="auto"/>
                <w:w w:val="99"/>
              </w:rPr>
              <w:t>Owned After</w:t>
            </w:r>
          </w:p>
        </w:tc>
        <w:tc>
          <w:tcPr>
            <w:tcW w:w="0" w:type="dxa"/>
            <w:vAlign w:val="bottom"/>
          </w:tcPr>
          <w:p>
            <w:pPr>
              <w:spacing w:after="0"/>
              <w:rPr>
                <w:sz w:val="1"/>
                <w:szCs w:val="1"/>
                <w:color w:val="auto"/>
              </w:rPr>
            </w:pPr>
          </w:p>
        </w:tc>
      </w:tr>
      <w:tr>
        <w:trPr>
          <w:trHeight w:val="182"/>
        </w:trPr>
        <w:tc>
          <w:tcPr>
            <w:tcW w:w="16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Beneficial Owner</w:t>
            </w:r>
          </w:p>
        </w:tc>
        <w:tc>
          <w:tcPr>
            <w:tcW w:w="3960" w:type="dxa"/>
            <w:vAlign w:val="bottom"/>
            <w:vMerge w:val="restart"/>
          </w:tcPr>
          <w:p>
            <w:pPr>
              <w:spacing w:after="0"/>
              <w:rPr>
                <w:sz w:val="15"/>
                <w:szCs w:val="15"/>
                <w:color w:val="auto"/>
              </w:rPr>
            </w:pPr>
          </w:p>
        </w:tc>
        <w:tc>
          <w:tcPr>
            <w:tcW w:w="1280" w:type="dxa"/>
            <w:vAlign w:val="bottom"/>
          </w:tcPr>
          <w:p>
            <w:pPr>
              <w:spacing w:after="0"/>
              <w:rPr>
                <w:sz w:val="15"/>
                <w:szCs w:val="15"/>
                <w:color w:val="auto"/>
              </w:rPr>
            </w:pPr>
          </w:p>
        </w:tc>
        <w:tc>
          <w:tcPr>
            <w:tcW w:w="1640" w:type="dxa"/>
            <w:vAlign w:val="bottom"/>
            <w:tcBorders>
              <w:bottom w:val="single" w:sz="8" w:color="auto"/>
            </w:tcBorders>
            <w:gridSpan w:val="3"/>
          </w:tcPr>
          <w:p>
            <w:pPr>
              <w:ind w:left="160"/>
              <w:spacing w:after="0"/>
              <w:rPr>
                <w:sz w:val="20"/>
                <w:szCs w:val="20"/>
                <w:color w:val="auto"/>
              </w:rPr>
            </w:pPr>
            <w:r>
              <w:rPr>
                <w:rFonts w:ascii="Times New Roman" w:cs="Times New Roman" w:eastAsia="Times New Roman" w:hAnsi="Times New Roman"/>
                <w:sz w:val="14"/>
                <w:szCs w:val="14"/>
                <w:b w:val="1"/>
                <w:bCs w:val="1"/>
                <w:color w:val="auto"/>
              </w:rPr>
              <w:t>Prior to this Offering</w:t>
            </w:r>
          </w:p>
        </w:tc>
        <w:tc>
          <w:tcPr>
            <w:tcW w:w="860" w:type="dxa"/>
            <w:vAlign w:val="bottom"/>
            <w:gridSpan w:val="2"/>
          </w:tcPr>
          <w:p>
            <w:pPr>
              <w:spacing w:after="0"/>
              <w:rPr>
                <w:sz w:val="15"/>
                <w:szCs w:val="15"/>
                <w:color w:val="auto"/>
              </w:rPr>
            </w:pPr>
          </w:p>
        </w:tc>
        <w:tc>
          <w:tcPr>
            <w:tcW w:w="1660" w:type="dxa"/>
            <w:vAlign w:val="bottom"/>
            <w:gridSpan w:val="4"/>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this Offering</w:t>
            </w:r>
          </w:p>
        </w:tc>
        <w:tc>
          <w:tcPr>
            <w:tcW w:w="0" w:type="dxa"/>
            <w:vAlign w:val="bottom"/>
          </w:tcPr>
          <w:p>
            <w:pPr>
              <w:spacing w:after="0"/>
              <w:rPr>
                <w:sz w:val="1"/>
                <w:szCs w:val="1"/>
                <w:color w:val="auto"/>
              </w:rPr>
            </w:pPr>
          </w:p>
        </w:tc>
      </w:tr>
      <w:tr>
        <w:trPr>
          <w:trHeight w:val="136"/>
        </w:trPr>
        <w:tc>
          <w:tcPr>
            <w:tcW w:w="1620" w:type="dxa"/>
            <w:vAlign w:val="bottom"/>
            <w:tcBorders>
              <w:bottom w:val="single" w:sz="8" w:color="auto"/>
            </w:tcBorders>
            <w:vMerge w:val="continue"/>
          </w:tcPr>
          <w:p>
            <w:pPr>
              <w:spacing w:after="0"/>
              <w:rPr>
                <w:sz w:val="11"/>
                <w:szCs w:val="11"/>
                <w:color w:val="auto"/>
              </w:rPr>
            </w:pPr>
          </w:p>
        </w:tc>
        <w:tc>
          <w:tcPr>
            <w:tcW w:w="3960" w:type="dxa"/>
            <w:vAlign w:val="bottom"/>
            <w:vMerge w:val="continue"/>
          </w:tcPr>
          <w:p>
            <w:pPr>
              <w:spacing w:after="0"/>
              <w:rPr>
                <w:sz w:val="11"/>
                <w:szCs w:val="11"/>
                <w:color w:val="auto"/>
              </w:rPr>
            </w:pPr>
          </w:p>
        </w:tc>
        <w:tc>
          <w:tcPr>
            <w:tcW w:w="1280" w:type="dxa"/>
            <w:vAlign w:val="bottom"/>
          </w:tcPr>
          <w:p>
            <w:pPr>
              <w:spacing w:after="0"/>
              <w:rPr>
                <w:sz w:val="11"/>
                <w:szCs w:val="11"/>
                <w:color w:val="auto"/>
              </w:rPr>
            </w:pPr>
          </w:p>
        </w:tc>
        <w:tc>
          <w:tcPr>
            <w:tcW w:w="420" w:type="dxa"/>
            <w:vAlign w:val="bottom"/>
            <w:tcBorders>
              <w:bottom w:val="single" w:sz="8" w:color="auto"/>
            </w:tcBorders>
          </w:tcPr>
          <w:p>
            <w:pPr>
              <w:spacing w:after="0" w:line="136"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740" w:type="dxa"/>
            <w:vAlign w:val="bottom"/>
          </w:tcPr>
          <w:p>
            <w:pPr>
              <w:spacing w:after="0"/>
              <w:rPr>
                <w:sz w:val="11"/>
                <w:szCs w:val="11"/>
                <w:color w:val="auto"/>
              </w:rPr>
            </w:pPr>
          </w:p>
        </w:tc>
        <w:tc>
          <w:tcPr>
            <w:tcW w:w="680" w:type="dxa"/>
            <w:vAlign w:val="bottom"/>
            <w:tcBorders>
              <w:bottom w:val="single" w:sz="8" w:color="auto"/>
            </w:tcBorders>
            <w:gridSpan w:val="2"/>
          </w:tcPr>
          <w:p>
            <w:pPr>
              <w:spacing w:after="0" w:line="136" w:lineRule="exact"/>
              <w:rPr>
                <w:sz w:val="20"/>
                <w:szCs w:val="20"/>
                <w:color w:val="auto"/>
              </w:rPr>
            </w:pPr>
            <w:r>
              <w:rPr>
                <w:rFonts w:ascii="Times New Roman" w:cs="Times New Roman" w:eastAsia="Times New Roman" w:hAnsi="Times New Roman"/>
                <w:sz w:val="14"/>
                <w:szCs w:val="14"/>
                <w:b w:val="1"/>
                <w:bCs w:val="1"/>
                <w:color w:val="auto"/>
                <w:w w:val="99"/>
              </w:rPr>
              <w:t>Percentage</w:t>
            </w:r>
          </w:p>
        </w:tc>
        <w:tc>
          <w:tcPr>
            <w:tcW w:w="660" w:type="dxa"/>
            <w:vAlign w:val="bottom"/>
          </w:tcPr>
          <w:p>
            <w:pPr>
              <w:spacing w:after="0"/>
              <w:rPr>
                <w:sz w:val="11"/>
                <w:szCs w:val="11"/>
                <w:color w:val="auto"/>
              </w:rPr>
            </w:pPr>
          </w:p>
        </w:tc>
        <w:tc>
          <w:tcPr>
            <w:tcW w:w="420" w:type="dxa"/>
            <w:vAlign w:val="bottom"/>
            <w:tcBorders>
              <w:top w:val="single" w:sz="8" w:color="auto"/>
              <w:bottom w:val="single" w:sz="8" w:color="auto"/>
            </w:tcBorders>
          </w:tcPr>
          <w:p>
            <w:pPr>
              <w:spacing w:after="0" w:line="136"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500" w:type="dxa"/>
            <w:vAlign w:val="bottom"/>
            <w:tcBorders>
              <w:top w:val="single" w:sz="8" w:color="auto"/>
            </w:tcBorders>
          </w:tcPr>
          <w:p>
            <w:pPr>
              <w:spacing w:after="0"/>
              <w:rPr>
                <w:sz w:val="11"/>
                <w:szCs w:val="11"/>
                <w:color w:val="auto"/>
              </w:rPr>
            </w:pPr>
          </w:p>
        </w:tc>
        <w:tc>
          <w:tcPr>
            <w:tcW w:w="700" w:type="dxa"/>
            <w:vAlign w:val="bottom"/>
            <w:tcBorders>
              <w:top w:val="single" w:sz="8" w:color="auto"/>
              <w:bottom w:val="single" w:sz="8" w:color="auto"/>
            </w:tcBorders>
          </w:tcPr>
          <w:p>
            <w:pPr>
              <w:spacing w:after="0" w:line="136" w:lineRule="exact"/>
              <w:rPr>
                <w:sz w:val="20"/>
                <w:szCs w:val="20"/>
                <w:color w:val="auto"/>
              </w:rPr>
            </w:pPr>
            <w:r>
              <w:rPr>
                <w:rFonts w:ascii="Times New Roman" w:cs="Times New Roman" w:eastAsia="Times New Roman" w:hAnsi="Times New Roman"/>
                <w:sz w:val="14"/>
                <w:szCs w:val="14"/>
                <w:b w:val="1"/>
                <w:bCs w:val="1"/>
                <w:color w:val="auto"/>
              </w:rPr>
              <w:t>Percentage</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9"/>
        </w:trPr>
        <w:tc>
          <w:tcPr>
            <w:tcW w:w="5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5% Stockholders:</w:t>
            </w:r>
          </w:p>
        </w:tc>
        <w:tc>
          <w:tcPr>
            <w:tcW w:w="1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Entities affiliated with Horowitz Limited Partnership VIII </w:t>
            </w:r>
            <w:r>
              <w:rPr>
                <w:rFonts w:ascii="Times New Roman" w:cs="Times New Roman" w:eastAsia="Times New Roman" w:hAnsi="Times New Roman"/>
                <w:sz w:val="15"/>
                <w:szCs w:val="15"/>
                <w:color w:val="auto"/>
              </w:rPr>
              <w:t>(10)</w:t>
            </w:r>
          </w:p>
        </w:tc>
        <w:tc>
          <w:tcPr>
            <w:tcW w:w="244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color w:val="auto"/>
              </w:rPr>
              <w:t>13,389,991</w:t>
            </w:r>
          </w:p>
        </w:tc>
        <w:tc>
          <w:tcPr>
            <w:tcW w:w="134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auto"/>
              </w:rPr>
              <w:t>12.88%</w:t>
            </w:r>
          </w:p>
        </w:tc>
        <w:tc>
          <w:tcPr>
            <w:tcW w:w="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Vivo Capital Fund IX, L.P. </w:t>
            </w:r>
            <w:r>
              <w:rPr>
                <w:rFonts w:ascii="Times New Roman" w:cs="Times New Roman" w:eastAsia="Times New Roman" w:hAnsi="Times New Roman"/>
                <w:sz w:val="15"/>
                <w:szCs w:val="15"/>
                <w:color w:val="auto"/>
              </w:rPr>
              <w:t>(11)</w:t>
            </w:r>
          </w:p>
        </w:tc>
        <w:tc>
          <w:tcPr>
            <w:tcW w:w="2440" w:type="dxa"/>
            <w:vAlign w:val="bottom"/>
            <w:gridSpan w:val="3"/>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22,245,925</w:t>
            </w:r>
          </w:p>
        </w:tc>
        <w:tc>
          <w:tcPr>
            <w:tcW w:w="134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21.40%</w:t>
            </w:r>
          </w:p>
        </w:tc>
        <w:tc>
          <w:tcPr>
            <w:tcW w:w="4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Flying L Investments XI, LLC </w:t>
            </w:r>
            <w:r>
              <w:rPr>
                <w:rFonts w:ascii="Times New Roman" w:cs="Times New Roman" w:eastAsia="Times New Roman" w:hAnsi="Times New Roman"/>
                <w:sz w:val="15"/>
                <w:szCs w:val="15"/>
                <w:color w:val="auto"/>
              </w:rPr>
              <w:t>(12)</w:t>
            </w:r>
          </w:p>
        </w:tc>
        <w:tc>
          <w:tcPr>
            <w:tcW w:w="244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color w:val="auto"/>
              </w:rPr>
              <w:t>8,261,731</w:t>
            </w:r>
          </w:p>
        </w:tc>
        <w:tc>
          <w:tcPr>
            <w:tcW w:w="134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auto"/>
              </w:rPr>
              <w:t>7.95%</w:t>
            </w:r>
          </w:p>
        </w:tc>
        <w:tc>
          <w:tcPr>
            <w:tcW w:w="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Frazier Life Sciences IX, L.P. </w:t>
            </w:r>
            <w:r>
              <w:rPr>
                <w:rFonts w:ascii="Times New Roman" w:cs="Times New Roman" w:eastAsia="Times New Roman" w:hAnsi="Times New Roman"/>
                <w:sz w:val="15"/>
                <w:szCs w:val="15"/>
                <w:color w:val="auto"/>
              </w:rPr>
              <w:t>(13)</w:t>
            </w:r>
          </w:p>
        </w:tc>
        <w:tc>
          <w:tcPr>
            <w:tcW w:w="2440" w:type="dxa"/>
            <w:vAlign w:val="bottom"/>
            <w:gridSpan w:val="3"/>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11,918,760</w:t>
            </w:r>
          </w:p>
        </w:tc>
        <w:tc>
          <w:tcPr>
            <w:tcW w:w="134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11.47%</w:t>
            </w:r>
          </w:p>
        </w:tc>
        <w:tc>
          <w:tcPr>
            <w:tcW w:w="4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Visionary Venture Fund </w:t>
            </w:r>
            <w:r>
              <w:rPr>
                <w:rFonts w:ascii="Times New Roman" w:cs="Times New Roman" w:eastAsia="Times New Roman" w:hAnsi="Times New Roman"/>
                <w:sz w:val="15"/>
                <w:szCs w:val="15"/>
                <w:color w:val="auto"/>
              </w:rPr>
              <w:t>(14)</w:t>
            </w:r>
          </w:p>
        </w:tc>
        <w:tc>
          <w:tcPr>
            <w:tcW w:w="244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color w:val="auto"/>
              </w:rPr>
              <w:t>6,196,298</w:t>
            </w:r>
          </w:p>
        </w:tc>
        <w:tc>
          <w:tcPr>
            <w:tcW w:w="134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auto"/>
              </w:rPr>
              <w:t>5.96%</w:t>
            </w:r>
          </w:p>
        </w:tc>
        <w:tc>
          <w:tcPr>
            <w:tcW w:w="4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Entities affiliated with RTW Investments, LP </w:t>
            </w:r>
            <w:r>
              <w:rPr>
                <w:rFonts w:ascii="Times New Roman" w:cs="Times New Roman" w:eastAsia="Times New Roman" w:hAnsi="Times New Roman"/>
                <w:sz w:val="15"/>
                <w:szCs w:val="15"/>
                <w:color w:val="auto"/>
              </w:rPr>
              <w:t>(15)</w:t>
            </w:r>
          </w:p>
        </w:tc>
        <w:tc>
          <w:tcPr>
            <w:tcW w:w="2440" w:type="dxa"/>
            <w:vAlign w:val="bottom"/>
            <w:gridSpan w:val="3"/>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7,957,981</w:t>
            </w:r>
          </w:p>
        </w:tc>
        <w:tc>
          <w:tcPr>
            <w:tcW w:w="134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7.66%</w:t>
            </w:r>
          </w:p>
        </w:tc>
        <w:tc>
          <w:tcPr>
            <w:tcW w:w="4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Entities affiliated with Cormorant Asset Management, LP </w:t>
            </w:r>
            <w:r>
              <w:rPr>
                <w:rFonts w:ascii="Times New Roman" w:cs="Times New Roman" w:eastAsia="Times New Roman" w:hAnsi="Times New Roman"/>
                <w:sz w:val="15"/>
                <w:szCs w:val="15"/>
                <w:color w:val="auto"/>
              </w:rPr>
              <w:t>(16)</w:t>
            </w:r>
          </w:p>
        </w:tc>
        <w:tc>
          <w:tcPr>
            <w:tcW w:w="244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color w:val="auto"/>
              </w:rPr>
              <w:t>5,305,319</w:t>
            </w:r>
          </w:p>
        </w:tc>
        <w:tc>
          <w:tcPr>
            <w:tcW w:w="134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auto"/>
              </w:rPr>
              <w:t>5.10%</w:t>
            </w:r>
          </w:p>
        </w:tc>
        <w:tc>
          <w:tcPr>
            <w:tcW w:w="4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74295</wp:posOffset>
            </wp:positionV>
            <wp:extent cx="771525"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32" w:lineRule="exact"/>
        <w:rPr>
          <w:sz w:val="20"/>
          <w:szCs w:val="20"/>
          <w:color w:val="auto"/>
        </w:rPr>
      </w:pPr>
    </w:p>
    <w:p>
      <w:pPr>
        <w:ind w:left="540" w:hanging="424"/>
        <w:spacing w:after="0"/>
        <w:tabs>
          <w:tab w:leader="none" w:pos="54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beneficial ownership of less than one percent.</w:t>
      </w:r>
    </w:p>
    <w:p>
      <w:pPr>
        <w:spacing w:after="0" w:line="248" w:lineRule="exact"/>
        <w:rPr>
          <w:sz w:val="20"/>
          <w:szCs w:val="20"/>
          <w:color w:val="auto"/>
        </w:rPr>
      </w:pPr>
    </w:p>
    <w:p>
      <w:pPr>
        <w:ind w:left="540" w:right="260" w:hanging="424"/>
        <w:spacing w:after="0" w:line="241" w:lineRule="auto"/>
        <w:tabs>
          <w:tab w:leader="none" w:pos="540" w:val="left"/>
        </w:tabs>
        <w:numPr>
          <w:ilvl w:val="0"/>
          <w:numId w:val="1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13,001 shares of common stock held directly by Dr. Azamian (ii) 1,299,499 shares of common stock issuable pursuant to options held directly by Dr. Azamian exercisable within 60 days of September 24, 2020, and (iii) 9,160,256 shares of common stock held by Bobak Azamian, as Trustee of the Bobak Azamian Living Trust, established April 16, 2018. Dr. Azamian is a trustee the Bobak Azamian Living Trust, established April 16, 2018 and has voting and investment control with respect to these shares.</w:t>
      </w:r>
    </w:p>
    <w:p>
      <w:pPr>
        <w:spacing w:after="0" w:line="203" w:lineRule="exact"/>
        <w:rPr>
          <w:rFonts w:ascii="Times New Roman" w:cs="Times New Roman" w:eastAsia="Times New Roman" w:hAnsi="Times New Roman"/>
          <w:sz w:val="14"/>
          <w:szCs w:val="14"/>
          <w:color w:val="auto"/>
        </w:rPr>
      </w:pPr>
    </w:p>
    <w:p>
      <w:pPr>
        <w:ind w:left="540" w:right="800" w:hanging="424"/>
        <w:spacing w:after="0" w:line="261" w:lineRule="auto"/>
        <w:tabs>
          <w:tab w:leader="none" w:pos="540" w:val="left"/>
        </w:tabs>
        <w:numPr>
          <w:ilvl w:val="0"/>
          <w:numId w:val="1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9,127,966 shares of common stock held directly by Dr. Ackermann and (ii) 1,735,128 shares of common stock issuable pursuant to options held directly by Dr. Ackermann exercisable within 60 days of September 24, 2020.</w:t>
      </w:r>
    </w:p>
    <w:p>
      <w:pPr>
        <w:spacing w:after="0" w:line="189" w:lineRule="exact"/>
        <w:rPr>
          <w:rFonts w:ascii="Times New Roman" w:cs="Times New Roman" w:eastAsia="Times New Roman" w:hAnsi="Times New Roman"/>
          <w:sz w:val="14"/>
          <w:szCs w:val="14"/>
          <w:color w:val="auto"/>
        </w:rPr>
      </w:pPr>
    </w:p>
    <w:p>
      <w:pPr>
        <w:ind w:left="540" w:right="60" w:hanging="424"/>
        <w:spacing w:after="0" w:line="236" w:lineRule="auto"/>
        <w:tabs>
          <w:tab w:leader="none" w:pos="540" w:val="left"/>
        </w:tabs>
        <w:numPr>
          <w:ilvl w:val="0"/>
          <w:numId w:val="1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13,014,534 shares of common stock held by Horowitz Limited Partnership VIII and (ii) 187,729 shares of common stock held by the Tester Living Trust. Mr. Tester is a trustee of the Tester Living Trust, and has voting and investment control with respect to these shares. Mr. Tester is the Chief Financial Officer of Horowitz Management, Inc., the managing partner of Horowitz Limited Partnership VIII, and in his capacity as such, Mr. Tester may be deemed to have shared voting and or investment power over the shares held by Horowitz Limited Partnership VIII. Mr. Tester disclaims beneficial ownership of the shares held by Horowitz Limited Partnership VIII.</w:t>
      </w:r>
    </w:p>
    <w:p>
      <w:pPr>
        <w:spacing w:after="0" w:line="203" w:lineRule="exact"/>
        <w:rPr>
          <w:rFonts w:ascii="Times New Roman" w:cs="Times New Roman" w:eastAsia="Times New Roman" w:hAnsi="Times New Roman"/>
          <w:sz w:val="14"/>
          <w:szCs w:val="14"/>
          <w:color w:val="auto"/>
        </w:rPr>
      </w:pPr>
    </w:p>
    <w:p>
      <w:pPr>
        <w:ind w:left="540" w:right="180" w:hanging="424"/>
        <w:spacing w:after="0" w:line="241" w:lineRule="auto"/>
        <w:tabs>
          <w:tab w:leader="none" w:pos="540" w:val="left"/>
        </w:tabs>
        <w:numPr>
          <w:ilvl w:val="0"/>
          <w:numId w:val="1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1,000,000 shares of common stock held directly by Dr. Link and (ii) 8,261,731 shares of common stock owned by Flying L Investments XI, LLC. Dr. Link is the Manager of Flying L Investments XI, LLC, and in his capacity as such, Dr. Link may be deemed to have sole voting and investment power over shares held by Flying L Investments XI, LLC. Dr. Link disclaims beneficial ownership of the shares held by Flying L Investments XI, LLC except to the extent of his pecuniary interest in such shares.</w:t>
      </w:r>
    </w:p>
    <w:p>
      <w:pPr>
        <w:spacing w:after="0" w:line="203" w:lineRule="exact"/>
        <w:rPr>
          <w:rFonts w:ascii="Times New Roman" w:cs="Times New Roman" w:eastAsia="Times New Roman" w:hAnsi="Times New Roman"/>
          <w:sz w:val="14"/>
          <w:szCs w:val="14"/>
          <w:color w:val="auto"/>
        </w:rPr>
      </w:pPr>
    </w:p>
    <w:p>
      <w:pPr>
        <w:ind w:left="540" w:right="140" w:hanging="424"/>
        <w:spacing w:after="0" w:line="261" w:lineRule="auto"/>
        <w:tabs>
          <w:tab w:leader="none" w:pos="540" w:val="left"/>
        </w:tabs>
        <w:numPr>
          <w:ilvl w:val="0"/>
          <w:numId w:val="1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500,000 shares of common stock held directly by Mr. Greenstein and (ii) 370,370 shares of common stock issuable pursuant to options held directly by Mr. Greenstein exercisable within 60 days of September 24, 2020.</w:t>
      </w:r>
    </w:p>
    <w:p>
      <w:pPr>
        <w:spacing w:after="0" w:line="189" w:lineRule="exact"/>
        <w:rPr>
          <w:rFonts w:ascii="Times New Roman" w:cs="Times New Roman" w:eastAsia="Times New Roman" w:hAnsi="Times New Roman"/>
          <w:sz w:val="14"/>
          <w:szCs w:val="14"/>
          <w:color w:val="auto"/>
        </w:rPr>
      </w:pPr>
    </w:p>
    <w:p>
      <w:pPr>
        <w:ind w:left="540" w:right="960" w:hanging="424"/>
        <w:spacing w:after="0" w:line="261" w:lineRule="auto"/>
        <w:tabs>
          <w:tab w:leader="none" w:pos="540" w:val="left"/>
        </w:tabs>
        <w:numPr>
          <w:ilvl w:val="0"/>
          <w:numId w:val="1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370,370 shares of common stock held directly by Mr. Neervannan and (ii) 370,370 shares of common stock issuable pursuant to options held directly by Mr. Neervannan exercisable within 60 days of September 24, 2020.</w:t>
      </w:r>
    </w:p>
    <w:p>
      <w:pPr>
        <w:spacing w:after="0" w:line="189" w:lineRule="exact"/>
        <w:rPr>
          <w:rFonts w:ascii="Times New Roman" w:cs="Times New Roman" w:eastAsia="Times New Roman" w:hAnsi="Times New Roman"/>
          <w:sz w:val="14"/>
          <w:szCs w:val="14"/>
          <w:color w:val="auto"/>
        </w:rPr>
      </w:pPr>
    </w:p>
    <w:p>
      <w:pPr>
        <w:ind w:left="540" w:right="280" w:hanging="424"/>
        <w:spacing w:after="0" w:line="261" w:lineRule="auto"/>
        <w:tabs>
          <w:tab w:leader="none" w:pos="540" w:val="left"/>
        </w:tabs>
        <w:numPr>
          <w:ilvl w:val="0"/>
          <w:numId w:val="1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400,000 shares of common stock held directly by Mr. Mottiwala and (ii) 14,062 shares of common stock issuable pursuant to options held directly by Mr. Mottiwala exercisable within 60 days of September 24, 2020.</w:t>
      </w:r>
    </w:p>
    <w:p>
      <w:pPr>
        <w:spacing w:after="0" w:line="189" w:lineRule="exact"/>
        <w:rPr>
          <w:rFonts w:ascii="Times New Roman" w:cs="Times New Roman" w:eastAsia="Times New Roman" w:hAnsi="Times New Roman"/>
          <w:sz w:val="14"/>
          <w:szCs w:val="14"/>
          <w:color w:val="auto"/>
        </w:rPr>
      </w:pPr>
    </w:p>
    <w:p>
      <w:pPr>
        <w:ind w:left="540" w:hanging="424"/>
        <w:spacing w:after="0"/>
        <w:tabs>
          <w:tab w:leader="none" w:pos="540" w:val="left"/>
        </w:tabs>
        <w:numPr>
          <w:ilvl w:val="0"/>
          <w:numId w:val="1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637,406 shares of common stock issuable pursuant to options held directly by Mr. Holdbrook exercisable within 60 days of September 24, 2020.</w:t>
      </w:r>
    </w:p>
    <w:p>
      <w:pPr>
        <w:spacing w:after="0" w:line="230" w:lineRule="exact"/>
        <w:rPr>
          <w:rFonts w:ascii="Times New Roman" w:cs="Times New Roman" w:eastAsia="Times New Roman" w:hAnsi="Times New Roman"/>
          <w:sz w:val="14"/>
          <w:szCs w:val="14"/>
          <w:color w:val="auto"/>
        </w:rPr>
      </w:pPr>
    </w:p>
    <w:p>
      <w:pPr>
        <w:ind w:left="540" w:hanging="424"/>
        <w:spacing w:after="0"/>
        <w:tabs>
          <w:tab w:leader="none" w:pos="540" w:val="left"/>
        </w:tabs>
        <w:numPr>
          <w:ilvl w:val="0"/>
          <w:numId w:val="1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footnotes (1) through (8) above.</w:t>
      </w:r>
    </w:p>
    <w:p>
      <w:pPr>
        <w:spacing w:after="0" w:line="230" w:lineRule="exact"/>
        <w:rPr>
          <w:rFonts w:ascii="Times New Roman" w:cs="Times New Roman" w:eastAsia="Times New Roman" w:hAnsi="Times New Roman"/>
          <w:sz w:val="14"/>
          <w:szCs w:val="14"/>
          <w:color w:val="auto"/>
        </w:rPr>
      </w:pPr>
    </w:p>
    <w:p>
      <w:pPr>
        <w:ind w:left="540" w:right="160" w:hanging="424"/>
        <w:spacing w:after="0" w:line="236" w:lineRule="auto"/>
        <w:tabs>
          <w:tab w:leader="none" w:pos="540" w:val="left"/>
        </w:tabs>
        <w:numPr>
          <w:ilvl w:val="0"/>
          <w:numId w:val="1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13,014,534 shares of common stock held by Horowitz Limited Partnership VIII and (ii) 375,457 shares of common stock held by Adam S. Horowitz Revocable Trust. Mr. Tester is the Chief Financial Officer of Horowitz Management, Inc., the managing partner of Horowitz Limited Partnership VIII, and in his capacity as such, Mr. Tester may be deemed to have shared voting and or investment power over the shares held by Horowitz Limited Partnership VIII. Mr. Tester disclaims beneficial ownership of the shares held by Horowitz Limited Partnership VIII. The principal business address of Horowitz Limited Partnership VIII is 27241 La Paz Road, Suite B, Laguna Niguel, CA 92677.</w:t>
      </w:r>
    </w:p>
    <w:p>
      <w:pPr>
        <w:spacing w:after="0" w:line="203" w:lineRule="exact"/>
        <w:rPr>
          <w:rFonts w:ascii="Times New Roman" w:cs="Times New Roman" w:eastAsia="Times New Roman" w:hAnsi="Times New Roman"/>
          <w:sz w:val="14"/>
          <w:szCs w:val="14"/>
          <w:color w:val="auto"/>
        </w:rPr>
      </w:pPr>
    </w:p>
    <w:p>
      <w:pPr>
        <w:ind w:left="540" w:right="40" w:hanging="424"/>
        <w:spacing w:after="0" w:line="236" w:lineRule="auto"/>
        <w:tabs>
          <w:tab w:leader="none" w:pos="540" w:val="left"/>
        </w:tabs>
        <w:numPr>
          <w:ilvl w:val="0"/>
          <w:numId w:val="1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22,245,925 shares of common stock held of record by Vivo Capital Fund IX, L.P. Vivo Capital IX, LLC is the general partner of Vivo Capital Fund IX, L.P. The voting members of Vivo Capital IX, LLC are Frank Kung, Albert Cha, Edgar Engleman, Shan Fu and Chen Yu. None of such voting members have individual voting or investment power with respect to these shares and each of whom disclaims beneficial ownership of such shares. The principal business address of Vivo Capital IX, LLC is 192 Lytton Avenue, Palo Alto, CA 94301.</w:t>
      </w:r>
    </w:p>
    <w:p>
      <w:pPr>
        <w:spacing w:after="0" w:line="113" w:lineRule="exact"/>
        <w:rPr>
          <w:rFonts w:ascii="Times New Roman" w:cs="Times New Roman" w:eastAsia="Times New Roman" w:hAnsi="Times New Roman"/>
          <w:sz w:val="14"/>
          <w:szCs w:val="14"/>
          <w:color w:val="auto"/>
        </w:rPr>
      </w:pPr>
    </w:p>
    <w:p>
      <w:pPr>
        <w:ind w:left="5480" w:hanging="96"/>
        <w:spacing w:after="0"/>
        <w:tabs>
          <w:tab w:leader="none" w:pos="5480" w:val="left"/>
        </w:tabs>
        <w:numPr>
          <w:ilvl w:val="1"/>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187 -</w:t>
      </w:r>
    </w:p>
    <w:p>
      <w:pPr>
        <w:sectPr>
          <w:pgSz w:w="11900" w:h="16838" w:orient="portrait"/>
          <w:cols w:equalWidth="0" w:num="1">
            <w:col w:w="11140"/>
          </w:cols>
          <w:pgMar w:left="320" w:top="455" w:right="439" w:bottom="1440" w:gutter="0" w:footer="0" w:header="0"/>
        </w:sectPr>
      </w:pPr>
    </w:p>
    <w:bookmarkStart w:id="190" w:name="page191"/>
    <w:bookmarkEnd w:id="19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540" w:hanging="424"/>
        <w:spacing w:after="0"/>
        <w:tabs>
          <w:tab w:leader="none" w:pos="540" w:val="left"/>
        </w:tabs>
        <w:numPr>
          <w:ilvl w:val="0"/>
          <w:numId w:val="1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8,261,731 shares of common stock owned by Flying L Investments XI, LLC. Dr. Link is the Manager of Flying L Investments XI, LLC, and in his capacity as such,</w:t>
      </w:r>
    </w:p>
    <w:p>
      <w:pPr>
        <w:spacing w:after="0" w:line="3" w:lineRule="exact"/>
        <w:rPr>
          <w:rFonts w:ascii="Times New Roman" w:cs="Times New Roman" w:eastAsia="Times New Roman" w:hAnsi="Times New Roman"/>
          <w:sz w:val="14"/>
          <w:szCs w:val="14"/>
          <w:color w:val="auto"/>
        </w:rPr>
      </w:pPr>
    </w:p>
    <w:p>
      <w:pPr>
        <w:ind w:left="540" w:right="100"/>
        <w:spacing w:after="0" w:line="233"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Dr. Link may be deemed to have sole voting and investment power over shares held by Flying L Investments XI, LLC. Dr. Link disclaims beneficial ownership of the shares held by Flying L Investments XI, LLC except to the extent of his pecuniary interest in such shares. The principal business address of Flying L Investments XI, LLC is 11 Linda Isle, Newport Beach, CA 92660.</w:t>
      </w:r>
    </w:p>
    <w:p>
      <w:pPr>
        <w:spacing w:after="0" w:line="203" w:lineRule="exact"/>
        <w:rPr>
          <w:rFonts w:ascii="Times New Roman" w:cs="Times New Roman" w:eastAsia="Times New Roman" w:hAnsi="Times New Roman"/>
          <w:sz w:val="14"/>
          <w:szCs w:val="14"/>
          <w:color w:val="auto"/>
        </w:rPr>
      </w:pPr>
    </w:p>
    <w:p>
      <w:pPr>
        <w:ind w:left="540" w:right="80" w:hanging="424"/>
        <w:spacing w:after="0" w:line="236" w:lineRule="auto"/>
        <w:tabs>
          <w:tab w:leader="none" w:pos="540" w:val="left"/>
        </w:tabs>
        <w:numPr>
          <w:ilvl w:val="0"/>
          <w:numId w:val="1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11,918,760 shares of common stock owned by Frazier Life Sciences IX, L.P., or FLS LP. The general partner of FLS LP is FHMLS IX, L.P., and the general partner of FHMLS IX, L.P. is FHMLS IX, LLC. James Topper and Patrick J. Heron are the sole managing members of FHMLS IX, LLC, and share voting and investment power with respect to such shares held by FLS LP. Dr. Topper and Mr. Heron disclaim beneficial ownership of such shares except to the extent of their pecuniary interest in such shares. The principal business address of Frazier Life Sciences IX, L.P. is Two Union Square, 601 Union St., Suite 3200, Seattle, WA 98101.</w:t>
      </w:r>
    </w:p>
    <w:p>
      <w:pPr>
        <w:spacing w:after="0" w:line="203" w:lineRule="exact"/>
        <w:rPr>
          <w:rFonts w:ascii="Times New Roman" w:cs="Times New Roman" w:eastAsia="Times New Roman" w:hAnsi="Times New Roman"/>
          <w:sz w:val="14"/>
          <w:szCs w:val="14"/>
          <w:color w:val="auto"/>
        </w:rPr>
      </w:pPr>
    </w:p>
    <w:p>
      <w:pPr>
        <w:ind w:left="540" w:right="220" w:hanging="424"/>
        <w:spacing w:after="0" w:line="236" w:lineRule="auto"/>
        <w:tabs>
          <w:tab w:leader="none" w:pos="540" w:val="left"/>
        </w:tabs>
        <w:numPr>
          <w:ilvl w:val="0"/>
          <w:numId w:val="1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4,662,095 shares of common stock held by Visionary Venture Fund II (QP), LP and (ii) 1,534,203 shares of common stock owned by Visionary Venture Fund II, LP. VMP Investments, Inc. is the manager of Visionary Venture Fund II, LP and Visionary Venture Fund II (QP). Jeffry K Weinhuff is the President of VMP Investments, Inc. and disclaims beneficial ownership of the shares held by Visionary Venture Fund II, LP and Visionary Venture Fund II (QP) except to the extent of his pecuniary interest in such shares. The principal business address of Visionary Venture Fund II, LP is 65 Enterprise, Suite 330, Aliso Viejo, CA 92656.</w:t>
      </w:r>
    </w:p>
    <w:p>
      <w:pPr>
        <w:spacing w:after="0" w:line="203" w:lineRule="exact"/>
        <w:rPr>
          <w:rFonts w:ascii="Times New Roman" w:cs="Times New Roman" w:eastAsia="Times New Roman" w:hAnsi="Times New Roman"/>
          <w:sz w:val="14"/>
          <w:szCs w:val="14"/>
          <w:color w:val="auto"/>
        </w:rPr>
      </w:pPr>
    </w:p>
    <w:p>
      <w:pPr>
        <w:ind w:left="540" w:hanging="424"/>
        <w:spacing w:after="0" w:line="231" w:lineRule="auto"/>
        <w:tabs>
          <w:tab w:leader="none" w:pos="540" w:val="left"/>
        </w:tabs>
        <w:numPr>
          <w:ilvl w:val="0"/>
          <w:numId w:val="1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7,957,981 shares of common stock held in the aggregate by RTW Master Fund, Ltd., RTW Innovation Master Fund, Ltd. and RTW Venture Fund Limited, or the Funds. The Funds are managed by RTW Investments, LP, or the Adviser. The Adviser, in its capacity as the investment manager of the Funds, has the power to vote and the power to direct the disposition of the shares held by the Funds. Accordingly, the Adviser may be deemed to be the beneficial owner of such securities. Roderick Wong, M.D., as the Managing Partner of the Adviser, has the power to direct the vote and disposition of the securities held by the Adviser. Dr. Wong disclaims beneficial ownership of the shares held by the Funds, except to the extent of his pecuniary interest therein. The address and principal office of RTW Investments, LP is 40 10th Avenue, Floor 7, New York, NY 10014, and the address of Dr. Wong and each of the Funds is c/o RTW Investments, LP, 40 10th Avenue, Floor 7, New York, NY 10014.</w:t>
      </w:r>
    </w:p>
    <w:p>
      <w:pPr>
        <w:spacing w:after="0" w:line="204" w:lineRule="exact"/>
        <w:rPr>
          <w:rFonts w:ascii="Times New Roman" w:cs="Times New Roman" w:eastAsia="Times New Roman" w:hAnsi="Times New Roman"/>
          <w:sz w:val="14"/>
          <w:szCs w:val="14"/>
          <w:color w:val="auto"/>
        </w:rPr>
      </w:pPr>
    </w:p>
    <w:p>
      <w:pPr>
        <w:ind w:left="540" w:right="20" w:hanging="424"/>
        <w:spacing w:after="0" w:line="227" w:lineRule="auto"/>
        <w:tabs>
          <w:tab w:leader="none" w:pos="540" w:val="left"/>
        </w:tabs>
        <w:numPr>
          <w:ilvl w:val="0"/>
          <w:numId w:val="1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2,613,401 shares of common stock held by Cormorant Private Healthcare Fund III, LP, or Cormorant PHF III, (ii) 2,090,296 shares of common stock held by Cormorant Private Healthcare Fund II, LP, or Cormorant PHF II, (iii) 560,772 shares of common stock held by Cormorant Global Healthcare Master Fund, LP, or Cormorant GHMF, and (iv) 40,850 shares of common stock held by CRMA SPV, L.P., or CRMA SPV. Cormorant Private Healthcare GP III, LLC and Cormorant Asset Management, LP serve as the general partner and investment manager of Cormorant PHF III, respectively. Cormorant Private Healthcare GP II, LLC and Cormorant Asset Management, LP serve as the general partner and investment manager of Cormorant PHF II, respectively. Cormorant Global Healthcare GP, LLC and Cormorant Asset Management, LP serve as the general partner and investment manager of Cormorant GHMF, respectively. Cormorant Asset Management, LP serves as the investment manager of CRMA SPV. Bihua Chen serves as the managing member of each of Cormorant Private Healthcare GP III, LLC, Cormorant Private Healthcare GP II, LLC, Cormorant Global Healthcare GP, LLC, and Cormorant Asset Management GP, LLC. Each of the reporting persons disclaims beneficial ownership of the shares except to the extent of its or hers pecuniary interest therein. The address of the principal business office of Cormorant PHF III, Cormorant PHF II, Cormorant GHMF and CRMA SPV is 200 Clarendon Street, 52nd Floor, Boston, MA 02116.</w:t>
      </w:r>
    </w:p>
    <w:p>
      <w:pPr>
        <w:spacing w:after="0" w:line="118" w:lineRule="exact"/>
        <w:rPr>
          <w:rFonts w:ascii="Times New Roman" w:cs="Times New Roman" w:eastAsia="Times New Roman" w:hAnsi="Times New Roman"/>
          <w:sz w:val="14"/>
          <w:szCs w:val="14"/>
          <w:color w:val="auto"/>
        </w:rPr>
      </w:pPr>
    </w:p>
    <w:p>
      <w:pPr>
        <w:ind w:left="5480" w:hanging="96"/>
        <w:spacing w:after="0"/>
        <w:tabs>
          <w:tab w:leader="none" w:pos="5480" w:val="left"/>
        </w:tabs>
        <w:numPr>
          <w:ilvl w:val="1"/>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188 -</w:t>
      </w:r>
    </w:p>
    <w:p>
      <w:pPr>
        <w:sectPr>
          <w:pgSz w:w="11900" w:h="16838" w:orient="portrait"/>
          <w:cols w:equalWidth="0" w:num="1">
            <w:col w:w="11120"/>
          </w:cols>
          <w:pgMar w:left="320" w:top="455" w:right="459" w:bottom="1440" w:gutter="0" w:footer="0" w:header="0"/>
        </w:sectPr>
      </w:pPr>
    </w:p>
    <w:bookmarkStart w:id="191" w:name="page192"/>
    <w:bookmarkEnd w:id="19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229" w:lineRule="exact"/>
        <w:rPr>
          <w:sz w:val="20"/>
          <w:szCs w:val="20"/>
          <w:color w:val="auto"/>
        </w:rPr>
      </w:pPr>
    </w:p>
    <w:p>
      <w:pPr>
        <w:ind w:left="120" w:firstLine="881"/>
        <w:spacing w:after="0" w:line="256" w:lineRule="auto"/>
        <w:rPr>
          <w:sz w:val="20"/>
          <w:szCs w:val="20"/>
          <w:color w:val="auto"/>
        </w:rPr>
      </w:pPr>
      <w:r>
        <w:rPr>
          <w:rFonts w:ascii="Times New Roman" w:cs="Times New Roman" w:eastAsia="Times New Roman" w:hAnsi="Times New Roman"/>
          <w:sz w:val="18"/>
          <w:szCs w:val="18"/>
          <w:color w:val="auto"/>
        </w:rPr>
        <w:t>The following descriptions of our capital stock and certain provisions of our amended and restated certificate of incorporation and amended and restated bylaws are summaries and are qualified by reference to the amended and restated certificate of incorporation and the amended and restated bylaws that will be in effect upon completion of this offering. A description of our capital stock and the material terms and provisions of our amended and restated certificate of incorporation and amended and restated bylaws that will be in effect upon the completion of this offering and affecting the rights of holders of our capital stock is set forth below. The forms of our amended and restated certificate of incorporation and our amended and restated bylaws to be adopted in connection with this offering are filed as exhibits to the registration statement relating to this prospectus.</w:t>
      </w:r>
    </w:p>
    <w:p>
      <w:pPr>
        <w:spacing w:after="0" w:line="187" w:lineRule="exact"/>
        <w:rPr>
          <w:sz w:val="20"/>
          <w:szCs w:val="20"/>
          <w:color w:val="auto"/>
        </w:rPr>
      </w:pPr>
    </w:p>
    <w:p>
      <w:pPr>
        <w:ind w:left="120" w:right="100" w:firstLine="881"/>
        <w:spacing w:after="0" w:line="282" w:lineRule="auto"/>
        <w:rPr>
          <w:sz w:val="20"/>
          <w:szCs w:val="20"/>
          <w:color w:val="auto"/>
        </w:rPr>
      </w:pPr>
      <w:r>
        <w:rPr>
          <w:rFonts w:ascii="Times New Roman" w:cs="Times New Roman" w:eastAsia="Times New Roman" w:hAnsi="Times New Roman"/>
          <w:sz w:val="18"/>
          <w:szCs w:val="18"/>
          <w:color w:val="auto"/>
        </w:rPr>
        <w:t>Upon the completion of this offering, our amended and restated certificate of incorporation will authorize shares of undesignated preferred stock, the rights, preferences and privileges of which may be designated from time to time by our board of directors.</w:t>
      </w:r>
    </w:p>
    <w:p>
      <w:pPr>
        <w:spacing w:after="0" w:line="162" w:lineRule="exact"/>
        <w:rPr>
          <w:sz w:val="20"/>
          <w:szCs w:val="20"/>
          <w:color w:val="auto"/>
        </w:rPr>
      </w:pPr>
    </w:p>
    <w:p>
      <w:pPr>
        <w:ind w:left="120" w:right="280" w:firstLine="881"/>
        <w:spacing w:after="0" w:line="282" w:lineRule="auto"/>
        <w:rPr>
          <w:sz w:val="20"/>
          <w:szCs w:val="20"/>
          <w:color w:val="auto"/>
        </w:rPr>
      </w:pPr>
      <w:r>
        <w:rPr>
          <w:rFonts w:ascii="Times New Roman" w:cs="Times New Roman" w:eastAsia="Times New Roman" w:hAnsi="Times New Roman"/>
          <w:sz w:val="18"/>
          <w:szCs w:val="18"/>
          <w:color w:val="auto"/>
        </w:rPr>
        <w:t>Upon the completion of this offering, our authorized capital stock will consist of 210,000,000 shares, all with a par value of $0.0001 per share, of which:</w:t>
      </w:r>
    </w:p>
    <w:p>
      <w:pPr>
        <w:spacing w:after="0" w:line="189" w:lineRule="exact"/>
        <w:rPr>
          <w:sz w:val="20"/>
          <w:szCs w:val="20"/>
          <w:color w:val="auto"/>
        </w:rPr>
      </w:pPr>
    </w:p>
    <w:p>
      <w:pPr>
        <w:ind w:left="1420" w:hanging="319"/>
        <w:spacing w:after="0"/>
        <w:tabs>
          <w:tab w:leader="none" w:pos="142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200,000,000 shares are designated common stock; and</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10,000,000 shares are designated preferred stock.</w:t>
      </w:r>
    </w:p>
    <w:p>
      <w:pPr>
        <w:sectPr>
          <w:pgSz w:w="11900" w:h="16838" w:orient="portrait"/>
          <w:cols w:equalWidth="0" w:num="1">
            <w:col w:w="11080"/>
          </w:cols>
          <w:pgMar w:left="320" w:top="455" w:right="499" w:bottom="1440" w:gutter="0" w:footer="0" w:header="0"/>
        </w:sectPr>
      </w:pPr>
    </w:p>
    <w:p>
      <w:pPr>
        <w:spacing w:after="0" w:line="225" w:lineRule="exact"/>
        <w:rPr>
          <w:sz w:val="20"/>
          <w:szCs w:val="20"/>
          <w:color w:val="auto"/>
        </w:rPr>
      </w:pPr>
    </w:p>
    <w:p>
      <w:pPr>
        <w:ind w:left="120" w:right="80" w:firstLine="991"/>
        <w:spacing w:after="0" w:line="282" w:lineRule="auto"/>
        <w:rPr>
          <w:sz w:val="20"/>
          <w:szCs w:val="20"/>
          <w:color w:val="auto"/>
        </w:rPr>
      </w:pPr>
      <w:r>
        <w:rPr>
          <w:rFonts w:ascii="Times New Roman" w:cs="Times New Roman" w:eastAsia="Times New Roman" w:hAnsi="Times New Roman"/>
          <w:sz w:val="18"/>
          <w:szCs w:val="18"/>
          <w:color w:val="auto"/>
        </w:rPr>
        <w:t>As of June 30, 2020, after giving effect to the conversion of all outstanding shares of preferred stock into an aggregate of of our common stock, there were outstanding:</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w:t>
      </w:r>
    </w:p>
    <w:p>
      <w:pPr>
        <w:spacing w:after="0" w:line="468" w:lineRule="exact"/>
        <w:rPr>
          <w:sz w:val="20"/>
          <w:szCs w:val="20"/>
          <w:color w:val="auto"/>
        </w:rPr>
      </w:pPr>
    </w:p>
    <w:p>
      <w:pPr>
        <w:sectPr>
          <w:pgSz w:w="11900" w:h="16838" w:orient="portrait"/>
          <w:cols w:equalWidth="0" w:num="2">
            <w:col w:w="9900" w:space="720"/>
            <w:col w:w="460"/>
          </w:cols>
          <w:pgMar w:left="320" w:top="455" w:right="499" w:bottom="1440" w:gutter="0" w:footer="0" w:header="0"/>
          <w:type w:val="continuous"/>
        </w:sectPr>
      </w:pPr>
    </w:p>
    <w:p>
      <w:pPr>
        <w:ind w:left="1100"/>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ind w:right="100" w:firstLine="765"/>
        <w:spacing w:after="0" w:line="282" w:lineRule="auto"/>
        <w:rPr>
          <w:sz w:val="20"/>
          <w:szCs w:val="20"/>
          <w:color w:val="auto"/>
        </w:rPr>
      </w:pPr>
      <w:r>
        <w:rPr>
          <w:rFonts w:ascii="Times New Roman" w:cs="Times New Roman" w:eastAsia="Times New Roman" w:hAnsi="Times New Roman"/>
          <w:sz w:val="18"/>
          <w:szCs w:val="18"/>
          <w:color w:val="auto"/>
        </w:rPr>
        <w:t>shares of our common stock held of record by 48 stockholders, including are subject to our right of repurchase; and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shares of restricted common stock that</w:t>
      </w:r>
    </w:p>
    <w:p>
      <w:pPr>
        <w:spacing w:after="0" w:line="479" w:lineRule="exact"/>
        <w:rPr>
          <w:sz w:val="20"/>
          <w:szCs w:val="20"/>
          <w:color w:val="auto"/>
        </w:rPr>
      </w:pPr>
    </w:p>
    <w:p>
      <w:pPr>
        <w:sectPr>
          <w:pgSz w:w="11900" w:h="16838" w:orient="portrait"/>
          <w:cols w:equalWidth="0" w:num="3">
            <w:col w:w="1160" w:space="260"/>
            <w:col w:w="6120" w:space="720"/>
            <w:col w:w="2820"/>
          </w:cols>
          <w:pgMar w:left="320" w:top="455" w:right="499" w:bottom="1440" w:gutter="0" w:footer="0" w:header="0"/>
          <w:type w:val="continuous"/>
        </w:sectPr>
      </w:pPr>
    </w:p>
    <w:p>
      <w:pPr>
        <w:ind w:left="2200" w:hanging="1099"/>
        <w:spacing w:after="0"/>
        <w:tabs>
          <w:tab w:leader="none" w:pos="220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our common stock issuable upon exercise of outstanding stock options.</w:t>
      </w:r>
    </w:p>
    <w:p>
      <w:pPr>
        <w:spacing w:after="0" w:line="2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Dividend Rights</w:t>
      </w:r>
    </w:p>
    <w:p>
      <w:pPr>
        <w:spacing w:after="0" w:line="229" w:lineRule="exact"/>
        <w:rPr>
          <w:sz w:val="20"/>
          <w:szCs w:val="20"/>
          <w:color w:val="auto"/>
        </w:rPr>
      </w:pPr>
    </w:p>
    <w:p>
      <w:pPr>
        <w:ind w:left="120" w:right="60" w:firstLine="881"/>
        <w:spacing w:after="0" w:line="266" w:lineRule="auto"/>
        <w:rPr>
          <w:sz w:val="20"/>
          <w:szCs w:val="20"/>
          <w:color w:val="auto"/>
        </w:rPr>
      </w:pPr>
      <w:r>
        <w:rPr>
          <w:rFonts w:ascii="Times New Roman" w:cs="Times New Roman" w:eastAsia="Times New Roman" w:hAnsi="Times New Roman"/>
          <w:sz w:val="18"/>
          <w:szCs w:val="18"/>
          <w:color w:val="auto"/>
        </w:rPr>
        <w:t>Subject to preferences that may apply to shares of preferred stock outstanding at the time, the holders of outstanding shares of our common stock are entitled to receive dividends out of funds legally available if our board of directors, in its discretion, determines to issue dividends and only then at the times and in the amounts that our board of directors may determine. See “Dividend Policy” for more information.</w:t>
      </w:r>
    </w:p>
    <w:p>
      <w:pPr>
        <w:spacing w:after="0" w:line="1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Voting Rights</w:t>
      </w:r>
    </w:p>
    <w:p>
      <w:pPr>
        <w:spacing w:after="0" w:line="229" w:lineRule="exact"/>
        <w:rPr>
          <w:sz w:val="20"/>
          <w:szCs w:val="20"/>
          <w:color w:val="auto"/>
        </w:rPr>
      </w:pPr>
    </w:p>
    <w:p>
      <w:pPr>
        <w:ind w:left="120" w:right="100" w:firstLine="881"/>
        <w:spacing w:after="0" w:line="258" w:lineRule="auto"/>
        <w:rPr>
          <w:sz w:val="20"/>
          <w:szCs w:val="20"/>
          <w:color w:val="auto"/>
        </w:rPr>
      </w:pPr>
      <w:r>
        <w:rPr>
          <w:rFonts w:ascii="Times New Roman" w:cs="Times New Roman" w:eastAsia="Times New Roman" w:hAnsi="Times New Roman"/>
          <w:sz w:val="18"/>
          <w:szCs w:val="18"/>
          <w:color w:val="auto"/>
        </w:rPr>
        <w:t>The holders of our common stock are entitled to one vote per share. Stockholders do not have the ability to cumulate votes for the election of directors. Our amended and restated certificate of incorporation and amended and restated bylaws that will be in effect upon the completion of this offering will provide for a classified board of directors consisting of three classes of approximately equal size, each serving staggered three-year terms. Only one class of directors will be elected at each annual meeting of our stockholders, with the other classes continuing for the remainder of their respective three-year terms.</w:t>
      </w:r>
    </w:p>
    <w:p>
      <w:pPr>
        <w:spacing w:after="0" w:line="1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 Preemptive or Similar Rights</w:t>
      </w:r>
    </w:p>
    <w:p>
      <w:pPr>
        <w:spacing w:after="0" w:line="229" w:lineRule="exact"/>
        <w:rPr>
          <w:sz w:val="20"/>
          <w:szCs w:val="20"/>
          <w:color w:val="auto"/>
        </w:rPr>
      </w:pPr>
    </w:p>
    <w:p>
      <w:pPr>
        <w:jc w:val="center"/>
        <w:ind w:left="120" w:right="100"/>
        <w:spacing w:after="0" w:line="454" w:lineRule="auto"/>
        <w:rPr>
          <w:sz w:val="20"/>
          <w:szCs w:val="20"/>
          <w:color w:val="auto"/>
        </w:rPr>
      </w:pPr>
      <w:r>
        <w:rPr>
          <w:rFonts w:ascii="Times New Roman" w:cs="Times New Roman" w:eastAsia="Times New Roman" w:hAnsi="Times New Roman"/>
          <w:sz w:val="18"/>
          <w:szCs w:val="18"/>
          <w:color w:val="auto"/>
        </w:rPr>
        <w:t>Our common stock is not entitled to preemptive rights and is not subject to conversion, redemption or sinking fund provisions. -189-</w:t>
      </w:r>
    </w:p>
    <w:p>
      <w:pPr>
        <w:sectPr>
          <w:pgSz w:w="11900" w:h="16838" w:orient="portrait"/>
          <w:cols w:equalWidth="0" w:num="1">
            <w:col w:w="11080"/>
          </w:cols>
          <w:pgMar w:left="320" w:top="455" w:right="499" w:bottom="1440" w:gutter="0" w:footer="0" w:header="0"/>
          <w:type w:val="continuous"/>
        </w:sectPr>
      </w:pPr>
    </w:p>
    <w:bookmarkStart w:id="192" w:name="page193"/>
    <w:bookmarkEnd w:id="19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Right to Receive Liquidation Distributions</w:t>
      </w:r>
    </w:p>
    <w:p>
      <w:pPr>
        <w:spacing w:after="0" w:line="229" w:lineRule="exact"/>
        <w:rPr>
          <w:sz w:val="20"/>
          <w:szCs w:val="20"/>
          <w:color w:val="auto"/>
        </w:rPr>
      </w:pPr>
    </w:p>
    <w:p>
      <w:pPr>
        <w:jc w:val="both"/>
        <w:ind w:left="120" w:right="260" w:firstLine="881"/>
        <w:spacing w:after="0" w:line="266" w:lineRule="auto"/>
        <w:rPr>
          <w:sz w:val="20"/>
          <w:szCs w:val="20"/>
          <w:color w:val="auto"/>
        </w:rPr>
      </w:pPr>
      <w:r>
        <w:rPr>
          <w:rFonts w:ascii="Times New Roman" w:cs="Times New Roman" w:eastAsia="Times New Roman" w:hAnsi="Times New Roman"/>
          <w:sz w:val="18"/>
          <w:szCs w:val="18"/>
          <w:color w:val="auto"/>
        </w:rPr>
        <w:t>Upon our dissolution, liquidation or winding-up, the assets legally available for distribution to our stockholders are distributable ratably among the holders of our common stock, subject to prior satisfaction of all outstanding debt and liabilities and the preferential rights and payment of liquidation preferences, if any, on any outstanding shares of preferred stock.</w:t>
      </w:r>
    </w:p>
    <w:p>
      <w:pPr>
        <w:spacing w:after="0" w:line="1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229" w:lineRule="exact"/>
        <w:rPr>
          <w:sz w:val="20"/>
          <w:szCs w:val="20"/>
          <w:color w:val="auto"/>
        </w:rPr>
      </w:pPr>
    </w:p>
    <w:p>
      <w:pPr>
        <w:ind w:left="120" w:firstLine="881"/>
        <w:spacing w:after="0" w:line="254" w:lineRule="auto"/>
        <w:rPr>
          <w:sz w:val="20"/>
          <w:szCs w:val="20"/>
          <w:color w:val="auto"/>
        </w:rPr>
      </w:pPr>
      <w:r>
        <w:rPr>
          <w:rFonts w:ascii="Times New Roman" w:cs="Times New Roman" w:eastAsia="Times New Roman" w:hAnsi="Times New Roman"/>
          <w:sz w:val="18"/>
          <w:szCs w:val="18"/>
          <w:color w:val="auto"/>
        </w:rPr>
        <w:t>Upon the completion of this offering, no shares of preferred stock will be outstanding, but we will be authorized, subject to limitations prescribed by Delaware law, to issue preferred stock in one or more series, to establish from time to time the number of shares to be included in each series and to fix the designation, powers, preferences and rights of the shares of each series and any associated qualifications, limitations or restrictions. Our board of directors also can increase or decrease the number of shares of any series, but not below the number of shares of that series then outstanding, without any further vote or action by our stockholders. Our board of directors may authorize the issuance of preferred stock with voting or conversion rights that could adversely affect the voting power or other rights of the holders of the common stock. The issuance of preferred stock, while providing flexibility in connection with possible acquisitions and other corporate purposes, could, among other things, have the effect of delaying, deferring or preventing a change in control of our company and may adversely affect the market price of our common stock and the voting and other rights of the holders of common stock. We have no current plan to issue any shares of preferred stock.</w:t>
      </w:r>
    </w:p>
    <w:p>
      <w:pPr>
        <w:spacing w:after="0" w:line="1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Options</w:t>
      </w:r>
    </w:p>
    <w:p>
      <w:pPr>
        <w:spacing w:after="0" w:line="229" w:lineRule="exact"/>
        <w:rPr>
          <w:sz w:val="20"/>
          <w:szCs w:val="20"/>
          <w:color w:val="auto"/>
        </w:rPr>
      </w:pPr>
    </w:p>
    <w:p>
      <w:pPr>
        <w:ind w:left="120" w:right="140" w:firstLine="881"/>
        <w:spacing w:after="0" w:line="282" w:lineRule="auto"/>
        <w:rPr>
          <w:sz w:val="20"/>
          <w:szCs w:val="20"/>
          <w:color w:val="auto"/>
        </w:rPr>
      </w:pPr>
      <w:r>
        <w:rPr>
          <w:rFonts w:ascii="Times New Roman" w:cs="Times New Roman" w:eastAsia="Times New Roman" w:hAnsi="Times New Roman"/>
          <w:sz w:val="18"/>
          <w:szCs w:val="18"/>
          <w:color w:val="auto"/>
        </w:rPr>
        <w:t>As of June 30, 2020, there were options to purchase 9,141,330 shares of our common stock outstanding, with an average exercise price of $0.22, all of which were subject to options granted under our 2016 Plan.</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Registration Rights</w:t>
      </w:r>
    </w:p>
    <w:p>
      <w:pPr>
        <w:spacing w:after="0" w:line="229" w:lineRule="exact"/>
        <w:rPr>
          <w:sz w:val="20"/>
          <w:szCs w:val="20"/>
          <w:color w:val="auto"/>
        </w:rPr>
      </w:pPr>
    </w:p>
    <w:p>
      <w:pPr>
        <w:ind w:left="120" w:right="20" w:firstLine="881"/>
        <w:spacing w:after="0" w:line="261" w:lineRule="auto"/>
        <w:rPr>
          <w:sz w:val="20"/>
          <w:szCs w:val="20"/>
          <w:color w:val="auto"/>
        </w:rPr>
      </w:pPr>
      <w:r>
        <w:rPr>
          <w:rFonts w:ascii="Times New Roman" w:cs="Times New Roman" w:eastAsia="Times New Roman" w:hAnsi="Times New Roman"/>
          <w:sz w:val="18"/>
          <w:szCs w:val="18"/>
          <w:color w:val="auto"/>
        </w:rPr>
        <w:t>Following the completion of this offering, the holders of shares of our common stock issued upon the conversion of our preferred stock will be entitled to contractual rights to require us to register those shares under the Securities Act. These registration rights are provided under the terms of our amended and restated investors’ rights agreement between us and the holders of these shares, which we entered into on September 24, 2020.</w:t>
      </w:r>
    </w:p>
    <w:p>
      <w:pPr>
        <w:spacing w:after="0" w:line="180" w:lineRule="exact"/>
        <w:rPr>
          <w:sz w:val="20"/>
          <w:szCs w:val="20"/>
          <w:color w:val="auto"/>
        </w:rPr>
      </w:pPr>
    </w:p>
    <w:p>
      <w:pPr>
        <w:ind w:left="120" w:right="60" w:firstLine="881"/>
        <w:spacing w:after="0" w:line="258" w:lineRule="auto"/>
        <w:rPr>
          <w:sz w:val="20"/>
          <w:szCs w:val="20"/>
          <w:color w:val="auto"/>
        </w:rPr>
      </w:pPr>
      <w:r>
        <w:rPr>
          <w:rFonts w:ascii="Times New Roman" w:cs="Times New Roman" w:eastAsia="Times New Roman" w:hAnsi="Times New Roman"/>
          <w:sz w:val="18"/>
          <w:szCs w:val="18"/>
          <w:color w:val="auto"/>
        </w:rPr>
        <w:t>We will pay all expenses relating to any demand or piggyback registration described below, other than underwriting discounts and commissions. The registration rights terminate upon the earliest to occur of: (i) the fifth anniversary of the completion of this offering; (ii) a liquidation event; or (iii) with respect to the registration rights of an individual holder, such earlier time after this offering at which the holder (a) can sell all of its shares in compliance with Rule 144(b)(1)(i) or (b) holds one percent or less of our outstanding common stock and all shares held by the holder can be sold in any three-month period without registration in compliance with Rule 144.</w:t>
      </w:r>
    </w:p>
    <w:p>
      <w:pPr>
        <w:spacing w:after="0" w:line="1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Demand Registration Rights</w:t>
      </w:r>
    </w:p>
    <w:p>
      <w:pPr>
        <w:spacing w:after="0" w:line="229" w:lineRule="exact"/>
        <w:rPr>
          <w:sz w:val="20"/>
          <w:szCs w:val="20"/>
          <w:color w:val="auto"/>
        </w:rPr>
      </w:pPr>
    </w:p>
    <w:p>
      <w:pPr>
        <w:jc w:val="both"/>
        <w:ind w:left="120" w:right="60" w:firstLine="881"/>
        <w:spacing w:after="0" w:line="270" w:lineRule="auto"/>
        <w:rPr>
          <w:sz w:val="20"/>
          <w:szCs w:val="20"/>
          <w:color w:val="auto"/>
        </w:rPr>
      </w:pPr>
      <w:r>
        <w:rPr>
          <w:rFonts w:ascii="Times New Roman" w:cs="Times New Roman" w:eastAsia="Times New Roman" w:hAnsi="Times New Roman"/>
          <w:sz w:val="17"/>
          <w:szCs w:val="17"/>
          <w:color w:val="auto"/>
        </w:rPr>
        <w:t>The holders of the registrable securities will be entitled to certain demand registration rights. At any time beginning six months following the effectiveness of this offering, the holders of 30% or more of the registrable securities then outstanding may make a written request that we register some or all of their registrable securities, subject to certain specified conditions and exceptions. We are required to use commercially reasonable efforts to effect the registration and will pay all registration expenses, other than underwriting discounts and commissions, related to any demand registration.</w:t>
      </w:r>
    </w:p>
    <w:p>
      <w:pPr>
        <w:spacing w:after="0" w:line="3" w:lineRule="exact"/>
        <w:rPr>
          <w:sz w:val="20"/>
          <w:szCs w:val="20"/>
          <w:color w:val="auto"/>
        </w:rPr>
      </w:pPr>
    </w:p>
    <w:p>
      <w:pPr>
        <w:ind w:left="120"/>
        <w:spacing w:after="0" w:line="260" w:lineRule="auto"/>
        <w:rPr>
          <w:sz w:val="20"/>
          <w:szCs w:val="20"/>
          <w:color w:val="auto"/>
        </w:rPr>
      </w:pPr>
      <w:r>
        <w:rPr>
          <w:rFonts w:ascii="Times New Roman" w:cs="Times New Roman" w:eastAsia="Times New Roman" w:hAnsi="Times New Roman"/>
          <w:sz w:val="18"/>
          <w:szCs w:val="18"/>
          <w:color w:val="auto"/>
        </w:rPr>
        <w:t>Such request for registration must cover securities with an aggregate offering price of at least $20,000,000. We are not obligated to effect more than two of these registrations.</w:t>
      </w:r>
    </w:p>
    <w:p>
      <w:pPr>
        <w:spacing w:after="0" w:line="11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-190-</w:t>
      </w:r>
    </w:p>
    <w:p>
      <w:pPr>
        <w:sectPr>
          <w:pgSz w:w="11900" w:h="16838" w:orient="portrait"/>
          <w:cols w:equalWidth="0" w:num="1">
            <w:col w:w="11060"/>
          </w:cols>
          <w:pgMar w:left="320" w:top="455" w:right="519" w:bottom="1440" w:gutter="0" w:footer="0" w:header="0"/>
        </w:sectPr>
      </w:pPr>
    </w:p>
    <w:bookmarkStart w:id="193" w:name="page194"/>
    <w:bookmarkEnd w:id="19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Piggyback Registration Rights</w:t>
      </w:r>
    </w:p>
    <w:p>
      <w:pPr>
        <w:spacing w:after="0" w:line="229" w:lineRule="exact"/>
        <w:rPr>
          <w:sz w:val="20"/>
          <w:szCs w:val="20"/>
          <w:color w:val="auto"/>
        </w:rPr>
      </w:pPr>
    </w:p>
    <w:p>
      <w:pPr>
        <w:ind w:left="120" w:right="60" w:firstLine="881"/>
        <w:spacing w:after="0" w:line="256" w:lineRule="auto"/>
        <w:rPr>
          <w:sz w:val="20"/>
          <w:szCs w:val="20"/>
          <w:color w:val="auto"/>
        </w:rPr>
      </w:pPr>
      <w:r>
        <w:rPr>
          <w:rFonts w:ascii="Times New Roman" w:cs="Times New Roman" w:eastAsia="Times New Roman" w:hAnsi="Times New Roman"/>
          <w:sz w:val="18"/>
          <w:szCs w:val="18"/>
          <w:color w:val="auto"/>
        </w:rPr>
        <w:t>In connection with this offering, holders of our registrable securities were entitled to, and the necessary percentage of holders waived, their rights to notice of this offering and to include their registrable securities in this offering. If we propose to register any of our securities under the Securities Act either for our own account or for the account of other stockholders in another offering, the holders of shares having registration rights will, subject to certain exceptions, be entitled to include their shares in our registration statement, provided that the underwriters of any such offering have the right to limit the number of shares included in the registration. These registration rights are subject to specified other conditions and limitations as set forth in our amended and restated investors’ rights agreement.</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Form S-3 Registration Rights</w:t>
      </w:r>
    </w:p>
    <w:p>
      <w:pPr>
        <w:spacing w:after="0" w:line="229" w:lineRule="exact"/>
        <w:rPr>
          <w:sz w:val="20"/>
          <w:szCs w:val="20"/>
          <w:color w:val="auto"/>
        </w:rPr>
      </w:pPr>
    </w:p>
    <w:p>
      <w:pPr>
        <w:ind w:left="120" w:right="120" w:firstLine="881"/>
        <w:spacing w:after="0" w:line="258" w:lineRule="auto"/>
        <w:rPr>
          <w:sz w:val="20"/>
          <w:szCs w:val="20"/>
          <w:color w:val="auto"/>
        </w:rPr>
      </w:pPr>
      <w:r>
        <w:rPr>
          <w:rFonts w:ascii="Times New Roman" w:cs="Times New Roman" w:eastAsia="Times New Roman" w:hAnsi="Times New Roman"/>
          <w:sz w:val="18"/>
          <w:szCs w:val="18"/>
          <w:color w:val="auto"/>
        </w:rPr>
        <w:t>At any time after we are qualified to file a registration statement on Form S-3, and subject to limitations and conditions specified in the amended and restated investors’ rights agreement, the holders of 25% or more of the registrable securities then outstanding may make a written request that we prepare and file a registration statement on Form S-3 under the Securities Act covering their shares, so long as the aggregate price to the public is at least $10,000,000. We are not obligated to effect more than two of these Form S-3 registrations in any 12-month period. Such holders will pay pro rata all expenses related to filing a registration statement on Form S-3.</w:t>
      </w:r>
    </w:p>
    <w:p>
      <w:pPr>
        <w:spacing w:after="0" w:line="1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Anti-Takeover Provisions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Delaware Law</w:t>
      </w:r>
    </w:p>
    <w:p>
      <w:pPr>
        <w:spacing w:after="0" w:line="229" w:lineRule="exact"/>
        <w:rPr>
          <w:sz w:val="20"/>
          <w:szCs w:val="20"/>
          <w:color w:val="auto"/>
        </w:rPr>
      </w:pPr>
    </w:p>
    <w:p>
      <w:pPr>
        <w:ind w:left="120" w:firstLine="881"/>
        <w:spacing w:after="0" w:line="258" w:lineRule="auto"/>
        <w:rPr>
          <w:sz w:val="20"/>
          <w:szCs w:val="20"/>
          <w:color w:val="auto"/>
        </w:rPr>
      </w:pPr>
      <w:r>
        <w:rPr>
          <w:rFonts w:ascii="Times New Roman" w:cs="Times New Roman" w:eastAsia="Times New Roman" w:hAnsi="Times New Roman"/>
          <w:sz w:val="18"/>
          <w:szCs w:val="18"/>
          <w:color w:val="auto"/>
        </w:rPr>
        <w:t>Upon the completion of this offering, we will be governed by the provisions of Section 203 of the Delaware General Corporation Law regulating corporate takeovers. This section prevents some Delaware corporations from engaging, under some circumstances, in a business combination, which includes a merger or sale of at least 10% of the corporation’s assets with any interested stockholder, meaning a stockholder who, together with affiliates and associates, owns or, within three years prior to the determination of interested stockholder status, did own 15% or more of the corporation’s outstanding voting stock, unless:</w:t>
      </w:r>
    </w:p>
    <w:p>
      <w:pPr>
        <w:spacing w:after="0" w:line="210" w:lineRule="exact"/>
        <w:rPr>
          <w:sz w:val="20"/>
          <w:szCs w:val="20"/>
          <w:color w:val="auto"/>
        </w:rPr>
      </w:pPr>
    </w:p>
    <w:p>
      <w:pPr>
        <w:ind w:left="1420" w:hanging="319"/>
        <w:spacing w:after="0"/>
        <w:tabs>
          <w:tab w:leader="none" w:pos="142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 is approved by the board of directors prior to the time that the interested stockholder became an interested stockholder;</w:t>
      </w:r>
    </w:p>
    <w:p>
      <w:pPr>
        <w:spacing w:after="0" w:line="252" w:lineRule="exact"/>
        <w:rPr>
          <w:rFonts w:ascii="Times New Roman" w:cs="Times New Roman" w:eastAsia="Times New Roman" w:hAnsi="Times New Roman"/>
          <w:sz w:val="18"/>
          <w:szCs w:val="18"/>
          <w:color w:val="auto"/>
        </w:rPr>
      </w:pPr>
    </w:p>
    <w:p>
      <w:pPr>
        <w:ind w:left="1420" w:hanging="319"/>
        <w:spacing w:after="0" w:line="258" w:lineRule="auto"/>
        <w:tabs>
          <w:tab w:leader="none" w:pos="142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closing of the transaction that resulted in the stockholder becoming an interested stockholder, the interested stockholder owned at least 85% of the voting stock of the corporation outstanding at the time the transaction began, excluding for purposes of determining the voting stock outstanding those shares owned (i) by persons who are directors and also officers and (ii) employee stock plans in which employee participants do not have the right to determine confidentially whether shares held subject to the plan will be tendered in a tender or exchange offer; or</w:t>
      </w:r>
    </w:p>
    <w:p>
      <w:pPr>
        <w:spacing w:after="0" w:line="210" w:lineRule="exact"/>
        <w:rPr>
          <w:rFonts w:ascii="Times New Roman" w:cs="Times New Roman" w:eastAsia="Times New Roman" w:hAnsi="Times New Roman"/>
          <w:sz w:val="18"/>
          <w:szCs w:val="18"/>
          <w:color w:val="auto"/>
        </w:rPr>
      </w:pPr>
    </w:p>
    <w:p>
      <w:pPr>
        <w:ind w:left="1420" w:right="40" w:hanging="319"/>
        <w:spacing w:after="0" w:line="266" w:lineRule="auto"/>
        <w:tabs>
          <w:tab w:leader="none" w:pos="142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subsequent to such time that the stockholder became an interested stockholder the business combination is approved by the board of directors and authorized at an annual or special meeting of stockholders by at least two-thirds of the outstanding voting stock which is not owned by the interested stockholder.</w:t>
      </w:r>
    </w:p>
    <w:p>
      <w:pPr>
        <w:spacing w:after="0" w:line="176" w:lineRule="exact"/>
        <w:rPr>
          <w:sz w:val="20"/>
          <w:szCs w:val="20"/>
          <w:color w:val="auto"/>
        </w:rPr>
      </w:pPr>
    </w:p>
    <w:p>
      <w:pPr>
        <w:jc w:val="both"/>
        <w:ind w:left="120" w:right="40" w:firstLine="881"/>
        <w:spacing w:after="0" w:line="261" w:lineRule="auto"/>
        <w:rPr>
          <w:sz w:val="20"/>
          <w:szCs w:val="20"/>
          <w:color w:val="auto"/>
        </w:rPr>
      </w:pPr>
      <w:r>
        <w:rPr>
          <w:rFonts w:ascii="Times New Roman" w:cs="Times New Roman" w:eastAsia="Times New Roman" w:hAnsi="Times New Roman"/>
          <w:sz w:val="18"/>
          <w:szCs w:val="18"/>
          <w:color w:val="auto"/>
        </w:rPr>
        <w:t>A Delaware corporation may “opt out” of these provisions with an express provision in its original certificate of incorporation or an express provision in its certificate of incorporation or amended and restated bylaws resulting from a stockholders’ amendment approved by at least a majority of the outstanding voting shares. We have not opted out of these provisions. As a result, mergers or other takeover or change in control attempts of us may be discouraged or prevented.</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-191-</w:t>
      </w:r>
    </w:p>
    <w:p>
      <w:pPr>
        <w:sectPr>
          <w:pgSz w:w="11900" w:h="16838" w:orient="portrait"/>
          <w:cols w:equalWidth="0" w:num="1">
            <w:col w:w="11120"/>
          </w:cols>
          <w:pgMar w:left="320" w:top="455" w:right="459" w:bottom="1440" w:gutter="0" w:footer="0" w:header="0"/>
        </w:sectPr>
      </w:pPr>
    </w:p>
    <w:bookmarkStart w:id="194" w:name="page195"/>
    <w:bookmarkEnd w:id="19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Certificate of Incorporation and Bylaw Provisions</w:t>
      </w:r>
    </w:p>
    <w:p>
      <w:pPr>
        <w:spacing w:after="0" w:line="229" w:lineRule="exact"/>
        <w:rPr>
          <w:sz w:val="20"/>
          <w:szCs w:val="20"/>
          <w:color w:val="auto"/>
        </w:rPr>
      </w:pPr>
    </w:p>
    <w:p>
      <w:pPr>
        <w:ind w:left="120" w:right="140" w:firstLine="881"/>
        <w:spacing w:after="0" w:line="266" w:lineRule="auto"/>
        <w:rPr>
          <w:sz w:val="20"/>
          <w:szCs w:val="20"/>
          <w:color w:val="auto"/>
        </w:rPr>
      </w:pPr>
      <w:r>
        <w:rPr>
          <w:rFonts w:ascii="Times New Roman" w:cs="Times New Roman" w:eastAsia="Times New Roman" w:hAnsi="Times New Roman"/>
          <w:sz w:val="18"/>
          <w:szCs w:val="18"/>
          <w:color w:val="auto"/>
        </w:rPr>
        <w:t>Upon the completion of this offering, our amended and restated certificate of incorporation and our amended and restated bylaws will include a number of provisions that may have the effect of deterring hostile takeovers or delaying or preventing changes in control of our management team, including the following:</w:t>
      </w:r>
    </w:p>
    <w:p>
      <w:pPr>
        <w:spacing w:after="0" w:line="201" w:lineRule="exact"/>
        <w:rPr>
          <w:sz w:val="20"/>
          <w:szCs w:val="20"/>
          <w:color w:val="auto"/>
        </w:rPr>
      </w:pPr>
    </w:p>
    <w:p>
      <w:pPr>
        <w:ind w:left="1420" w:right="100" w:hanging="319"/>
        <w:spacing w:after="0" w:line="258" w:lineRule="auto"/>
        <w:tabs>
          <w:tab w:leader="none" w:pos="142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Board of Directors Vacancies. </w:t>
      </w:r>
      <w:r>
        <w:rPr>
          <w:rFonts w:ascii="Times New Roman" w:cs="Times New Roman" w:eastAsia="Times New Roman" w:hAnsi="Times New Roman"/>
          <w:sz w:val="18"/>
          <w:szCs w:val="18"/>
          <w:color w:val="auto"/>
        </w:rPr>
        <w:t>Our amended and restated certificate of incorporation and amended and restated bylaws will authorize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board of directors to fill vacant directorships, including newly-created seats. In addition, the number of directors constituting our board of directors will be set only by resolution adopted by a majority vote of our entire board of directors. These provisions will prevent a stockholder from increasing the size of our board of directors and gaining control of our board of directors by filling the resulting vacancies with its own nominees.</w:t>
      </w:r>
    </w:p>
    <w:p>
      <w:pPr>
        <w:spacing w:after="0" w:line="210" w:lineRule="exact"/>
        <w:rPr>
          <w:rFonts w:ascii="Times New Roman" w:cs="Times New Roman" w:eastAsia="Times New Roman" w:hAnsi="Times New Roman"/>
          <w:sz w:val="18"/>
          <w:szCs w:val="18"/>
          <w:color w:val="auto"/>
        </w:rPr>
      </w:pPr>
    </w:p>
    <w:p>
      <w:pPr>
        <w:ind w:left="1420" w:right="40" w:hanging="319"/>
        <w:spacing w:after="0" w:line="258" w:lineRule="auto"/>
        <w:tabs>
          <w:tab w:leader="none" w:pos="142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Classified Board. </w:t>
      </w:r>
      <w:r>
        <w:rPr>
          <w:rFonts w:ascii="Times New Roman" w:cs="Times New Roman" w:eastAsia="Times New Roman" w:hAnsi="Times New Roman"/>
          <w:sz w:val="18"/>
          <w:szCs w:val="18"/>
          <w:color w:val="auto"/>
        </w:rPr>
        <w:t>Our amended and restated certificate of incorporation and amended and restated bylaws will provide that our board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directors will be classified into three classes of directors, each of which will hold office for a three-year term. In addition, directors may only be removed from the board of directors for cause and only by the approval of 66 2/3% of our then-outstanding shares of our common stock. A third party may be discouraged from making a tender offer or otherwise attempting to obtain control of us as it is more difficult and time consuming for stockholders to replace a majority of the directors on a classified board of directors.</w:t>
      </w:r>
    </w:p>
    <w:p>
      <w:pPr>
        <w:spacing w:after="0" w:line="210" w:lineRule="exact"/>
        <w:rPr>
          <w:rFonts w:ascii="Times New Roman" w:cs="Times New Roman" w:eastAsia="Times New Roman" w:hAnsi="Times New Roman"/>
          <w:sz w:val="18"/>
          <w:szCs w:val="18"/>
          <w:color w:val="auto"/>
        </w:rPr>
      </w:pPr>
    </w:p>
    <w:p>
      <w:pPr>
        <w:ind w:left="1420" w:hanging="319"/>
        <w:spacing w:after="0" w:line="258" w:lineRule="auto"/>
        <w:tabs>
          <w:tab w:leader="none" w:pos="142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Stockholder Action; Special Meeting of Stockholders. </w:t>
      </w:r>
      <w:r>
        <w:rPr>
          <w:rFonts w:ascii="Times New Roman" w:cs="Times New Roman" w:eastAsia="Times New Roman" w:hAnsi="Times New Roman"/>
          <w:sz w:val="18"/>
          <w:szCs w:val="18"/>
          <w:color w:val="auto"/>
        </w:rPr>
        <w:t>Our amended and restated certificate of incorporation will provide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stockholders will not be able to take action by written consent, and will only be able to take action at annual or special meetings of our stockholders. Stockholders will not be permitted to cumulate their votes for the election of directors. Our amended and restated bylaws will further provide that special meetings of our stockholders may be called only by a majority vote of our entire board of directors, the chairman of our board of directors or our chief executive officer.</w:t>
      </w:r>
    </w:p>
    <w:p>
      <w:pPr>
        <w:spacing w:after="0" w:line="210" w:lineRule="exact"/>
        <w:rPr>
          <w:rFonts w:ascii="Times New Roman" w:cs="Times New Roman" w:eastAsia="Times New Roman" w:hAnsi="Times New Roman"/>
          <w:sz w:val="18"/>
          <w:szCs w:val="18"/>
          <w:color w:val="auto"/>
        </w:rPr>
      </w:pPr>
    </w:p>
    <w:p>
      <w:pPr>
        <w:ind w:left="1420" w:right="20" w:hanging="319"/>
        <w:spacing w:after="0" w:line="258" w:lineRule="auto"/>
        <w:tabs>
          <w:tab w:leader="none" w:pos="142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Advance Notice Requirements for Stockholder Proposals and Director Nominations. </w:t>
      </w:r>
      <w:r>
        <w:rPr>
          <w:rFonts w:ascii="Times New Roman" w:cs="Times New Roman" w:eastAsia="Times New Roman" w:hAnsi="Times New Roman"/>
          <w:sz w:val="18"/>
          <w:szCs w:val="18"/>
          <w:color w:val="auto"/>
        </w:rPr>
        <w:t>Our amended and restated bylaws will provide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advance notice procedures for stockholders seeking to bring business before our annual meeting of stockholders, or to nominate candidates for election as directors at any meeting of stockholders. Our amended and restated bylaws will also specify certain requirements regarding the form and content of a stockholder’s notice. These provisions may preclude our stockholders from bringing matters before our annual meeting of stockholders or from making nominations for directors at our meetings of stockholders.</w:t>
      </w:r>
    </w:p>
    <w:p>
      <w:pPr>
        <w:spacing w:after="0" w:line="210" w:lineRule="exact"/>
        <w:rPr>
          <w:rFonts w:ascii="Times New Roman" w:cs="Times New Roman" w:eastAsia="Times New Roman" w:hAnsi="Times New Roman"/>
          <w:sz w:val="18"/>
          <w:szCs w:val="18"/>
          <w:color w:val="auto"/>
        </w:rPr>
      </w:pPr>
    </w:p>
    <w:p>
      <w:pPr>
        <w:ind w:left="1420" w:right="100" w:hanging="319"/>
        <w:spacing w:after="0" w:line="258" w:lineRule="auto"/>
        <w:tabs>
          <w:tab w:leader="none" w:pos="142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Issuance of Undesignated Preferred Stock. </w:t>
      </w:r>
      <w:r>
        <w:rPr>
          <w:rFonts w:ascii="Times New Roman" w:cs="Times New Roman" w:eastAsia="Times New Roman" w:hAnsi="Times New Roman"/>
          <w:sz w:val="18"/>
          <w:szCs w:val="18"/>
          <w:color w:val="auto"/>
        </w:rPr>
        <w:t>Our board of directors will have, the authority, without further action by the holders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common stock, to issue up to 10,000,000 shares of undesignated preferred stock with rights and preferences, including voting rights, designated from time to time by the board of directors. The existence of authorized but unissued shares of preferred stock will enable our board of directors to render more difficult or discourage an attempt to obtain control of us by means of a merger, tender offer, proxy contest or otherwise.</w:t>
      </w:r>
    </w:p>
    <w:p>
      <w:pPr>
        <w:spacing w:after="0" w:line="18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Choice of Forum</w:t>
      </w:r>
    </w:p>
    <w:p>
      <w:pPr>
        <w:spacing w:after="0" w:line="229" w:lineRule="exact"/>
        <w:rPr>
          <w:sz w:val="20"/>
          <w:szCs w:val="20"/>
          <w:color w:val="auto"/>
        </w:rPr>
      </w:pPr>
    </w:p>
    <w:p>
      <w:pPr>
        <w:ind w:left="120" w:right="20" w:firstLine="881"/>
        <w:spacing w:after="0" w:line="258" w:lineRule="auto"/>
        <w:rPr>
          <w:sz w:val="20"/>
          <w:szCs w:val="20"/>
          <w:color w:val="auto"/>
        </w:rPr>
      </w:pPr>
      <w:r>
        <w:rPr>
          <w:rFonts w:ascii="Times New Roman" w:cs="Times New Roman" w:eastAsia="Times New Roman" w:hAnsi="Times New Roman"/>
          <w:sz w:val="18"/>
          <w:szCs w:val="18"/>
          <w:color w:val="auto"/>
        </w:rPr>
        <w:t>Upon the completion of this offering, our amended and restated certificate of incorporation will provide that the Court of Chancery of the State of Delaware will be the exclusive forum for any derivative action or proceeding brought on our behalf; any action asserting a breach of fiduciary duty owed by any of our directors, officers, employees or stockholders to us or our stockholders; any action asserting a claim against us arising pursuant to the Delaware General Corporation Law, our amended and restated certificate of incorporation or our amended and restated bylaws or any action asserting a claim against us that is governed by the internal affairs</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-192-</w:t>
      </w:r>
    </w:p>
    <w:p>
      <w:pPr>
        <w:sectPr>
          <w:pgSz w:w="11900" w:h="16838" w:orient="portrait"/>
          <w:cols w:equalWidth="0" w:num="1">
            <w:col w:w="11100"/>
          </w:cols>
          <w:pgMar w:left="320" w:top="455" w:right="479" w:bottom="1440" w:gutter="0" w:footer="0" w:header="0"/>
        </w:sectPr>
      </w:pPr>
    </w:p>
    <w:bookmarkStart w:id="195" w:name="page196"/>
    <w:bookmarkEnd w:id="19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doctrine. Our amended and restated certificate of incorporation will also provide that the U.S. federal district courts will be the exclusive forum for resolving any complaint asserting a cause of action arising under the Securities Act. Some companies that adopted a similar federal district court forum selection provision were subject to a suit in the Chancery Court of Delaware by stockholders who asserted that the provision is not enforceable. While the Delaware Supreme Court held that such federal district court forum selection provision was in fact valid, there can be no assurance that federal courts or other state courts will follow the holding of the Delaware Supreme Court or determine that the our federal district court forum selection provision should be enforced in a particular case.</w:t>
      </w:r>
    </w:p>
    <w:p>
      <w:pPr>
        <w:spacing w:after="0" w:line="187" w:lineRule="exact"/>
        <w:rPr>
          <w:sz w:val="20"/>
          <w:szCs w:val="20"/>
          <w:color w:val="auto"/>
        </w:rPr>
      </w:pPr>
    </w:p>
    <w:p>
      <w:pPr>
        <w:ind w:left="120" w:firstLine="881"/>
        <w:spacing w:after="0" w:line="258" w:lineRule="auto"/>
        <w:rPr>
          <w:sz w:val="20"/>
          <w:szCs w:val="20"/>
          <w:color w:val="auto"/>
        </w:rPr>
      </w:pPr>
      <w:r>
        <w:rPr>
          <w:rFonts w:ascii="Times New Roman" w:cs="Times New Roman" w:eastAsia="Times New Roman" w:hAnsi="Times New Roman"/>
          <w:sz w:val="18"/>
          <w:szCs w:val="18"/>
          <w:color w:val="auto"/>
        </w:rPr>
        <w:t>These choice of forum provisions do not apply to actions brought to enforce a duty or liability created by the Exchange Act. We intend for the choice of forum provision regarding claims arising under the Securities Act to apply despite the fact that Section 22 of the Securities Act creates concurrent jurisdiction for federal and state courts over all actions brought to enforce any duty or liability created by the Securities Act or the rules and regulations thereunder. There is uncertainty as to whether a court would enforce such provision with respect to claims under the Securities Act, and our stockholders will not be deemed to have waived our compliance with the federal securities laws and the rules and regulations thereunder.</w:t>
      </w:r>
    </w:p>
    <w:p>
      <w:pPr>
        <w:spacing w:after="0" w:line="183" w:lineRule="exact"/>
        <w:rPr>
          <w:sz w:val="20"/>
          <w:szCs w:val="20"/>
          <w:color w:val="auto"/>
        </w:rPr>
      </w:pPr>
    </w:p>
    <w:p>
      <w:pPr>
        <w:ind w:left="120" w:right="20" w:firstLine="881"/>
        <w:spacing w:after="0" w:line="258" w:lineRule="auto"/>
        <w:rPr>
          <w:sz w:val="20"/>
          <w:szCs w:val="20"/>
          <w:color w:val="auto"/>
        </w:rPr>
      </w:pPr>
      <w:r>
        <w:rPr>
          <w:rFonts w:ascii="Times New Roman" w:cs="Times New Roman" w:eastAsia="Times New Roman" w:hAnsi="Times New Roman"/>
          <w:sz w:val="18"/>
          <w:szCs w:val="18"/>
          <w:color w:val="auto"/>
        </w:rPr>
        <w:t>These exclusive forum provisions may limit the ability of our stockholders to bring a claim in a judicial forum that such stockholders find favorable for disputes with us or our directors, officers or employees, which may discourage such lawsuits against us and our directors, officers and employees. Alternatively, if a court were to find such provisions contained in our certificate of incorporation to be inapplicable or unenforceable in an action, we may incur additional costs associated with resolving such action in other jurisdictions, which could materially adversely affect our business, financial condition and operating results.</w:t>
      </w:r>
    </w:p>
    <w:p>
      <w:pPr>
        <w:spacing w:after="0" w:line="1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22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Upon the completion of this offering, the transfer agent and registrar for our common stock will be ComputerShare Trust Company, N.A.</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transfer agent’s address is 462 South 4</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Street, Suite 1600, Louisville, KY 40202.</w:t>
      </w:r>
    </w:p>
    <w:p>
      <w:pPr>
        <w:spacing w:after="0" w:line="2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Listing</w:t>
      </w:r>
    </w:p>
    <w:p>
      <w:pPr>
        <w:spacing w:after="0" w:line="22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We have applied to list our common stock on the Nasdaq Global Market under the symbol “TARS.”</w:t>
      </w:r>
    </w:p>
    <w:p>
      <w:pPr>
        <w:spacing w:after="0" w:line="158"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color w:val="auto"/>
        </w:rPr>
        <w:t>-193-</w:t>
      </w:r>
    </w:p>
    <w:p>
      <w:pPr>
        <w:sectPr>
          <w:pgSz w:w="11900" w:h="16838" w:orient="portrait"/>
          <w:cols w:equalWidth="0" w:num="1">
            <w:col w:w="11000"/>
          </w:cols>
          <w:pgMar w:left="320" w:top="455" w:right="579" w:bottom="1440" w:gutter="0" w:footer="0" w:header="0"/>
        </w:sectPr>
      </w:pPr>
    </w:p>
    <w:bookmarkStart w:id="196" w:name="page197"/>
    <w:bookmarkEnd w:id="19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SHARES ELIGIBLE FOR FUTURE SALE</w:t>
      </w:r>
    </w:p>
    <w:p>
      <w:pPr>
        <w:spacing w:after="0" w:line="229" w:lineRule="exact"/>
        <w:rPr>
          <w:sz w:val="20"/>
          <w:szCs w:val="20"/>
          <w:color w:val="auto"/>
        </w:rPr>
      </w:pPr>
    </w:p>
    <w:p>
      <w:pPr>
        <w:ind w:left="120" w:right="40" w:firstLine="881"/>
        <w:spacing w:after="0" w:line="261" w:lineRule="auto"/>
        <w:rPr>
          <w:sz w:val="20"/>
          <w:szCs w:val="20"/>
          <w:color w:val="auto"/>
        </w:rPr>
      </w:pPr>
      <w:r>
        <w:rPr>
          <w:rFonts w:ascii="Times New Roman" w:cs="Times New Roman" w:eastAsia="Times New Roman" w:hAnsi="Times New Roman"/>
          <w:sz w:val="18"/>
          <w:szCs w:val="18"/>
          <w:color w:val="auto"/>
        </w:rPr>
        <w:t>Before this offering, there has not been a public market for shares of our common stock and a liquid trading market for our common stock may not develop or be sustained after this offering. Future sales of substantial amounts of shares of our common stock, including shares issued upon the exercise of outstanding options, in the public market following this offering or the possibility of these sales occurring, could cause the prevailing market price for our common stock to fall or impair our ability to raise equity capital through sales of equity securities in the future.</w:t>
      </w:r>
    </w:p>
    <w:p>
      <w:pPr>
        <w:spacing w:after="0" w:line="180" w:lineRule="exact"/>
        <w:rPr>
          <w:sz w:val="20"/>
          <w:szCs w:val="20"/>
          <w:color w:val="auto"/>
        </w:rPr>
      </w:pPr>
    </w:p>
    <w:p>
      <w:pPr>
        <w:ind w:left="120" w:right="400" w:firstLine="881"/>
        <w:spacing w:after="0" w:line="261" w:lineRule="auto"/>
        <w:rPr>
          <w:sz w:val="20"/>
          <w:szCs w:val="20"/>
          <w:color w:val="auto"/>
        </w:rPr>
      </w:pPr>
      <w:r>
        <w:rPr>
          <w:rFonts w:ascii="Times New Roman" w:cs="Times New Roman" w:eastAsia="Times New Roman" w:hAnsi="Times New Roman"/>
          <w:sz w:val="18"/>
          <w:szCs w:val="18"/>
          <w:color w:val="auto"/>
        </w:rPr>
        <w:t>Upon the closing of this offering, we will have outstanding shares of our common stock, based on the number of shares outstanding as of . This includes shares of common stock that we are selling in this offering, which shares may be resold in the</w:t>
      </w:r>
    </w:p>
    <w:p>
      <w:pPr>
        <w:ind w:left="120"/>
        <w:spacing w:after="0"/>
        <w:rPr>
          <w:sz w:val="20"/>
          <w:szCs w:val="20"/>
          <w:color w:val="auto"/>
        </w:rPr>
      </w:pPr>
      <w:r>
        <w:rPr>
          <w:rFonts w:ascii="Times New Roman" w:cs="Times New Roman" w:eastAsia="Times New Roman" w:hAnsi="Times New Roman"/>
          <w:sz w:val="18"/>
          <w:szCs w:val="18"/>
          <w:color w:val="auto"/>
        </w:rPr>
        <w:t>public market immediately unless purchased by our affiliates and assuming no additional exercise of outstanding options other than as described</w:t>
      </w:r>
    </w:p>
    <w:p>
      <w:pPr>
        <w:spacing w:after="0" w:line="200" w:lineRule="exact"/>
        <w:rPr>
          <w:sz w:val="20"/>
          <w:szCs w:val="20"/>
          <w:color w:val="auto"/>
        </w:rPr>
      </w:pPr>
    </w:p>
    <w:p>
      <w:pPr>
        <w:spacing w:after="0" w:line="205" w:lineRule="exact"/>
        <w:rPr>
          <w:sz w:val="20"/>
          <w:szCs w:val="20"/>
          <w:color w:val="auto"/>
        </w:rPr>
      </w:pPr>
    </w:p>
    <w:p>
      <w:pPr>
        <w:ind w:left="120" w:right="280"/>
        <w:spacing w:after="0" w:line="282" w:lineRule="auto"/>
        <w:rPr>
          <w:sz w:val="20"/>
          <w:szCs w:val="20"/>
          <w:color w:val="auto"/>
        </w:rPr>
      </w:pPr>
      <w:r>
        <w:rPr>
          <w:rFonts w:ascii="Times New Roman" w:cs="Times New Roman" w:eastAsia="Times New Roman" w:hAnsi="Times New Roman"/>
          <w:sz w:val="18"/>
          <w:szCs w:val="18"/>
          <w:color w:val="auto"/>
        </w:rPr>
        <w:t>elsewhere in this prospectus and the conversion of all outstanding shares of our preferred stock into an aggregate of shares of our common stock upon the closing of this offering.</w:t>
      </w:r>
    </w:p>
    <w:p>
      <w:pPr>
        <w:spacing w:after="0" w:line="162"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Of these shares, all shares sold in this offering will be freely tradable without restriction under the Securities Act, unless purchased by our</w:t>
      </w:r>
    </w:p>
    <w:p>
      <w:pPr>
        <w:spacing w:after="0" w:line="27"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“affiliates,” as that term is defined in Rule 144 under the Securities Act. The remaining shares of common stock that are not sold in this offering will be “restricted securities,” as that term is defined in Rule 144 under the Securities Act, and we expect that substantially all of these restricted securities will be subject to the 180-day lock-up period under the lock-up agreements as described below. These restricted securities are eligible for public sale only if they are registered under the Securities Act or if they qualify for an exemption from registration under Rule 144 or Rule 701 under the Securities Act, which are summarized below.</w:t>
      </w:r>
    </w:p>
    <w:p>
      <w:pPr>
        <w:spacing w:after="0" w:line="187" w:lineRule="exact"/>
        <w:rPr>
          <w:sz w:val="20"/>
          <w:szCs w:val="20"/>
          <w:color w:val="auto"/>
        </w:rPr>
      </w:pPr>
    </w:p>
    <w:p>
      <w:pPr>
        <w:jc w:val="both"/>
        <w:ind w:left="120" w:right="60" w:firstLine="881"/>
        <w:spacing w:after="0" w:line="272" w:lineRule="auto"/>
        <w:rPr>
          <w:sz w:val="20"/>
          <w:szCs w:val="20"/>
          <w:color w:val="auto"/>
        </w:rPr>
      </w:pPr>
      <w:r>
        <w:rPr>
          <w:rFonts w:ascii="Times New Roman" w:cs="Times New Roman" w:eastAsia="Times New Roman" w:hAnsi="Times New Roman"/>
          <w:sz w:val="17"/>
          <w:szCs w:val="17"/>
          <w:color w:val="auto"/>
        </w:rPr>
        <w:t>In addition, we, our executive officers and directors, and all of our other security holders have entered into market standoff agreements with us or lock-up agreements with the underwriters under which they have agreed, subject to specific exceptions, not to sell any of our capital stock until at least 180 days after the date of this prospectus, as described below. As a result of these agreements and the provisions of our investors’ rights agreement</w:t>
      </w:r>
    </w:p>
    <w:p>
      <w:pPr>
        <w:spacing w:after="0" w:line="2" w:lineRule="exact"/>
        <w:rPr>
          <w:sz w:val="20"/>
          <w:szCs w:val="20"/>
          <w:color w:val="auto"/>
        </w:rPr>
      </w:pPr>
    </w:p>
    <w:p>
      <w:pPr>
        <w:ind w:left="120" w:right="140"/>
        <w:spacing w:after="0" w:line="260" w:lineRule="auto"/>
        <w:rPr>
          <w:sz w:val="20"/>
          <w:szCs w:val="20"/>
          <w:color w:val="auto"/>
        </w:rPr>
      </w:pPr>
      <w:r>
        <w:rPr>
          <w:rFonts w:ascii="Times New Roman" w:cs="Times New Roman" w:eastAsia="Times New Roman" w:hAnsi="Times New Roman"/>
          <w:sz w:val="18"/>
          <w:szCs w:val="18"/>
          <w:color w:val="auto"/>
        </w:rPr>
        <w:t>disclosed in “Description of Capital Stock—Registration Rights,” subject to the provisions of Rule 144 or Rule 701, shares will be available for sale in the public market as follows:</w:t>
      </w:r>
    </w:p>
    <w:p>
      <w:pPr>
        <w:spacing w:after="0" w:line="208" w:lineRule="exact"/>
        <w:rPr>
          <w:sz w:val="20"/>
          <w:szCs w:val="20"/>
          <w:color w:val="auto"/>
        </w:rPr>
      </w:pPr>
    </w:p>
    <w:tbl>
      <w:tblPr>
        <w:tblLayout w:type="fixed"/>
        <w:tblInd w:w="1100" w:type="dxa"/>
        <w:tblCellMar>
          <w:top w:w="0" w:type="dxa"/>
          <w:left w:w="0" w:type="dxa"/>
          <w:bottom w:w="0" w:type="dxa"/>
          <w:right w:w="0" w:type="dxa"/>
        </w:tblCellMar>
      </w:tblPr>
      <w:tr>
        <w:trPr>
          <w:trHeight w:val="216"/>
        </w:trPr>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0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beginning on the date of this prospectus, the</w:t>
            </w:r>
          </w:p>
        </w:tc>
        <w:tc>
          <w:tcPr>
            <w:tcW w:w="5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shares sold in this offering will be immediately available for sale in the public</w:t>
            </w:r>
          </w:p>
        </w:tc>
      </w:tr>
      <w:tr>
        <w:trPr>
          <w:trHeight w:val="234"/>
        </w:trPr>
        <w:tc>
          <w:tcPr>
            <w:tcW w:w="200" w:type="dxa"/>
            <w:vAlign w:val="bottom"/>
          </w:tcPr>
          <w:p>
            <w:pPr>
              <w:spacing w:after="0"/>
              <w:rPr>
                <w:sz w:val="20"/>
                <w:szCs w:val="20"/>
                <w:color w:val="auto"/>
              </w:rPr>
            </w:pPr>
          </w:p>
        </w:tc>
        <w:tc>
          <w:tcPr>
            <w:tcW w:w="40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market, unless purchased by our affiliates;</w:t>
            </w:r>
          </w:p>
        </w:tc>
        <w:tc>
          <w:tcPr>
            <w:tcW w:w="5780" w:type="dxa"/>
            <w:vAlign w:val="bottom"/>
          </w:tcPr>
          <w:p>
            <w:pPr>
              <w:spacing w:after="0"/>
              <w:rPr>
                <w:sz w:val="20"/>
                <w:szCs w:val="20"/>
                <w:color w:val="auto"/>
              </w:rPr>
            </w:pPr>
          </w:p>
        </w:tc>
      </w:tr>
      <w:tr>
        <w:trPr>
          <w:trHeight w:val="441"/>
        </w:trPr>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0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beginning 181 days after the date of this prospectus,</w:t>
            </w:r>
          </w:p>
        </w:tc>
        <w:tc>
          <w:tcPr>
            <w:tcW w:w="5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additional shares will become eligible for sale in the public market, of</w:t>
            </w:r>
          </w:p>
        </w:tc>
      </w:tr>
      <w:tr>
        <w:trPr>
          <w:trHeight w:val="234"/>
        </w:trPr>
        <w:tc>
          <w:tcPr>
            <w:tcW w:w="200" w:type="dxa"/>
            <w:vAlign w:val="bottom"/>
          </w:tcPr>
          <w:p>
            <w:pPr>
              <w:spacing w:after="0"/>
              <w:rPr>
                <w:sz w:val="20"/>
                <w:szCs w:val="20"/>
                <w:color w:val="auto"/>
              </w:rPr>
            </w:pPr>
          </w:p>
        </w:tc>
        <w:tc>
          <w:tcPr>
            <w:tcW w:w="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which</w:t>
            </w:r>
          </w:p>
        </w:tc>
        <w:tc>
          <w:tcPr>
            <w:tcW w:w="8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shares will be held by affiliates and subject to the volume and other restrictions of Rule 144, as described below; and</w:t>
            </w:r>
          </w:p>
        </w:tc>
      </w:tr>
    </w:tbl>
    <w:p>
      <w:pPr>
        <w:spacing w:after="0" w:line="225" w:lineRule="exact"/>
        <w:rPr>
          <w:sz w:val="20"/>
          <w:szCs w:val="20"/>
          <w:color w:val="auto"/>
        </w:rPr>
      </w:pPr>
    </w:p>
    <w:p>
      <w:pPr>
        <w:ind w:left="1420" w:right="440" w:hanging="319"/>
        <w:spacing w:after="0" w:line="282" w:lineRule="auto"/>
        <w:tabs>
          <w:tab w:leader="none" w:pos="142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remainder of the shares will be eligible for sale in the public market from time to time thereafter, subject in some cases to the volume and other restrictions of Rule 144, as described below.</w:t>
      </w:r>
    </w:p>
    <w:p>
      <w:pPr>
        <w:spacing w:after="0" w:line="16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We cannot estimate the number of shares of our common stock that our existing stockholders will elect to sell under Rule 144.</w:t>
      </w:r>
    </w:p>
    <w:p>
      <w:pPr>
        <w:spacing w:after="0" w:line="2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Rule 144</w:t>
      </w:r>
    </w:p>
    <w:p>
      <w:pPr>
        <w:spacing w:after="0" w:line="229" w:lineRule="exact"/>
        <w:rPr>
          <w:sz w:val="20"/>
          <w:szCs w:val="20"/>
          <w:color w:val="auto"/>
        </w:rPr>
      </w:pPr>
    </w:p>
    <w:p>
      <w:pPr>
        <w:jc w:val="both"/>
        <w:ind w:left="120" w:right="80" w:firstLine="881"/>
        <w:spacing w:after="0" w:line="266" w:lineRule="auto"/>
        <w:rPr>
          <w:sz w:val="20"/>
          <w:szCs w:val="20"/>
          <w:color w:val="auto"/>
        </w:rPr>
      </w:pPr>
      <w:r>
        <w:rPr>
          <w:rFonts w:ascii="Times New Roman" w:cs="Times New Roman" w:eastAsia="Times New Roman" w:hAnsi="Times New Roman"/>
          <w:sz w:val="18"/>
          <w:szCs w:val="18"/>
          <w:color w:val="auto"/>
        </w:rPr>
        <w:t>In general, under Rule 144 as currently in effect, a person who has beneficially owned shares of our restricted common stock for at least six months would be entitled to sell their securities provided that such person is not deemed to have been one of our affiliates at the time of, or at any time during the 90 days preceding, a sale, and we are subject to the periodic reporting requirements of the Exchange Act, for at least 90 days before the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-194-</w:t>
      </w:r>
    </w:p>
    <w:p>
      <w:pPr>
        <w:sectPr>
          <w:pgSz w:w="11900" w:h="16838" w:orient="portrait"/>
          <w:cols w:equalWidth="0" w:num="1">
            <w:col w:w="11120"/>
          </w:cols>
          <w:pgMar w:left="320" w:top="455" w:right="459" w:bottom="1440" w:gutter="0" w:footer="0" w:header="0"/>
        </w:sectPr>
      </w:pPr>
    </w:p>
    <w:bookmarkStart w:id="197" w:name="page198"/>
    <w:bookmarkEnd w:id="19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sale. In addition, under Rule 144, any person who is not an affiliate of ours and has held their shares for at least one year, including the holding period of any prior owner other than one of our affiliates, would be entitled to sell an unlimited number of shares immediately upon the completion of this offering without regard to whether current public information about us is available. Persons who have beneficially owned shares of our restricted common stock for at least six months but who are our affiliates at the time of, or any time during the 90 days preceding, a sale, would be subject to additional restrictions, by which such person would be entitled to sell within any three-month period only a number of securities that does not exceed the greater of either of the following:</w:t>
      </w:r>
    </w:p>
    <w:p>
      <w:pPr>
        <w:sectPr>
          <w:pgSz w:w="11900" w:h="16838" w:orient="portrait"/>
          <w:cols w:equalWidth="0" w:num="1">
            <w:col w:w="11140"/>
          </w:cols>
          <w:pgMar w:left="320" w:top="455" w:right="439" w:bottom="1440" w:gutter="0" w:footer="0" w:header="0"/>
        </w:sectPr>
      </w:pPr>
    </w:p>
    <w:p>
      <w:pPr>
        <w:spacing w:after="0" w:line="214"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1% of the number of shares of our capital stock then outstanding, which will equal shares immediately after the completion of this offering, assuming no exercise by the underwriters of their option to purchase additional shares; or</w:t>
      </w:r>
    </w:p>
    <w:p>
      <w:pPr>
        <w:spacing w:after="0" w:line="189" w:lineRule="exact"/>
        <w:rPr>
          <w:sz w:val="20"/>
          <w:szCs w:val="20"/>
          <w:color w:val="auto"/>
        </w:rPr>
      </w:pPr>
    </w:p>
    <w:p>
      <w:pPr>
        <w:sectPr>
          <w:pgSz w:w="11900" w:h="16838" w:orient="portrait"/>
          <w:cols w:equalWidth="0" w:num="2">
            <w:col w:w="1160" w:space="260"/>
            <w:col w:w="9720"/>
          </w:cols>
          <w:pgMar w:left="320" w:top="455" w:right="439" w:bottom="1440" w:gutter="0" w:footer="0" w:header="0"/>
          <w:type w:val="continuous"/>
        </w:sectPr>
      </w:pPr>
    </w:p>
    <w:p>
      <w:pPr>
        <w:ind w:left="1420" w:right="40" w:hanging="319"/>
        <w:spacing w:after="0" w:line="282" w:lineRule="auto"/>
        <w:tabs>
          <w:tab w:leader="none" w:pos="142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weekly trading volume of our common stock on Nasdaq during the four calendar weeks preceding the filing of a notice on Form 144 with respect to such sale.</w:t>
      </w:r>
    </w:p>
    <w:p>
      <w:pPr>
        <w:spacing w:after="0" w:line="162" w:lineRule="exact"/>
        <w:rPr>
          <w:sz w:val="20"/>
          <w:szCs w:val="20"/>
          <w:color w:val="auto"/>
        </w:rPr>
      </w:pPr>
    </w:p>
    <w:p>
      <w:pPr>
        <w:ind w:left="120" w:right="320"/>
        <w:spacing w:after="0" w:line="312" w:lineRule="auto"/>
        <w:rPr>
          <w:sz w:val="20"/>
          <w:szCs w:val="20"/>
          <w:color w:val="auto"/>
        </w:rPr>
      </w:pPr>
      <w:r>
        <w:rPr>
          <w:rFonts w:ascii="Times New Roman" w:cs="Times New Roman" w:eastAsia="Times New Roman" w:hAnsi="Times New Roman"/>
          <w:sz w:val="17"/>
          <w:szCs w:val="17"/>
          <w:color w:val="auto"/>
        </w:rPr>
        <w:t>provided, in each case, that we have been subject to the Exchange Act periodic reporting requirements for at least 90 days before the sale. Such sales both by affiliates and by non-affiliates must also comply with the manner of sale, current public information and notice provisions of Rule 144.</w:t>
      </w:r>
    </w:p>
    <w:p>
      <w:pPr>
        <w:spacing w:after="0" w:line="13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Rule 701</w:t>
      </w:r>
    </w:p>
    <w:p>
      <w:pPr>
        <w:spacing w:after="0" w:line="229" w:lineRule="exact"/>
        <w:rPr>
          <w:sz w:val="20"/>
          <w:szCs w:val="20"/>
          <w:color w:val="auto"/>
        </w:rPr>
      </w:pPr>
    </w:p>
    <w:p>
      <w:pPr>
        <w:ind w:left="120" w:right="80" w:firstLine="881"/>
        <w:spacing w:after="0" w:line="273" w:lineRule="auto"/>
        <w:rPr>
          <w:sz w:val="20"/>
          <w:szCs w:val="20"/>
          <w:color w:val="auto"/>
        </w:rPr>
      </w:pPr>
      <w:r>
        <w:rPr>
          <w:rFonts w:ascii="Times New Roman" w:cs="Times New Roman" w:eastAsia="Times New Roman" w:hAnsi="Times New Roman"/>
          <w:sz w:val="17"/>
          <w:szCs w:val="17"/>
          <w:color w:val="auto"/>
        </w:rPr>
        <w:t>Any of our employees, directors, officers, consultants, advisors or service providers, other than a person who is deemed to have been one of our affiliates during the immediately preceding 90 days, who purchased shares under a written compensatory plan or contract prior to this offering may be entitled to rely on the resale provisions of Rule 701. Rule 701, as currently in effect, permits resales of shares, in reliance upon Rule 144 but without compliance with certain restrictions, including the holding period requirement, of Rule 144. Rule 701 further provides that non-affiliates may sell such shares in reliance on Rule 144 without having to comply with the public information, volume limitation or notice provisions of Rule 144. All holders of Rule 701 shares are required to wait until 90 days after the date of this prospectus before selling such shares if such resale is pursuant to Rule 701. All Rule 701 shares are, however, subject to lock-up agreements and will only become eligible for sale upon the expiration of these lock-up agreements.</w:t>
      </w:r>
    </w:p>
    <w:p>
      <w:pPr>
        <w:spacing w:after="0" w:line="16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Lock-Up Agreements</w:t>
      </w:r>
    </w:p>
    <w:p>
      <w:pPr>
        <w:spacing w:after="0" w:line="229" w:lineRule="exact"/>
        <w:rPr>
          <w:sz w:val="20"/>
          <w:szCs w:val="20"/>
          <w:color w:val="auto"/>
        </w:rPr>
      </w:pPr>
    </w:p>
    <w:p>
      <w:pPr>
        <w:ind w:left="120" w:right="100" w:firstLine="881"/>
        <w:spacing w:after="0" w:line="266" w:lineRule="auto"/>
        <w:rPr>
          <w:sz w:val="20"/>
          <w:szCs w:val="20"/>
          <w:color w:val="auto"/>
        </w:rPr>
      </w:pPr>
      <w:r>
        <w:rPr>
          <w:rFonts w:ascii="Times New Roman" w:cs="Times New Roman" w:eastAsia="Times New Roman" w:hAnsi="Times New Roman"/>
          <w:sz w:val="18"/>
          <w:szCs w:val="18"/>
          <w:color w:val="auto"/>
        </w:rPr>
        <w:t>In connection with this offering, we and each of our directors and officers and all of our other security holders have agreed that, without the prior written consent of BofA Securities, Inc. and Jefferies LLC, on behalf of the underwriters, we and they will not, subject to certain exceptions, during the period ending 180 days after the date of this prospectus:</w:t>
      </w:r>
    </w:p>
    <w:p>
      <w:pPr>
        <w:spacing w:after="0" w:line="203" w:lineRule="exact"/>
        <w:rPr>
          <w:sz w:val="20"/>
          <w:szCs w:val="20"/>
          <w:color w:val="auto"/>
        </w:rPr>
      </w:pPr>
    </w:p>
    <w:p>
      <w:pPr>
        <w:ind w:left="1420" w:right="140" w:hanging="319"/>
        <w:spacing w:after="0" w:line="261" w:lineRule="auto"/>
        <w:tabs>
          <w:tab w:leader="none" w:pos="142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offer, pledge, sell, contract to sell, sell any option or contract to purchase, purchase any option or contract to sell, grant any option, right or warrant to purchase, lend, or otherwise transfer or dispose of, directly or indirectly, shares of our common stock or any securities convertible into or exchangeable for shares of our common stock whether now owned or hereafter acquired or with respect to which such holder has or acquires the power of disposition, of the Lock-up Securities;</w:t>
      </w:r>
    </w:p>
    <w:p>
      <w:pPr>
        <w:spacing w:after="0" w:line="206" w:lineRule="exact"/>
        <w:rPr>
          <w:rFonts w:ascii="Times New Roman" w:cs="Times New Roman" w:eastAsia="Times New Roman" w:hAnsi="Times New Roman"/>
          <w:sz w:val="18"/>
          <w:szCs w:val="18"/>
          <w:color w:val="auto"/>
        </w:rPr>
      </w:pPr>
    </w:p>
    <w:p>
      <w:pPr>
        <w:ind w:left="1420" w:right="200" w:hanging="319"/>
        <w:spacing w:after="0" w:line="266" w:lineRule="auto"/>
        <w:tabs>
          <w:tab w:leader="none" w:pos="142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swap or other agreement or transaction that transfers to another, in whole or in part, directly or indirectly, any of the economic consequences of ownership of the Lock-up Securities, whether any such swap or transaction is to be settled by delivery of our common stock or such other securities, in cash or otherwise; or</w:t>
      </w:r>
    </w:p>
    <w:p>
      <w:pPr>
        <w:spacing w:after="0" w:line="20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publicly disclose the intention to do any of the foregoing.</w:t>
      </w:r>
    </w:p>
    <w:p>
      <w:pPr>
        <w:spacing w:after="0" w:line="157" w:lineRule="exact"/>
        <w:rPr>
          <w:rFonts w:ascii="Times New Roman" w:cs="Times New Roman" w:eastAsia="Times New Roman" w:hAnsi="Times New Roman"/>
          <w:sz w:val="18"/>
          <w:szCs w:val="18"/>
          <w:color w:val="auto"/>
        </w:rPr>
      </w:pPr>
    </w:p>
    <w:p>
      <w:pPr>
        <w:ind w:left="5480" w:hanging="96"/>
        <w:spacing w:after="0"/>
        <w:tabs>
          <w:tab w:leader="none" w:pos="5480" w:val="left"/>
        </w:tabs>
        <w:numPr>
          <w:ilvl w:val="1"/>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195 -</w:t>
      </w:r>
    </w:p>
    <w:p>
      <w:pPr>
        <w:sectPr>
          <w:pgSz w:w="11900" w:h="16838" w:orient="portrait"/>
          <w:cols w:equalWidth="0" w:num="1">
            <w:col w:w="11140"/>
          </w:cols>
          <w:pgMar w:left="320" w:top="455" w:right="439" w:bottom="1440" w:gutter="0" w:footer="0" w:header="0"/>
          <w:type w:val="continuous"/>
        </w:sectPr>
      </w:pPr>
    </w:p>
    <w:bookmarkStart w:id="198" w:name="page199"/>
    <w:bookmarkEnd w:id="19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20" w:firstLine="881"/>
        <w:spacing w:after="0" w:line="258" w:lineRule="auto"/>
        <w:rPr>
          <w:sz w:val="20"/>
          <w:szCs w:val="20"/>
          <w:color w:val="auto"/>
        </w:rPr>
      </w:pPr>
      <w:r>
        <w:rPr>
          <w:rFonts w:ascii="Times New Roman" w:cs="Times New Roman" w:eastAsia="Times New Roman" w:hAnsi="Times New Roman"/>
          <w:sz w:val="18"/>
          <w:szCs w:val="18"/>
          <w:color w:val="auto"/>
        </w:rPr>
        <w:t>Each of our directors and executive officers and the holders of substantially all of our outstanding stock and stock options have also agreed during such 180-period not to make any demand for, or exercise any right with respect to, or confidentially submit or cause to be filed or confidentially submitted any registration statement under the Securities Act with respect to, the registration of shares of our common stock or any securities convertible into or exercisable or exchangeable for shares of our common stock, or warrants or other rights to purchase shares of our common stock or any such securities.</w:t>
      </w:r>
    </w:p>
    <w:p>
      <w:pPr>
        <w:spacing w:after="0" w:line="183" w:lineRule="exact"/>
        <w:rPr>
          <w:sz w:val="20"/>
          <w:szCs w:val="20"/>
          <w:color w:val="auto"/>
        </w:rPr>
      </w:pPr>
    </w:p>
    <w:p>
      <w:pPr>
        <w:ind w:left="120" w:firstLine="881"/>
        <w:spacing w:after="0" w:line="266" w:lineRule="auto"/>
        <w:rPr>
          <w:sz w:val="20"/>
          <w:szCs w:val="20"/>
          <w:color w:val="auto"/>
        </w:rPr>
      </w:pPr>
      <w:r>
        <w:rPr>
          <w:rFonts w:ascii="Times New Roman" w:cs="Times New Roman" w:eastAsia="Times New Roman" w:hAnsi="Times New Roman"/>
          <w:sz w:val="18"/>
          <w:szCs w:val="18"/>
          <w:color w:val="auto"/>
        </w:rPr>
        <w:t>Certain of our employees, including our executive officers, and directors may enter into written trading plans that are intended to comply with Rule 10b5-1 under the Exchange Act. Sales under these trading plans would not be permitted until the expiration of the lock-up agreements relating to our initial public offering described above.</w:t>
      </w:r>
    </w:p>
    <w:p>
      <w:pPr>
        <w:spacing w:after="0" w:line="1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Registration Rights</w:t>
      </w:r>
    </w:p>
    <w:p>
      <w:pPr>
        <w:spacing w:after="0" w:line="229" w:lineRule="exact"/>
        <w:rPr>
          <w:sz w:val="20"/>
          <w:szCs w:val="20"/>
          <w:color w:val="auto"/>
        </w:rPr>
      </w:pPr>
    </w:p>
    <w:p>
      <w:pPr>
        <w:ind w:left="120" w:right="80" w:firstLine="881"/>
        <w:spacing w:after="0" w:line="256" w:lineRule="auto"/>
        <w:rPr>
          <w:sz w:val="20"/>
          <w:szCs w:val="20"/>
          <w:color w:val="auto"/>
        </w:rPr>
      </w:pPr>
      <w:r>
        <w:rPr>
          <w:rFonts w:ascii="Times New Roman" w:cs="Times New Roman" w:eastAsia="Times New Roman" w:hAnsi="Times New Roman"/>
          <w:sz w:val="18"/>
          <w:szCs w:val="18"/>
          <w:color w:val="auto"/>
        </w:rPr>
        <w:t>Under our amended and restated investors’ rights agreement, after the completion of this offering, the holders of up to shares of our common stock will, subject to the lock-up agreements referred to above, be entitled to certain rights, subject to certain conditions, to require us to file registration statements covering their shares or to include their shares in registration statements that we may file for ourselves or other stockholders. The registration of these shares of our common stock under the Securities Act would result in these shares becoming eligible for sale in the public market without restriction under the Securities Act immediately upon the effectiveness of such registration, subject to the Rule 144 limitations applicable to affiliates. See the section titled “Description of Capital Stock—Registration Rights” for a description of these registration rights.</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Equity Plans</w:t>
      </w:r>
    </w:p>
    <w:p>
      <w:pPr>
        <w:spacing w:after="0" w:line="229" w:lineRule="exact"/>
        <w:rPr>
          <w:sz w:val="20"/>
          <w:szCs w:val="20"/>
          <w:color w:val="auto"/>
        </w:rPr>
      </w:pPr>
    </w:p>
    <w:p>
      <w:pPr>
        <w:ind w:left="120" w:right="80" w:firstLine="881"/>
        <w:spacing w:after="0" w:line="255" w:lineRule="auto"/>
        <w:rPr>
          <w:sz w:val="20"/>
          <w:szCs w:val="20"/>
          <w:color w:val="auto"/>
        </w:rPr>
      </w:pPr>
      <w:r>
        <w:rPr>
          <w:rFonts w:ascii="Times New Roman" w:cs="Times New Roman" w:eastAsia="Times New Roman" w:hAnsi="Times New Roman"/>
          <w:sz w:val="18"/>
          <w:szCs w:val="18"/>
          <w:color w:val="auto"/>
        </w:rPr>
        <w:t>As of June 30, 2020, we had outstanding options to purchase an aggregate of 9,141,330 shares of our common stock under the 2016 Plan. Following this offering, we intend to file a registration statement on Form S-8 under the Securities Act to register all of the shares of our common stock subject to options outstanding or reserved for issuance under the 2016 Plan, the 2020 Plan and the 2020 ESPP. We expect to file this registration statement as soon as practicable after the completion of this offering. This registration statement will become effective immediately upon filing, and shares covered by this registration statement will thereupon be eligible for sale in the public markets, subject to vesting restrictions, the lock-up agreements described above and Rule 144 limitations applicable to affiliates. For a more complete discussion of our stock plans, see “Executive Compensation—Equity Plans.”</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-196-</w:t>
      </w:r>
    </w:p>
    <w:p>
      <w:pPr>
        <w:sectPr>
          <w:pgSz w:w="11900" w:h="16838" w:orient="portrait"/>
          <w:cols w:equalWidth="0" w:num="1">
            <w:col w:w="11120"/>
          </w:cols>
          <w:pgMar w:left="320" w:top="455" w:right="459" w:bottom="1440" w:gutter="0" w:footer="0" w:header="0"/>
        </w:sectPr>
      </w:pPr>
    </w:p>
    <w:bookmarkStart w:id="199" w:name="page200"/>
    <w:bookmarkEnd w:id="19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MATERIAL U.S. FEDERAL INCOME TAX CONSEQUENCES</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FOR NON-U.S. HOLDERS OF OUR COMMON STOCK</w:t>
      </w:r>
    </w:p>
    <w:p>
      <w:pPr>
        <w:spacing w:after="0" w:line="207" w:lineRule="exact"/>
        <w:rPr>
          <w:sz w:val="20"/>
          <w:szCs w:val="20"/>
          <w:color w:val="auto"/>
        </w:rPr>
      </w:pPr>
    </w:p>
    <w:p>
      <w:pPr>
        <w:ind w:left="120" w:right="40" w:firstLine="881"/>
        <w:spacing w:after="0" w:line="261" w:lineRule="auto"/>
        <w:rPr>
          <w:sz w:val="20"/>
          <w:szCs w:val="20"/>
          <w:color w:val="auto"/>
        </w:rPr>
      </w:pPr>
      <w:r>
        <w:rPr>
          <w:rFonts w:ascii="Times New Roman" w:cs="Times New Roman" w:eastAsia="Times New Roman" w:hAnsi="Times New Roman"/>
          <w:sz w:val="18"/>
          <w:szCs w:val="18"/>
          <w:color w:val="auto"/>
        </w:rPr>
        <w:t>The following is a general discussion of the material U.S. federal income tax considerations applicable to non-U.S. holders (as defined below) with respect to their ownership and disposition of shares of our common stock issued pursuant to this offering. For purposes of this discussion, a non-U.S. holder means a beneficial owner of our common stock (other than an entity or arrangement that is treated as a partnership for U.S. federal income tax purposes) that is not, for U.S. federal income tax purposes, any of the following:</w:t>
      </w:r>
    </w:p>
    <w:p>
      <w:pPr>
        <w:spacing w:after="0" w:line="207" w:lineRule="exact"/>
        <w:rPr>
          <w:sz w:val="20"/>
          <w:szCs w:val="20"/>
          <w:color w:val="auto"/>
        </w:rPr>
      </w:pPr>
    </w:p>
    <w:p>
      <w:pPr>
        <w:ind w:left="1420" w:hanging="319"/>
        <w:spacing w:after="0"/>
        <w:tabs>
          <w:tab w:leader="none" w:pos="142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citizen or resident of the United States;</w:t>
      </w:r>
    </w:p>
    <w:p>
      <w:pPr>
        <w:spacing w:after="0" w:line="252" w:lineRule="exact"/>
        <w:rPr>
          <w:rFonts w:ascii="Times New Roman" w:cs="Times New Roman" w:eastAsia="Times New Roman" w:hAnsi="Times New Roman"/>
          <w:sz w:val="18"/>
          <w:szCs w:val="18"/>
          <w:color w:val="auto"/>
        </w:rPr>
      </w:pPr>
    </w:p>
    <w:p>
      <w:pPr>
        <w:ind w:left="1420" w:right="160" w:hanging="319"/>
        <w:spacing w:after="0" w:line="282" w:lineRule="auto"/>
        <w:tabs>
          <w:tab w:leader="none" w:pos="142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treated as a corporation for U.S. federal income tax purposes) created or organized in the United States or under the laws of the United States, any state thereof or the District of Columbia;</w:t>
      </w:r>
    </w:p>
    <w:p>
      <w:pPr>
        <w:spacing w:after="0" w:line="188"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includable in gross income for U.S. federal income tax purposes regardless of its source; or</w:t>
      </w:r>
    </w:p>
    <w:p>
      <w:pPr>
        <w:spacing w:after="0" w:line="252" w:lineRule="exact"/>
        <w:rPr>
          <w:rFonts w:ascii="Times New Roman" w:cs="Times New Roman" w:eastAsia="Times New Roman" w:hAnsi="Times New Roman"/>
          <w:sz w:val="18"/>
          <w:szCs w:val="18"/>
          <w:color w:val="auto"/>
        </w:rPr>
      </w:pPr>
    </w:p>
    <w:p>
      <w:pPr>
        <w:ind w:left="1420" w:right="20" w:hanging="319"/>
        <w:spacing w:after="0" w:line="266" w:lineRule="auto"/>
        <w:tabs>
          <w:tab w:leader="none" w:pos="142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if (i) a court within the United States is able to exercise primary supervision over the administration of the trust and one or more “U.S. persons,” as defined under the Code, have the authority to control all substantial decisions of the trust or (ii) such trust has made a valid election to be treated as a U.S. person for U.S. federal income tax purposes.</w:t>
      </w:r>
    </w:p>
    <w:p>
      <w:pPr>
        <w:spacing w:after="0" w:line="176" w:lineRule="exact"/>
        <w:rPr>
          <w:sz w:val="20"/>
          <w:szCs w:val="20"/>
          <w:color w:val="auto"/>
        </w:rPr>
      </w:pPr>
    </w:p>
    <w:p>
      <w:pPr>
        <w:ind w:left="120" w:firstLine="881"/>
        <w:spacing w:after="0" w:line="269" w:lineRule="auto"/>
        <w:rPr>
          <w:sz w:val="20"/>
          <w:szCs w:val="20"/>
          <w:color w:val="auto"/>
        </w:rPr>
      </w:pPr>
      <w:r>
        <w:rPr>
          <w:rFonts w:ascii="Times New Roman" w:cs="Times New Roman" w:eastAsia="Times New Roman" w:hAnsi="Times New Roman"/>
          <w:sz w:val="17"/>
          <w:szCs w:val="17"/>
          <w:color w:val="auto"/>
        </w:rPr>
        <w:t>This discussion is based on current provisions of the Code, existing, temporary and proposed Treasury Regulations promulgated thereunder, judicial opinions, published positions of the Internal Revenue Service or, the IRS, and other applicable authorities, all of which are subject to change or to differing interpretation, possibly with retroactive effect. This discussion assumes that a non-U.S. holder holds shares of our common stock as a capital asset (generally, property held for investment) for U.S. federal income tax purposes. This discussion does not address all aspects of U.S. federal income taxation that may be important to a particular non-U.S. holder in light of that non-U.S. holder’s individual circumstances, nor does it address any aspects of the unearned income Medicare contribution tax pursuant to the Health Care and Education Reconciliation Act of 2010, any U.S. gift taxes, any U.S. alternative minimum taxes or any state, local or non-U.S. taxes. This discussion may not apply, in whole or in part, to particular non-U.S. holders in light of their individual circumstances or to holders subject to special treatment under the U.S. federal income tax laws (such as insurance companies, tax-exempt organizations, financial institutions, brokers or dealers in securities, “controlled foreign corporations,” “passive foreign investment companies,” non-U.S. holders that hold our common stock as part of a straddle, hedge, conversion transaction or other integrated investment and certain U.S. expatriates). If a partnership (or other entity or arrangement treated as a partnership for U.S. federal income tax purposes) holds our common stock, the tax treatment of a partner therein will generally depend on the status of the partner and the activities of the partnership. Partners of a partnership holding our common stock should consult their tax advisor as to the particular U.S. federal income tax consequences applicable to them.</w:t>
      </w:r>
    </w:p>
    <w:p>
      <w:pPr>
        <w:spacing w:after="0" w:line="172" w:lineRule="exact"/>
        <w:rPr>
          <w:sz w:val="20"/>
          <w:szCs w:val="20"/>
          <w:color w:val="auto"/>
        </w:rPr>
      </w:pPr>
    </w:p>
    <w:p>
      <w:pPr>
        <w:ind w:left="120" w:right="600"/>
        <w:spacing w:after="0" w:line="268" w:lineRule="auto"/>
        <w:rPr>
          <w:sz w:val="20"/>
          <w:szCs w:val="20"/>
          <w:color w:val="auto"/>
        </w:rPr>
      </w:pPr>
      <w:r>
        <w:rPr>
          <w:rFonts w:ascii="Times New Roman" w:cs="Times New Roman" w:eastAsia="Times New Roman" w:hAnsi="Times New Roman"/>
          <w:sz w:val="18"/>
          <w:szCs w:val="18"/>
          <w:b w:val="1"/>
          <w:bCs w:val="1"/>
          <w:color w:val="auto"/>
        </w:rPr>
        <w:t>INVESTORS CONSIDERING THE PURCHASE OF OUR COMMON STOCK SHOULD CONSULT THEIR OWN TAX ADVISORS REGARDING THE APPLICATION OF THE U.S. FEDERAL INCOME AND ESTATE TAX LAWS TO THEIR PARTICULAR SITUATIONS AND THE CONSEQUENCES OF NON-U.S., STATE, OR LOCAL LAWS AND TAX TREATIES.</w:t>
      </w:r>
    </w:p>
    <w:p>
      <w:pPr>
        <w:spacing w:after="0" w:line="17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229" w:lineRule="exact"/>
        <w:rPr>
          <w:sz w:val="20"/>
          <w:szCs w:val="20"/>
          <w:color w:val="auto"/>
        </w:rPr>
      </w:pPr>
    </w:p>
    <w:p>
      <w:pPr>
        <w:ind w:left="120" w:right="180" w:firstLine="881"/>
        <w:spacing w:after="0" w:line="266" w:lineRule="auto"/>
        <w:rPr>
          <w:sz w:val="20"/>
          <w:szCs w:val="20"/>
          <w:color w:val="auto"/>
        </w:rPr>
      </w:pPr>
      <w:r>
        <w:rPr>
          <w:rFonts w:ascii="Times New Roman" w:cs="Times New Roman" w:eastAsia="Times New Roman" w:hAnsi="Times New Roman"/>
          <w:sz w:val="18"/>
          <w:szCs w:val="18"/>
          <w:color w:val="auto"/>
        </w:rPr>
        <w:t>We do not expect to declare or make any distributions on our common stock in the foreseeable future. If we do pay dividends on shares of our common stock, however, such distributions will constitute dividends for U.S. federal income tax purposes to the extent paid from our current or accumulated earnings and profits, as</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-197-</w:t>
      </w:r>
    </w:p>
    <w:p>
      <w:pPr>
        <w:sectPr>
          <w:pgSz w:w="11900" w:h="16838" w:orient="portrait"/>
          <w:cols w:equalWidth="0" w:num="1">
            <w:col w:w="11100"/>
          </w:cols>
          <w:pgMar w:left="320" w:top="455" w:right="479" w:bottom="1440" w:gutter="0" w:footer="0" w:header="0"/>
        </w:sectPr>
      </w:pPr>
    </w:p>
    <w:bookmarkStart w:id="200" w:name="page201"/>
    <w:bookmarkEnd w:id="20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determined under U.S. federal income tax principles. Distributions in excess of our current and accumulated earnings and profits will constitute a return of capital that is applied against and reduces, but not below zero, a non-U.S. holder’s adjusted tax basis in shares of our common stock. Any excess will be treated as capital gain and will be subject to the treatment described below under “—Gain on Sale or Other Disposition of Common Stock.” Any distributions will also be subject to the discussion below under “—Backup Withholding and Information Reporting” and “—Foreign Account Tax Compliance Act.”</w:t>
      </w:r>
    </w:p>
    <w:p>
      <w:pPr>
        <w:spacing w:after="0" w:line="183" w:lineRule="exact"/>
        <w:rPr>
          <w:sz w:val="20"/>
          <w:szCs w:val="20"/>
          <w:color w:val="auto"/>
        </w:rPr>
      </w:pPr>
    </w:p>
    <w:p>
      <w:pPr>
        <w:ind w:left="120" w:firstLine="881"/>
        <w:spacing w:after="0" w:line="253" w:lineRule="auto"/>
        <w:rPr>
          <w:sz w:val="20"/>
          <w:szCs w:val="20"/>
          <w:color w:val="auto"/>
        </w:rPr>
      </w:pPr>
      <w:r>
        <w:rPr>
          <w:rFonts w:ascii="Times New Roman" w:cs="Times New Roman" w:eastAsia="Times New Roman" w:hAnsi="Times New Roman"/>
          <w:sz w:val="18"/>
          <w:szCs w:val="18"/>
          <w:color w:val="auto"/>
        </w:rPr>
        <w:t>Any dividend paid to a non-U.S. holder on our common stock that is not effectively connected with a non-U.S. holder’s conduct of a trade or business in the United States will generally be subject to U.S. withholding tax at a 30% rate. The withholding tax might apply at a reduced rate, however, under the terms of an applicable income tax treaty between the United States and the non-U.S. holder’s country of residence. You should consult your own tax advisors regarding your entitlement to benefits under a relevant income tax treaty. Generally, in order for us or our paying agent to withhold tax at a lower treaty rate, a non-U.S. holder must certify its entitlement to treaty benefits. A non-U.S. holder generally can meet this certification requirement by providing an IRS Form W-8BEN, W-8BENE or other appropriate form (or any successor or substitute form thereof) to us or our paying agent. If the non-U.S. holder holds the stock through a financial institution or other agent acting on the holder’s behalf, the holder will be required to provide appropriate documentation to the holder’s agent. The holder’s agent will then be required to provide certification to us or our paying agent, either directly or through other intermediaries. If you are eligible for a reduced rate of U.S. federal withholding tax under an income tax treaty, you may obtain a refund or credit of any excess amounts withheld by filing an appropriate claim for a refund with the IRS in a timely manner.</w:t>
      </w:r>
    </w:p>
    <w:p>
      <w:pPr>
        <w:spacing w:after="0" w:line="194" w:lineRule="exact"/>
        <w:rPr>
          <w:sz w:val="20"/>
          <w:szCs w:val="20"/>
          <w:color w:val="auto"/>
        </w:rPr>
      </w:pPr>
    </w:p>
    <w:p>
      <w:pPr>
        <w:ind w:left="120" w:right="100" w:firstLine="881"/>
        <w:spacing w:after="0" w:line="254" w:lineRule="auto"/>
        <w:rPr>
          <w:sz w:val="20"/>
          <w:szCs w:val="20"/>
          <w:color w:val="auto"/>
        </w:rPr>
      </w:pPr>
      <w:r>
        <w:rPr>
          <w:rFonts w:ascii="Times New Roman" w:cs="Times New Roman" w:eastAsia="Times New Roman" w:hAnsi="Times New Roman"/>
          <w:sz w:val="18"/>
          <w:szCs w:val="18"/>
          <w:color w:val="auto"/>
        </w:rPr>
        <w:t>Dividends received by a non-U.S. holder that are effectively connected with a U.S. trade or business conducted by the non-U.S. holder, and if required by an applicable income tax treaty between the United States and the non-U.S. holder’s country of residence, are attributable to a permanent establishment maintained by the non-U.S. holder in the United States, are not subject to U.S. withholding tax. To obtain this exemption, a non-U.S. holder must provide us or our paying agent with an IRS Form W-8ECI properly certifying such exemption. Such effectively connected dividends, although not subject to withholding tax, are taxed at the same graduated rates applicable to U.S. persons, net of certain deductions and credits. In addition to being taxed at graduated tax rates, dividends received by a corporate non-U.S. holder that are effectively connected with a U.S. trade or business of the corporate non-U.S. holder may also be subject to a branch profits tax at a rate of 30% or such lower rate as may be specified by an applicable tax treaty.</w:t>
      </w:r>
    </w:p>
    <w:p>
      <w:pPr>
        <w:spacing w:after="0" w:line="1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Gain on Sale or Other Disposition of Common Stock</w:t>
      </w:r>
    </w:p>
    <w:p>
      <w:pPr>
        <w:spacing w:after="0" w:line="229" w:lineRule="exact"/>
        <w:rPr>
          <w:sz w:val="20"/>
          <w:szCs w:val="20"/>
          <w:color w:val="auto"/>
        </w:rPr>
      </w:pPr>
    </w:p>
    <w:p>
      <w:pPr>
        <w:jc w:val="both"/>
        <w:ind w:left="120" w:right="20" w:firstLine="881"/>
        <w:spacing w:after="0" w:line="266" w:lineRule="auto"/>
        <w:rPr>
          <w:sz w:val="20"/>
          <w:szCs w:val="20"/>
          <w:color w:val="auto"/>
        </w:rPr>
      </w:pPr>
      <w:r>
        <w:rPr>
          <w:rFonts w:ascii="Times New Roman" w:cs="Times New Roman" w:eastAsia="Times New Roman" w:hAnsi="Times New Roman"/>
          <w:sz w:val="18"/>
          <w:szCs w:val="18"/>
          <w:color w:val="auto"/>
        </w:rPr>
        <w:t>Subject to the discussion below under “—Backup Withholding and Information Reporting” and “—Foreign Account Tax Compliance Act,” non-U.S. holders will generally not be subject to U.S. federal income tax on any gains realized on the sale, exchange or other disposition of our common stock unless:</w:t>
      </w:r>
    </w:p>
    <w:p>
      <w:pPr>
        <w:spacing w:after="0" w:line="203" w:lineRule="exact"/>
        <w:rPr>
          <w:sz w:val="20"/>
          <w:szCs w:val="20"/>
          <w:color w:val="auto"/>
        </w:rPr>
      </w:pPr>
    </w:p>
    <w:p>
      <w:pPr>
        <w:ind w:left="1420" w:right="140" w:hanging="319"/>
        <w:spacing w:after="0" w:line="266" w:lineRule="auto"/>
        <w:tabs>
          <w:tab w:leader="none" w:pos="142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gain (i) is effectively connected with the conduct by the non-U.S. holder of a U.S. trade or business and (ii) if required by an applicable income tax treaty between the United States and the non-U.S. holder’s country of residence, is attributable to a permanent establishment maintained by the non-U.S. holder in the United States (in which case the special rules described below apply);</w:t>
      </w:r>
    </w:p>
    <w:p>
      <w:pPr>
        <w:spacing w:after="0" w:line="202" w:lineRule="exact"/>
        <w:rPr>
          <w:rFonts w:ascii="Times New Roman" w:cs="Times New Roman" w:eastAsia="Times New Roman" w:hAnsi="Times New Roman"/>
          <w:sz w:val="18"/>
          <w:szCs w:val="18"/>
          <w:color w:val="auto"/>
        </w:rPr>
      </w:pPr>
    </w:p>
    <w:p>
      <w:pPr>
        <w:ind w:left="1420" w:right="100" w:hanging="319"/>
        <w:spacing w:after="0" w:line="261" w:lineRule="auto"/>
        <w:tabs>
          <w:tab w:leader="none" w:pos="142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non-U.S. holder is an individual who is present in the United States for 183 days or more in the taxable year of the sale, exchange or other disposition of our common stock, and certain other requirements are met (in which case the gain would be subject to a flat 30% tax, or such reduced rate as may be specified by an applicable income tax treaty, which may be offset by U.S. source capital losses, even though the individual is not considered a resident of the United States); or</w:t>
      </w:r>
    </w:p>
    <w:p>
      <w:pPr>
        <w:spacing w:after="0" w:line="206" w:lineRule="exact"/>
        <w:rPr>
          <w:rFonts w:ascii="Times New Roman" w:cs="Times New Roman" w:eastAsia="Times New Roman" w:hAnsi="Times New Roman"/>
          <w:sz w:val="18"/>
          <w:szCs w:val="18"/>
          <w:color w:val="auto"/>
        </w:rPr>
      </w:pPr>
    </w:p>
    <w:p>
      <w:pPr>
        <w:ind w:left="1420" w:right="180" w:hanging="319"/>
        <w:spacing w:after="0" w:line="282" w:lineRule="auto"/>
        <w:tabs>
          <w:tab w:leader="none" w:pos="142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rules of the Foreign Investment in Real Property Tax Act, or FIRPTA, treat the gain as effectively connected with a U.S. trade or business.</w:t>
      </w:r>
    </w:p>
    <w:p>
      <w:pPr>
        <w:spacing w:after="0" w:line="94" w:lineRule="exact"/>
        <w:rPr>
          <w:rFonts w:ascii="Times New Roman" w:cs="Times New Roman" w:eastAsia="Times New Roman" w:hAnsi="Times New Roman"/>
          <w:sz w:val="18"/>
          <w:szCs w:val="18"/>
          <w:color w:val="auto"/>
        </w:rPr>
      </w:pPr>
    </w:p>
    <w:p>
      <w:pPr>
        <w:ind w:left="5480" w:hanging="96"/>
        <w:spacing w:after="0"/>
        <w:tabs>
          <w:tab w:leader="none" w:pos="5480" w:val="left"/>
        </w:tabs>
        <w:numPr>
          <w:ilvl w:val="1"/>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198 -</w:t>
      </w:r>
    </w:p>
    <w:p>
      <w:pPr>
        <w:sectPr>
          <w:pgSz w:w="11900" w:h="16838" w:orient="portrait"/>
          <w:cols w:equalWidth="0" w:num="1">
            <w:col w:w="11120"/>
          </w:cols>
          <w:pgMar w:left="320" w:top="455" w:right="459" w:bottom="1440" w:gutter="0" w:footer="0" w:header="0"/>
        </w:sectPr>
      </w:pPr>
    </w:p>
    <w:bookmarkStart w:id="201" w:name="page202"/>
    <w:bookmarkEnd w:id="20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60" w:firstLine="881"/>
        <w:spacing w:after="0" w:line="273" w:lineRule="auto"/>
        <w:rPr>
          <w:sz w:val="20"/>
          <w:szCs w:val="20"/>
          <w:color w:val="auto"/>
        </w:rPr>
      </w:pPr>
      <w:r>
        <w:rPr>
          <w:rFonts w:ascii="Times New Roman" w:cs="Times New Roman" w:eastAsia="Times New Roman" w:hAnsi="Times New Roman"/>
          <w:sz w:val="17"/>
          <w:szCs w:val="17"/>
          <w:color w:val="auto"/>
        </w:rPr>
        <w:t>The FIRPTA rules may apply to a sale, exchange or other disposition of our common stock if we are, or were within the shorter of the five-year period preceding the disposition and the non-U.S. holder’s holding period, a “U.S. real property holding corporation,” or USRPHC. In general, we would be a USRPHC if interests in U.S. real estate comprised at least half of the value of our business assets. We do not believe that we are a USRPHC and we do not anticipate becoming one in the future. Even if we are or were to become a USRPHC, gain arising from the sale or other taxable disposition by a non-U.S. holder will not be subject to U.S. federal income tax if our common stock is “regularly traded,” as defined by applicable Treasury Regulations, on an established securities market, and such non-U.S. holder owned, actually and constructively, 5% or less of our common stock throughout the shorter of the five-year period ending on the date of the sale or other taxable disposition or the non-U.S. holder’s holding period.</w:t>
      </w:r>
    </w:p>
    <w:p>
      <w:pPr>
        <w:spacing w:after="0" w:line="171" w:lineRule="exact"/>
        <w:rPr>
          <w:sz w:val="20"/>
          <w:szCs w:val="20"/>
          <w:color w:val="auto"/>
        </w:rPr>
      </w:pPr>
    </w:p>
    <w:p>
      <w:pPr>
        <w:ind w:left="120" w:right="140" w:firstLine="881"/>
        <w:spacing w:after="0" w:line="255" w:lineRule="auto"/>
        <w:rPr>
          <w:sz w:val="20"/>
          <w:szCs w:val="20"/>
          <w:color w:val="auto"/>
        </w:rPr>
      </w:pPr>
      <w:r>
        <w:rPr>
          <w:rFonts w:ascii="Times New Roman" w:cs="Times New Roman" w:eastAsia="Times New Roman" w:hAnsi="Times New Roman"/>
          <w:sz w:val="18"/>
          <w:szCs w:val="18"/>
          <w:color w:val="auto"/>
        </w:rPr>
        <w:t>If any gain from the sale, exchange or other disposition of our common stock, (i) is effectively connected with a U.S. trade or business conducted by a non-U.S. holder and (ii) if required by an applicable income tax treaty between the United States and the non-U.S. holder’s country of residence, is attributable to a permanent establishment maintained by such non-U.S. holder in the United States, then the gain generally will be subject to U.S. federal income tax at the same graduated rates applicable to U.S. persons, net of certain deductions and credits. If the non-U.S. holder is a corporation, under certain circumstances, that portion of its earnings and profits that is effectively connected with its U.S. trade or business, subject to certain adjustments, generally would be subject also to a “branch profits tax” at a rate of 30% or such lower rate as may be specified by an applicable income tax treaty.</w:t>
      </w:r>
    </w:p>
    <w:p>
      <w:pPr>
        <w:spacing w:after="0" w:line="1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Backup Withholding and Information Reporting</w:t>
      </w:r>
    </w:p>
    <w:p>
      <w:pPr>
        <w:spacing w:after="0" w:line="229" w:lineRule="exact"/>
        <w:rPr>
          <w:sz w:val="20"/>
          <w:szCs w:val="20"/>
          <w:color w:val="auto"/>
        </w:rPr>
      </w:pPr>
    </w:p>
    <w:p>
      <w:pPr>
        <w:jc w:val="both"/>
        <w:ind w:left="120" w:firstLine="881"/>
        <w:spacing w:after="0" w:line="261" w:lineRule="auto"/>
        <w:rPr>
          <w:sz w:val="20"/>
          <w:szCs w:val="20"/>
          <w:color w:val="auto"/>
        </w:rPr>
      </w:pPr>
      <w:r>
        <w:rPr>
          <w:rFonts w:ascii="Times New Roman" w:cs="Times New Roman" w:eastAsia="Times New Roman" w:hAnsi="Times New Roman"/>
          <w:sz w:val="18"/>
          <w:szCs w:val="18"/>
          <w:color w:val="auto"/>
        </w:rPr>
        <w:t>We must report annually to the IRS and to each non-U.S. holder the amount of dividends paid to, and the tax withheld with respect to, each non-U.S. holder. These reporting requirements apply regardless of whether withholding was reduced or eliminated by an applicable tax treaty. Copies of this information reporting may also be made available under the provisions of a specific tax treaty or agreement with the tax authorities in the country in which the non-U.S. holder resides or is established.</w:t>
      </w:r>
    </w:p>
    <w:p>
      <w:pPr>
        <w:spacing w:after="0" w:line="180" w:lineRule="exact"/>
        <w:rPr>
          <w:sz w:val="20"/>
          <w:szCs w:val="20"/>
          <w:color w:val="auto"/>
        </w:rPr>
      </w:pPr>
    </w:p>
    <w:p>
      <w:pPr>
        <w:ind w:left="120" w:right="200" w:firstLine="881"/>
        <w:spacing w:after="0" w:line="266" w:lineRule="auto"/>
        <w:rPr>
          <w:sz w:val="20"/>
          <w:szCs w:val="20"/>
          <w:color w:val="auto"/>
        </w:rPr>
      </w:pPr>
      <w:r>
        <w:rPr>
          <w:rFonts w:ascii="Times New Roman" w:cs="Times New Roman" w:eastAsia="Times New Roman" w:hAnsi="Times New Roman"/>
          <w:sz w:val="18"/>
          <w:szCs w:val="18"/>
          <w:color w:val="auto"/>
        </w:rPr>
        <w:t>A non-U.S. holder will generally be subject to backup withholding for dividends on our common stock paid to such holder unless such holder certifies under penalties of perjury that, among other things, it is a non-U.S. holder (and the payer does not have actual knowledge or reason to know that such holder is a U.S. person) or otherwise establishes an exemption.</w:t>
      </w:r>
    </w:p>
    <w:p>
      <w:pPr>
        <w:spacing w:after="0" w:line="176" w:lineRule="exact"/>
        <w:rPr>
          <w:sz w:val="20"/>
          <w:szCs w:val="20"/>
          <w:color w:val="auto"/>
        </w:rPr>
      </w:pPr>
    </w:p>
    <w:p>
      <w:pPr>
        <w:ind w:left="120" w:right="100" w:firstLine="881"/>
        <w:spacing w:after="0" w:line="255" w:lineRule="auto"/>
        <w:rPr>
          <w:sz w:val="20"/>
          <w:szCs w:val="20"/>
          <w:color w:val="auto"/>
        </w:rPr>
      </w:pPr>
      <w:r>
        <w:rPr>
          <w:rFonts w:ascii="Times New Roman" w:cs="Times New Roman" w:eastAsia="Times New Roman" w:hAnsi="Times New Roman"/>
          <w:sz w:val="18"/>
          <w:szCs w:val="18"/>
          <w:color w:val="auto"/>
        </w:rPr>
        <w:t>Information reporting and backup withholding generally are not required with respect to the amount of any proceeds from the sale or other disposition of our common stock by a non-U.S. holder outside the United States through a foreign office of a foreign broker that does not have certain specified connections to the United States. However, if a non-U.S. holder sells or otherwise disposes of its shares of common stock through a U.S. broker or the U.S. offices of a foreign broker, the broker will generally be required to report the amount of proceeds paid to the non-U.S. holder to the IRS and impose backup withholding on that amount unless such non-U.S. holder provides appropriate certification to the broker of its status as a non-U.S. holder (and the payer does not have actual knowledge or reason to know that such holder is a U.S. person) or otherwise establishes an exemption.</w:t>
      </w:r>
    </w:p>
    <w:p>
      <w:pPr>
        <w:spacing w:after="0" w:line="189" w:lineRule="exact"/>
        <w:rPr>
          <w:sz w:val="20"/>
          <w:szCs w:val="20"/>
          <w:color w:val="auto"/>
        </w:rPr>
      </w:pPr>
    </w:p>
    <w:p>
      <w:pPr>
        <w:ind w:left="120" w:right="100" w:firstLine="881"/>
        <w:spacing w:after="0" w:line="261" w:lineRule="auto"/>
        <w:rPr>
          <w:sz w:val="20"/>
          <w:szCs w:val="20"/>
          <w:color w:val="auto"/>
        </w:rPr>
      </w:pPr>
      <w:r>
        <w:rPr>
          <w:rFonts w:ascii="Times New Roman" w:cs="Times New Roman" w:eastAsia="Times New Roman" w:hAnsi="Times New Roman"/>
          <w:sz w:val="18"/>
          <w:szCs w:val="18"/>
          <w:color w:val="auto"/>
        </w:rPr>
        <w:t>Backup withholding is not an additional income tax. Any amounts withheld under the backup withholding rules from a payment to a non-U.S. holder generally can be credited against the non-U.S. holder’s U.S. federal income tax liability, if any, or refunded, provided that the required information is furnished to the IRS in a timely manner. Non-U.S. holders should consult their tax advisors regarding the application of the information reporting and backup withholding rules to them.</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Foreign Account Tax Compliance Act</w:t>
      </w:r>
    </w:p>
    <w:p>
      <w:pPr>
        <w:spacing w:after="0" w:line="229" w:lineRule="exact"/>
        <w:rPr>
          <w:sz w:val="20"/>
          <w:szCs w:val="20"/>
          <w:color w:val="auto"/>
        </w:rPr>
      </w:pPr>
    </w:p>
    <w:p>
      <w:pPr>
        <w:ind w:left="120" w:right="500" w:firstLine="881"/>
        <w:spacing w:after="0" w:line="282" w:lineRule="auto"/>
        <w:rPr>
          <w:sz w:val="20"/>
          <w:szCs w:val="20"/>
          <w:color w:val="auto"/>
        </w:rPr>
      </w:pPr>
      <w:r>
        <w:rPr>
          <w:rFonts w:ascii="Times New Roman" w:cs="Times New Roman" w:eastAsia="Times New Roman" w:hAnsi="Times New Roman"/>
          <w:sz w:val="18"/>
          <w:szCs w:val="18"/>
          <w:color w:val="auto"/>
        </w:rPr>
        <w:t>Under the Foreign Account Tax Compliance Act, or FATCA, withholding tax of 30% applies to certain payments to foreign financial institutions, investment funds and certain other non-U.S. persons that fail to</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-199-</w:t>
      </w:r>
    </w:p>
    <w:p>
      <w:pPr>
        <w:sectPr>
          <w:pgSz w:w="11900" w:h="16838" w:orient="portrait"/>
          <w:cols w:equalWidth="0" w:num="1">
            <w:col w:w="11080"/>
          </w:cols>
          <w:pgMar w:left="320" w:top="455" w:right="499" w:bottom="1440" w:gutter="0" w:footer="0" w:header="0"/>
        </w:sectPr>
      </w:pPr>
    </w:p>
    <w:bookmarkStart w:id="202" w:name="page203"/>
    <w:bookmarkEnd w:id="20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40"/>
        <w:spacing w:after="0" w:line="258" w:lineRule="auto"/>
        <w:rPr>
          <w:sz w:val="20"/>
          <w:szCs w:val="20"/>
          <w:color w:val="auto"/>
        </w:rPr>
      </w:pPr>
      <w:r>
        <w:rPr>
          <w:rFonts w:ascii="Times New Roman" w:cs="Times New Roman" w:eastAsia="Times New Roman" w:hAnsi="Times New Roman"/>
          <w:sz w:val="18"/>
          <w:szCs w:val="18"/>
          <w:color w:val="auto"/>
        </w:rPr>
        <w:t>comply with certain information reporting and certification requirements pertaining to their direct and indirect U.S. securityholders and/or U.S. accountholders and do not otherwise qualify for an exemption. Under applicable Treasury Regulations and IRS guidance, this withholding currently applies to payments of dividends, if any, on, and, subject to the proposed Treasury Regulations discussed below, gross proceeds from the sale or other disposition of, our common stock. An intergovernmental agreement between the United States and a foreign country may modify the requirements described in this paragraph.</w:t>
      </w:r>
    </w:p>
    <w:p>
      <w:pPr>
        <w:spacing w:after="0" w:line="183" w:lineRule="exact"/>
        <w:rPr>
          <w:sz w:val="20"/>
          <w:szCs w:val="20"/>
          <w:color w:val="auto"/>
        </w:rPr>
      </w:pPr>
    </w:p>
    <w:p>
      <w:pPr>
        <w:ind w:left="120" w:right="260" w:firstLine="881"/>
        <w:spacing w:after="0" w:line="266" w:lineRule="auto"/>
        <w:rPr>
          <w:sz w:val="20"/>
          <w:szCs w:val="20"/>
          <w:color w:val="auto"/>
        </w:rPr>
      </w:pPr>
      <w:r>
        <w:rPr>
          <w:rFonts w:ascii="Times New Roman" w:cs="Times New Roman" w:eastAsia="Times New Roman" w:hAnsi="Times New Roman"/>
          <w:sz w:val="18"/>
          <w:szCs w:val="18"/>
          <w:color w:val="auto"/>
        </w:rPr>
        <w:t>While, beginning on January 1, 2019, withholding under FATCA would have applied also to payments of gross proceeds from the sale or other disposition of our common stock, proposed Treasury Regulations eliminate FATCA withholding on payments of gross proceeds entirely. Taxpayers generally may rely on these proposed Treasury Regulations until final Treasury Regulations are issued.</w:t>
      </w:r>
    </w:p>
    <w:p>
      <w:pPr>
        <w:spacing w:after="0" w:line="176" w:lineRule="exact"/>
        <w:rPr>
          <w:sz w:val="20"/>
          <w:szCs w:val="20"/>
          <w:color w:val="auto"/>
        </w:rPr>
      </w:pPr>
    </w:p>
    <w:p>
      <w:pPr>
        <w:ind w:left="120" w:right="740" w:firstLine="881"/>
        <w:spacing w:after="0" w:line="282" w:lineRule="auto"/>
        <w:rPr>
          <w:sz w:val="20"/>
          <w:szCs w:val="20"/>
          <w:color w:val="auto"/>
        </w:rPr>
      </w:pPr>
      <w:r>
        <w:rPr>
          <w:rFonts w:ascii="Times New Roman" w:cs="Times New Roman" w:eastAsia="Times New Roman" w:hAnsi="Times New Roman"/>
          <w:sz w:val="18"/>
          <w:szCs w:val="18"/>
          <w:color w:val="auto"/>
        </w:rPr>
        <w:t>Prospective investors are encouraged to consult with their own tax advisors regarding the possible implications of FATCA on their investment in our common stock.</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Federal Estate Tax</w:t>
      </w:r>
    </w:p>
    <w:p>
      <w:pPr>
        <w:spacing w:after="0" w:line="229" w:lineRule="exact"/>
        <w:rPr>
          <w:sz w:val="20"/>
          <w:szCs w:val="20"/>
          <w:color w:val="auto"/>
        </w:rPr>
      </w:pPr>
    </w:p>
    <w:p>
      <w:pPr>
        <w:ind w:left="120" w:firstLine="881"/>
        <w:spacing w:after="0" w:line="266" w:lineRule="auto"/>
        <w:rPr>
          <w:sz w:val="20"/>
          <w:szCs w:val="20"/>
          <w:color w:val="auto"/>
        </w:rPr>
      </w:pPr>
      <w:r>
        <w:rPr>
          <w:rFonts w:ascii="Times New Roman" w:cs="Times New Roman" w:eastAsia="Times New Roman" w:hAnsi="Times New Roman"/>
          <w:sz w:val="18"/>
          <w:szCs w:val="18"/>
          <w:color w:val="auto"/>
        </w:rPr>
        <w:t>Common stock we have issued that is owned (or treated as owned) by an individual who is not a citizen or a resident of the United States (as defined for U.S. federal estate tax purposes) at the time of death will be included in the individual’s gross estate for U.S. federal estate tax purposes unless an applicable estate or other tax treaty provides otherwise, and therefore may be subject to U.S. federal estate tax.</w:t>
      </w:r>
    </w:p>
    <w:p>
      <w:pPr>
        <w:spacing w:after="0" w:line="172" w:lineRule="exact"/>
        <w:rPr>
          <w:sz w:val="20"/>
          <w:szCs w:val="20"/>
          <w:color w:val="auto"/>
        </w:rPr>
      </w:pPr>
    </w:p>
    <w:p>
      <w:pPr>
        <w:ind w:left="120" w:right="200" w:firstLine="881"/>
        <w:spacing w:after="0" w:line="275" w:lineRule="auto"/>
        <w:rPr>
          <w:sz w:val="20"/>
          <w:szCs w:val="20"/>
          <w:color w:val="auto"/>
        </w:rPr>
      </w:pPr>
      <w:r>
        <w:rPr>
          <w:rFonts w:ascii="Times New Roman" w:cs="Times New Roman" w:eastAsia="Times New Roman" w:hAnsi="Times New Roman"/>
          <w:sz w:val="17"/>
          <w:szCs w:val="17"/>
          <w:b w:val="1"/>
          <w:bCs w:val="1"/>
          <w:color w:val="auto"/>
        </w:rPr>
        <w:t>PROSPECTIVE INVESTORS SHOULD CONSULT THEIR OWN TAX ADVISORS REGARDING THE POTENTIAL APPLICATION OF WITHHOLDING UNDER FATCA TO THEIR INVESTMENT IN OUR COMMON STOCK. THE PRECEDING DISCUSSION OF U.S. FEDERAL TAX CONSIDERATIONS IS FOR GENERAL INFORMATION PURPOSES ONLY. IT IS NOT TAX ADVICE. EACH PROSPECTIVE INVESTOR SHOULD CONSULT ITS OWN TAX ADVISOR REGARDING THE PARTICULAR U.S. FEDERAL, GIFT, ESTATE, STATE, LOCAL, AND NON-U.S. TAX CONSEQUENCES OF PURCHASING, HOLDING, AND DISPOSING OF OUR COMMON STOCK, INCLUDING THE CONSEQUENCES OF ANY PROPOSED CHANGE IN APPLICABLE LAWS.</w:t>
      </w:r>
    </w:p>
    <w:p>
      <w:pPr>
        <w:spacing w:after="0" w:line="1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-200-</w:t>
      </w:r>
    </w:p>
    <w:p>
      <w:pPr>
        <w:sectPr>
          <w:pgSz w:w="11900" w:h="16838" w:orient="portrait"/>
          <w:cols w:equalWidth="0" w:num="1">
            <w:col w:w="11120"/>
          </w:cols>
          <w:pgMar w:left="320" w:top="455" w:right="459" w:bottom="1440" w:gutter="0" w:footer="0" w:header="0"/>
        </w:sectPr>
      </w:pPr>
    </w:p>
    <w:bookmarkStart w:id="203" w:name="page204"/>
    <w:bookmarkEnd w:id="20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UNDERWRITING</w:t>
      </w:r>
    </w:p>
    <w:p>
      <w:pPr>
        <w:spacing w:after="0" w:line="229" w:lineRule="exact"/>
        <w:rPr>
          <w:sz w:val="20"/>
          <w:szCs w:val="20"/>
          <w:color w:val="auto"/>
        </w:rPr>
      </w:pPr>
    </w:p>
    <w:p>
      <w:pPr>
        <w:ind w:left="120" w:firstLine="881"/>
        <w:spacing w:after="0" w:line="261" w:lineRule="auto"/>
        <w:rPr>
          <w:sz w:val="20"/>
          <w:szCs w:val="20"/>
          <w:color w:val="auto"/>
        </w:rPr>
      </w:pPr>
      <w:r>
        <w:rPr>
          <w:rFonts w:ascii="Times New Roman" w:cs="Times New Roman" w:eastAsia="Times New Roman" w:hAnsi="Times New Roman"/>
          <w:sz w:val="18"/>
          <w:szCs w:val="18"/>
          <w:color w:val="auto"/>
        </w:rPr>
        <w:t>BofA Securities, Inc., Jefferies LLC and Raymond James &amp; Associates, Inc. are acting as representatives of each of the underwriters named below. Subject to the terms and conditions set forth in an underwriting agreement among us and the underwriters, we have agreed to sell to the underwriters, and each of the underwriters has agreed, severally and not jointly, to purchase from us, the number of shares of common stock set forth opposite its name below.</w:t>
      </w:r>
    </w:p>
    <w:p>
      <w:pPr>
        <w:spacing w:after="0" w:line="200" w:lineRule="exact"/>
        <w:rPr>
          <w:sz w:val="20"/>
          <w:szCs w:val="20"/>
          <w:color w:val="auto"/>
        </w:rPr>
      </w:pPr>
    </w:p>
    <w:p>
      <w:pPr>
        <w:ind w:left="920"/>
        <w:spacing w:after="0"/>
        <w:tabs>
          <w:tab w:leader="none" w:pos="9100" w:val="left"/>
        </w:tabs>
        <w:rPr>
          <w:sz w:val="20"/>
          <w:szCs w:val="20"/>
          <w:color w:val="auto"/>
        </w:rPr>
      </w:pPr>
      <w:r>
        <w:rPr>
          <w:rFonts w:ascii="Times New Roman" w:cs="Times New Roman" w:eastAsia="Times New Roman" w:hAnsi="Times New Roman"/>
          <w:sz w:val="14"/>
          <w:szCs w:val="14"/>
          <w:b w:val="1"/>
          <w:bCs w:val="1"/>
          <w:u w:val="single" w:color="auto"/>
          <w:color w:val="auto"/>
        </w:rPr>
        <w:t>Underwriter</w:t>
      </w:r>
      <w:r>
        <w:rPr>
          <w:sz w:val="20"/>
          <w:szCs w:val="20"/>
          <w:color w:val="auto"/>
        </w:rPr>
        <w:tab/>
      </w:r>
      <w:r>
        <w:rPr>
          <w:rFonts w:ascii="Times New Roman" w:cs="Times New Roman" w:eastAsia="Times New Roman" w:hAnsi="Times New Roman"/>
          <w:sz w:val="14"/>
          <w:szCs w:val="14"/>
          <w:b w:val="1"/>
          <w:bCs w:val="1"/>
          <w:u w:val="single" w:color="auto"/>
          <w:color w:val="auto"/>
        </w:rPr>
        <w:t>Number 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16510</wp:posOffset>
            </wp:positionV>
            <wp:extent cx="5974715" cy="13716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5974715" cy="137160"/>
                    </a:xfrm>
                    <a:prstGeom prst="rect">
                      <a:avLst/>
                    </a:prstGeom>
                    <a:noFill/>
                  </pic:spPr>
                </pic:pic>
              </a:graphicData>
            </a:graphic>
          </wp:anchor>
        </w:drawing>
      </w:r>
    </w:p>
    <w:p>
      <w:pPr>
        <w:spacing w:after="0" w:line="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BofA Securities, Inc.</w:t>
      </w:r>
    </w:p>
    <w:p>
      <w:pPr>
        <w:spacing w:after="0" w:line="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Jefferies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5715</wp:posOffset>
            </wp:positionV>
            <wp:extent cx="5974715" cy="13716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5974715" cy="137160"/>
                    </a:xfrm>
                    <a:prstGeom prst="rect">
                      <a:avLst/>
                    </a:prstGeom>
                    <a:noFill/>
                  </pic:spPr>
                </pic:pic>
              </a:graphicData>
            </a:graphic>
          </wp:anchor>
        </w:drawing>
      </w:r>
    </w:p>
    <w:p>
      <w:pPr>
        <w:ind w:left="920"/>
        <w:spacing w:after="0"/>
        <w:rPr>
          <w:sz w:val="20"/>
          <w:szCs w:val="20"/>
          <w:color w:val="auto"/>
        </w:rPr>
      </w:pPr>
      <w:r>
        <w:rPr>
          <w:rFonts w:ascii="Times New Roman" w:cs="Times New Roman" w:eastAsia="Times New Roman" w:hAnsi="Times New Roman"/>
          <w:sz w:val="18"/>
          <w:szCs w:val="18"/>
          <w:color w:val="auto"/>
        </w:rPr>
        <w:t>Raymond James &amp; Associates, Inc.</w:t>
      </w:r>
    </w:p>
    <w:p>
      <w:pPr>
        <w:spacing w:after="0" w:line="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LifeSci Capital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5715</wp:posOffset>
            </wp:positionV>
            <wp:extent cx="5974715" cy="13716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5974715" cy="137160"/>
                    </a:xfrm>
                    <a:prstGeom prst="rect">
                      <a:avLst/>
                    </a:prstGeom>
                    <a:noFill/>
                  </pic:spPr>
                </pic:pic>
              </a:graphicData>
            </a:graphic>
          </wp:anchor>
        </w:drawing>
      </w:r>
    </w:p>
    <w:p>
      <w:pPr>
        <w:ind w:left="920"/>
        <w:spacing w:after="0"/>
        <w:rPr>
          <w:sz w:val="20"/>
          <w:szCs w:val="20"/>
          <w:color w:val="auto"/>
        </w:rPr>
      </w:pPr>
      <w:r>
        <w:rPr>
          <w:rFonts w:ascii="Times New Roman" w:cs="Times New Roman" w:eastAsia="Times New Roman" w:hAnsi="Times New Roman"/>
          <w:sz w:val="18"/>
          <w:szCs w:val="18"/>
          <w:color w:val="auto"/>
        </w:rPr>
        <w:t>Ladenburg Thalmann &amp; Co.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5774055</wp:posOffset>
            </wp:positionH>
            <wp:positionV relativeFrom="paragraph">
              <wp:posOffset>5715</wp:posOffset>
            </wp:positionV>
            <wp:extent cx="746125"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46125" cy="8255"/>
                    </a:xfrm>
                    <a:prstGeom prst="rect">
                      <a:avLst/>
                    </a:prstGeom>
                    <a:noFill/>
                  </pic:spPr>
                </pic:pic>
              </a:graphicData>
            </a:graphic>
          </wp:anchor>
        </w:drawing>
      </w:r>
    </w:p>
    <w:p>
      <w:pPr>
        <w:ind w:left="1280"/>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5774055</wp:posOffset>
            </wp:positionH>
            <wp:positionV relativeFrom="paragraph">
              <wp:posOffset>17145</wp:posOffset>
            </wp:positionV>
            <wp:extent cx="746125"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46125" cy="825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34290</wp:posOffset>
            </wp:positionV>
            <wp:extent cx="746125"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46125" cy="8255"/>
                    </a:xfrm>
                    <a:prstGeom prst="rect">
                      <a:avLst/>
                    </a:prstGeom>
                    <a:noFill/>
                  </pic:spPr>
                </pic:pic>
              </a:graphicData>
            </a:graphic>
          </wp:anchor>
        </w:drawing>
      </w:r>
    </w:p>
    <w:p>
      <w:pPr>
        <w:spacing w:after="0" w:line="259" w:lineRule="exact"/>
        <w:rPr>
          <w:sz w:val="20"/>
          <w:szCs w:val="20"/>
          <w:color w:val="auto"/>
        </w:rPr>
      </w:pPr>
    </w:p>
    <w:p>
      <w:pPr>
        <w:ind w:left="120" w:right="460" w:firstLine="881"/>
        <w:spacing w:after="0" w:line="261" w:lineRule="auto"/>
        <w:rPr>
          <w:sz w:val="20"/>
          <w:szCs w:val="20"/>
          <w:color w:val="auto"/>
        </w:rPr>
      </w:pPr>
      <w:r>
        <w:rPr>
          <w:rFonts w:ascii="Times New Roman" w:cs="Times New Roman" w:eastAsia="Times New Roman" w:hAnsi="Times New Roman"/>
          <w:sz w:val="18"/>
          <w:szCs w:val="18"/>
          <w:color w:val="auto"/>
        </w:rPr>
        <w:t>Subject to the terms and conditions set forth in the underwriting agreement, the underwriters have agreed, severally and not jointly, to purchase all of the shares sold under the underwriting agreement if any of these shares are purchased. If an underwriter defaults, the underwriting agreement provides that the purchase commitments of the nondefaulting underwriters may be increased or the underwriting agreement may be terminated.</w:t>
      </w:r>
    </w:p>
    <w:p>
      <w:pPr>
        <w:spacing w:after="0" w:line="180" w:lineRule="exact"/>
        <w:rPr>
          <w:sz w:val="20"/>
          <w:szCs w:val="20"/>
          <w:color w:val="auto"/>
        </w:rPr>
      </w:pPr>
    </w:p>
    <w:p>
      <w:pPr>
        <w:ind w:left="120" w:right="300" w:firstLine="881"/>
        <w:spacing w:after="0" w:line="282" w:lineRule="auto"/>
        <w:rPr>
          <w:sz w:val="20"/>
          <w:szCs w:val="20"/>
          <w:color w:val="auto"/>
        </w:rPr>
      </w:pPr>
      <w:r>
        <w:rPr>
          <w:rFonts w:ascii="Times New Roman" w:cs="Times New Roman" w:eastAsia="Times New Roman" w:hAnsi="Times New Roman"/>
          <w:sz w:val="18"/>
          <w:szCs w:val="18"/>
          <w:color w:val="auto"/>
        </w:rPr>
        <w:t>We have agreed to indemnify the underwriters against certain liabilities, including liabilities under the Securities Act, or to contribute to payments the underwriters may be required to make in respect of those liabilities.</w:t>
      </w:r>
    </w:p>
    <w:p>
      <w:pPr>
        <w:spacing w:after="0" w:line="162" w:lineRule="exact"/>
        <w:rPr>
          <w:sz w:val="20"/>
          <w:szCs w:val="20"/>
          <w:color w:val="auto"/>
        </w:rPr>
      </w:pPr>
    </w:p>
    <w:p>
      <w:pPr>
        <w:ind w:left="120" w:right="180" w:firstLine="881"/>
        <w:spacing w:after="0" w:line="261" w:lineRule="auto"/>
        <w:rPr>
          <w:sz w:val="20"/>
          <w:szCs w:val="20"/>
          <w:color w:val="auto"/>
        </w:rPr>
      </w:pPr>
      <w:r>
        <w:rPr>
          <w:rFonts w:ascii="Times New Roman" w:cs="Times New Roman" w:eastAsia="Times New Roman" w:hAnsi="Times New Roman"/>
          <w:sz w:val="18"/>
          <w:szCs w:val="18"/>
          <w:color w:val="auto"/>
        </w:rPr>
        <w:t>The underwriters are offering the shares, subject to prior sale, when, as and if issued to and accepted by them, subject to approval of legal matters by their counsel, including the validity of the shares, and other conditions contained in the underwriting agreement, such as the receipt by the underwriters of officer’s certificates and legal opinions. The underwriters reserve the right to withdraw, cancel or modify offers to the public and to reject orders in whole or in part.</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Commissions and Discounts</w:t>
      </w:r>
    </w:p>
    <w:p>
      <w:pPr>
        <w:spacing w:after="0" w:line="22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The representatives have advised us that the underwriters propose initially to offer the shares to the public at the public offering price set</w:t>
      </w:r>
    </w:p>
    <w:p>
      <w:pPr>
        <w:spacing w:after="0" w:line="27" w:lineRule="exact"/>
        <w:rPr>
          <w:sz w:val="20"/>
          <w:szCs w:val="20"/>
          <w:color w:val="auto"/>
        </w:rPr>
      </w:pPr>
    </w:p>
    <w:p>
      <w:pPr>
        <w:ind w:left="120" w:right="180"/>
        <w:spacing w:after="0" w:line="260" w:lineRule="auto"/>
        <w:rPr>
          <w:sz w:val="20"/>
          <w:szCs w:val="20"/>
          <w:color w:val="auto"/>
        </w:rPr>
      </w:pPr>
      <w:r>
        <w:rPr>
          <w:rFonts w:ascii="Times New Roman" w:cs="Times New Roman" w:eastAsia="Times New Roman" w:hAnsi="Times New Roman"/>
          <w:sz w:val="18"/>
          <w:szCs w:val="18"/>
          <w:color w:val="auto"/>
        </w:rPr>
        <w:t>forth on the cover page of this prospectus and to dealers at that price less a concession not in excess of $ per share. After the initial offering, the public offering price, concession or any other term of the offering may be changed.</w:t>
      </w:r>
    </w:p>
    <w:p>
      <w:pPr>
        <w:spacing w:after="0" w:line="181" w:lineRule="exact"/>
        <w:rPr>
          <w:sz w:val="20"/>
          <w:szCs w:val="20"/>
          <w:color w:val="auto"/>
        </w:rPr>
      </w:pPr>
    </w:p>
    <w:p>
      <w:pPr>
        <w:ind w:left="120" w:right="220" w:firstLine="881"/>
        <w:spacing w:after="0" w:line="282" w:lineRule="auto"/>
        <w:rPr>
          <w:sz w:val="20"/>
          <w:szCs w:val="20"/>
          <w:color w:val="auto"/>
        </w:rPr>
      </w:pPr>
      <w:r>
        <w:rPr>
          <w:rFonts w:ascii="Times New Roman" w:cs="Times New Roman" w:eastAsia="Times New Roman" w:hAnsi="Times New Roman"/>
          <w:sz w:val="18"/>
          <w:szCs w:val="18"/>
          <w:color w:val="auto"/>
        </w:rPr>
        <w:t>The following table shows the public offering price, underwriting discount and proceeds before expenses to us. The information assumes either no exercise or full exercise by the underwriters of their option to purchase additional shares.</w:t>
      </w:r>
    </w:p>
    <w:p>
      <w:pPr>
        <w:spacing w:after="0" w:line="182" w:lineRule="exact"/>
        <w:rPr>
          <w:sz w:val="20"/>
          <w:szCs w:val="20"/>
          <w:color w:val="auto"/>
        </w:rPr>
      </w:pPr>
    </w:p>
    <w:tbl>
      <w:tblPr>
        <w:tblLayout w:type="fixed"/>
        <w:tblInd w:w="920" w:type="dxa"/>
        <w:tblCellMar>
          <w:top w:w="0" w:type="dxa"/>
          <w:left w:w="0" w:type="dxa"/>
          <w:bottom w:w="0" w:type="dxa"/>
          <w:right w:w="0" w:type="dxa"/>
        </w:tblCellMar>
      </w:tblPr>
      <w:tr>
        <w:trPr>
          <w:trHeight w:val="173"/>
        </w:trPr>
        <w:tc>
          <w:tcPr>
            <w:tcW w:w="4360" w:type="dxa"/>
            <w:vAlign w:val="bottom"/>
          </w:tcPr>
          <w:p>
            <w:pPr>
              <w:spacing w:after="0"/>
              <w:rPr>
                <w:sz w:val="15"/>
                <w:szCs w:val="15"/>
                <w:color w:val="auto"/>
              </w:rPr>
            </w:pPr>
          </w:p>
        </w:tc>
        <w:tc>
          <w:tcPr>
            <w:tcW w:w="20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600" w:type="dxa"/>
            <w:vAlign w:val="bottom"/>
            <w:gridSpan w:val="2"/>
          </w:tcPr>
          <w:p>
            <w:pPr>
              <w:ind w:left="620"/>
              <w:spacing w:after="0"/>
              <w:rPr>
                <w:sz w:val="20"/>
                <w:szCs w:val="20"/>
                <w:color w:val="auto"/>
              </w:rPr>
            </w:pPr>
            <w:r>
              <w:rPr>
                <w:rFonts w:ascii="Times New Roman" w:cs="Times New Roman" w:eastAsia="Times New Roman" w:hAnsi="Times New Roman"/>
                <w:sz w:val="14"/>
                <w:szCs w:val="14"/>
                <w:b w:val="1"/>
                <w:bCs w:val="1"/>
                <w:color w:val="auto"/>
              </w:rPr>
              <w:t>Without Option</w:t>
            </w:r>
          </w:p>
        </w:tc>
        <w:tc>
          <w:tcPr>
            <w:tcW w:w="1440" w:type="dxa"/>
            <w:vAlign w:val="bottom"/>
            <w:gridSpan w:val="3"/>
          </w:tcPr>
          <w:p>
            <w:pPr>
              <w:ind w:left="600"/>
              <w:spacing w:after="0"/>
              <w:rPr>
                <w:sz w:val="20"/>
                <w:szCs w:val="20"/>
                <w:color w:val="auto"/>
              </w:rPr>
            </w:pPr>
            <w:r>
              <w:rPr>
                <w:rFonts w:ascii="Times New Roman" w:cs="Times New Roman" w:eastAsia="Times New Roman" w:hAnsi="Times New Roman"/>
                <w:sz w:val="14"/>
                <w:szCs w:val="14"/>
                <w:b w:val="1"/>
                <w:bCs w:val="1"/>
                <w:color w:val="auto"/>
              </w:rPr>
              <w:t>With Option</w:t>
            </w:r>
          </w:p>
        </w:tc>
      </w:tr>
      <w:tr>
        <w:trPr>
          <w:trHeight w:val="20"/>
        </w:trPr>
        <w:tc>
          <w:tcPr>
            <w:tcW w:w="43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Public offering price</w:t>
            </w:r>
          </w:p>
        </w:tc>
        <w:tc>
          <w:tcPr>
            <w:tcW w:w="202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r>
      <w:tr>
        <w:trPr>
          <w:trHeight w:val="216"/>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Underwriting discounts and commissions</w:t>
            </w:r>
          </w:p>
        </w:tc>
        <w:tc>
          <w:tcPr>
            <w:tcW w:w="202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r>
      <w:tr>
        <w:trPr>
          <w:trHeight w:val="216"/>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before expenses, to us</w:t>
            </w:r>
          </w:p>
        </w:tc>
        <w:tc>
          <w:tcPr>
            <w:tcW w:w="202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ind w:left="120" w:right="360" w:firstLine="881"/>
        <w:spacing w:after="0" w:line="261" w:lineRule="auto"/>
        <w:rPr>
          <w:sz w:val="20"/>
          <w:szCs w:val="20"/>
          <w:color w:val="auto"/>
        </w:rPr>
      </w:pPr>
      <w:r>
        <w:rPr>
          <w:rFonts w:ascii="Times New Roman" w:cs="Times New Roman" w:eastAsia="Times New Roman" w:hAnsi="Times New Roman"/>
          <w:sz w:val="18"/>
          <w:szCs w:val="18"/>
          <w:color w:val="auto"/>
        </w:rPr>
        <w:t>The expenses of the offering, not including the underwriting discount, are estimated at $ and are payable by us. We have also agreed to reimburse the underwriters for their expenses relating to clearance of this offering with the Financial Industry Regulatory Authority in an</w:t>
      </w:r>
    </w:p>
    <w:p>
      <w:pPr>
        <w:ind w:left="120"/>
        <w:spacing w:after="0"/>
        <w:tabs>
          <w:tab w:leader="none" w:pos="1900" w:val="left"/>
        </w:tabs>
        <w:rPr>
          <w:sz w:val="20"/>
          <w:szCs w:val="20"/>
          <w:color w:val="auto"/>
        </w:rPr>
      </w:pPr>
      <w:r>
        <w:rPr>
          <w:rFonts w:ascii="Times New Roman" w:cs="Times New Roman" w:eastAsia="Times New Roman" w:hAnsi="Times New Roman"/>
          <w:sz w:val="18"/>
          <w:szCs w:val="18"/>
          <w:color w:val="auto"/>
        </w:rPr>
        <w:t>amount up to $</w:t>
      </w:r>
      <w:r>
        <w:rPr>
          <w:sz w:val="20"/>
          <w:szCs w:val="20"/>
          <w:color w:val="auto"/>
        </w:rPr>
        <w:tab/>
      </w:r>
      <w:r>
        <w:rPr>
          <w:rFonts w:ascii="Times New Roman" w:cs="Times New Roman" w:eastAsia="Times New Roman" w:hAnsi="Times New Roman"/>
          <w:sz w:val="16"/>
          <w:szCs w:val="16"/>
          <w:color w:val="auto"/>
        </w:rPr>
        <w:t>.</w:t>
      </w:r>
    </w:p>
    <w:p>
      <w:pPr>
        <w:spacing w:after="0" w:line="13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-201-</w:t>
      </w:r>
    </w:p>
    <w:p>
      <w:pPr>
        <w:sectPr>
          <w:pgSz w:w="11900" w:h="16838" w:orient="portrait"/>
          <w:cols w:equalWidth="0" w:num="1">
            <w:col w:w="11080"/>
          </w:cols>
          <w:pgMar w:left="320" w:top="455" w:right="499" w:bottom="1440" w:gutter="0" w:footer="0" w:header="0"/>
        </w:sectPr>
      </w:pPr>
    </w:p>
    <w:bookmarkStart w:id="204" w:name="page205"/>
    <w:bookmarkEnd w:id="20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Option to Purchase Additional Shares</w:t>
      </w:r>
    </w:p>
    <w:p>
      <w:pPr>
        <w:spacing w:after="0" w:line="22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We have granted an option to the underwriters, exercisable for 30 days after the date of this prospectus, to purchase up to</w:t>
      </w:r>
    </w:p>
    <w:p>
      <w:pPr>
        <w:spacing w:after="0" w:line="27" w:lineRule="exact"/>
        <w:rPr>
          <w:sz w:val="20"/>
          <w:szCs w:val="20"/>
          <w:color w:val="auto"/>
        </w:rPr>
      </w:pPr>
    </w:p>
    <w:p>
      <w:pPr>
        <w:ind w:left="120" w:right="220"/>
        <w:spacing w:after="0" w:line="255" w:lineRule="auto"/>
        <w:rPr>
          <w:sz w:val="20"/>
          <w:szCs w:val="20"/>
          <w:color w:val="auto"/>
        </w:rPr>
      </w:pPr>
      <w:r>
        <w:rPr>
          <w:rFonts w:ascii="Times New Roman" w:cs="Times New Roman" w:eastAsia="Times New Roman" w:hAnsi="Times New Roman"/>
          <w:sz w:val="18"/>
          <w:szCs w:val="18"/>
          <w:color w:val="auto"/>
        </w:rPr>
        <w:t>additional shares at the public offering price, less the underwriting discount. If the underwriters exercise this option, each will be obligated, subject to conditions contained in the underwriting agreement, to purchase a number of additional shares proportionate to that underwriter’s initial amount reflected in the above table.</w:t>
      </w:r>
    </w:p>
    <w:p>
      <w:pPr>
        <w:spacing w:after="0" w:line="1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 Sales of Similar Securities</w:t>
      </w:r>
    </w:p>
    <w:p>
      <w:pPr>
        <w:spacing w:after="0" w:line="229" w:lineRule="exact"/>
        <w:rPr>
          <w:sz w:val="20"/>
          <w:szCs w:val="20"/>
          <w:color w:val="auto"/>
        </w:rPr>
      </w:pPr>
    </w:p>
    <w:p>
      <w:pPr>
        <w:ind w:left="120" w:firstLine="991"/>
        <w:spacing w:after="0" w:line="261" w:lineRule="auto"/>
        <w:rPr>
          <w:sz w:val="20"/>
          <w:szCs w:val="20"/>
          <w:color w:val="auto"/>
        </w:rPr>
      </w:pPr>
      <w:r>
        <w:rPr>
          <w:rFonts w:ascii="Times New Roman" w:cs="Times New Roman" w:eastAsia="Times New Roman" w:hAnsi="Times New Roman"/>
          <w:sz w:val="18"/>
          <w:szCs w:val="18"/>
          <w:color w:val="auto"/>
        </w:rPr>
        <w:t>We, our executive officers and directors and our other existing security holders have agreed not to sell or transfer any common stock or securities convertible into, exchangeable for, exercisable for, or repayable with common stock, for 180 days after the date of this prospectus without first obtaining the written consent of BofA Securities, Inc. and Jefferies LLC. Specifically, we and these other persons have agreed, with certain limited exceptions, not to directly or indirectly</w:t>
      </w:r>
    </w:p>
    <w:p>
      <w:pPr>
        <w:spacing w:after="0" w:line="207" w:lineRule="exact"/>
        <w:rPr>
          <w:sz w:val="20"/>
          <w:szCs w:val="20"/>
          <w:color w:val="auto"/>
        </w:rPr>
      </w:pPr>
    </w:p>
    <w:p>
      <w:pPr>
        <w:ind w:left="1420" w:hanging="319"/>
        <w:spacing w:after="0"/>
        <w:tabs>
          <w:tab w:leader="none" w:pos="142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offer, pledge, sell or contract to sell any common stock,</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any option or contract to purchase any common stock,</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any option or contract to sell any common stock,</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 any option, right or warrant for the sale of any common stock,</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lend or otherwise dispose of or transfer any common stock,</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request or demand that we file or make a confidential submission of a registration statement related to the common stock,</w:t>
      </w:r>
    </w:p>
    <w:p>
      <w:pPr>
        <w:spacing w:after="0" w:line="252" w:lineRule="exact"/>
        <w:rPr>
          <w:rFonts w:ascii="Times New Roman" w:cs="Times New Roman" w:eastAsia="Times New Roman" w:hAnsi="Times New Roman"/>
          <w:sz w:val="18"/>
          <w:szCs w:val="18"/>
          <w:color w:val="auto"/>
        </w:rPr>
      </w:pPr>
    </w:p>
    <w:p>
      <w:pPr>
        <w:ind w:left="1420" w:right="280" w:hanging="319"/>
        <w:spacing w:after="0" w:line="282" w:lineRule="auto"/>
        <w:tabs>
          <w:tab w:leader="none" w:pos="142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swap or other agreement that transfers, in whole or in part, the economic consequence of ownership of any common stock whether any such swap or transaction is to be settled by delivery of shares or other securities, in cash or otherwise, or</w:t>
      </w:r>
    </w:p>
    <w:p>
      <w:pPr>
        <w:spacing w:after="0" w:line="188"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publicly disclose the intention to do any of the foregoing.</w:t>
      </w:r>
    </w:p>
    <w:p>
      <w:pPr>
        <w:spacing w:after="0" w:line="225" w:lineRule="exact"/>
        <w:rPr>
          <w:sz w:val="20"/>
          <w:szCs w:val="20"/>
          <w:color w:val="auto"/>
        </w:rPr>
      </w:pPr>
    </w:p>
    <w:p>
      <w:pPr>
        <w:ind w:left="120" w:right="160" w:firstLine="881"/>
        <w:spacing w:after="0" w:line="268" w:lineRule="auto"/>
        <w:rPr>
          <w:sz w:val="20"/>
          <w:szCs w:val="20"/>
          <w:color w:val="auto"/>
        </w:rPr>
      </w:pPr>
      <w:r>
        <w:rPr>
          <w:rFonts w:ascii="Times New Roman" w:cs="Times New Roman" w:eastAsia="Times New Roman" w:hAnsi="Times New Roman"/>
          <w:sz w:val="17"/>
          <w:szCs w:val="17"/>
          <w:color w:val="auto"/>
        </w:rPr>
        <w:t>This lock-up provision applies to common stock and to securities convertible into or exchangeable or exercisable for or repayable with common stock. It also applies to common stock owned now or acquired later by the person executing the agreement or for which the person executing the agreement later acquires the power of disposition. BofA Securities, Inc. and Jefferies LLC, in their sole discretion, may release the common stock and other securities subject to the lock-up agreements described above in whole or in part at any time with or without notice. In addition, in the event that one or more stockholders is granted an early release from any restriction on transfer described in the lock-up agreements during the lockup period described therein with respect to our securities in an aggregate amount in excess one percent of our issued and outstanding shares of common stock on</w:t>
      </w:r>
    </w:p>
    <w:p>
      <w:pPr>
        <w:spacing w:after="0" w:line="5" w:lineRule="exact"/>
        <w:rPr>
          <w:sz w:val="20"/>
          <w:szCs w:val="20"/>
          <w:color w:val="auto"/>
        </w:rPr>
      </w:pPr>
    </w:p>
    <w:p>
      <w:pPr>
        <w:ind w:left="120" w:right="120"/>
        <w:spacing w:after="0" w:line="253" w:lineRule="auto"/>
        <w:rPr>
          <w:sz w:val="20"/>
          <w:szCs w:val="20"/>
          <w:color w:val="auto"/>
        </w:rPr>
      </w:pPr>
      <w:r>
        <w:rPr>
          <w:rFonts w:ascii="Times New Roman" w:cs="Times New Roman" w:eastAsia="Times New Roman" w:hAnsi="Times New Roman"/>
          <w:sz w:val="18"/>
          <w:szCs w:val="18"/>
          <w:color w:val="auto"/>
        </w:rPr>
        <w:t>an as-converted to common stock basis (whether in one or multiple releases), then each stockholder holding in excess of percent of the outstanding shares of our securities on an as-converted to common stock basis, or a Major Holder, will automatically be granted an early release on the same terms from the lock-up restrictions on transfer under the lock-up agreement on a pro-rata basis. In the event of an underwritten primary or secondary public offering or sale of our common stock during the period ending 180 days after the date of this prospectus, such early release shall only apply with respect to such Major Holder’s participation in such offering.</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Nasdaq Global Market Listing</w:t>
      </w:r>
    </w:p>
    <w:p>
      <w:pPr>
        <w:spacing w:after="0" w:line="229" w:lineRule="exact"/>
        <w:rPr>
          <w:sz w:val="20"/>
          <w:szCs w:val="20"/>
          <w:color w:val="auto"/>
        </w:rPr>
      </w:pPr>
    </w:p>
    <w:p>
      <w:pPr>
        <w:jc w:val="center"/>
        <w:ind w:left="920" w:right="400"/>
        <w:spacing w:after="0" w:line="454" w:lineRule="auto"/>
        <w:rPr>
          <w:sz w:val="20"/>
          <w:szCs w:val="20"/>
          <w:color w:val="auto"/>
        </w:rPr>
      </w:pPr>
      <w:r>
        <w:rPr>
          <w:rFonts w:ascii="Times New Roman" w:cs="Times New Roman" w:eastAsia="Times New Roman" w:hAnsi="Times New Roman"/>
          <w:sz w:val="18"/>
          <w:szCs w:val="18"/>
          <w:color w:val="auto"/>
        </w:rPr>
        <w:t>We expect the shares to be approved for listing on the Nasdaq Global Market, subject to notice of issuance, under the symbol “TARS.” -202-</w:t>
      </w:r>
    </w:p>
    <w:p>
      <w:pPr>
        <w:sectPr>
          <w:pgSz w:w="11900" w:h="16838" w:orient="portrait"/>
          <w:cols w:equalWidth="0" w:num="1">
            <w:col w:w="11100"/>
          </w:cols>
          <w:pgMar w:left="320" w:top="455" w:right="479" w:bottom="1440" w:gutter="0" w:footer="0" w:header="0"/>
        </w:sectPr>
      </w:pPr>
    </w:p>
    <w:bookmarkStart w:id="205" w:name="page206"/>
    <w:bookmarkEnd w:id="20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881"/>
        <w:spacing w:after="0" w:line="266" w:lineRule="auto"/>
        <w:rPr>
          <w:sz w:val="20"/>
          <w:szCs w:val="20"/>
          <w:color w:val="auto"/>
        </w:rPr>
      </w:pPr>
      <w:r>
        <w:rPr>
          <w:rFonts w:ascii="Times New Roman" w:cs="Times New Roman" w:eastAsia="Times New Roman" w:hAnsi="Times New Roman"/>
          <w:sz w:val="18"/>
          <w:szCs w:val="18"/>
          <w:color w:val="auto"/>
        </w:rPr>
        <w:t>Before this offering, there has been no public market for our common stock. The initial public offering price will be determined through negotiations between us and the representatives. In addition to prevailing market conditions, the factors to be considered in determining the initial public offering price are</w:t>
      </w:r>
    </w:p>
    <w:p>
      <w:pPr>
        <w:spacing w:after="0" w:line="203" w:lineRule="exact"/>
        <w:rPr>
          <w:sz w:val="20"/>
          <w:szCs w:val="20"/>
          <w:color w:val="auto"/>
        </w:rPr>
      </w:pPr>
    </w:p>
    <w:p>
      <w:pPr>
        <w:ind w:left="1420" w:hanging="319"/>
        <w:spacing w:after="0"/>
        <w:tabs>
          <w:tab w:leader="none" w:pos="142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valuation multiples of publicly traded companies that the representatives believe to be comparable to us,</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information,</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history of, and the prospects for, our company and the industry in which we compete,</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assessment of our management, its past and present operations, and the prospects for, and timing of, our future revenues,</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present state of our development, and</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above factors in relation to market values and various valuation measures of other companies engaged in activities similar to ours.</w:t>
      </w:r>
    </w:p>
    <w:p>
      <w:pPr>
        <w:spacing w:after="0" w:line="225" w:lineRule="exact"/>
        <w:rPr>
          <w:sz w:val="20"/>
          <w:szCs w:val="20"/>
          <w:color w:val="auto"/>
        </w:rPr>
      </w:pPr>
    </w:p>
    <w:p>
      <w:pPr>
        <w:ind w:left="120" w:right="460" w:firstLine="881"/>
        <w:spacing w:after="0" w:line="282" w:lineRule="auto"/>
        <w:rPr>
          <w:sz w:val="20"/>
          <w:szCs w:val="20"/>
          <w:color w:val="auto"/>
        </w:rPr>
      </w:pPr>
      <w:r>
        <w:rPr>
          <w:rFonts w:ascii="Times New Roman" w:cs="Times New Roman" w:eastAsia="Times New Roman" w:hAnsi="Times New Roman"/>
          <w:sz w:val="18"/>
          <w:szCs w:val="18"/>
          <w:color w:val="auto"/>
        </w:rPr>
        <w:t>An active trading market for the shares may not develop. It is also possible that after the offering the shares will not trade in the public market at or above the initial public offering price.</w:t>
      </w:r>
    </w:p>
    <w:p>
      <w:pPr>
        <w:spacing w:after="0" w:line="162"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The underwriters do not expect to sell more than 5% of the shares in the aggregate to accounts over which they exercise discretionary</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authority.</w:t>
      </w:r>
    </w:p>
    <w:p>
      <w:pPr>
        <w:spacing w:after="0" w:line="2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Price Stabilization, Short Positions and Penalty Bids</w:t>
      </w:r>
    </w:p>
    <w:p>
      <w:pPr>
        <w:spacing w:after="0" w:line="229" w:lineRule="exact"/>
        <w:rPr>
          <w:sz w:val="20"/>
          <w:szCs w:val="20"/>
          <w:color w:val="auto"/>
        </w:rPr>
      </w:pPr>
    </w:p>
    <w:p>
      <w:pPr>
        <w:ind w:left="120" w:right="320" w:firstLine="881"/>
        <w:spacing w:after="0" w:line="266" w:lineRule="auto"/>
        <w:rPr>
          <w:sz w:val="20"/>
          <w:szCs w:val="20"/>
          <w:color w:val="auto"/>
        </w:rPr>
      </w:pPr>
      <w:r>
        <w:rPr>
          <w:rFonts w:ascii="Times New Roman" w:cs="Times New Roman" w:eastAsia="Times New Roman" w:hAnsi="Times New Roman"/>
          <w:sz w:val="18"/>
          <w:szCs w:val="18"/>
          <w:color w:val="auto"/>
        </w:rPr>
        <w:t>Until the distribution of the shares is completed, SEC rules may limit underwriters and selling group members from bidding for and purchasing our common stock. However, the representatives may engage in transactions that stabilize the price of the common stock, such as bids or purchases to peg, fix or maintain that price.</w:t>
      </w:r>
    </w:p>
    <w:p>
      <w:pPr>
        <w:spacing w:after="0" w:line="176" w:lineRule="exact"/>
        <w:rPr>
          <w:sz w:val="20"/>
          <w:szCs w:val="20"/>
          <w:color w:val="auto"/>
        </w:rPr>
      </w:pPr>
    </w:p>
    <w:p>
      <w:pPr>
        <w:ind w:left="120" w:firstLine="881"/>
        <w:spacing w:after="0" w:line="253" w:lineRule="auto"/>
        <w:rPr>
          <w:sz w:val="20"/>
          <w:szCs w:val="20"/>
          <w:color w:val="auto"/>
        </w:rPr>
      </w:pPr>
      <w:r>
        <w:rPr>
          <w:rFonts w:ascii="Times New Roman" w:cs="Times New Roman" w:eastAsia="Times New Roman" w:hAnsi="Times New Roman"/>
          <w:sz w:val="18"/>
          <w:szCs w:val="18"/>
          <w:color w:val="auto"/>
        </w:rPr>
        <w:t>In connection with the offering, the underwriters may purchase and sell our common stock in the open market. These transactions may include short sales, purchases on the open market to cover positions created by short sales and stabilizing transactions. Short sales involve the sale by the underwriters of a greater number of shares than they are required to purchase in the offering. “Covered” short sales are sales made in an amount not greater than the underwriters’ option to purchase additional shares described above. The underwriters may close out any covered short position by either exercising their option to purchase additional shares or purchasing shares in the open market. In determining the source of shares to close out the covered short position, the underwriters will consider, among other things, the price of shares available for purchase in the open market as compared to the price at which they may purchase shares through the option granted to them. “Naked” short sales are sales in excess of such option. The underwriters must close out any naked short position by purchasing shares in the open market. A naked short position is more likely to be created if the underwriters are concerned that there may be downward pressure on the price of our common stock in the open market after pricing that could adversely affect investors who purchase in the offering. Stabilizing transactions consist of various bids for or purchases of shares of common stock made by the underwriters in the open market prior to the completion of the offering.</w:t>
      </w:r>
    </w:p>
    <w:p>
      <w:pPr>
        <w:spacing w:after="0" w:line="192" w:lineRule="exact"/>
        <w:rPr>
          <w:sz w:val="20"/>
          <w:szCs w:val="20"/>
          <w:color w:val="auto"/>
        </w:rPr>
      </w:pPr>
    </w:p>
    <w:p>
      <w:pPr>
        <w:ind w:left="120" w:right="80" w:firstLine="881"/>
        <w:spacing w:after="0" w:line="266" w:lineRule="auto"/>
        <w:rPr>
          <w:sz w:val="20"/>
          <w:szCs w:val="20"/>
          <w:color w:val="auto"/>
        </w:rPr>
      </w:pPr>
      <w:r>
        <w:rPr>
          <w:rFonts w:ascii="Times New Roman" w:cs="Times New Roman" w:eastAsia="Times New Roman" w:hAnsi="Times New Roman"/>
          <w:sz w:val="18"/>
          <w:szCs w:val="18"/>
          <w:color w:val="auto"/>
        </w:rPr>
        <w:t>The underwriters may also impose a penalty bid. This occurs when a particular underwriter repays to the underwriters a portion of the underwriting discount received by it because the representatives have repurchased shares sold by or for the account of such underwriter in stabilizing or short covering transactions.</w:t>
      </w:r>
    </w:p>
    <w:p>
      <w:pPr>
        <w:spacing w:after="0" w:line="176" w:lineRule="exact"/>
        <w:rPr>
          <w:sz w:val="20"/>
          <w:szCs w:val="20"/>
          <w:color w:val="auto"/>
        </w:rPr>
      </w:pPr>
    </w:p>
    <w:p>
      <w:pPr>
        <w:ind w:left="120" w:right="520" w:firstLine="881"/>
        <w:spacing w:after="0" w:line="282" w:lineRule="auto"/>
        <w:rPr>
          <w:sz w:val="20"/>
          <w:szCs w:val="20"/>
          <w:color w:val="auto"/>
        </w:rPr>
      </w:pPr>
      <w:r>
        <w:rPr>
          <w:rFonts w:ascii="Times New Roman" w:cs="Times New Roman" w:eastAsia="Times New Roman" w:hAnsi="Times New Roman"/>
          <w:sz w:val="18"/>
          <w:szCs w:val="18"/>
          <w:color w:val="auto"/>
        </w:rPr>
        <w:t>Similar to other purchase transactions, the underwriters’ purchases to cover the syndicate short sales may have the effect of raising or maintaining the market price of our common stock or preventing or retarding a</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-203-</w:t>
      </w:r>
    </w:p>
    <w:p>
      <w:pPr>
        <w:sectPr>
          <w:pgSz w:w="11900" w:h="16838" w:orient="portrait"/>
          <w:cols w:equalWidth="0" w:num="1">
            <w:col w:w="11120"/>
          </w:cols>
          <w:pgMar w:left="320" w:top="455" w:right="459" w:bottom="1440" w:gutter="0" w:footer="0" w:header="0"/>
        </w:sectPr>
      </w:pPr>
    </w:p>
    <w:bookmarkStart w:id="206" w:name="page207"/>
    <w:bookmarkEnd w:id="20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82" w:lineRule="auto"/>
        <w:rPr>
          <w:sz w:val="20"/>
          <w:szCs w:val="20"/>
          <w:color w:val="auto"/>
        </w:rPr>
      </w:pPr>
      <w:r>
        <w:rPr>
          <w:rFonts w:ascii="Times New Roman" w:cs="Times New Roman" w:eastAsia="Times New Roman" w:hAnsi="Times New Roman"/>
          <w:sz w:val="18"/>
          <w:szCs w:val="18"/>
          <w:color w:val="auto"/>
        </w:rPr>
        <w:t>decline in the market price of our common stock. As a result, the price of our common stock may be higher than the price that might otherwise exist in the open market. The underwriters may conduct these transactions on the Nasdaq Global Market, in the over-the-counter market or otherwise.</w:t>
      </w:r>
    </w:p>
    <w:p>
      <w:pPr>
        <w:spacing w:after="0" w:line="162" w:lineRule="exact"/>
        <w:rPr>
          <w:sz w:val="20"/>
          <w:szCs w:val="20"/>
          <w:color w:val="auto"/>
        </w:rPr>
      </w:pPr>
    </w:p>
    <w:p>
      <w:pPr>
        <w:ind w:left="120" w:right="160" w:firstLine="881"/>
        <w:spacing w:after="0" w:line="289" w:lineRule="auto"/>
        <w:rPr>
          <w:sz w:val="20"/>
          <w:szCs w:val="20"/>
          <w:color w:val="auto"/>
        </w:rPr>
      </w:pPr>
      <w:r>
        <w:rPr>
          <w:rFonts w:ascii="Times New Roman" w:cs="Times New Roman" w:eastAsia="Times New Roman" w:hAnsi="Times New Roman"/>
          <w:sz w:val="17"/>
          <w:szCs w:val="17"/>
          <w:color w:val="auto"/>
        </w:rPr>
        <w:t>Neither we nor any of the underwriters make any representation or prediction as to the direction or magnitude of any effect that the transactions described above may have on the price of our common stock. In addition, neither we nor any of the underwriters make any representation that the representatives will engage in these transactions or that these transactions, once commenced, will not be discontinued without notice.</w:t>
      </w:r>
    </w:p>
    <w:p>
      <w:pPr>
        <w:spacing w:after="0" w:line="15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Electronic Distribution</w:t>
      </w:r>
    </w:p>
    <w:p>
      <w:pPr>
        <w:spacing w:after="0" w:line="22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In connection with the offering, certain of the underwriters or securities dealers may distribute prospectuses by electronic means, such as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e-mail.</w:t>
      </w:r>
    </w:p>
    <w:p>
      <w:pPr>
        <w:spacing w:after="0" w:line="2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Other Relationships</w:t>
      </w:r>
    </w:p>
    <w:p>
      <w:pPr>
        <w:spacing w:after="0" w:line="229" w:lineRule="exact"/>
        <w:rPr>
          <w:sz w:val="20"/>
          <w:szCs w:val="20"/>
          <w:color w:val="auto"/>
        </w:rPr>
      </w:pPr>
    </w:p>
    <w:p>
      <w:pPr>
        <w:ind w:left="120" w:right="100" w:firstLine="881"/>
        <w:spacing w:after="0" w:line="258" w:lineRule="auto"/>
        <w:rPr>
          <w:sz w:val="20"/>
          <w:szCs w:val="20"/>
          <w:color w:val="auto"/>
        </w:rPr>
      </w:pPr>
      <w:r>
        <w:rPr>
          <w:rFonts w:ascii="Times New Roman" w:cs="Times New Roman" w:eastAsia="Times New Roman" w:hAnsi="Times New Roman"/>
          <w:sz w:val="18"/>
          <w:szCs w:val="18"/>
          <w:color w:val="auto"/>
        </w:rPr>
        <w:t>The underwriters and their respective affiliates are full service financial institutions engaged in various activities, which may include sales and trading, commercial and investment banking, advisory, investment management, investment research, principal investment, hedging, market making, brokerage and other financial and non-financial activities and services. Some of the underwriters and their affiliates have engaged in, and may in the future engage in, investment banking and other commercial dealings in the ordinary course of business with us or our affiliates. They have received, or may in the future receive, customary fees and commissions for these transactions.</w:t>
      </w:r>
    </w:p>
    <w:p>
      <w:pPr>
        <w:spacing w:after="0" w:line="183" w:lineRule="exact"/>
        <w:rPr>
          <w:sz w:val="20"/>
          <w:szCs w:val="20"/>
          <w:color w:val="auto"/>
        </w:rPr>
      </w:pPr>
    </w:p>
    <w:p>
      <w:pPr>
        <w:ind w:left="120" w:firstLine="881"/>
        <w:spacing w:after="0" w:line="256" w:lineRule="auto"/>
        <w:rPr>
          <w:sz w:val="20"/>
          <w:szCs w:val="20"/>
          <w:color w:val="auto"/>
        </w:rPr>
      </w:pPr>
      <w:r>
        <w:rPr>
          <w:rFonts w:ascii="Times New Roman" w:cs="Times New Roman" w:eastAsia="Times New Roman" w:hAnsi="Times New Roman"/>
          <w:sz w:val="18"/>
          <w:szCs w:val="18"/>
          <w:color w:val="auto"/>
        </w:rPr>
        <w:t>In addition, in the ordinary course of their business activities, the underwriters and their affiliates may make or hold a broad array of investments and actively trade debt and equity securities (or related derivative securities) and financial instruments (including bank loans) for their own account and for the accounts of their customers. Such investments and securities activities may involve securities and/or instruments of ours or our affiliates. 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the European Economic Area and the United Kingdom</w:t>
      </w:r>
    </w:p>
    <w:p>
      <w:pPr>
        <w:spacing w:after="0" w:line="229" w:lineRule="exact"/>
        <w:rPr>
          <w:sz w:val="20"/>
          <w:szCs w:val="20"/>
          <w:color w:val="auto"/>
        </w:rPr>
      </w:pPr>
    </w:p>
    <w:p>
      <w:pPr>
        <w:ind w:left="120" w:right="20" w:firstLine="881"/>
        <w:spacing w:after="0" w:line="258" w:lineRule="auto"/>
        <w:rPr>
          <w:sz w:val="20"/>
          <w:szCs w:val="20"/>
          <w:color w:val="auto"/>
        </w:rPr>
      </w:pPr>
      <w:r>
        <w:rPr>
          <w:rFonts w:ascii="Times New Roman" w:cs="Times New Roman" w:eastAsia="Times New Roman" w:hAnsi="Times New Roman"/>
          <w:sz w:val="18"/>
          <w:szCs w:val="18"/>
          <w:color w:val="auto"/>
        </w:rPr>
        <w:t>In relation to each member state of the European Economic Area and the United Kingdom (each a “Relevant State”), no shares have been offered or will be offered pursuant to this offering to the public in that Relevant State prior to the publication of a prospectus in relation to the shares which has been approved by the competent authority in that Relevant State or, where appropriate, approved in another Relevant State and notified to the competent authority in that Relevant State, all in accordance with the Prospectus Regulation), except that offers of shares may be made to the public in that Relevant State at any time under the following exemptions under the Prospectus Regulation:</w:t>
      </w:r>
    </w:p>
    <w:p>
      <w:pPr>
        <w:spacing w:after="0" w:line="210" w:lineRule="exact"/>
        <w:rPr>
          <w:sz w:val="20"/>
          <w:szCs w:val="20"/>
          <w:color w:val="auto"/>
        </w:rPr>
      </w:pPr>
    </w:p>
    <w:p>
      <w:pPr>
        <w:ind w:left="1420" w:hanging="319"/>
        <w:spacing w:after="0"/>
        <w:tabs>
          <w:tab w:leader="none" w:pos="142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legal entity which is a qualified investor as defined under the Prospectus Regulation;</w:t>
      </w:r>
    </w:p>
    <w:p>
      <w:pPr>
        <w:spacing w:after="0" w:line="252" w:lineRule="exact"/>
        <w:rPr>
          <w:rFonts w:ascii="Times New Roman" w:cs="Times New Roman" w:eastAsia="Times New Roman" w:hAnsi="Times New Roman"/>
          <w:sz w:val="18"/>
          <w:szCs w:val="18"/>
          <w:color w:val="auto"/>
        </w:rPr>
      </w:pPr>
    </w:p>
    <w:p>
      <w:pPr>
        <w:ind w:left="1420" w:right="460" w:hanging="319"/>
        <w:spacing w:after="0" w:line="282" w:lineRule="auto"/>
        <w:tabs>
          <w:tab w:leader="none" w:pos="142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fewer than 150 natural or legal persons (other than qualified investors as defined under the Prospectus Regulation), subject to obtaining the prior consent of the representatives for any such offer; or</w:t>
      </w:r>
    </w:p>
    <w:p>
      <w:pPr>
        <w:spacing w:after="0" w:line="188" w:lineRule="exact"/>
        <w:rPr>
          <w:rFonts w:ascii="Times New Roman" w:cs="Times New Roman" w:eastAsia="Times New Roman" w:hAnsi="Times New Roman"/>
          <w:sz w:val="18"/>
          <w:szCs w:val="18"/>
          <w:color w:val="auto"/>
        </w:rPr>
      </w:pPr>
    </w:p>
    <w:p>
      <w:pPr>
        <w:ind w:left="1420" w:right="40" w:hanging="319"/>
        <w:spacing w:after="0" w:line="266" w:lineRule="auto"/>
        <w:tabs>
          <w:tab w:leader="none" w:pos="142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circumstances falling within Article 1(4) of the Prospectus Regulation, provided that no such offer of shares shall require the Company or any representative to publish a prospectus pursuant to Article 3 of the Prospectus Regulation or supplement a prospectus pursuant to Article 23 of the Prospectus Regulation.</w:t>
      </w:r>
    </w:p>
    <w:p>
      <w:pPr>
        <w:spacing w:after="0" w:line="108" w:lineRule="exact"/>
        <w:rPr>
          <w:rFonts w:ascii="Times New Roman" w:cs="Times New Roman" w:eastAsia="Times New Roman" w:hAnsi="Times New Roman"/>
          <w:sz w:val="18"/>
          <w:szCs w:val="18"/>
          <w:color w:val="auto"/>
        </w:rPr>
      </w:pPr>
    </w:p>
    <w:p>
      <w:pPr>
        <w:ind w:left="5480" w:hanging="96"/>
        <w:spacing w:after="0"/>
        <w:tabs>
          <w:tab w:leader="none" w:pos="5480" w:val="left"/>
        </w:tabs>
        <w:numPr>
          <w:ilvl w:val="1"/>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204 -</w:t>
      </w:r>
    </w:p>
    <w:p>
      <w:pPr>
        <w:sectPr>
          <w:pgSz w:w="11900" w:h="16838" w:orient="portrait"/>
          <w:cols w:equalWidth="0" w:num="1">
            <w:col w:w="11080"/>
          </w:cols>
          <w:pgMar w:left="320" w:top="455" w:right="499" w:bottom="1440" w:gutter="0" w:footer="0" w:header="0"/>
        </w:sectPr>
      </w:pPr>
    </w:p>
    <w:bookmarkStart w:id="207" w:name="page208"/>
    <w:bookmarkEnd w:id="20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640" w:firstLine="881"/>
        <w:spacing w:after="0" w:line="266" w:lineRule="auto"/>
        <w:rPr>
          <w:sz w:val="20"/>
          <w:szCs w:val="20"/>
          <w:color w:val="auto"/>
        </w:rPr>
      </w:pPr>
      <w:r>
        <w:rPr>
          <w:rFonts w:ascii="Times New Roman" w:cs="Times New Roman" w:eastAsia="Times New Roman" w:hAnsi="Times New Roman"/>
          <w:sz w:val="18"/>
          <w:szCs w:val="18"/>
          <w:color w:val="auto"/>
        </w:rPr>
        <w:t>Each person in a Relevant State who initially acquires any shares or to whom any offer is made will be deemed to have represented, acknowledged and agreed to and with the Company and the representatives that it is a qualified investor within the meaning of the Prospectus Regulation.</w:t>
      </w:r>
    </w:p>
    <w:p>
      <w:pPr>
        <w:spacing w:after="0" w:line="176" w:lineRule="exact"/>
        <w:rPr>
          <w:sz w:val="20"/>
          <w:szCs w:val="20"/>
          <w:color w:val="auto"/>
        </w:rPr>
      </w:pPr>
    </w:p>
    <w:p>
      <w:pPr>
        <w:ind w:left="120" w:firstLine="881"/>
        <w:spacing w:after="0" w:line="258" w:lineRule="auto"/>
        <w:rPr>
          <w:sz w:val="20"/>
          <w:szCs w:val="20"/>
          <w:color w:val="auto"/>
        </w:rPr>
      </w:pPr>
      <w:r>
        <w:rPr>
          <w:rFonts w:ascii="Times New Roman" w:cs="Times New Roman" w:eastAsia="Times New Roman" w:hAnsi="Times New Roman"/>
          <w:sz w:val="18"/>
          <w:szCs w:val="18"/>
          <w:color w:val="auto"/>
        </w:rPr>
        <w:t>In the case of any shares being offered to a financial intermediary as that term is used in Article 5(1) of the Prospectus Regulation, each such financial intermediary will be deemed to have represented, acknowledged and agreed that the shares acquired by it in the offer have not been acquired on a non-discretionary basis on behalf of, nor have they been acquired with a view to their offer or resale to, persons in circumstances which may give rise to an offer to the public other than their offer or resale in a Relevant State to qualified investors, in circumstances in which the prior consent of the representatives has been obtained to each such proposed offer or resale.</w:t>
      </w:r>
    </w:p>
    <w:p>
      <w:pPr>
        <w:spacing w:after="0" w:line="183" w:lineRule="exact"/>
        <w:rPr>
          <w:sz w:val="20"/>
          <w:szCs w:val="20"/>
          <w:color w:val="auto"/>
        </w:rPr>
      </w:pPr>
    </w:p>
    <w:p>
      <w:pPr>
        <w:ind w:left="120" w:right="640" w:firstLine="881"/>
        <w:spacing w:after="0" w:line="282" w:lineRule="auto"/>
        <w:rPr>
          <w:sz w:val="20"/>
          <w:szCs w:val="20"/>
          <w:color w:val="auto"/>
        </w:rPr>
      </w:pPr>
      <w:r>
        <w:rPr>
          <w:rFonts w:ascii="Times New Roman" w:cs="Times New Roman" w:eastAsia="Times New Roman" w:hAnsi="Times New Roman"/>
          <w:sz w:val="18"/>
          <w:szCs w:val="18"/>
          <w:color w:val="auto"/>
        </w:rPr>
        <w:t>The Company, the underwriters and their respective affiliates will rely upon the truth and accuracy of the foregoing representations, acknowledgements and agreements.</w:t>
      </w:r>
    </w:p>
    <w:p>
      <w:pPr>
        <w:spacing w:after="0" w:line="162" w:lineRule="exact"/>
        <w:rPr>
          <w:sz w:val="20"/>
          <w:szCs w:val="20"/>
          <w:color w:val="auto"/>
        </w:rPr>
      </w:pPr>
    </w:p>
    <w:p>
      <w:pPr>
        <w:ind w:left="120" w:right="60" w:firstLine="881"/>
        <w:spacing w:after="0" w:line="266" w:lineRule="auto"/>
        <w:rPr>
          <w:sz w:val="20"/>
          <w:szCs w:val="20"/>
          <w:color w:val="auto"/>
        </w:rPr>
      </w:pPr>
      <w:r>
        <w:rPr>
          <w:rFonts w:ascii="Times New Roman" w:cs="Times New Roman" w:eastAsia="Times New Roman" w:hAnsi="Times New Roman"/>
          <w:sz w:val="18"/>
          <w:szCs w:val="18"/>
          <w:color w:val="auto"/>
        </w:rPr>
        <w:t>For the purposes of this provision, the expression an “offer to the public” in relation to any shares in any Relevant State means the communication in any form and by any means of sufficient information on the terms of the offer and any shares to be offered so as to enable an investor to decide to purchase or subscribe for any shares, and the expression “Prospectus Regulation” means Regulation (EU) 2017/1129.</w:t>
      </w:r>
    </w:p>
    <w:p>
      <w:pPr>
        <w:spacing w:after="0" w:line="176" w:lineRule="exact"/>
        <w:rPr>
          <w:sz w:val="20"/>
          <w:szCs w:val="20"/>
          <w:color w:val="auto"/>
        </w:rPr>
      </w:pPr>
    </w:p>
    <w:p>
      <w:pPr>
        <w:ind w:left="120" w:right="160" w:firstLine="881"/>
        <w:spacing w:after="0" w:line="282" w:lineRule="auto"/>
        <w:rPr>
          <w:sz w:val="20"/>
          <w:szCs w:val="20"/>
          <w:color w:val="auto"/>
        </w:rPr>
      </w:pPr>
      <w:r>
        <w:rPr>
          <w:rFonts w:ascii="Times New Roman" w:cs="Times New Roman" w:eastAsia="Times New Roman" w:hAnsi="Times New Roman"/>
          <w:sz w:val="18"/>
          <w:szCs w:val="18"/>
          <w:color w:val="auto"/>
        </w:rPr>
        <w:t>References to the Prospectus Regulation includes, in relation to the UK, the Prospectus Regulation as it forms part of UK domestic law by virtue of the European Union (Withdrawal) Act 2018.</w:t>
      </w:r>
    </w:p>
    <w:p>
      <w:pPr>
        <w:spacing w:after="0" w:line="162"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The above selling restriction is in addition to any other selling restrictions set out below.</w:t>
      </w:r>
    </w:p>
    <w:p>
      <w:pPr>
        <w:spacing w:after="0" w:line="225" w:lineRule="exact"/>
        <w:rPr>
          <w:sz w:val="20"/>
          <w:szCs w:val="20"/>
          <w:color w:val="auto"/>
        </w:rPr>
      </w:pPr>
    </w:p>
    <w:p>
      <w:pPr>
        <w:ind w:left="120" w:right="260" w:firstLine="881"/>
        <w:spacing w:after="0" w:line="282" w:lineRule="auto"/>
        <w:rPr>
          <w:sz w:val="20"/>
          <w:szCs w:val="20"/>
          <w:color w:val="auto"/>
        </w:rPr>
      </w:pPr>
      <w:r>
        <w:rPr>
          <w:rFonts w:ascii="Times New Roman" w:cs="Times New Roman" w:eastAsia="Times New Roman" w:hAnsi="Times New Roman"/>
          <w:sz w:val="18"/>
          <w:szCs w:val="18"/>
          <w:color w:val="auto"/>
        </w:rPr>
        <w:t>In connection with the offering, the underwriters are not acting for anyone other than the Company and will not be responsible to anyone other than the Company for providing the protections afforded to their clients nor for providing advice in relation to the offering.</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the United Kingdom</w:t>
      </w:r>
    </w:p>
    <w:p>
      <w:pPr>
        <w:spacing w:after="0" w:line="229" w:lineRule="exact"/>
        <w:rPr>
          <w:sz w:val="20"/>
          <w:szCs w:val="20"/>
          <w:color w:val="auto"/>
        </w:rPr>
      </w:pPr>
    </w:p>
    <w:p>
      <w:pPr>
        <w:ind w:left="120" w:right="20" w:firstLine="881"/>
        <w:spacing w:after="0" w:line="254" w:lineRule="auto"/>
        <w:rPr>
          <w:sz w:val="20"/>
          <w:szCs w:val="20"/>
          <w:color w:val="auto"/>
        </w:rPr>
      </w:pPr>
      <w:r>
        <w:rPr>
          <w:rFonts w:ascii="Times New Roman" w:cs="Times New Roman" w:eastAsia="Times New Roman" w:hAnsi="Times New Roman"/>
          <w:sz w:val="18"/>
          <w:szCs w:val="18"/>
          <w:color w:val="auto"/>
        </w:rPr>
        <w:t>This document is for distribution only to persons who (i) have professional experience in matters relating to investments and who qualify as investment professionals within the meaning of Article 19(5) of the Financial Services and Markets Act 2000 (Financial Promotion) Order 2005, as amended, or, the Financial Promotion Order, (ii) are persons falling within Article 49(2)(a) to (d) (“high net worth companies, unincorporated associations etc.”) of the Financial Promotion Order, (iii) are outside the United Kingdom or (iv) are persons to whom an invitation or inducement to engage in investment activity (within the meaning of Section 21 of the Financial Services and Markets Act 2000, as amended, or FSMA) in connection with the issue or sale of any securities may otherwise lawfully be communicated or caused to be communicated (all such persons together being referred to as “relevant persons”). This document is directed only at relevant persons and must not be acted on or relied on by persons who are not relevant persons. Any investment or investment activity to which this document relates is available only to relevant persons and will be engaged in only with relevant persons.</w:t>
      </w:r>
    </w:p>
    <w:p>
      <w:pPr>
        <w:spacing w:after="0" w:line="1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Switzerland</w:t>
      </w:r>
    </w:p>
    <w:p>
      <w:pPr>
        <w:spacing w:after="0" w:line="229" w:lineRule="exact"/>
        <w:rPr>
          <w:sz w:val="20"/>
          <w:szCs w:val="20"/>
          <w:color w:val="auto"/>
        </w:rPr>
      </w:pPr>
    </w:p>
    <w:p>
      <w:pPr>
        <w:ind w:left="120" w:firstLine="881"/>
        <w:spacing w:after="0" w:line="258" w:lineRule="auto"/>
        <w:rPr>
          <w:sz w:val="20"/>
          <w:szCs w:val="20"/>
          <w:color w:val="auto"/>
        </w:rPr>
      </w:pPr>
      <w:r>
        <w:rPr>
          <w:rFonts w:ascii="Times New Roman" w:cs="Times New Roman" w:eastAsia="Times New Roman" w:hAnsi="Times New Roman"/>
          <w:sz w:val="18"/>
          <w:szCs w:val="18"/>
          <w:color w:val="auto"/>
        </w:rPr>
        <w:t>The shares may not be publicly offered in Switzerland and will not be listed on the SIX Swiss Exchange, or SIX, or on any other stock exchange or regulated trading facility in Switzerland. This document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shares or the offering may be publicly distributed or otherwise made publicly available in Switzerland.</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-205-</w:t>
      </w:r>
    </w:p>
    <w:p>
      <w:pPr>
        <w:sectPr>
          <w:pgSz w:w="11900" w:h="16838" w:orient="portrait"/>
          <w:cols w:equalWidth="0" w:num="1">
            <w:col w:w="11120"/>
          </w:cols>
          <w:pgMar w:left="320" w:top="455" w:right="459" w:bottom="1440" w:gutter="0" w:footer="0" w:header="0"/>
        </w:sectPr>
      </w:pPr>
    </w:p>
    <w:bookmarkStart w:id="208" w:name="page209"/>
    <w:bookmarkEnd w:id="20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firstLine="881"/>
        <w:spacing w:after="0" w:line="258" w:lineRule="auto"/>
        <w:rPr>
          <w:sz w:val="20"/>
          <w:szCs w:val="20"/>
          <w:color w:val="auto"/>
        </w:rPr>
      </w:pPr>
      <w:r>
        <w:rPr>
          <w:rFonts w:ascii="Times New Roman" w:cs="Times New Roman" w:eastAsia="Times New Roman" w:hAnsi="Times New Roman"/>
          <w:sz w:val="18"/>
          <w:szCs w:val="18"/>
          <w:color w:val="auto"/>
        </w:rPr>
        <w:t>Neither this document nor any other offering or marketing material relating to the offering, the Company, or the shares have been or will be filed with or approved by any Swiss regulatory authority. In particular, this document will not be filed with, and the offer of shares will not be supervised by, the Swiss Financial Market Supervisory Authority, or FINMA, and the offer of shares has not been and will not be authorized under the Swiss Federal Act on Collective Investment Schemes, or CISA. The investor protection afforded to acquirers of interests in collective investment schemes under the CISA does not extend to acquirers of shares.</w:t>
      </w:r>
    </w:p>
    <w:p>
      <w:pPr>
        <w:spacing w:after="0" w:line="1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the Dubai International Financial Centre</w:t>
      </w:r>
    </w:p>
    <w:p>
      <w:pPr>
        <w:spacing w:after="0" w:line="229" w:lineRule="exact"/>
        <w:rPr>
          <w:sz w:val="20"/>
          <w:szCs w:val="20"/>
          <w:color w:val="auto"/>
        </w:rPr>
      </w:pPr>
    </w:p>
    <w:p>
      <w:pPr>
        <w:ind w:left="120" w:right="100" w:firstLine="881"/>
        <w:spacing w:after="0" w:line="255" w:lineRule="auto"/>
        <w:rPr>
          <w:sz w:val="20"/>
          <w:szCs w:val="20"/>
          <w:color w:val="auto"/>
        </w:rPr>
      </w:pPr>
      <w:r>
        <w:rPr>
          <w:rFonts w:ascii="Times New Roman" w:cs="Times New Roman" w:eastAsia="Times New Roman" w:hAnsi="Times New Roman"/>
          <w:sz w:val="18"/>
          <w:szCs w:val="18"/>
          <w:color w:val="auto"/>
        </w:rPr>
        <w:t>This prospectus relates to an Exempt Offer in accordance with the Offered Securities Rules of the Dubai Financial Services Authority, or DFSA. This prospectus is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nor taken steps to verify the information set forth herein and has no responsibility for the prospectus. The shares to which this prospectus relates may be illiquid and/or subject to restrictions on their resale. Prospective purchasers of the shares offered should conduct their own due diligence on the shares. If you do not understand the contents of this prospectus you should consult an authorized financial advisor.</w:t>
      </w:r>
    </w:p>
    <w:p>
      <w:pPr>
        <w:spacing w:after="0" w:line="1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Australia</w:t>
      </w:r>
    </w:p>
    <w:p>
      <w:pPr>
        <w:spacing w:after="0" w:line="229" w:lineRule="exact"/>
        <w:rPr>
          <w:sz w:val="20"/>
          <w:szCs w:val="20"/>
          <w:color w:val="auto"/>
        </w:rPr>
      </w:pPr>
    </w:p>
    <w:p>
      <w:pPr>
        <w:jc w:val="both"/>
        <w:ind w:left="120" w:right="500" w:firstLine="881"/>
        <w:spacing w:after="0" w:line="261" w:lineRule="auto"/>
        <w:rPr>
          <w:sz w:val="20"/>
          <w:szCs w:val="20"/>
          <w:color w:val="auto"/>
        </w:rPr>
      </w:pPr>
      <w:r>
        <w:rPr>
          <w:rFonts w:ascii="Times New Roman" w:cs="Times New Roman" w:eastAsia="Times New Roman" w:hAnsi="Times New Roman"/>
          <w:sz w:val="18"/>
          <w:szCs w:val="18"/>
          <w:color w:val="auto"/>
        </w:rPr>
        <w:t>No placement document, prospectus, product disclosure statement or other disclosure document has been lodged with the Australian Securities and Investments Commission, or ASIC, in relation to the offering. This prospectus does not constitute a prospectus, product disclosure statement or other disclosure document under the Corporations Act 2001, or the Corporations Act, and does not purport to include the information required for a prospectus, product disclosure statement or other disclosure document under the Corporations Act.</w:t>
      </w:r>
    </w:p>
    <w:p>
      <w:pPr>
        <w:spacing w:after="0" w:line="180" w:lineRule="exact"/>
        <w:rPr>
          <w:sz w:val="20"/>
          <w:szCs w:val="20"/>
          <w:color w:val="auto"/>
        </w:rPr>
      </w:pPr>
    </w:p>
    <w:p>
      <w:pPr>
        <w:ind w:left="120" w:right="100" w:firstLine="881"/>
        <w:spacing w:after="0" w:line="261" w:lineRule="auto"/>
        <w:rPr>
          <w:sz w:val="20"/>
          <w:szCs w:val="20"/>
          <w:color w:val="auto"/>
        </w:rPr>
      </w:pPr>
      <w:r>
        <w:rPr>
          <w:rFonts w:ascii="Times New Roman" w:cs="Times New Roman" w:eastAsia="Times New Roman" w:hAnsi="Times New Roman"/>
          <w:sz w:val="18"/>
          <w:szCs w:val="18"/>
          <w:color w:val="auto"/>
        </w:rPr>
        <w:t>Any offer in Australia of the shares may only be made to persons, or the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shares without disclosure to investors under Chapter 6D of the Corporations Act.</w:t>
      </w:r>
    </w:p>
    <w:p>
      <w:pPr>
        <w:spacing w:after="0" w:line="180" w:lineRule="exact"/>
        <w:rPr>
          <w:sz w:val="20"/>
          <w:szCs w:val="20"/>
          <w:color w:val="auto"/>
        </w:rPr>
      </w:pPr>
    </w:p>
    <w:p>
      <w:pPr>
        <w:ind w:left="120" w:right="80" w:firstLine="881"/>
        <w:spacing w:after="0" w:line="261" w:lineRule="auto"/>
        <w:rPr>
          <w:sz w:val="20"/>
          <w:szCs w:val="20"/>
          <w:color w:val="auto"/>
        </w:rPr>
      </w:pPr>
      <w:r>
        <w:rPr>
          <w:rFonts w:ascii="Times New Roman" w:cs="Times New Roman" w:eastAsia="Times New Roman" w:hAnsi="Times New Roman"/>
          <w:sz w:val="18"/>
          <w:szCs w:val="18"/>
          <w:color w:val="auto"/>
        </w:rPr>
        <w:t>The shares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shares must observe such Australian on-sale restrictions.</w:t>
      </w:r>
    </w:p>
    <w:p>
      <w:pPr>
        <w:spacing w:after="0" w:line="180" w:lineRule="exact"/>
        <w:rPr>
          <w:sz w:val="20"/>
          <w:szCs w:val="20"/>
          <w:color w:val="auto"/>
        </w:rPr>
      </w:pPr>
    </w:p>
    <w:p>
      <w:pPr>
        <w:jc w:val="both"/>
        <w:ind w:left="120" w:right="140" w:firstLine="881"/>
        <w:spacing w:after="0" w:line="261" w:lineRule="auto"/>
        <w:rPr>
          <w:sz w:val="20"/>
          <w:szCs w:val="20"/>
          <w:color w:val="auto"/>
        </w:rPr>
      </w:pPr>
      <w:r>
        <w:rPr>
          <w:rFonts w:ascii="Times New Roman" w:cs="Times New Roman" w:eastAsia="Times New Roman" w:hAnsi="Times New Roman"/>
          <w:sz w:val="18"/>
          <w:szCs w:val="18"/>
          <w:color w:val="auto"/>
        </w:rPr>
        <w:t>This prospectus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prospectus is appropriate to their needs, objectives and circumstances, and, if necessary, seek expert advice on those matters.</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Hong Kong</w:t>
      </w:r>
    </w:p>
    <w:p>
      <w:pPr>
        <w:spacing w:after="0" w:line="229" w:lineRule="exact"/>
        <w:rPr>
          <w:sz w:val="20"/>
          <w:szCs w:val="20"/>
          <w:color w:val="auto"/>
        </w:rPr>
      </w:pPr>
    </w:p>
    <w:p>
      <w:pPr>
        <w:ind w:left="120" w:right="40" w:firstLine="881"/>
        <w:spacing w:after="0" w:line="266" w:lineRule="auto"/>
        <w:rPr>
          <w:sz w:val="20"/>
          <w:szCs w:val="20"/>
          <w:color w:val="auto"/>
        </w:rPr>
      </w:pPr>
      <w:r>
        <w:rPr>
          <w:rFonts w:ascii="Times New Roman" w:cs="Times New Roman" w:eastAsia="Times New Roman" w:hAnsi="Times New Roman"/>
          <w:sz w:val="18"/>
          <w:szCs w:val="18"/>
          <w:color w:val="auto"/>
        </w:rPr>
        <w:t>The shares have not been offered or sold and will not be offered or sold in Hong Kong, by means of any document, other than (a) to “professional investors” as defined in the Securities and Futures Ordinance (Cap. 571) of Hong Kong and any rules made under that Ordinance; or (b) in other circumstances which do not result</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-206-</w:t>
      </w:r>
    </w:p>
    <w:p>
      <w:pPr>
        <w:sectPr>
          <w:pgSz w:w="11900" w:h="16838" w:orient="portrait"/>
          <w:cols w:equalWidth="0" w:num="1">
            <w:col w:w="11140"/>
          </w:cols>
          <w:pgMar w:left="320" w:top="455" w:right="439" w:bottom="1440" w:gutter="0" w:footer="0" w:header="0"/>
        </w:sectPr>
      </w:pPr>
    </w:p>
    <w:bookmarkStart w:id="209" w:name="page210"/>
    <w:bookmarkEnd w:id="20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in the document being a “prospectus” as defined in the Companies Ordinance (Cap. 32) of Hong Kong or which do not constitute an offer to the public within the meaning of that Ordinance. No advertisement, invitation or document relating to the shares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shares which are or are intended to be disposed of only to persons outside Hong Kong or only to “professional investors” as defined in the Securities and Futures Ordinance and any rules made under that Ordinance.</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Japan</w:t>
      </w:r>
    </w:p>
    <w:p>
      <w:pPr>
        <w:spacing w:after="0" w:line="229" w:lineRule="exact"/>
        <w:rPr>
          <w:sz w:val="20"/>
          <w:szCs w:val="20"/>
          <w:color w:val="auto"/>
        </w:rPr>
      </w:pPr>
    </w:p>
    <w:p>
      <w:pPr>
        <w:ind w:left="120" w:right="40" w:firstLine="881"/>
        <w:spacing w:after="0" w:line="258" w:lineRule="auto"/>
        <w:rPr>
          <w:sz w:val="20"/>
          <w:szCs w:val="20"/>
          <w:color w:val="auto"/>
        </w:rPr>
      </w:pPr>
      <w:r>
        <w:rPr>
          <w:rFonts w:ascii="Times New Roman" w:cs="Times New Roman" w:eastAsia="Times New Roman" w:hAnsi="Times New Roman"/>
          <w:sz w:val="18"/>
          <w:szCs w:val="18"/>
          <w:color w:val="auto"/>
        </w:rPr>
        <w:t>The shares have not been and will not be registered under the Financial Instruments and Exchange Law of Japan (Law No. 25 of 1948, as amended) and, accordingly, will not be offered or sold, directly or indirectly, in Japan, or for the benefit of any Japanese Person or to others for re-offering or resale, directly or indirectly, in Japan or to any Japanese Person, except in compliance with all applicable laws, regulations and ministerial guidelines promulgated by relevant Japanese governmental or regulatory authorities in effect at the relevant time. For the purposes of this paragraph, “Japanese Person” shall mean any person resident in Japan, including any corporation or other entity organized under the laws of Japan.</w:t>
      </w:r>
    </w:p>
    <w:p>
      <w:pPr>
        <w:spacing w:after="0" w:line="1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Singapore</w:t>
      </w:r>
    </w:p>
    <w:p>
      <w:pPr>
        <w:spacing w:after="0" w:line="229" w:lineRule="exact"/>
        <w:rPr>
          <w:sz w:val="20"/>
          <w:szCs w:val="20"/>
          <w:color w:val="auto"/>
        </w:rPr>
      </w:pPr>
    </w:p>
    <w:p>
      <w:pPr>
        <w:ind w:left="120" w:firstLine="881"/>
        <w:spacing w:after="0" w:line="254" w:lineRule="auto"/>
        <w:rPr>
          <w:sz w:val="20"/>
          <w:szCs w:val="20"/>
          <w:color w:val="auto"/>
        </w:rPr>
      </w:pPr>
      <w:r>
        <w:rPr>
          <w:rFonts w:ascii="Times New Roman" w:cs="Times New Roman" w:eastAsia="Times New Roman" w:hAnsi="Times New Roman"/>
          <w:sz w:val="18"/>
          <w:szCs w:val="18"/>
          <w:color w:val="auto"/>
        </w:rPr>
        <w:t>This prospectus has not been registered as a prospectus with the Monetary Authority of Singapore. Accordingly, the shares were not offered or sold or caused to be made the subject of an invitation for subscription or purchase and will not be offered or sold or caused to be made the subject of an invitation for subscription or purchase, and this prospectus or any other document or material in connection with the offer or sale, or invitation for subscription or purchase, of the shares, has not been circulated or distributed, nor will it be circulated or distributed, whether directly or indirectly, to any person in Singapore other than (i) to an institutional investor (as defined in Section 4A of the Securities and Futures Act (Chapter 289) of Singapore, as modified or amended from time to time, or the SFA,) pursuant to Section 274 of the SFA, (ii) to a relevant person (as defined in Section 275(2) of the SFA) pursuant to Section 275(1) of the SFA, or any person pursuant to Section 275(1A) of the SFA, and in accordance with the conditions specified in Section 275 of the SFA, or (iii) otherwise pursuant to, and in accordance with the conditions of, any other applicable provision of the SFA.</w:t>
      </w:r>
    </w:p>
    <w:p>
      <w:pPr>
        <w:spacing w:after="0" w:line="192"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Where the shares are subscribed or purchased under Section 275 of the SFA by a relevant person which is:</w:t>
      </w:r>
    </w:p>
    <w:p>
      <w:pPr>
        <w:spacing w:after="0" w:line="252" w:lineRule="exact"/>
        <w:rPr>
          <w:sz w:val="20"/>
          <w:szCs w:val="20"/>
          <w:color w:val="auto"/>
        </w:rPr>
      </w:pPr>
    </w:p>
    <w:p>
      <w:pPr>
        <w:ind w:left="1420" w:right="360" w:hanging="427"/>
        <w:spacing w:after="0" w:line="282" w:lineRule="auto"/>
        <w:tabs>
          <w:tab w:leader="none" w:pos="142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188" w:lineRule="exact"/>
        <w:rPr>
          <w:rFonts w:ascii="Times New Roman" w:cs="Times New Roman" w:eastAsia="Times New Roman" w:hAnsi="Times New Roman"/>
          <w:sz w:val="18"/>
          <w:szCs w:val="18"/>
          <w:color w:val="auto"/>
        </w:rPr>
      </w:pPr>
    </w:p>
    <w:p>
      <w:pPr>
        <w:ind w:left="1420" w:right="20" w:hanging="427"/>
        <w:spacing w:after="0" w:line="261" w:lineRule="auto"/>
        <w:tabs>
          <w:tab w:leader="none" w:pos="142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(where the trustee is not an accredited investor) whose sole purpose is to hold investments and each beneficiary of the trust is an individual who is an accredited investor, securities or securities-based derivatives contracts (each term as defined in Section 2(1) of the SFA) of that corporation or the beneficiaries’ rights and interest (howsoever described) in that trust shall not be transferred within six months after that corporation or that trust has acquired the shares pursuant to an offer made under Section 275 of the SFA except:</w:t>
      </w:r>
    </w:p>
    <w:p>
      <w:pPr>
        <w:spacing w:after="0" w:line="206" w:lineRule="exact"/>
        <w:rPr>
          <w:rFonts w:ascii="Times New Roman" w:cs="Times New Roman" w:eastAsia="Times New Roman" w:hAnsi="Times New Roman"/>
          <w:sz w:val="18"/>
          <w:szCs w:val="18"/>
          <w:color w:val="auto"/>
        </w:rPr>
      </w:pPr>
    </w:p>
    <w:p>
      <w:pPr>
        <w:ind w:left="1420" w:right="940" w:hanging="427"/>
        <w:spacing w:after="0" w:line="282" w:lineRule="auto"/>
        <w:tabs>
          <w:tab w:leader="none" w:pos="142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 institutional investor or to a relevant person, or to any person arising from an offer referred to in Section 275(1A) or Section 276(4)(i)(B) of the SFA;</w:t>
      </w:r>
    </w:p>
    <w:p>
      <w:pPr>
        <w:spacing w:after="0" w:line="188" w:lineRule="exact"/>
        <w:rPr>
          <w:rFonts w:ascii="Times New Roman" w:cs="Times New Roman" w:eastAsia="Times New Roman" w:hAnsi="Times New Roman"/>
          <w:sz w:val="18"/>
          <w:szCs w:val="18"/>
          <w:color w:val="auto"/>
        </w:rPr>
      </w:pPr>
    </w:p>
    <w:p>
      <w:pPr>
        <w:ind w:left="1420" w:hanging="427"/>
        <w:spacing w:after="0"/>
        <w:tabs>
          <w:tab w:leader="none" w:pos="142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no consideration is or will be given for the transfer;</w:t>
      </w:r>
    </w:p>
    <w:p>
      <w:pPr>
        <w:spacing w:after="0" w:line="157" w:lineRule="exact"/>
        <w:rPr>
          <w:rFonts w:ascii="Times New Roman" w:cs="Times New Roman" w:eastAsia="Times New Roman" w:hAnsi="Times New Roman"/>
          <w:sz w:val="18"/>
          <w:szCs w:val="18"/>
          <w:color w:val="auto"/>
        </w:rPr>
      </w:pPr>
    </w:p>
    <w:p>
      <w:pPr>
        <w:ind w:left="5480" w:hanging="96"/>
        <w:spacing w:after="0"/>
        <w:tabs>
          <w:tab w:leader="none" w:pos="5480" w:val="left"/>
        </w:tabs>
        <w:numPr>
          <w:ilvl w:val="1"/>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207 -</w:t>
      </w:r>
    </w:p>
    <w:p>
      <w:pPr>
        <w:sectPr>
          <w:pgSz w:w="11900" w:h="16838" w:orient="portrait"/>
          <w:cols w:equalWidth="0" w:num="1">
            <w:col w:w="11120"/>
          </w:cols>
          <w:pgMar w:left="320" w:top="455" w:right="459" w:bottom="1440" w:gutter="0" w:footer="0" w:header="0"/>
        </w:sectPr>
      </w:pPr>
    </w:p>
    <w:bookmarkStart w:id="210" w:name="page211"/>
    <w:bookmarkEnd w:id="2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420" w:hanging="427"/>
        <w:spacing w:after="0"/>
        <w:tabs>
          <w:tab w:leader="none" w:pos="142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transfer is by operation of law; or</w:t>
      </w:r>
    </w:p>
    <w:p>
      <w:pPr>
        <w:spacing w:after="0" w:line="252" w:lineRule="exact"/>
        <w:rPr>
          <w:rFonts w:ascii="Times New Roman" w:cs="Times New Roman" w:eastAsia="Times New Roman" w:hAnsi="Times New Roman"/>
          <w:sz w:val="18"/>
          <w:szCs w:val="18"/>
          <w:color w:val="auto"/>
        </w:rPr>
      </w:pPr>
    </w:p>
    <w:p>
      <w:pPr>
        <w:ind w:left="1420" w:hanging="427"/>
        <w:spacing w:after="0"/>
        <w:tabs>
          <w:tab w:leader="none" w:pos="142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specified in Section 276(7) of the SFA.</w:t>
      </w:r>
    </w:p>
    <w:p>
      <w:pPr>
        <w:spacing w:after="0" w:line="2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Canada</w:t>
      </w:r>
    </w:p>
    <w:p>
      <w:pPr>
        <w:spacing w:after="0" w:line="229" w:lineRule="exact"/>
        <w:rPr>
          <w:sz w:val="20"/>
          <w:szCs w:val="20"/>
          <w:color w:val="auto"/>
        </w:rPr>
      </w:pPr>
    </w:p>
    <w:p>
      <w:pPr>
        <w:ind w:left="120" w:right="40" w:firstLine="881"/>
        <w:spacing w:after="0" w:line="261" w:lineRule="auto"/>
        <w:rPr>
          <w:sz w:val="20"/>
          <w:szCs w:val="20"/>
          <w:color w:val="auto"/>
        </w:rPr>
      </w:pPr>
      <w:r>
        <w:rPr>
          <w:rFonts w:ascii="Times New Roman" w:cs="Times New Roman" w:eastAsia="Times New Roman" w:hAnsi="Times New Roman"/>
          <w:sz w:val="18"/>
          <w:szCs w:val="18"/>
          <w:color w:val="auto"/>
        </w:rPr>
        <w:t xml:space="preserve">The shares may be sold only to purchasers purchasing, or deemed to be purchasing, as principal that are accredited investors, as defined in National Instrument 45-106 </w:t>
      </w:r>
      <w:r>
        <w:rPr>
          <w:rFonts w:ascii="Times New Roman" w:cs="Times New Roman" w:eastAsia="Times New Roman" w:hAnsi="Times New Roman"/>
          <w:sz w:val="18"/>
          <w:szCs w:val="18"/>
          <w:i w:val="1"/>
          <w:iCs w:val="1"/>
          <w:color w:val="auto"/>
        </w:rPr>
        <w:t>Prospectus Exemptions</w:t>
      </w:r>
      <w:r>
        <w:rPr>
          <w:rFonts w:ascii="Times New Roman" w:cs="Times New Roman" w:eastAsia="Times New Roman" w:hAnsi="Times New Roman"/>
          <w:sz w:val="18"/>
          <w:szCs w:val="18"/>
          <w:color w:val="auto"/>
        </w:rPr>
        <w:t xml:space="preserve"> or subsection 73.3(1) of the </w:t>
      </w:r>
      <w:r>
        <w:rPr>
          <w:rFonts w:ascii="Times New Roman" w:cs="Times New Roman" w:eastAsia="Times New Roman" w:hAnsi="Times New Roman"/>
          <w:sz w:val="18"/>
          <w:szCs w:val="18"/>
          <w:i w:val="1"/>
          <w:iCs w:val="1"/>
          <w:color w:val="auto"/>
        </w:rPr>
        <w:t>Securities Act</w:t>
      </w:r>
      <w:r>
        <w:rPr>
          <w:rFonts w:ascii="Times New Roman" w:cs="Times New Roman" w:eastAsia="Times New Roman" w:hAnsi="Times New Roman"/>
          <w:sz w:val="18"/>
          <w:szCs w:val="18"/>
          <w:color w:val="auto"/>
        </w:rPr>
        <w:t xml:space="preserve"> (Ontario), and are permitted clients, as defined in National Instrument 31-103 </w:t>
      </w:r>
      <w:r>
        <w:rPr>
          <w:rFonts w:ascii="Times New Roman" w:cs="Times New Roman" w:eastAsia="Times New Roman" w:hAnsi="Times New Roman"/>
          <w:sz w:val="18"/>
          <w:szCs w:val="18"/>
          <w:i w:val="1"/>
          <w:iCs w:val="1"/>
          <w:color w:val="auto"/>
        </w:rPr>
        <w:t>Registration Requirements, Exemptions and Ongoing Registrant Obligations</w:t>
      </w:r>
      <w:r>
        <w:rPr>
          <w:rFonts w:ascii="Times New Roman" w:cs="Times New Roman" w:eastAsia="Times New Roman" w:hAnsi="Times New Roman"/>
          <w:sz w:val="18"/>
          <w:szCs w:val="18"/>
          <w:color w:val="auto"/>
        </w:rPr>
        <w:t>. Any resale of the shares must be made in accordance with an exemption from, or in a transaction not subject to, the prospectus requirements of applicable securities laws.</w:t>
      </w:r>
    </w:p>
    <w:p>
      <w:pPr>
        <w:spacing w:after="0" w:line="180" w:lineRule="exact"/>
        <w:rPr>
          <w:sz w:val="20"/>
          <w:szCs w:val="20"/>
          <w:color w:val="auto"/>
        </w:rPr>
      </w:pPr>
    </w:p>
    <w:p>
      <w:pPr>
        <w:ind w:left="120" w:right="80" w:firstLine="881"/>
        <w:spacing w:after="0" w:line="261" w:lineRule="auto"/>
        <w:rPr>
          <w:sz w:val="20"/>
          <w:szCs w:val="20"/>
          <w:color w:val="auto"/>
        </w:rPr>
      </w:pPr>
      <w:r>
        <w:rPr>
          <w:rFonts w:ascii="Times New Roman" w:cs="Times New Roman" w:eastAsia="Times New Roman" w:hAnsi="Times New Roman"/>
          <w:sz w:val="18"/>
          <w:szCs w:val="18"/>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80" w:lineRule="exact"/>
        <w:rPr>
          <w:sz w:val="20"/>
          <w:szCs w:val="20"/>
          <w:color w:val="auto"/>
        </w:rPr>
      </w:pPr>
    </w:p>
    <w:p>
      <w:pPr>
        <w:jc w:val="both"/>
        <w:ind w:left="120" w:firstLine="881"/>
        <w:spacing w:after="0" w:line="266" w:lineRule="auto"/>
        <w:rPr>
          <w:sz w:val="20"/>
          <w:szCs w:val="20"/>
          <w:color w:val="auto"/>
        </w:rPr>
      </w:pPr>
      <w:r>
        <w:rPr>
          <w:rFonts w:ascii="Times New Roman" w:cs="Times New Roman" w:eastAsia="Times New Roman" w:hAnsi="Times New Roman"/>
          <w:sz w:val="18"/>
          <w:szCs w:val="18"/>
          <w:color w:val="auto"/>
        </w:rPr>
        <w:t xml:space="preserve">Pursuant to section 3A.3 (or, in the case of securities issued or guaranteed by the government of a non-Canadian jurisdiction, section 3A.4) of National Instrument 33-105 </w:t>
      </w:r>
      <w:r>
        <w:rPr>
          <w:rFonts w:ascii="Times New Roman" w:cs="Times New Roman" w:eastAsia="Times New Roman" w:hAnsi="Times New Roman"/>
          <w:sz w:val="18"/>
          <w:szCs w:val="18"/>
          <w:i w:val="1"/>
          <w:iCs w:val="1"/>
          <w:color w:val="auto"/>
        </w:rPr>
        <w:t>Underwriting Conflicts</w:t>
      </w:r>
      <w:r>
        <w:rPr>
          <w:rFonts w:ascii="Times New Roman" w:cs="Times New Roman" w:eastAsia="Times New Roman" w:hAnsi="Times New Roman"/>
          <w:sz w:val="18"/>
          <w:szCs w:val="18"/>
          <w:color w:val="auto"/>
        </w:rPr>
        <w:t xml:space="preserve"> (NI 33-105), the underwriters are not required to comply with the disclosure requirements of NI 33-105 regarding underwriter conflicts of interest in connection with this offering.</w:t>
      </w:r>
    </w:p>
    <w:p>
      <w:pPr>
        <w:spacing w:after="0" w:line="108"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-208-</w:t>
      </w:r>
    </w:p>
    <w:p>
      <w:pPr>
        <w:sectPr>
          <w:pgSz w:w="11900" w:h="16838" w:orient="portrait"/>
          <w:cols w:equalWidth="0" w:num="1">
            <w:col w:w="11000"/>
          </w:cols>
          <w:pgMar w:left="320" w:top="455" w:right="579" w:bottom="1440" w:gutter="0" w:footer="0" w:header="0"/>
        </w:sectPr>
      </w:pPr>
    </w:p>
    <w:bookmarkStart w:id="211" w:name="page212"/>
    <w:bookmarkEnd w:id="2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left="120" w:firstLine="881"/>
        <w:spacing w:after="0" w:line="261" w:lineRule="auto"/>
        <w:rPr>
          <w:sz w:val="20"/>
          <w:szCs w:val="20"/>
          <w:color w:val="auto"/>
        </w:rPr>
      </w:pPr>
      <w:r>
        <w:rPr>
          <w:rFonts w:ascii="Times New Roman" w:cs="Times New Roman" w:eastAsia="Times New Roman" w:hAnsi="Times New Roman"/>
          <w:sz w:val="18"/>
          <w:szCs w:val="18"/>
          <w:color w:val="auto"/>
        </w:rPr>
        <w:t>The validity of the shares of our common stock offered in this prospectus will be passed upon for us by Gunderson Dettmer Stough Villeneuve Franklin &amp; Hachigian, LLP, San Diego, California. Shearman &amp; Sterling LLP, New York, New York is acting as counsel for the underwriters in connection with this offering. Certain investment partnerships comprised of partners of Gunderson Dettmer Stough Villeneuve Franklin &amp; Hachigian, LLP, own an interest representing less than one percent of the shares of our common stock.</w:t>
      </w:r>
    </w:p>
    <w:p>
      <w:pPr>
        <w:spacing w:after="0" w:line="17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left="120" w:right="120" w:firstLine="881"/>
        <w:spacing w:after="0" w:line="261" w:lineRule="auto"/>
        <w:rPr>
          <w:sz w:val="20"/>
          <w:szCs w:val="20"/>
          <w:color w:val="auto"/>
        </w:rPr>
      </w:pPr>
      <w:r>
        <w:rPr>
          <w:rFonts w:ascii="Times New Roman" w:cs="Times New Roman" w:eastAsia="Times New Roman" w:hAnsi="Times New Roman"/>
          <w:sz w:val="18"/>
          <w:szCs w:val="18"/>
          <w:color w:val="auto"/>
        </w:rPr>
        <w:t>Ernst &amp; Young LLP, independent registered public accounting firm, has audited our financial statements at December 31, 2018 and 2019, and for each of the two years in the period ended December 31, 2019, as set forth in their report. We’ve included our financial statements in the prospectus and elsewhere in the registration statement in reliance on Ernst &amp; Young LLP’s report, given on their authority as experts in accounting and auditing.</w:t>
      </w:r>
    </w:p>
    <w:p>
      <w:pPr>
        <w:spacing w:after="0" w:line="17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WHERE YOU CAN FIND ADDITIONAL INFORMATION</w:t>
      </w:r>
    </w:p>
    <w:p>
      <w:pPr>
        <w:spacing w:after="0" w:line="229" w:lineRule="exact"/>
        <w:rPr>
          <w:sz w:val="20"/>
          <w:szCs w:val="20"/>
          <w:color w:val="auto"/>
        </w:rPr>
      </w:pPr>
    </w:p>
    <w:p>
      <w:pPr>
        <w:ind w:left="120" w:right="60" w:firstLine="881"/>
        <w:spacing w:after="0" w:line="253" w:lineRule="auto"/>
        <w:rPr>
          <w:sz w:val="20"/>
          <w:szCs w:val="20"/>
          <w:color w:val="auto"/>
        </w:rPr>
      </w:pPr>
      <w:r>
        <w:rPr>
          <w:rFonts w:ascii="Times New Roman" w:cs="Times New Roman" w:eastAsia="Times New Roman" w:hAnsi="Times New Roman"/>
          <w:sz w:val="18"/>
          <w:szCs w:val="18"/>
          <w:color w:val="auto"/>
        </w:rPr>
        <w:t>We have filed with the SEC a registration statement on Form S-1 under the Securities Act with respect to the shares of common stock offered by this prospectus. This prospectus, which constitutes a part of the registration statement, does not contain all of the information set forth in the registration statement or the exhibits, schedules and amendments to the registration statement. Please refer to the registration statement and to the exhibits and schedules for further information with respect to the common stock offered by this prospectus. Statements contained in this prospectus regarding the contents of any contract, agreement or other document are only summaries. With respect to any contract, agreement or document that is filed as an exhibit to the registration statement, you should refer to the exhibit for a copy of the contract, agreement or document, and each statement in this prospectus regarding that contract, agreement or document is qualified by reference to the exhibit. The SEC maintains an Internet website that contains the registration statement of which this prospectus forms a part, as well as the exhibits thereto. These documents, along with future reports, proxy statements and other information about us, are available at the SEC’s website, www.sec.gov. The information on the SEC’s web site is not part of this prospectus, and any references to this web site or any other web site are inactive textual references only.</w:t>
      </w:r>
    </w:p>
    <w:p>
      <w:pPr>
        <w:spacing w:after="0" w:line="194" w:lineRule="exact"/>
        <w:rPr>
          <w:sz w:val="20"/>
          <w:szCs w:val="20"/>
          <w:color w:val="auto"/>
        </w:rPr>
      </w:pPr>
    </w:p>
    <w:p>
      <w:pPr>
        <w:ind w:left="120" w:right="20" w:firstLine="881"/>
        <w:spacing w:after="0" w:line="274" w:lineRule="auto"/>
        <w:rPr>
          <w:sz w:val="20"/>
          <w:szCs w:val="20"/>
          <w:color w:val="auto"/>
        </w:rPr>
      </w:pPr>
      <w:r>
        <w:rPr>
          <w:rFonts w:ascii="Times New Roman" w:cs="Times New Roman" w:eastAsia="Times New Roman" w:hAnsi="Times New Roman"/>
          <w:sz w:val="17"/>
          <w:szCs w:val="17"/>
          <w:color w:val="auto"/>
        </w:rPr>
        <w:t>Upon completion of this offering, we will become subject to the information and reporting requirements of the Exchange Act, and, in accordance with this law, will be required to file periodic reports, proxy statements and other information with the SEC. These periodic reports, proxy statements and other information will be available on the SEC’s website referred to above. We also maintain a website at www.tarsusrx.com, at which you may access these materials free of charge as soon as reasonably practicable after they are electronically filed with, or furnished to, the SEC. The information contained on, or that can be accessed through, our website is not a part of this prospectus. Investors should not rely on any such information in deciding whether to purchase our common stock. We have included our website address in this prospectus solely as an inactive textual reference.</w:t>
      </w:r>
    </w:p>
    <w:p>
      <w:pPr>
        <w:spacing w:after="0" w:line="1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-209-</w:t>
      </w:r>
    </w:p>
    <w:p>
      <w:pPr>
        <w:sectPr>
          <w:pgSz w:w="11900" w:h="16838" w:orient="portrait"/>
          <w:cols w:equalWidth="0" w:num="1">
            <w:col w:w="11100"/>
          </w:cols>
          <w:pgMar w:left="320" w:top="455" w:right="479" w:bottom="1440" w:gutter="0" w:footer="0" w:header="0"/>
        </w:sectPr>
      </w:pPr>
    </w:p>
    <w:bookmarkStart w:id="212" w:name="page213"/>
    <w:bookmarkEnd w:id="2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TARSUS PHARMACEUTICALS, INC.</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INDEX TO THE FINANCIAL STATEMENTS</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4800" w:type="dxa"/>
            <w:vAlign w:val="bottom"/>
            <w:vMerge w:val="restart"/>
          </w:tcPr>
          <w:p>
            <w:pPr>
              <w:spacing w:after="0"/>
              <w:rPr>
                <w:rFonts w:ascii="Times New Roman" w:cs="Times New Roman" w:eastAsia="Times New Roman" w:hAnsi="Times New Roman"/>
                <w:sz w:val="18"/>
                <w:szCs w:val="18"/>
                <w:u w:val="single" w:color="auto"/>
                <w:color w:val="0000EE"/>
              </w:rPr>
            </w:pPr>
            <w:hyperlink w:anchor="page214">
              <w:r>
                <w:rPr>
                  <w:rFonts w:ascii="Times New Roman" w:cs="Times New Roman" w:eastAsia="Times New Roman" w:hAnsi="Times New Roman"/>
                  <w:sz w:val="18"/>
                  <w:szCs w:val="18"/>
                  <w:u w:val="single" w:color="auto"/>
                  <w:color w:val="0000EE"/>
                </w:rPr>
                <w:t>Report of Independent Registered Public Accounting Firm</w:t>
              </w:r>
            </w:hyperlink>
          </w:p>
        </w:tc>
        <w:tc>
          <w:tcPr>
            <w:tcW w:w="5800" w:type="dxa"/>
            <w:vAlign w:val="bottom"/>
          </w:tcPr>
          <w:p>
            <w:pPr>
              <w:spacing w:after="0"/>
              <w:rPr>
                <w:sz w:val="15"/>
                <w:szCs w:val="15"/>
                <w:color w:val="auto"/>
              </w:rPr>
            </w:pPr>
          </w:p>
        </w:tc>
        <w:tc>
          <w:tcPr>
            <w:tcW w:w="3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w w:val="99"/>
              </w:rPr>
              <w:t>Pages</w:t>
            </w:r>
          </w:p>
        </w:tc>
        <w:tc>
          <w:tcPr>
            <w:tcW w:w="0" w:type="dxa"/>
            <w:vAlign w:val="bottom"/>
          </w:tcPr>
          <w:p>
            <w:pPr>
              <w:spacing w:after="0"/>
              <w:rPr>
                <w:sz w:val="1"/>
                <w:szCs w:val="1"/>
                <w:color w:val="auto"/>
              </w:rPr>
            </w:pPr>
          </w:p>
        </w:tc>
      </w:tr>
      <w:tr>
        <w:trPr>
          <w:trHeight w:val="191"/>
        </w:trPr>
        <w:tc>
          <w:tcPr>
            <w:tcW w:w="4800" w:type="dxa"/>
            <w:vAlign w:val="bottom"/>
            <w:vMerge w:val="continue"/>
          </w:tcPr>
          <w:p>
            <w:pPr>
              <w:spacing w:after="0"/>
              <w:rPr>
                <w:sz w:val="16"/>
                <w:szCs w:val="16"/>
                <w:color w:val="auto"/>
              </w:rPr>
            </w:pPr>
          </w:p>
        </w:tc>
        <w:tc>
          <w:tcPr>
            <w:tcW w:w="5800" w:type="dxa"/>
            <w:vAlign w:val="bottom"/>
          </w:tcPr>
          <w:p>
            <w:pPr>
              <w:spacing w:after="0"/>
              <w:rPr>
                <w:sz w:val="16"/>
                <w:szCs w:val="16"/>
                <w:color w:val="auto"/>
              </w:rPr>
            </w:pPr>
          </w:p>
        </w:tc>
        <w:tc>
          <w:tcPr>
            <w:tcW w:w="36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F-2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800" w:type="dxa"/>
            <w:vAlign w:val="bottom"/>
          </w:tcPr>
          <w:p>
            <w:pPr>
              <w:spacing w:after="0"/>
              <w:rPr>
                <w:rFonts w:ascii="Times New Roman" w:cs="Times New Roman" w:eastAsia="Times New Roman" w:hAnsi="Times New Roman"/>
                <w:sz w:val="18"/>
                <w:szCs w:val="18"/>
                <w:u w:val="single" w:color="auto"/>
                <w:color w:val="0000EE"/>
              </w:rPr>
            </w:pPr>
            <w:hyperlink w:anchor="page215">
              <w:r>
                <w:rPr>
                  <w:rFonts w:ascii="Times New Roman" w:cs="Times New Roman" w:eastAsia="Times New Roman" w:hAnsi="Times New Roman"/>
                  <w:sz w:val="18"/>
                  <w:szCs w:val="18"/>
                  <w:u w:val="single" w:color="auto"/>
                  <w:color w:val="0000EE"/>
                </w:rPr>
                <w:t>Balance Sheets</w:t>
              </w:r>
            </w:hyperlink>
          </w:p>
        </w:tc>
        <w:tc>
          <w:tcPr>
            <w:tcW w:w="5800" w:type="dxa"/>
            <w:vAlign w:val="bottom"/>
          </w:tcPr>
          <w:p>
            <w:pPr>
              <w:spacing w:after="0"/>
              <w:rPr>
                <w:sz w:val="18"/>
                <w:szCs w:val="18"/>
                <w:color w:val="auto"/>
              </w:rPr>
            </w:pPr>
          </w:p>
        </w:tc>
        <w:tc>
          <w:tcPr>
            <w:tcW w:w="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F-3</w:t>
            </w:r>
          </w:p>
        </w:tc>
        <w:tc>
          <w:tcPr>
            <w:tcW w:w="0" w:type="dxa"/>
            <w:vAlign w:val="bottom"/>
          </w:tcPr>
          <w:p>
            <w:pPr>
              <w:spacing w:after="0"/>
              <w:rPr>
                <w:sz w:val="1"/>
                <w:szCs w:val="1"/>
                <w:color w:val="auto"/>
              </w:rPr>
            </w:pPr>
          </w:p>
        </w:tc>
      </w:tr>
      <w:tr>
        <w:trPr>
          <w:trHeight w:val="216"/>
        </w:trPr>
        <w:tc>
          <w:tcPr>
            <w:tcW w:w="4800" w:type="dxa"/>
            <w:vAlign w:val="bottom"/>
          </w:tcPr>
          <w:p>
            <w:pPr>
              <w:spacing w:after="0"/>
              <w:rPr>
                <w:rFonts w:ascii="Times New Roman" w:cs="Times New Roman" w:eastAsia="Times New Roman" w:hAnsi="Times New Roman"/>
                <w:sz w:val="18"/>
                <w:szCs w:val="18"/>
                <w:u w:val="single" w:color="auto"/>
                <w:color w:val="0000EE"/>
              </w:rPr>
            </w:pPr>
            <w:hyperlink w:anchor="page216">
              <w:r>
                <w:rPr>
                  <w:rFonts w:ascii="Times New Roman" w:cs="Times New Roman" w:eastAsia="Times New Roman" w:hAnsi="Times New Roman"/>
                  <w:sz w:val="18"/>
                  <w:szCs w:val="18"/>
                  <w:u w:val="single" w:color="auto"/>
                  <w:color w:val="0000EE"/>
                </w:rPr>
                <w:t>Statements of Operations and Comprehensive Loss</w:t>
              </w:r>
            </w:hyperlink>
          </w:p>
        </w:tc>
        <w:tc>
          <w:tcPr>
            <w:tcW w:w="5800" w:type="dxa"/>
            <w:vAlign w:val="bottom"/>
          </w:tcPr>
          <w:p>
            <w:pPr>
              <w:spacing w:after="0"/>
              <w:rPr>
                <w:sz w:val="18"/>
                <w:szCs w:val="18"/>
                <w:color w:val="auto"/>
              </w:rPr>
            </w:pPr>
          </w:p>
        </w:tc>
        <w:tc>
          <w:tcPr>
            <w:tcW w:w="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F-4</w:t>
            </w:r>
          </w:p>
        </w:tc>
        <w:tc>
          <w:tcPr>
            <w:tcW w:w="0" w:type="dxa"/>
            <w:vAlign w:val="bottom"/>
          </w:tcPr>
          <w:p>
            <w:pPr>
              <w:spacing w:after="0"/>
              <w:rPr>
                <w:sz w:val="1"/>
                <w:szCs w:val="1"/>
                <w:color w:val="auto"/>
              </w:rPr>
            </w:pPr>
          </w:p>
        </w:tc>
      </w:tr>
      <w:tr>
        <w:trPr>
          <w:trHeight w:val="216"/>
        </w:trPr>
        <w:tc>
          <w:tcPr>
            <w:tcW w:w="4800" w:type="dxa"/>
            <w:vAlign w:val="bottom"/>
          </w:tcPr>
          <w:p>
            <w:pPr>
              <w:spacing w:after="0"/>
              <w:rPr>
                <w:rFonts w:ascii="Times New Roman" w:cs="Times New Roman" w:eastAsia="Times New Roman" w:hAnsi="Times New Roman"/>
                <w:sz w:val="18"/>
                <w:szCs w:val="18"/>
                <w:u w:val="single" w:color="auto"/>
                <w:color w:val="0000EE"/>
              </w:rPr>
            </w:pPr>
            <w:hyperlink w:anchor="page217">
              <w:r>
                <w:rPr>
                  <w:rFonts w:ascii="Times New Roman" w:cs="Times New Roman" w:eastAsia="Times New Roman" w:hAnsi="Times New Roman"/>
                  <w:sz w:val="18"/>
                  <w:szCs w:val="18"/>
                  <w:u w:val="single" w:color="auto"/>
                  <w:color w:val="0000EE"/>
                </w:rPr>
                <w:t>Statements of Preferred Stock and Stockholders’ Deficit</w:t>
              </w:r>
            </w:hyperlink>
          </w:p>
        </w:tc>
        <w:tc>
          <w:tcPr>
            <w:tcW w:w="5800" w:type="dxa"/>
            <w:vAlign w:val="bottom"/>
          </w:tcPr>
          <w:p>
            <w:pPr>
              <w:spacing w:after="0"/>
              <w:rPr>
                <w:sz w:val="18"/>
                <w:szCs w:val="18"/>
                <w:color w:val="auto"/>
              </w:rPr>
            </w:pPr>
          </w:p>
        </w:tc>
        <w:tc>
          <w:tcPr>
            <w:tcW w:w="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F-5</w:t>
            </w:r>
          </w:p>
        </w:tc>
        <w:tc>
          <w:tcPr>
            <w:tcW w:w="0" w:type="dxa"/>
            <w:vAlign w:val="bottom"/>
          </w:tcPr>
          <w:p>
            <w:pPr>
              <w:spacing w:after="0"/>
              <w:rPr>
                <w:sz w:val="1"/>
                <w:szCs w:val="1"/>
                <w:color w:val="auto"/>
              </w:rPr>
            </w:pPr>
          </w:p>
        </w:tc>
      </w:tr>
      <w:tr>
        <w:trPr>
          <w:trHeight w:val="216"/>
        </w:trPr>
        <w:tc>
          <w:tcPr>
            <w:tcW w:w="4800" w:type="dxa"/>
            <w:vAlign w:val="bottom"/>
          </w:tcPr>
          <w:p>
            <w:pPr>
              <w:spacing w:after="0"/>
              <w:rPr>
                <w:rFonts w:ascii="Times New Roman" w:cs="Times New Roman" w:eastAsia="Times New Roman" w:hAnsi="Times New Roman"/>
                <w:sz w:val="18"/>
                <w:szCs w:val="18"/>
                <w:u w:val="single" w:color="auto"/>
                <w:color w:val="0000EE"/>
              </w:rPr>
            </w:pPr>
            <w:hyperlink w:anchor="page218">
              <w:r>
                <w:rPr>
                  <w:rFonts w:ascii="Times New Roman" w:cs="Times New Roman" w:eastAsia="Times New Roman" w:hAnsi="Times New Roman"/>
                  <w:sz w:val="18"/>
                  <w:szCs w:val="18"/>
                  <w:u w:val="single" w:color="auto"/>
                  <w:color w:val="0000EE"/>
                </w:rPr>
                <w:t>Statements of Cash Flows</w:t>
              </w:r>
            </w:hyperlink>
          </w:p>
        </w:tc>
        <w:tc>
          <w:tcPr>
            <w:tcW w:w="5800" w:type="dxa"/>
            <w:vAlign w:val="bottom"/>
          </w:tcPr>
          <w:p>
            <w:pPr>
              <w:spacing w:after="0"/>
              <w:rPr>
                <w:sz w:val="18"/>
                <w:szCs w:val="18"/>
                <w:color w:val="auto"/>
              </w:rPr>
            </w:pPr>
          </w:p>
        </w:tc>
        <w:tc>
          <w:tcPr>
            <w:tcW w:w="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F-6</w:t>
            </w:r>
          </w:p>
        </w:tc>
        <w:tc>
          <w:tcPr>
            <w:tcW w:w="0" w:type="dxa"/>
            <w:vAlign w:val="bottom"/>
          </w:tcPr>
          <w:p>
            <w:pPr>
              <w:spacing w:after="0"/>
              <w:rPr>
                <w:sz w:val="1"/>
                <w:szCs w:val="1"/>
                <w:color w:val="auto"/>
              </w:rPr>
            </w:pPr>
          </w:p>
        </w:tc>
      </w:tr>
      <w:tr>
        <w:trPr>
          <w:trHeight w:val="234"/>
        </w:trPr>
        <w:tc>
          <w:tcPr>
            <w:tcW w:w="4800" w:type="dxa"/>
            <w:vAlign w:val="bottom"/>
          </w:tcPr>
          <w:p>
            <w:pPr>
              <w:spacing w:after="0"/>
              <w:rPr>
                <w:rFonts w:ascii="Times New Roman" w:cs="Times New Roman" w:eastAsia="Times New Roman" w:hAnsi="Times New Roman"/>
                <w:sz w:val="18"/>
                <w:szCs w:val="18"/>
                <w:u w:val="single" w:color="auto"/>
                <w:color w:val="0000EE"/>
              </w:rPr>
            </w:pPr>
            <w:hyperlink w:anchor="page219">
              <w:r>
                <w:rPr>
                  <w:rFonts w:ascii="Times New Roman" w:cs="Times New Roman" w:eastAsia="Times New Roman" w:hAnsi="Times New Roman"/>
                  <w:sz w:val="18"/>
                  <w:szCs w:val="18"/>
                  <w:u w:val="single" w:color="auto"/>
                  <w:color w:val="0000EE"/>
                </w:rPr>
                <w:t>Notes to Financial Statements</w:t>
              </w:r>
            </w:hyperlink>
          </w:p>
        </w:tc>
        <w:tc>
          <w:tcPr>
            <w:tcW w:w="5800" w:type="dxa"/>
            <w:vAlign w:val="bottom"/>
          </w:tcPr>
          <w:p>
            <w:pPr>
              <w:spacing w:after="0"/>
              <w:rPr>
                <w:sz w:val="20"/>
                <w:szCs w:val="20"/>
                <w:color w:val="auto"/>
              </w:rPr>
            </w:pPr>
          </w:p>
        </w:tc>
        <w:tc>
          <w:tcPr>
            <w:tcW w:w="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F-7</w:t>
            </w:r>
          </w:p>
        </w:tc>
        <w:tc>
          <w:tcPr>
            <w:tcW w:w="0" w:type="dxa"/>
            <w:vAlign w:val="bottom"/>
          </w:tcPr>
          <w:p>
            <w:pPr>
              <w:spacing w:after="0"/>
              <w:rPr>
                <w:sz w:val="1"/>
                <w:szCs w:val="1"/>
                <w:color w:val="auto"/>
              </w:rPr>
            </w:pPr>
          </w:p>
        </w:tc>
      </w:tr>
      <w:tr>
        <w:trPr>
          <w:trHeight w:val="364"/>
        </w:trPr>
        <w:tc>
          <w:tcPr>
            <w:tcW w:w="4800" w:type="dxa"/>
            <w:vAlign w:val="bottom"/>
          </w:tcPr>
          <w:p>
            <w:pPr>
              <w:spacing w:after="0"/>
              <w:rPr>
                <w:sz w:val="24"/>
                <w:szCs w:val="24"/>
                <w:color w:val="auto"/>
              </w:rPr>
            </w:pPr>
          </w:p>
        </w:tc>
        <w:tc>
          <w:tcPr>
            <w:tcW w:w="618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rPr>
              <w:t>F-1</w:t>
            </w:r>
          </w:p>
        </w:tc>
        <w:tc>
          <w:tcPr>
            <w:tcW w:w="0" w:type="dxa"/>
            <w:vAlign w:val="bottom"/>
          </w:tcPr>
          <w:p>
            <w:pPr>
              <w:spacing w:after="0"/>
              <w:rPr>
                <w:sz w:val="1"/>
                <w:szCs w:val="1"/>
                <w:color w:val="auto"/>
              </w:rPr>
            </w:pPr>
          </w:p>
        </w:tc>
      </w:tr>
    </w:tbl>
    <w:p>
      <w:pPr>
        <w:sectPr>
          <w:pgSz w:w="11900" w:h="16838" w:orient="portrait"/>
          <w:cols w:equalWidth="0" w:num="1">
            <w:col w:w="11080"/>
          </w:cols>
          <w:pgMar w:left="320" w:top="455" w:right="499" w:bottom="1440" w:gutter="0" w:footer="0" w:header="0"/>
        </w:sectPr>
      </w:pPr>
    </w:p>
    <w:bookmarkStart w:id="213" w:name="page214"/>
    <w:bookmarkEnd w:id="2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To the Stockholders and the Board of Directors of Tarsus Pharmaceuticals, Inc.</w:t>
      </w:r>
    </w:p>
    <w:p>
      <w:pPr>
        <w:spacing w:after="0" w:line="2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29"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balance sheets of Tarsus Pharmaceuticals, Inc. (the Company) as of December 31, 2018 and 2019, the related statements of operations and comprehensive loss, preferred stock and stockholders’ deficit and cash flows for the years then ended, and the related notes (collectively referred to as the “financial statements”). In our opinion, the financial statements present fairly, in all material respects, the financial position of the Company at December 31, 2018 and 2019, and the results of its operations and its cash flows for the years then ended in conformity with U.S. generally accepted accounting principles.</w:t>
      </w:r>
    </w:p>
    <w:p>
      <w:pPr>
        <w:spacing w:after="0" w:line="1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ind w:left="120" w:right="460"/>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3"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0"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have served as the Company’s auditor since 2020.</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Irvine, California</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August 7, 2020</w:t>
      </w:r>
    </w:p>
    <w:p>
      <w:pPr>
        <w:spacing w:after="0" w:line="13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F-2</w:t>
      </w:r>
    </w:p>
    <w:p>
      <w:pPr>
        <w:sectPr>
          <w:pgSz w:w="11900" w:h="16838" w:orient="portrait"/>
          <w:cols w:equalWidth="0" w:num="1">
            <w:col w:w="11100"/>
          </w:cols>
          <w:pgMar w:left="320" w:top="455" w:right="479" w:bottom="1440" w:gutter="0" w:footer="0" w:header="0"/>
        </w:sectPr>
      </w:pPr>
    </w:p>
    <w:bookmarkStart w:id="214" w:name="page215"/>
    <w:bookmarkEnd w:id="2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TARSUS PHARMACEUTICALS, INC.</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BALANCE SHEETS</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 thousands, except share and par value amounts)</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820" w:type="dxa"/>
            <w:vAlign w:val="bottom"/>
          </w:tcPr>
          <w:p>
            <w:pPr>
              <w:spacing w:after="0"/>
              <w:rPr>
                <w:sz w:val="13"/>
                <w:szCs w:val="13"/>
                <w:color w:val="auto"/>
              </w:rPr>
            </w:pPr>
          </w:p>
        </w:tc>
        <w:tc>
          <w:tcPr>
            <w:tcW w:w="282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Pro Forma as</w:t>
            </w:r>
          </w:p>
        </w:tc>
        <w:tc>
          <w:tcPr>
            <w:tcW w:w="0" w:type="dxa"/>
            <w:vAlign w:val="bottom"/>
          </w:tcPr>
          <w:p>
            <w:pPr>
              <w:spacing w:after="0"/>
              <w:rPr>
                <w:sz w:val="1"/>
                <w:szCs w:val="1"/>
                <w:color w:val="auto"/>
              </w:rPr>
            </w:pPr>
          </w:p>
        </w:tc>
      </w:tr>
      <w:tr>
        <w:trPr>
          <w:trHeight w:val="148"/>
        </w:trPr>
        <w:tc>
          <w:tcPr>
            <w:tcW w:w="282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gridSpan w:val="5"/>
            <w:vMerge w:val="restart"/>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90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of June 30,</w:t>
            </w:r>
          </w:p>
        </w:tc>
        <w:tc>
          <w:tcPr>
            <w:tcW w:w="0" w:type="dxa"/>
            <w:vAlign w:val="bottom"/>
          </w:tcPr>
          <w:p>
            <w:pPr>
              <w:spacing w:after="0"/>
              <w:rPr>
                <w:sz w:val="1"/>
                <w:szCs w:val="1"/>
                <w:color w:val="auto"/>
              </w:rPr>
            </w:pPr>
          </w:p>
        </w:tc>
      </w:tr>
      <w:tr>
        <w:trPr>
          <w:trHeight w:val="173"/>
        </w:trPr>
        <w:tc>
          <w:tcPr>
            <w:tcW w:w="282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00" w:type="dxa"/>
            <w:vAlign w:val="bottom"/>
            <w:gridSpan w:val="5"/>
            <w:vMerge w:val="continue"/>
          </w:tcPr>
          <w:p>
            <w:pPr>
              <w:spacing w:after="0"/>
              <w:rPr>
                <w:sz w:val="15"/>
                <w:szCs w:val="15"/>
                <w:color w:val="auto"/>
              </w:rPr>
            </w:pPr>
          </w:p>
        </w:tc>
        <w:tc>
          <w:tcPr>
            <w:tcW w:w="9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90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0" w:type="dxa"/>
            <w:vAlign w:val="bottom"/>
          </w:tcPr>
          <w:p>
            <w:pPr>
              <w:spacing w:after="0"/>
              <w:rPr>
                <w:sz w:val="1"/>
                <w:szCs w:val="1"/>
                <w:color w:val="auto"/>
              </w:rPr>
            </w:pPr>
          </w:p>
        </w:tc>
      </w:tr>
      <w:tr>
        <w:trPr>
          <w:trHeight w:val="142"/>
        </w:trPr>
        <w:tc>
          <w:tcPr>
            <w:tcW w:w="2820" w:type="dxa"/>
            <w:vAlign w:val="bottom"/>
            <w:tcBorders>
              <w:bottom w:val="single" w:sz="8" w:color="CCEEFF"/>
            </w:tcBorders>
          </w:tcPr>
          <w:p>
            <w:pPr>
              <w:spacing w:after="0"/>
              <w:rPr>
                <w:sz w:val="12"/>
                <w:szCs w:val="12"/>
                <w:color w:val="auto"/>
              </w:rPr>
            </w:pPr>
          </w:p>
        </w:tc>
        <w:tc>
          <w:tcPr>
            <w:tcW w:w="2820" w:type="dxa"/>
            <w:vAlign w:val="bottom"/>
            <w:tcBorders>
              <w:bottom w:val="single" w:sz="8" w:color="CCEEFF"/>
            </w:tcBorders>
          </w:tcPr>
          <w:p>
            <w:pPr>
              <w:spacing w:after="0"/>
              <w:rPr>
                <w:sz w:val="12"/>
                <w:szCs w:val="12"/>
                <w:color w:val="auto"/>
              </w:rPr>
            </w:pPr>
          </w:p>
        </w:tc>
        <w:tc>
          <w:tcPr>
            <w:tcW w:w="19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2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1"/>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2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220" w:type="dxa"/>
            <w:vAlign w:val="bottom"/>
            <w:tcBorders>
              <w:bottom w:val="single" w:sz="8" w:color="CCEEFF"/>
            </w:tcBorders>
          </w:tcPr>
          <w:p>
            <w:pPr>
              <w:spacing w:after="0"/>
              <w:rPr>
                <w:sz w:val="12"/>
                <w:szCs w:val="12"/>
                <w:color w:val="auto"/>
              </w:rPr>
            </w:pPr>
          </w:p>
        </w:tc>
        <w:tc>
          <w:tcPr>
            <w:tcW w:w="84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2020</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8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2820" w:type="dxa"/>
            <w:vAlign w:val="bottom"/>
            <w:shd w:val="clear" w:color="auto" w:fill="CCEEFF"/>
          </w:tcPr>
          <w:p>
            <w:pPr>
              <w:spacing w:after="0"/>
              <w:rPr>
                <w:sz w:val="17"/>
                <w:szCs w:val="17"/>
                <w:color w:val="auto"/>
              </w:rPr>
            </w:pPr>
          </w:p>
        </w:tc>
        <w:tc>
          <w:tcPr>
            <w:tcW w:w="1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28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2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2,355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6"/>
              </w:rPr>
              <w:t>57,952</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53,135</w:t>
            </w:r>
          </w:p>
        </w:tc>
        <w:tc>
          <w:tcPr>
            <w:tcW w:w="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Restricted cash</w:t>
            </w:r>
          </w:p>
        </w:tc>
        <w:tc>
          <w:tcPr>
            <w:tcW w:w="28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w:t>
            </w: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receivables</w:t>
            </w:r>
          </w:p>
        </w:tc>
        <w:tc>
          <w:tcPr>
            <w:tcW w:w="282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w:t>
            </w: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1,549</w:t>
            </w: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820" w:type="dxa"/>
            <w:vAlign w:val="bottom"/>
          </w:tcPr>
          <w:p>
            <w:pPr>
              <w:spacing w:after="0"/>
              <w:rPr>
                <w:sz w:val="2"/>
                <w:szCs w:val="2"/>
                <w:color w:val="auto"/>
              </w:rPr>
            </w:pPr>
          </w:p>
        </w:tc>
        <w:tc>
          <w:tcPr>
            <w:tcW w:w="28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82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current assets</w:t>
            </w:r>
          </w:p>
        </w:tc>
        <w:tc>
          <w:tcPr>
            <w:tcW w:w="282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2,383</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6"/>
              </w:rPr>
              <w:t>58,030</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54,706</w:t>
            </w: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Property and equipment, net of accumulated depreciation</w:t>
            </w: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154</w:t>
            </w:r>
          </w:p>
        </w:tc>
        <w:tc>
          <w:tcPr>
            <w:tcW w:w="10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540</w:t>
            </w: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right-of-use asset</w:t>
            </w:r>
          </w:p>
        </w:tc>
        <w:tc>
          <w:tcPr>
            <w:tcW w:w="282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855</w:t>
            </w: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8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138</w:t>
            </w: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820" w:type="dxa"/>
            <w:vAlign w:val="bottom"/>
          </w:tcPr>
          <w:p>
            <w:pPr>
              <w:spacing w:after="0"/>
              <w:rPr>
                <w:sz w:val="2"/>
                <w:szCs w:val="2"/>
                <w:color w:val="auto"/>
              </w:rPr>
            </w:pPr>
          </w:p>
        </w:tc>
        <w:tc>
          <w:tcPr>
            <w:tcW w:w="28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82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2,389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6"/>
              </w:rPr>
              <w:t>58,316</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56,239</w:t>
            </w:r>
          </w:p>
        </w:tc>
        <w:tc>
          <w:tcPr>
            <w:tcW w:w="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580" w:type="dxa"/>
            <w:vAlign w:val="bottom"/>
            <w:gridSpan w:val="3"/>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5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LIABILITIES, PREFERRED STOCK AND STOCKHOLDERS’ (DEFICIT) EQUITY</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282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Accounts payable and other accrued liabilities</w:t>
            </w:r>
          </w:p>
        </w:tc>
        <w:tc>
          <w:tcPr>
            <w:tcW w:w="2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176</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520</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2,803</w:t>
            </w:r>
          </w:p>
        </w:tc>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payroll and benefits</w:t>
            </w:r>
          </w:p>
        </w:tc>
        <w:tc>
          <w:tcPr>
            <w:tcW w:w="282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299</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272</w:t>
            </w: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8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82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w w:val="88"/>
              </w:rPr>
              <w:t>179</w:t>
            </w: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819</w:t>
            </w: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3,075</w:t>
            </w:r>
          </w:p>
        </w:tc>
        <w:tc>
          <w:tcPr>
            <w:tcW w:w="22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82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797</w:t>
            </w: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8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w w:val="88"/>
              </w:rPr>
              <w:t>179</w:t>
            </w: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919</w:t>
            </w: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3,872</w:t>
            </w:r>
          </w:p>
        </w:tc>
        <w:tc>
          <w:tcPr>
            <w:tcW w:w="220" w:type="dxa"/>
            <w:vAlign w:val="bottom"/>
          </w:tcPr>
          <w:p>
            <w:pPr>
              <w:spacing w:after="0"/>
              <w:rPr>
                <w:sz w:val="20"/>
                <w:szCs w:val="20"/>
                <w:color w:val="auto"/>
              </w:rPr>
            </w:pPr>
          </w:p>
        </w:tc>
        <w:tc>
          <w:tcPr>
            <w:tcW w:w="840" w:type="dxa"/>
            <w:vAlign w:val="bottom"/>
            <w:tcBorders>
              <w:top w:val="single" w:sz="8" w:color="auto"/>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 (Note 10)</w:t>
            </w:r>
          </w:p>
        </w:tc>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7680" w:type="dxa"/>
            <w:vAlign w:val="bottom"/>
            <w:gridSpan w:val="4"/>
          </w:tcPr>
          <w:p>
            <w:pPr>
              <w:spacing w:after="0" w:line="198" w:lineRule="exact"/>
              <w:rPr>
                <w:sz w:val="20"/>
                <w:szCs w:val="20"/>
                <w:color w:val="auto"/>
              </w:rPr>
            </w:pPr>
            <w:r>
              <w:rPr>
                <w:rFonts w:ascii="Times New Roman" w:cs="Times New Roman" w:eastAsia="Times New Roman" w:hAnsi="Times New Roman"/>
                <w:sz w:val="18"/>
                <w:szCs w:val="18"/>
                <w:color w:val="auto"/>
              </w:rPr>
              <w:t>Series A Preferred Stock, $0.0001 par value; 11,698,716 shares authorized, issued and outstanding at</w:t>
            </w: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68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December 31, 2018, December 31, 2019, and June 30, 2020 (unaudited); liquidation preference of</w:t>
            </w: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$3,650 at December 31, 2018, December 31, 2019 and June 30, 2020 (unaudited); no shares</w:t>
            </w: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6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authorized, issued or outstanding, pro forma (unaudited)</w:t>
            </w:r>
          </w:p>
        </w:tc>
        <w:tc>
          <w:tcPr>
            <w:tcW w:w="1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3,564</w:t>
            </w:r>
          </w:p>
        </w:tc>
        <w:tc>
          <w:tcPr>
            <w:tcW w:w="100" w:type="dxa"/>
            <w:vAlign w:val="bottom"/>
          </w:tcPr>
          <w:p>
            <w:pPr>
              <w:spacing w:after="0"/>
              <w:rPr>
                <w:sz w:val="20"/>
                <w:szCs w:val="20"/>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3,564</w:t>
            </w:r>
          </w:p>
        </w:tc>
        <w:tc>
          <w:tcPr>
            <w:tcW w:w="100" w:type="dxa"/>
            <w:vAlign w:val="bottom"/>
          </w:tcPr>
          <w:p>
            <w:pPr>
              <w:spacing w:after="0"/>
              <w:rPr>
                <w:sz w:val="20"/>
                <w:szCs w:val="20"/>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3,564</w:t>
            </w:r>
          </w:p>
        </w:tc>
        <w:tc>
          <w:tcPr>
            <w:tcW w:w="8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7680" w:type="dxa"/>
            <w:vAlign w:val="bottom"/>
            <w:gridSpan w:val="4"/>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Series B Preferred Stock, $0.0001 par value; zero shares authorized, issued or outstanding at</w:t>
            </w:r>
          </w:p>
        </w:tc>
        <w:tc>
          <w:tcPr>
            <w:tcW w:w="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680" w:type="dxa"/>
            <w:vAlign w:val="bottom"/>
            <w:gridSpan w:val="4"/>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December 31, 2018 and 50,000,000 shares authorized and 49,578,623 shares issued and outstanding</w:t>
            </w: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gridSpan w:val="4"/>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at December 31, 2019 and June 30, 2020 (unaudited); liquidation preference of $0 at December 31,</w:t>
            </w: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gridSpan w:val="4"/>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2018, and $60,010 at December 31, 2019 and June 30, 2020, (unaudited); no shares authorized,</w:t>
            </w: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6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issued or outstanding, pro forma (unaudited)</w:t>
            </w:r>
          </w:p>
        </w:tc>
        <w:tc>
          <w:tcPr>
            <w:tcW w:w="1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6"/>
              </w:rPr>
              <w:t>59,838</w:t>
            </w: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59,838</w:t>
            </w:r>
          </w:p>
        </w:tc>
        <w:tc>
          <w:tcPr>
            <w:tcW w:w="8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2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Stockholders’ (deficit) equity:</w:t>
            </w:r>
          </w:p>
        </w:tc>
        <w:tc>
          <w:tcPr>
            <w:tcW w:w="28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7680" w:type="dxa"/>
            <w:vAlign w:val="bottom"/>
            <w:gridSpan w:val="4"/>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Common stock, $0.0001 par value; 103,000,000 shares authorized; 19,890,000 shares issued and</w:t>
            </w:r>
          </w:p>
        </w:tc>
        <w:tc>
          <w:tcPr>
            <w:tcW w:w="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680" w:type="dxa"/>
            <w:vAlign w:val="bottom"/>
            <w:gridSpan w:val="4"/>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15,441,387 outstanding excluding 4,448,613 shares subject to repurchase at December 31,</w:t>
            </w: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gridSpan w:val="4"/>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2018; 19,690,000 shares issued and 19,658,055 outstanding excluding 31,945 shares subject to</w:t>
            </w: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gridSpan w:val="4"/>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repurchase at December 31, 2019; 20,198,000 shares issued and 19,698,000 outstanding with</w:t>
            </w: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500,000 shares subject to repurchase at June 30, 2020 (unaudited);</w:t>
            </w:r>
          </w:p>
        </w:tc>
        <w:tc>
          <w:tcPr>
            <w:tcW w:w="2040" w:type="dxa"/>
            <w:vAlign w:val="bottom"/>
            <w:gridSpan w:val="2"/>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shares authorized,</w:t>
            </w: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shares issued and</w:t>
            </w:r>
          </w:p>
        </w:tc>
        <w:tc>
          <w:tcPr>
            <w:tcW w:w="4860" w:type="dxa"/>
            <w:vAlign w:val="bottom"/>
            <w:gridSpan w:val="3"/>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outstanding with 500,000 shares subject to repurchase pro</w:t>
            </w: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8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forma (unaudited)</w:t>
            </w:r>
          </w:p>
        </w:tc>
        <w:tc>
          <w:tcPr>
            <w:tcW w:w="2820" w:type="dxa"/>
            <w:vAlign w:val="bottom"/>
            <w:shd w:val="clear" w:color="auto" w:fill="CCEEFF"/>
          </w:tcPr>
          <w:p>
            <w:pPr>
              <w:spacing w:after="0"/>
              <w:rPr>
                <w:sz w:val="20"/>
                <w:szCs w:val="20"/>
                <w:color w:val="auto"/>
              </w:rPr>
            </w:pPr>
          </w:p>
        </w:tc>
        <w:tc>
          <w:tcPr>
            <w:tcW w:w="1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w:t>
            </w:r>
          </w:p>
        </w:tc>
        <w:tc>
          <w:tcPr>
            <w:tcW w:w="8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8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204</w:t>
            </w: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Accumulated deficit</w:t>
            </w:r>
          </w:p>
        </w:tc>
        <w:tc>
          <w:tcPr>
            <w:tcW w:w="282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8"/>
              </w:rPr>
              <w:t>(1,364)</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(6,034)</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(11,241)</w:t>
            </w: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stockholders’ (deficit) equity</w:t>
            </w:r>
          </w:p>
        </w:tc>
        <w:tc>
          <w:tcPr>
            <w:tcW w:w="28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3"/>
              </w:rPr>
              <w:t>(1,354)</w:t>
            </w: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1"/>
              </w:rPr>
              <w:t>(6,005)</w:t>
            </w:r>
          </w:p>
        </w:tc>
        <w:tc>
          <w:tcPr>
            <w:tcW w:w="2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(11,035)</w:t>
            </w:r>
          </w:p>
        </w:tc>
        <w:tc>
          <w:tcPr>
            <w:tcW w:w="220" w:type="dxa"/>
            <w:vAlign w:val="bottom"/>
          </w:tcPr>
          <w:p>
            <w:pPr>
              <w:spacing w:after="0"/>
              <w:rPr>
                <w:sz w:val="20"/>
                <w:szCs w:val="20"/>
                <w:color w:val="auto"/>
              </w:rPr>
            </w:pPr>
          </w:p>
        </w:tc>
        <w:tc>
          <w:tcPr>
            <w:tcW w:w="840" w:type="dxa"/>
            <w:vAlign w:val="bottom"/>
            <w:tcBorders>
              <w:top w:val="single" w:sz="8" w:color="auto"/>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preferred stock and stockholders’ (deficit) equity</w:t>
            </w:r>
          </w:p>
        </w:tc>
        <w:tc>
          <w:tcPr>
            <w:tcW w:w="2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2,389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6"/>
              </w:rPr>
              <w:t>58,316</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56,239</w:t>
            </w: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See accompanying notes to these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F-3</w:t>
      </w:r>
    </w:p>
    <w:p>
      <w:pPr>
        <w:sectPr>
          <w:pgSz w:w="11900" w:h="16838" w:orient="portrait"/>
          <w:cols w:equalWidth="0" w:num="1">
            <w:col w:w="11140"/>
          </w:cols>
          <w:pgMar w:left="320" w:top="455" w:right="439" w:bottom="1440" w:gutter="0" w:footer="0" w:header="0"/>
        </w:sectPr>
      </w:pPr>
    </w:p>
    <w:bookmarkStart w:id="215" w:name="page216"/>
    <w:bookmarkEnd w:id="2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TARSUS PHARMACEUTICALS, INC.</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STATEMENTS OF OPERATIONS AND COMPREHENSIVE LOSS</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60" w:type="dxa"/>
            <w:vAlign w:val="bottom"/>
            <w:gridSpan w:val="6"/>
            <w:vMerge w:val="restart"/>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300" w:type="dxa"/>
            <w:vAlign w:val="bottom"/>
            <w:gridSpan w:val="6"/>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73"/>
        </w:trPr>
        <w:tc>
          <w:tcPr>
            <w:tcW w:w="5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60" w:type="dxa"/>
            <w:vAlign w:val="bottom"/>
            <w:gridSpan w:val="6"/>
            <w:vMerge w:val="continue"/>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00" w:type="dxa"/>
            <w:vAlign w:val="bottom"/>
            <w:gridSpan w:val="6"/>
          </w:tcPr>
          <w:p>
            <w:pPr>
              <w:jc w:val="right"/>
              <w:ind w:right="90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0" w:type="dxa"/>
            <w:vAlign w:val="bottom"/>
          </w:tcPr>
          <w:p>
            <w:pPr>
              <w:spacing w:after="0"/>
              <w:rPr>
                <w:sz w:val="1"/>
                <w:szCs w:val="1"/>
                <w:color w:val="auto"/>
              </w:rPr>
            </w:pPr>
          </w:p>
        </w:tc>
      </w:tr>
      <w:tr>
        <w:trPr>
          <w:trHeight w:val="142"/>
        </w:trPr>
        <w:tc>
          <w:tcPr>
            <w:tcW w:w="566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3"/>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26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28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14"/>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28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6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Operating expenses:</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901</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3,162</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2,066</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3,249</w:t>
            </w: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449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1,136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514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2,132</w:t>
            </w:r>
          </w:p>
        </w:tc>
        <w:tc>
          <w:tcPr>
            <w:tcW w:w="0" w:type="dxa"/>
            <w:vAlign w:val="bottom"/>
          </w:tcPr>
          <w:p>
            <w:pPr>
              <w:spacing w:after="0"/>
              <w:rPr>
                <w:sz w:val="1"/>
                <w:szCs w:val="1"/>
                <w:color w:val="auto"/>
              </w:rPr>
            </w:pPr>
          </w:p>
        </w:tc>
      </w:tr>
      <w:tr>
        <w:trPr>
          <w:trHeight w:val="230"/>
        </w:trPr>
        <w:tc>
          <w:tcPr>
            <w:tcW w:w="56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1,350</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4,298</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2,580</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5,381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 before other income (expense) and income taxes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(1,350)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(4,298)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(2,580)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(5,381)</w:t>
            </w:r>
          </w:p>
        </w:tc>
        <w:tc>
          <w:tcPr>
            <w:tcW w:w="0" w:type="dxa"/>
            <w:vAlign w:val="bottom"/>
          </w:tcPr>
          <w:p>
            <w:pPr>
              <w:spacing w:after="0"/>
              <w:rPr>
                <w:sz w:val="1"/>
                <w:szCs w:val="1"/>
                <w:color w:val="auto"/>
              </w:rPr>
            </w:pPr>
          </w:p>
        </w:tc>
      </w:tr>
      <w:tr>
        <w:trPr>
          <w:trHeight w:val="223"/>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income (expense), net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174</w:t>
            </w:r>
          </w:p>
        </w:tc>
        <w:tc>
          <w:tcPr>
            <w:tcW w:w="0" w:type="dxa"/>
            <w:vAlign w:val="bottom"/>
          </w:tcPr>
          <w:p>
            <w:pPr>
              <w:spacing w:after="0"/>
              <w:rPr>
                <w:sz w:val="1"/>
                <w:szCs w:val="1"/>
                <w:color w:val="auto"/>
              </w:rPr>
            </w:pPr>
          </w:p>
        </w:tc>
      </w:tr>
      <w:tr>
        <w:trPr>
          <w:trHeight w:val="216"/>
        </w:trPr>
        <w:tc>
          <w:tcPr>
            <w:tcW w:w="5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Loss on extinguishment of convertible notes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(255)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 in fair value of derivative liabilities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6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other income (expense)</w:t>
            </w:r>
          </w:p>
        </w:tc>
        <w:tc>
          <w:tcPr>
            <w:tcW w:w="2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Net loss and comprehensive loss</w:t>
            </w: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(1,319)</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(4,670)</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(2,576)</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(5,207)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per share attributable to common stockholders, basic and diluted</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(0.10)</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(0.26)</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(0.16)</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(0.26)</w:t>
            </w:r>
          </w:p>
        </w:tc>
        <w:tc>
          <w:tcPr>
            <w:tcW w:w="0" w:type="dxa"/>
            <w:vAlign w:val="bottom"/>
          </w:tcPr>
          <w:p>
            <w:pPr>
              <w:spacing w:after="0"/>
              <w:rPr>
                <w:sz w:val="1"/>
                <w:szCs w:val="1"/>
                <w:color w:val="auto"/>
              </w:rPr>
            </w:pPr>
          </w:p>
        </w:tc>
      </w:tr>
      <w:tr>
        <w:trPr>
          <w:trHeight w:val="20"/>
        </w:trPr>
        <w:tc>
          <w:tcPr>
            <w:tcW w:w="56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Weighted-average shares outstanding used in computing net loss per share</w:t>
            </w: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66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attributable to common stockholders, basic and diluted</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98"/>
              </w:rPr>
              <w:t>13,068,854</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98"/>
              </w:rPr>
              <w:t>17,728,991</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w w:val="96"/>
              </w:rPr>
              <w:t>16,580,269</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6"/>
              </w:rPr>
              <w:t>19,689,426</w:t>
            </w: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660" w:type="dxa"/>
            <w:vAlign w:val="bottom"/>
            <w:shd w:val="clear" w:color="auto" w:fill="CCEEFF"/>
          </w:tcPr>
          <w:p>
            <w:pPr>
              <w:spacing w:after="0" w:line="192" w:lineRule="exact"/>
              <w:rPr>
                <w:sz w:val="20"/>
                <w:szCs w:val="20"/>
                <w:color w:val="auto"/>
              </w:rPr>
            </w:pPr>
            <w:r>
              <w:rPr>
                <w:rFonts w:ascii="Times New Roman" w:cs="Times New Roman" w:eastAsia="Times New Roman" w:hAnsi="Times New Roman"/>
                <w:sz w:val="18"/>
                <w:szCs w:val="18"/>
                <w:color w:val="auto"/>
              </w:rPr>
              <w:t>Pro forma net loss per share attributable to common stockholders, basic and</w:t>
            </w: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 (unaudited)</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120"/>
        <w:spacing w:after="0"/>
        <w:rPr>
          <w:sz w:val="20"/>
          <w:szCs w:val="20"/>
          <w:color w:val="auto"/>
        </w:rPr>
      </w:pPr>
      <w:r>
        <w:rPr>
          <w:rFonts w:ascii="Times New Roman" w:cs="Times New Roman" w:eastAsia="Times New Roman" w:hAnsi="Times New Roman"/>
          <w:sz w:val="18"/>
          <w:szCs w:val="18"/>
          <w:color w:val="auto"/>
        </w:rPr>
        <w:t>Weighted-average shares outstanding used in computing pro forma net loss</w:t>
      </w:r>
    </w:p>
    <w:p>
      <w:pPr>
        <w:spacing w:after="0" w:line="2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per share attributable to common stockholders, basic and diluted</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4676775</wp:posOffset>
            </wp:positionH>
            <wp:positionV relativeFrom="paragraph">
              <wp:posOffset>5715</wp:posOffset>
            </wp:positionV>
            <wp:extent cx="57404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574040" cy="825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22860</wp:posOffset>
            </wp:positionV>
            <wp:extent cx="574040"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574040" cy="8890"/>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5715</wp:posOffset>
            </wp:positionV>
            <wp:extent cx="574675"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574675" cy="8255"/>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22860</wp:posOffset>
            </wp:positionV>
            <wp:extent cx="574675"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5746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See accompanying notes to these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F-4</w:t>
      </w:r>
    </w:p>
    <w:p>
      <w:pPr>
        <w:sectPr>
          <w:pgSz w:w="11900" w:h="16838" w:orient="portrait"/>
          <w:cols w:equalWidth="0" w:num="1">
            <w:col w:w="11140"/>
          </w:cols>
          <w:pgMar w:left="320" w:top="455" w:right="439" w:bottom="1440" w:gutter="0" w:footer="0" w:header="0"/>
        </w:sectPr>
      </w:pPr>
    </w:p>
    <w:bookmarkStart w:id="216" w:name="page217"/>
    <w:bookmarkEnd w:id="2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TARSUS PHARMACEUTICALS, INC.</w:t>
      </w:r>
    </w:p>
    <w:p>
      <w:pPr>
        <w:spacing w:after="0" w:line="22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STATEMENTS OF PREFERRED STOCK AND STOCKHOLDERS’ DEFICIT</w:t>
      </w:r>
    </w:p>
    <w:p>
      <w:pPr>
        <w:spacing w:after="0" w:line="4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ectPr>
          <w:pgSz w:w="11900" w:h="16838" w:orient="portrait"/>
          <w:cols w:equalWidth="0" w:num="1">
            <w:col w:w="11080"/>
          </w:cols>
          <w:pgMar w:left="320" w:top="455" w:right="499" w:bottom="1440" w:gutter="0" w:footer="0" w:header="0"/>
        </w:sectPr>
      </w:pPr>
    </w:p>
    <w:p>
      <w:pPr>
        <w:spacing w:after="0" w:line="37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50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32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0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Balance as of December 31, 2017</w:t>
            </w:r>
          </w:p>
        </w:tc>
        <w:tc>
          <w:tcPr>
            <w:tcW w:w="780" w:type="dxa"/>
            <w:vAlign w:val="bottom"/>
            <w:gridSpan w:val="4"/>
          </w:tcPr>
          <w:p>
            <w:pPr>
              <w:ind w:left="14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2"/>
                <w:szCs w:val="12"/>
                <w:color w:val="auto"/>
              </w:rPr>
            </w:pPr>
          </w:p>
        </w:tc>
        <w:tc>
          <w:tcPr>
            <w:tcW w:w="720" w:type="dxa"/>
            <w:vAlign w:val="bottom"/>
            <w:gridSpan w:val="3"/>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119"/>
        </w:trPr>
        <w:tc>
          <w:tcPr>
            <w:tcW w:w="5080" w:type="dxa"/>
            <w:vAlign w:val="bottom"/>
            <w:vMerge w:val="continue"/>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jc w:val="right"/>
              <w:ind w:right="8"/>
              <w:spacing w:after="0" w:line="119"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Borders>
              <w:top w:val="single" w:sz="8" w:color="auto"/>
            </w:tcBorders>
          </w:tcPr>
          <w:p>
            <w:pPr>
              <w:jc w:val="right"/>
              <w:spacing w:after="0" w:line="120" w:lineRule="exact"/>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jc w:val="right"/>
              <w:ind w:right="8"/>
              <w:spacing w:after="0" w:line="119"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08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280" w:type="dxa"/>
            <w:vAlign w:val="bottom"/>
          </w:tcPr>
          <w:p>
            <w:pPr>
              <w:spacing w:after="0"/>
              <w:rPr>
                <w:sz w:val="12"/>
                <w:szCs w:val="12"/>
                <w:color w:val="auto"/>
              </w:rPr>
            </w:pPr>
          </w:p>
        </w:tc>
        <w:tc>
          <w:tcPr>
            <w:tcW w:w="500" w:type="dxa"/>
            <w:vAlign w:val="bottom"/>
            <w:gridSpan w:val="3"/>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508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Recognition of stock-based compensation expense</w:t>
            </w:r>
          </w:p>
        </w:tc>
        <w:tc>
          <w:tcPr>
            <w:tcW w:w="280" w:type="dxa"/>
            <w:vAlign w:val="bottom"/>
          </w:tcPr>
          <w:p>
            <w:pPr>
              <w:spacing w:after="0"/>
              <w:rPr>
                <w:sz w:val="12"/>
                <w:szCs w:val="12"/>
                <w:color w:val="auto"/>
              </w:rPr>
            </w:pPr>
          </w:p>
        </w:tc>
        <w:tc>
          <w:tcPr>
            <w:tcW w:w="500" w:type="dxa"/>
            <w:vAlign w:val="bottom"/>
            <w:gridSpan w:val="3"/>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8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Issuance of common stock under stock purchase agreements</w:t>
            </w:r>
          </w:p>
        </w:tc>
        <w:tc>
          <w:tcPr>
            <w:tcW w:w="280" w:type="dxa"/>
            <w:vAlign w:val="bottom"/>
          </w:tcPr>
          <w:p>
            <w:pPr>
              <w:spacing w:after="0"/>
              <w:rPr>
                <w:sz w:val="12"/>
                <w:szCs w:val="12"/>
                <w:color w:val="auto"/>
              </w:rPr>
            </w:pPr>
          </w:p>
        </w:tc>
        <w:tc>
          <w:tcPr>
            <w:tcW w:w="500" w:type="dxa"/>
            <w:vAlign w:val="bottom"/>
            <w:gridSpan w:val="3"/>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508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Vesting of founder shares subject to repurchase</w:t>
            </w:r>
          </w:p>
        </w:tc>
        <w:tc>
          <w:tcPr>
            <w:tcW w:w="280" w:type="dxa"/>
            <w:vAlign w:val="bottom"/>
          </w:tcPr>
          <w:p>
            <w:pPr>
              <w:spacing w:after="0"/>
              <w:rPr>
                <w:sz w:val="12"/>
                <w:szCs w:val="12"/>
                <w:color w:val="auto"/>
              </w:rPr>
            </w:pPr>
          </w:p>
        </w:tc>
        <w:tc>
          <w:tcPr>
            <w:tcW w:w="500" w:type="dxa"/>
            <w:vAlign w:val="bottom"/>
            <w:gridSpan w:val="3"/>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508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Lapse of repurchase rights related to common stock issued pursuant to early</w:t>
            </w:r>
          </w:p>
        </w:tc>
        <w:tc>
          <w:tcPr>
            <w:tcW w:w="280" w:type="dxa"/>
            <w:vAlign w:val="bottom"/>
          </w:tcPr>
          <w:p>
            <w:pPr>
              <w:spacing w:after="0"/>
              <w:rPr>
                <w:sz w:val="12"/>
                <w:szCs w:val="12"/>
                <w:color w:val="auto"/>
              </w:rPr>
            </w:pPr>
          </w:p>
        </w:tc>
        <w:tc>
          <w:tcPr>
            <w:tcW w:w="50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508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color w:val="auto"/>
              </w:rPr>
              <w:t>exercises</w:t>
            </w:r>
          </w:p>
        </w:tc>
        <w:tc>
          <w:tcPr>
            <w:tcW w:w="280" w:type="dxa"/>
            <w:vAlign w:val="bottom"/>
          </w:tcPr>
          <w:p>
            <w:pPr>
              <w:spacing w:after="0"/>
              <w:rPr>
                <w:sz w:val="12"/>
                <w:szCs w:val="12"/>
                <w:color w:val="auto"/>
              </w:rPr>
            </w:pPr>
          </w:p>
        </w:tc>
        <w:tc>
          <w:tcPr>
            <w:tcW w:w="50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0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Issuance of Series A Preferred Stock for cash, net of issuance costs of $86</w:t>
            </w:r>
          </w:p>
        </w:tc>
        <w:tc>
          <w:tcPr>
            <w:tcW w:w="72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11,698,716</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3,564</w:t>
            </w:r>
          </w:p>
        </w:tc>
        <w:tc>
          <w:tcPr>
            <w:tcW w:w="0" w:type="dxa"/>
            <w:vAlign w:val="bottom"/>
          </w:tcPr>
          <w:p>
            <w:pPr>
              <w:spacing w:after="0"/>
              <w:rPr>
                <w:sz w:val="1"/>
                <w:szCs w:val="1"/>
                <w:color w:val="auto"/>
              </w:rPr>
            </w:pPr>
          </w:p>
        </w:tc>
      </w:tr>
      <w:tr>
        <w:trPr>
          <w:trHeight w:val="133"/>
        </w:trPr>
        <w:tc>
          <w:tcPr>
            <w:tcW w:w="5080" w:type="dxa"/>
            <w:vAlign w:val="bottom"/>
          </w:tcPr>
          <w:p>
            <w:pPr>
              <w:spacing w:after="0" w:line="133" w:lineRule="exact"/>
              <w:rPr>
                <w:sz w:val="20"/>
                <w:szCs w:val="20"/>
                <w:color w:val="auto"/>
              </w:rPr>
            </w:pPr>
            <w:r>
              <w:rPr>
                <w:rFonts w:ascii="Times New Roman" w:cs="Times New Roman" w:eastAsia="Times New Roman" w:hAnsi="Times New Roman"/>
                <w:sz w:val="14"/>
                <w:szCs w:val="14"/>
                <w:b w:val="1"/>
                <w:bCs w:val="1"/>
                <w:color w:val="auto"/>
              </w:rPr>
              <w:t>Balance as of December 31, 2018</w:t>
            </w:r>
          </w:p>
        </w:tc>
        <w:tc>
          <w:tcPr>
            <w:tcW w:w="720" w:type="dxa"/>
            <w:vAlign w:val="bottom"/>
            <w:tcBorders>
              <w:top w:val="single" w:sz="8" w:color="auto"/>
            </w:tcBorders>
            <w:gridSpan w:val="3"/>
          </w:tcPr>
          <w:p>
            <w:pPr>
              <w:jc w:val="right"/>
              <w:ind w:right="20"/>
              <w:spacing w:after="0" w:line="133" w:lineRule="exact"/>
              <w:rPr>
                <w:sz w:val="20"/>
                <w:szCs w:val="20"/>
                <w:color w:val="auto"/>
              </w:rPr>
            </w:pPr>
            <w:r>
              <w:rPr>
                <w:rFonts w:ascii="Times New Roman" w:cs="Times New Roman" w:eastAsia="Times New Roman" w:hAnsi="Times New Roman"/>
                <w:sz w:val="14"/>
                <w:szCs w:val="14"/>
                <w:color w:val="auto"/>
              </w:rPr>
              <w:t>11,698,716</w:t>
            </w:r>
          </w:p>
        </w:tc>
        <w:tc>
          <w:tcPr>
            <w:tcW w:w="60" w:type="dxa"/>
            <w:vAlign w:val="bottom"/>
          </w:tcPr>
          <w:p>
            <w:pPr>
              <w:spacing w:after="0"/>
              <w:rPr>
                <w:sz w:val="11"/>
                <w:szCs w:val="11"/>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top w:val="single" w:sz="8" w:color="auto"/>
            </w:tcBorders>
            <w:gridSpan w:val="2"/>
          </w:tcPr>
          <w:p>
            <w:pPr>
              <w:jc w:val="right"/>
              <w:spacing w:after="0" w:line="133" w:lineRule="exact"/>
              <w:rPr>
                <w:sz w:val="20"/>
                <w:szCs w:val="20"/>
                <w:color w:val="auto"/>
              </w:rPr>
            </w:pPr>
            <w:r>
              <w:rPr>
                <w:rFonts w:ascii="Times New Roman" w:cs="Times New Roman" w:eastAsia="Times New Roman" w:hAnsi="Times New Roman"/>
                <w:sz w:val="14"/>
                <w:szCs w:val="14"/>
                <w:color w:val="auto"/>
              </w:rPr>
              <w:t>3,564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08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280" w:type="dxa"/>
            <w:vAlign w:val="bottom"/>
          </w:tcPr>
          <w:p>
            <w:pPr>
              <w:spacing w:after="0"/>
              <w:rPr>
                <w:sz w:val="12"/>
                <w:szCs w:val="12"/>
                <w:color w:val="auto"/>
              </w:rPr>
            </w:pPr>
          </w:p>
        </w:tc>
        <w:tc>
          <w:tcPr>
            <w:tcW w:w="500" w:type="dxa"/>
            <w:vAlign w:val="bottom"/>
            <w:gridSpan w:val="3"/>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508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Recognition of stock-based compensation expense</w:t>
            </w:r>
          </w:p>
        </w:tc>
        <w:tc>
          <w:tcPr>
            <w:tcW w:w="280" w:type="dxa"/>
            <w:vAlign w:val="bottom"/>
          </w:tcPr>
          <w:p>
            <w:pPr>
              <w:spacing w:after="0"/>
              <w:rPr>
                <w:sz w:val="12"/>
                <w:szCs w:val="12"/>
                <w:color w:val="auto"/>
              </w:rPr>
            </w:pPr>
          </w:p>
        </w:tc>
        <w:tc>
          <w:tcPr>
            <w:tcW w:w="500" w:type="dxa"/>
            <w:vAlign w:val="bottom"/>
            <w:gridSpan w:val="3"/>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508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Vesting of founder shares subject to repurchase</w:t>
            </w:r>
          </w:p>
        </w:tc>
        <w:tc>
          <w:tcPr>
            <w:tcW w:w="2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8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Lapse of repurchase rights related to common stock issued pursuant to early</w:t>
            </w:r>
          </w:p>
        </w:tc>
        <w:tc>
          <w:tcPr>
            <w:tcW w:w="280" w:type="dxa"/>
            <w:vAlign w:val="bottom"/>
          </w:tcPr>
          <w:p>
            <w:pPr>
              <w:spacing w:after="0"/>
              <w:rPr>
                <w:sz w:val="12"/>
                <w:szCs w:val="12"/>
                <w:color w:val="auto"/>
              </w:rPr>
            </w:pPr>
          </w:p>
        </w:tc>
        <w:tc>
          <w:tcPr>
            <w:tcW w:w="50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508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color w:val="auto"/>
              </w:rPr>
              <w:t>exercises</w:t>
            </w:r>
          </w:p>
        </w:tc>
        <w:tc>
          <w:tcPr>
            <w:tcW w:w="280" w:type="dxa"/>
            <w:vAlign w:val="bottom"/>
          </w:tcPr>
          <w:p>
            <w:pPr>
              <w:spacing w:after="0"/>
              <w:rPr>
                <w:sz w:val="12"/>
                <w:szCs w:val="12"/>
                <w:color w:val="auto"/>
              </w:rPr>
            </w:pPr>
          </w:p>
        </w:tc>
        <w:tc>
          <w:tcPr>
            <w:tcW w:w="50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08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Issuance of Series B Preferred Stock upon conversion of Convertible Notes</w:t>
            </w:r>
          </w:p>
        </w:tc>
        <w:tc>
          <w:tcPr>
            <w:tcW w:w="7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1,991,052</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3"/>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2,410</w:t>
            </w:r>
          </w:p>
        </w:tc>
        <w:tc>
          <w:tcPr>
            <w:tcW w:w="0" w:type="dxa"/>
            <w:vAlign w:val="bottom"/>
          </w:tcPr>
          <w:p>
            <w:pPr>
              <w:spacing w:after="0"/>
              <w:rPr>
                <w:sz w:val="1"/>
                <w:szCs w:val="1"/>
                <w:color w:val="auto"/>
              </w:rPr>
            </w:pPr>
          </w:p>
        </w:tc>
      </w:tr>
      <w:tr>
        <w:trPr>
          <w:trHeight w:val="171"/>
        </w:trPr>
        <w:tc>
          <w:tcPr>
            <w:tcW w:w="50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Issuance of Series B Preferred Stock for cash, net of issuance costs of $172</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47,587,571</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57,428</w:t>
            </w:r>
          </w:p>
        </w:tc>
        <w:tc>
          <w:tcPr>
            <w:tcW w:w="0" w:type="dxa"/>
            <w:vAlign w:val="bottom"/>
          </w:tcPr>
          <w:p>
            <w:pPr>
              <w:spacing w:after="0"/>
              <w:rPr>
                <w:sz w:val="1"/>
                <w:szCs w:val="1"/>
                <w:color w:val="auto"/>
              </w:rPr>
            </w:pPr>
          </w:p>
        </w:tc>
      </w:tr>
      <w:tr>
        <w:trPr>
          <w:trHeight w:val="131"/>
        </w:trPr>
        <w:tc>
          <w:tcPr>
            <w:tcW w:w="5080" w:type="dxa"/>
            <w:vAlign w:val="bottom"/>
          </w:tcPr>
          <w:p>
            <w:pPr>
              <w:spacing w:after="0" w:line="131" w:lineRule="exact"/>
              <w:rPr>
                <w:sz w:val="20"/>
                <w:szCs w:val="20"/>
                <w:color w:val="auto"/>
              </w:rPr>
            </w:pPr>
            <w:r>
              <w:rPr>
                <w:rFonts w:ascii="Times New Roman" w:cs="Times New Roman" w:eastAsia="Times New Roman" w:hAnsi="Times New Roman"/>
                <w:sz w:val="14"/>
                <w:szCs w:val="14"/>
                <w:b w:val="1"/>
                <w:bCs w:val="1"/>
                <w:color w:val="auto"/>
              </w:rPr>
              <w:t>Balance as of December 31, 2019</w:t>
            </w:r>
          </w:p>
        </w:tc>
        <w:tc>
          <w:tcPr>
            <w:tcW w:w="700" w:type="dxa"/>
            <w:vAlign w:val="bottom"/>
            <w:tcBorders>
              <w:top w:val="single" w:sz="8" w:color="auto"/>
            </w:tcBorders>
            <w:gridSpan w:val="2"/>
          </w:tcPr>
          <w:p>
            <w:pPr>
              <w:jc w:val="right"/>
              <w:spacing w:after="0" w:line="131" w:lineRule="exact"/>
              <w:rPr>
                <w:sz w:val="20"/>
                <w:szCs w:val="20"/>
                <w:color w:val="auto"/>
              </w:rPr>
            </w:pPr>
            <w:r>
              <w:rPr>
                <w:rFonts w:ascii="Times New Roman" w:cs="Times New Roman" w:eastAsia="Times New Roman" w:hAnsi="Times New Roman"/>
                <w:sz w:val="14"/>
                <w:szCs w:val="14"/>
                <w:color w:val="auto"/>
              </w:rPr>
              <w:t>61,277,339</w:t>
            </w:r>
          </w:p>
        </w:tc>
        <w:tc>
          <w:tcPr>
            <w:tcW w:w="2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top w:val="single" w:sz="8" w:color="auto"/>
            </w:tcBorders>
            <w:gridSpan w:val="2"/>
          </w:tcPr>
          <w:p>
            <w:pPr>
              <w:jc w:val="right"/>
              <w:spacing w:after="0" w:line="131" w:lineRule="exact"/>
              <w:rPr>
                <w:sz w:val="20"/>
                <w:szCs w:val="20"/>
                <w:color w:val="auto"/>
              </w:rPr>
            </w:pPr>
            <w:r>
              <w:rPr>
                <w:rFonts w:ascii="Times New Roman" w:cs="Times New Roman" w:eastAsia="Times New Roman" w:hAnsi="Times New Roman"/>
                <w:sz w:val="14"/>
                <w:szCs w:val="14"/>
                <w:color w:val="auto"/>
              </w:rPr>
              <w:t>63,402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5080" w:type="dxa"/>
            <w:vAlign w:val="bottom"/>
          </w:tcPr>
          <w:p>
            <w:pPr>
              <w:spacing w:after="0" w:line="151" w:lineRule="exact"/>
              <w:rPr>
                <w:sz w:val="20"/>
                <w:szCs w:val="20"/>
                <w:color w:val="auto"/>
              </w:rPr>
            </w:pPr>
            <w:r>
              <w:rPr>
                <w:rFonts w:ascii="Times New Roman" w:cs="Times New Roman" w:eastAsia="Times New Roman" w:hAnsi="Times New Roman"/>
                <w:sz w:val="14"/>
                <w:szCs w:val="14"/>
                <w:b w:val="1"/>
                <w:bCs w:val="1"/>
                <w:color w:val="auto"/>
              </w:rPr>
              <w:t>Balance as of December 31, 2018</w:t>
            </w:r>
          </w:p>
        </w:tc>
        <w:tc>
          <w:tcPr>
            <w:tcW w:w="720" w:type="dxa"/>
            <w:vAlign w:val="bottom"/>
            <w:gridSpan w:val="3"/>
          </w:tcPr>
          <w:p>
            <w:pPr>
              <w:jc w:val="right"/>
              <w:ind w:right="20"/>
              <w:spacing w:after="0" w:line="151" w:lineRule="exact"/>
              <w:rPr>
                <w:sz w:val="20"/>
                <w:szCs w:val="20"/>
                <w:color w:val="auto"/>
              </w:rPr>
            </w:pPr>
            <w:r>
              <w:rPr>
                <w:rFonts w:ascii="Times New Roman" w:cs="Times New Roman" w:eastAsia="Times New Roman" w:hAnsi="Times New Roman"/>
                <w:sz w:val="14"/>
                <w:szCs w:val="14"/>
                <w:color w:val="auto"/>
              </w:rPr>
              <w:t>11,698,716</w:t>
            </w:r>
          </w:p>
        </w:tc>
        <w:tc>
          <w:tcPr>
            <w:tcW w:w="6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gridSpan w:val="3"/>
          </w:tcPr>
          <w:p>
            <w:pPr>
              <w:jc w:val="right"/>
              <w:ind w:right="20"/>
              <w:spacing w:after="0" w:line="151" w:lineRule="exact"/>
              <w:rPr>
                <w:sz w:val="20"/>
                <w:szCs w:val="20"/>
                <w:color w:val="auto"/>
              </w:rPr>
            </w:pPr>
            <w:r>
              <w:rPr>
                <w:rFonts w:ascii="Times New Roman" w:cs="Times New Roman" w:eastAsia="Times New Roman" w:hAnsi="Times New Roman"/>
                <w:sz w:val="14"/>
                <w:szCs w:val="14"/>
                <w:color w:val="auto"/>
              </w:rPr>
              <w:t>3,564</w:t>
            </w:r>
          </w:p>
        </w:tc>
        <w:tc>
          <w:tcPr>
            <w:tcW w:w="0" w:type="dxa"/>
            <w:vAlign w:val="bottom"/>
          </w:tcPr>
          <w:p>
            <w:pPr>
              <w:spacing w:after="0"/>
              <w:rPr>
                <w:sz w:val="1"/>
                <w:szCs w:val="1"/>
                <w:color w:val="auto"/>
              </w:rPr>
            </w:pPr>
          </w:p>
        </w:tc>
      </w:tr>
      <w:tr>
        <w:trPr>
          <w:trHeight w:val="148"/>
        </w:trPr>
        <w:tc>
          <w:tcPr>
            <w:tcW w:w="508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Net loss (unaudited)</w:t>
            </w:r>
          </w:p>
        </w:tc>
        <w:tc>
          <w:tcPr>
            <w:tcW w:w="280" w:type="dxa"/>
            <w:vAlign w:val="bottom"/>
          </w:tcPr>
          <w:p>
            <w:pPr>
              <w:spacing w:after="0"/>
              <w:rPr>
                <w:sz w:val="12"/>
                <w:szCs w:val="12"/>
                <w:color w:val="auto"/>
              </w:rPr>
            </w:pPr>
          </w:p>
        </w:tc>
        <w:tc>
          <w:tcPr>
            <w:tcW w:w="500" w:type="dxa"/>
            <w:vAlign w:val="bottom"/>
            <w:gridSpan w:val="3"/>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508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Recognition of stock-based compensation expense (unaudited)</w:t>
            </w:r>
          </w:p>
        </w:tc>
        <w:tc>
          <w:tcPr>
            <w:tcW w:w="280" w:type="dxa"/>
            <w:vAlign w:val="bottom"/>
          </w:tcPr>
          <w:p>
            <w:pPr>
              <w:spacing w:after="0"/>
              <w:rPr>
                <w:sz w:val="12"/>
                <w:szCs w:val="12"/>
                <w:color w:val="auto"/>
              </w:rPr>
            </w:pPr>
          </w:p>
        </w:tc>
        <w:tc>
          <w:tcPr>
            <w:tcW w:w="500" w:type="dxa"/>
            <w:vAlign w:val="bottom"/>
            <w:gridSpan w:val="3"/>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508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Vesting of founder shares subject to repurchase (unaudited)</w:t>
            </w:r>
          </w:p>
        </w:tc>
        <w:tc>
          <w:tcPr>
            <w:tcW w:w="280" w:type="dxa"/>
            <w:vAlign w:val="bottom"/>
          </w:tcPr>
          <w:p>
            <w:pPr>
              <w:spacing w:after="0"/>
              <w:rPr>
                <w:sz w:val="12"/>
                <w:szCs w:val="12"/>
                <w:color w:val="auto"/>
              </w:rPr>
            </w:pPr>
          </w:p>
        </w:tc>
        <w:tc>
          <w:tcPr>
            <w:tcW w:w="500" w:type="dxa"/>
            <w:vAlign w:val="bottom"/>
            <w:gridSpan w:val="3"/>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508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Lapse of repurchase rights related to common stock issued pursuant to early</w:t>
            </w:r>
          </w:p>
        </w:tc>
        <w:tc>
          <w:tcPr>
            <w:tcW w:w="280" w:type="dxa"/>
            <w:vAlign w:val="bottom"/>
          </w:tcPr>
          <w:p>
            <w:pPr>
              <w:spacing w:after="0"/>
              <w:rPr>
                <w:sz w:val="12"/>
                <w:szCs w:val="12"/>
                <w:color w:val="auto"/>
              </w:rPr>
            </w:pPr>
          </w:p>
        </w:tc>
        <w:tc>
          <w:tcPr>
            <w:tcW w:w="50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508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exercises (unaudited)</w:t>
            </w:r>
          </w:p>
        </w:tc>
        <w:tc>
          <w:tcPr>
            <w:tcW w:w="280" w:type="dxa"/>
            <w:vAlign w:val="bottom"/>
          </w:tcPr>
          <w:p>
            <w:pPr>
              <w:spacing w:after="0"/>
              <w:rPr>
                <w:sz w:val="14"/>
                <w:szCs w:val="14"/>
                <w:color w:val="auto"/>
              </w:rPr>
            </w:pPr>
          </w:p>
        </w:tc>
        <w:tc>
          <w:tcPr>
            <w:tcW w:w="50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5080" w:type="dxa"/>
            <w:vAlign w:val="bottom"/>
          </w:tcPr>
          <w:p>
            <w:pPr>
              <w:spacing w:after="0" w:line="131" w:lineRule="exact"/>
              <w:rPr>
                <w:sz w:val="20"/>
                <w:szCs w:val="20"/>
                <w:color w:val="auto"/>
              </w:rPr>
            </w:pPr>
            <w:r>
              <w:rPr>
                <w:rFonts w:ascii="Times New Roman" w:cs="Times New Roman" w:eastAsia="Times New Roman" w:hAnsi="Times New Roman"/>
                <w:sz w:val="14"/>
                <w:szCs w:val="14"/>
                <w:b w:val="1"/>
                <w:bCs w:val="1"/>
                <w:color w:val="auto"/>
              </w:rPr>
              <w:t>Balance as of June 30, 2019 (unaudited)</w:t>
            </w:r>
          </w:p>
        </w:tc>
        <w:tc>
          <w:tcPr>
            <w:tcW w:w="700" w:type="dxa"/>
            <w:vAlign w:val="bottom"/>
            <w:tcBorders>
              <w:top w:val="single" w:sz="8" w:color="auto"/>
            </w:tcBorders>
            <w:gridSpan w:val="2"/>
          </w:tcPr>
          <w:p>
            <w:pPr>
              <w:jc w:val="right"/>
              <w:spacing w:after="0" w:line="131" w:lineRule="exact"/>
              <w:rPr>
                <w:sz w:val="20"/>
                <w:szCs w:val="20"/>
                <w:color w:val="auto"/>
              </w:rPr>
            </w:pPr>
            <w:r>
              <w:rPr>
                <w:rFonts w:ascii="Times New Roman" w:cs="Times New Roman" w:eastAsia="Times New Roman" w:hAnsi="Times New Roman"/>
                <w:sz w:val="14"/>
                <w:szCs w:val="14"/>
                <w:color w:val="auto"/>
              </w:rPr>
              <w:t>11,698,716</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top w:val="single" w:sz="8" w:color="auto"/>
            </w:tcBorders>
            <w:gridSpan w:val="2"/>
          </w:tcPr>
          <w:p>
            <w:pPr>
              <w:jc w:val="right"/>
              <w:spacing w:after="0" w:line="131" w:lineRule="exact"/>
              <w:rPr>
                <w:sz w:val="20"/>
                <w:szCs w:val="20"/>
                <w:color w:val="auto"/>
              </w:rPr>
            </w:pPr>
            <w:r>
              <w:rPr>
                <w:rFonts w:ascii="Times New Roman" w:cs="Times New Roman" w:eastAsia="Times New Roman" w:hAnsi="Times New Roman"/>
                <w:sz w:val="14"/>
                <w:szCs w:val="14"/>
                <w:color w:val="auto"/>
              </w:rPr>
              <w:t>3,564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5080" w:type="dxa"/>
            <w:vAlign w:val="bottom"/>
          </w:tcPr>
          <w:p>
            <w:pPr>
              <w:spacing w:after="0" w:line="151" w:lineRule="exact"/>
              <w:rPr>
                <w:sz w:val="20"/>
                <w:szCs w:val="20"/>
                <w:color w:val="auto"/>
              </w:rPr>
            </w:pPr>
            <w:r>
              <w:rPr>
                <w:rFonts w:ascii="Times New Roman" w:cs="Times New Roman" w:eastAsia="Times New Roman" w:hAnsi="Times New Roman"/>
                <w:sz w:val="14"/>
                <w:szCs w:val="14"/>
                <w:b w:val="1"/>
                <w:bCs w:val="1"/>
                <w:color w:val="auto"/>
              </w:rPr>
              <w:t>Balance as of December 31, 2019</w:t>
            </w:r>
          </w:p>
        </w:tc>
        <w:tc>
          <w:tcPr>
            <w:tcW w:w="700" w:type="dxa"/>
            <w:vAlign w:val="bottom"/>
            <w:gridSpan w:val="2"/>
          </w:tcPr>
          <w:p>
            <w:pPr>
              <w:jc w:val="right"/>
              <w:spacing w:after="0" w:line="151" w:lineRule="exact"/>
              <w:rPr>
                <w:sz w:val="20"/>
                <w:szCs w:val="20"/>
                <w:color w:val="auto"/>
              </w:rPr>
            </w:pPr>
            <w:r>
              <w:rPr>
                <w:rFonts w:ascii="Times New Roman" w:cs="Times New Roman" w:eastAsia="Times New Roman" w:hAnsi="Times New Roman"/>
                <w:sz w:val="14"/>
                <w:szCs w:val="14"/>
                <w:color w:val="auto"/>
              </w:rPr>
              <w:t>61,277,339</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gridSpan w:val="3"/>
          </w:tcPr>
          <w:p>
            <w:pPr>
              <w:jc w:val="right"/>
              <w:ind w:right="20"/>
              <w:spacing w:after="0" w:line="151" w:lineRule="exact"/>
              <w:rPr>
                <w:sz w:val="20"/>
                <w:szCs w:val="20"/>
                <w:color w:val="auto"/>
              </w:rPr>
            </w:pPr>
            <w:r>
              <w:rPr>
                <w:rFonts w:ascii="Times New Roman" w:cs="Times New Roman" w:eastAsia="Times New Roman" w:hAnsi="Times New Roman"/>
                <w:sz w:val="14"/>
                <w:szCs w:val="14"/>
                <w:color w:val="auto"/>
              </w:rPr>
              <w:t>63,402</w:t>
            </w:r>
          </w:p>
        </w:tc>
        <w:tc>
          <w:tcPr>
            <w:tcW w:w="0" w:type="dxa"/>
            <w:vAlign w:val="bottom"/>
          </w:tcPr>
          <w:p>
            <w:pPr>
              <w:spacing w:after="0"/>
              <w:rPr>
                <w:sz w:val="1"/>
                <w:szCs w:val="1"/>
                <w:color w:val="auto"/>
              </w:rPr>
            </w:pPr>
          </w:p>
        </w:tc>
      </w:tr>
      <w:tr>
        <w:trPr>
          <w:trHeight w:val="148"/>
        </w:trPr>
        <w:tc>
          <w:tcPr>
            <w:tcW w:w="508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Net loss (unaudited)</w:t>
            </w:r>
          </w:p>
        </w:tc>
        <w:tc>
          <w:tcPr>
            <w:tcW w:w="280" w:type="dxa"/>
            <w:vAlign w:val="bottom"/>
          </w:tcPr>
          <w:p>
            <w:pPr>
              <w:spacing w:after="0"/>
              <w:rPr>
                <w:sz w:val="12"/>
                <w:szCs w:val="12"/>
                <w:color w:val="auto"/>
              </w:rPr>
            </w:pPr>
          </w:p>
        </w:tc>
        <w:tc>
          <w:tcPr>
            <w:tcW w:w="500" w:type="dxa"/>
            <w:vAlign w:val="bottom"/>
            <w:gridSpan w:val="3"/>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508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Recognition of stock-based compensation expense (unaudited)</w:t>
            </w:r>
          </w:p>
        </w:tc>
        <w:tc>
          <w:tcPr>
            <w:tcW w:w="280" w:type="dxa"/>
            <w:vAlign w:val="bottom"/>
          </w:tcPr>
          <w:p>
            <w:pPr>
              <w:spacing w:after="0"/>
              <w:rPr>
                <w:sz w:val="12"/>
                <w:szCs w:val="12"/>
                <w:color w:val="auto"/>
              </w:rPr>
            </w:pPr>
          </w:p>
        </w:tc>
        <w:tc>
          <w:tcPr>
            <w:tcW w:w="500" w:type="dxa"/>
            <w:vAlign w:val="bottom"/>
            <w:gridSpan w:val="3"/>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508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Lapse of repurchase rights related to common stock issued pursuant to early</w:t>
            </w:r>
          </w:p>
        </w:tc>
        <w:tc>
          <w:tcPr>
            <w:tcW w:w="280" w:type="dxa"/>
            <w:vAlign w:val="bottom"/>
          </w:tcPr>
          <w:p>
            <w:pPr>
              <w:spacing w:after="0"/>
              <w:rPr>
                <w:sz w:val="12"/>
                <w:szCs w:val="12"/>
                <w:color w:val="auto"/>
              </w:rPr>
            </w:pPr>
          </w:p>
        </w:tc>
        <w:tc>
          <w:tcPr>
            <w:tcW w:w="50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5080" w:type="dxa"/>
            <w:vAlign w:val="bottom"/>
          </w:tcPr>
          <w:p>
            <w:pPr>
              <w:ind w:left="420"/>
              <w:spacing w:after="0" w:line="149" w:lineRule="exact"/>
              <w:rPr>
                <w:sz w:val="20"/>
                <w:szCs w:val="20"/>
                <w:color w:val="auto"/>
              </w:rPr>
            </w:pPr>
            <w:r>
              <w:rPr>
                <w:rFonts w:ascii="Times New Roman" w:cs="Times New Roman" w:eastAsia="Times New Roman" w:hAnsi="Times New Roman"/>
                <w:sz w:val="14"/>
                <w:szCs w:val="14"/>
                <w:color w:val="auto"/>
              </w:rPr>
              <w:t>exercises (unaudited)</w:t>
            </w:r>
          </w:p>
        </w:tc>
        <w:tc>
          <w:tcPr>
            <w:tcW w:w="280" w:type="dxa"/>
            <w:vAlign w:val="bottom"/>
          </w:tcPr>
          <w:p>
            <w:pPr>
              <w:spacing w:after="0"/>
              <w:rPr>
                <w:sz w:val="12"/>
                <w:szCs w:val="12"/>
                <w:color w:val="auto"/>
              </w:rPr>
            </w:pPr>
          </w:p>
        </w:tc>
        <w:tc>
          <w:tcPr>
            <w:tcW w:w="50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0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Exercise of vested stock options (unaudited)</w:t>
            </w:r>
          </w:p>
        </w:tc>
        <w:tc>
          <w:tcPr>
            <w:tcW w:w="280" w:type="dxa"/>
            <w:vAlign w:val="bottom"/>
          </w:tcPr>
          <w:p>
            <w:pPr>
              <w:spacing w:after="0"/>
              <w:rPr>
                <w:sz w:val="14"/>
                <w:szCs w:val="14"/>
                <w:color w:val="auto"/>
              </w:rPr>
            </w:pPr>
          </w:p>
        </w:tc>
        <w:tc>
          <w:tcPr>
            <w:tcW w:w="50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6"/>
        </w:trPr>
        <w:tc>
          <w:tcPr>
            <w:tcW w:w="5080" w:type="dxa"/>
            <w:vAlign w:val="bottom"/>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Balance as of June 30, 2020 (unaudited)</w:t>
            </w:r>
          </w:p>
        </w:tc>
        <w:tc>
          <w:tcPr>
            <w:tcW w:w="700" w:type="dxa"/>
            <w:vAlign w:val="bottom"/>
            <w:tcBorders>
              <w:top w:val="single" w:sz="8" w:color="auto"/>
              <w:bottom w:val="single" w:sz="8" w:color="auto"/>
            </w:tcBorders>
            <w:gridSpan w:val="2"/>
          </w:tcPr>
          <w:p>
            <w:pPr>
              <w:jc w:val="right"/>
              <w:spacing w:after="0" w:line="155" w:lineRule="exact"/>
              <w:rPr>
                <w:sz w:val="20"/>
                <w:szCs w:val="20"/>
                <w:color w:val="auto"/>
              </w:rPr>
            </w:pPr>
            <w:r>
              <w:rPr>
                <w:rFonts w:ascii="Times New Roman" w:cs="Times New Roman" w:eastAsia="Times New Roman" w:hAnsi="Times New Roman"/>
                <w:sz w:val="14"/>
                <w:szCs w:val="14"/>
                <w:color w:val="auto"/>
              </w:rPr>
              <w:t>61,277,339</w:t>
            </w:r>
          </w:p>
        </w:tc>
        <w:tc>
          <w:tcPr>
            <w:tcW w:w="2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top w:val="single" w:sz="8" w:color="auto"/>
              <w:bottom w:val="single" w:sz="8" w:color="auto"/>
            </w:tcBorders>
            <w:gridSpan w:val="2"/>
          </w:tcPr>
          <w:p>
            <w:pPr>
              <w:jc w:val="right"/>
              <w:spacing w:after="0" w:line="155" w:lineRule="exact"/>
              <w:rPr>
                <w:sz w:val="20"/>
                <w:szCs w:val="20"/>
                <w:color w:val="auto"/>
              </w:rPr>
            </w:pPr>
            <w:r>
              <w:rPr>
                <w:rFonts w:ascii="Times New Roman" w:cs="Times New Roman" w:eastAsia="Times New Roman" w:hAnsi="Times New Roman"/>
                <w:sz w:val="14"/>
                <w:szCs w:val="14"/>
                <w:color w:val="auto"/>
              </w:rPr>
              <w:t>63,402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-3316605</wp:posOffset>
            </wp:positionV>
            <wp:extent cx="6995160" cy="332613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995160" cy="33261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60" w:type="dxa"/>
            <w:vAlign w:val="bottom"/>
            <w:gridSpan w:val="6"/>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20" w:type="dxa"/>
            <w:vAlign w:val="bottom"/>
            <w:vMerge w:val="restart"/>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00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20" w:type="dxa"/>
            <w:vAlign w:val="bottom"/>
          </w:tcPr>
          <w:p>
            <w:pPr>
              <w:spacing w:after="0"/>
              <w:rPr>
                <w:sz w:val="13"/>
                <w:szCs w:val="13"/>
                <w:color w:val="auto"/>
              </w:rPr>
            </w:pPr>
          </w:p>
        </w:tc>
        <w:tc>
          <w:tcPr>
            <w:tcW w:w="680" w:type="dxa"/>
            <w:vAlign w:val="bottom"/>
            <w:gridSpan w:val="3"/>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67"/>
        </w:trPr>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60" w:type="dxa"/>
            <w:vAlign w:val="bottom"/>
            <w:tcBorders>
              <w:bottom w:val="single" w:sz="8" w:color="auto"/>
            </w:tcBorders>
            <w:gridSpan w:val="6"/>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4"/>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w w:val="97"/>
              </w:rPr>
              <w:t>Paid-In</w:t>
            </w:r>
          </w:p>
        </w:tc>
        <w:tc>
          <w:tcPr>
            <w:tcW w:w="1000" w:type="dxa"/>
            <w:vAlign w:val="bottom"/>
            <w:gridSpan w:val="4"/>
            <w:vMerge w:val="continue"/>
          </w:tcPr>
          <w:p>
            <w:pPr>
              <w:spacing w:after="0"/>
              <w:rPr>
                <w:sz w:val="14"/>
                <w:szCs w:val="14"/>
                <w:color w:val="auto"/>
              </w:rPr>
            </w:pPr>
          </w:p>
        </w:tc>
        <w:tc>
          <w:tcPr>
            <w:tcW w:w="90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42"/>
        </w:trPr>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gridSpan w:val="4"/>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Pr>
          <w:p>
            <w:pPr>
              <w:spacing w:after="0"/>
              <w:rPr>
                <w:sz w:val="12"/>
                <w:szCs w:val="12"/>
                <w:color w:val="auto"/>
              </w:rPr>
            </w:pPr>
          </w:p>
        </w:tc>
        <w:tc>
          <w:tcPr>
            <w:tcW w:w="620" w:type="dxa"/>
            <w:vAlign w:val="bottom"/>
            <w:gridSpan w:val="4"/>
          </w:tcPr>
          <w:p>
            <w:pPr>
              <w:jc w:val="right"/>
              <w:ind w:right="120"/>
              <w:spacing w:after="0" w:line="142"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100" w:type="dxa"/>
            <w:vAlign w:val="bottom"/>
          </w:tcPr>
          <w:p>
            <w:pPr>
              <w:spacing w:after="0"/>
              <w:rPr>
                <w:sz w:val="12"/>
                <w:szCs w:val="12"/>
                <w:color w:val="auto"/>
              </w:rPr>
            </w:pPr>
          </w:p>
        </w:tc>
        <w:tc>
          <w:tcPr>
            <w:tcW w:w="680" w:type="dxa"/>
            <w:vAlign w:val="bottom"/>
            <w:gridSpan w:val="4"/>
          </w:tcPr>
          <w:p>
            <w:pPr>
              <w:jc w:val="right"/>
              <w:ind w:right="220"/>
              <w:spacing w:after="0" w:line="142" w:lineRule="exact"/>
              <w:rPr>
                <w:sz w:val="20"/>
                <w:szCs w:val="20"/>
                <w:color w:val="auto"/>
              </w:rPr>
            </w:pPr>
            <w:r>
              <w:rPr>
                <w:rFonts w:ascii="Times New Roman" w:cs="Times New Roman" w:eastAsia="Times New Roman" w:hAnsi="Times New Roman"/>
                <w:sz w:val="14"/>
                <w:szCs w:val="14"/>
                <w:b w:val="1"/>
                <w:bCs w:val="1"/>
                <w:color w:val="auto"/>
                <w:w w:val="99"/>
              </w:rPr>
              <w:t>Capital</w:t>
            </w:r>
          </w:p>
        </w:tc>
        <w:tc>
          <w:tcPr>
            <w:tcW w:w="220" w:type="dxa"/>
            <w:vAlign w:val="bottom"/>
          </w:tcPr>
          <w:p>
            <w:pPr>
              <w:spacing w:after="0"/>
              <w:rPr>
                <w:sz w:val="12"/>
                <w:szCs w:val="12"/>
                <w:color w:val="auto"/>
              </w:rPr>
            </w:pPr>
          </w:p>
        </w:tc>
        <w:tc>
          <w:tcPr>
            <w:tcW w:w="780" w:type="dxa"/>
            <w:vAlign w:val="bottom"/>
            <w:gridSpan w:val="3"/>
          </w:tcPr>
          <w:p>
            <w:pPr>
              <w:jc w:val="right"/>
              <w:ind w:right="380"/>
              <w:spacing w:after="0" w:line="142" w:lineRule="exact"/>
              <w:rPr>
                <w:sz w:val="20"/>
                <w:szCs w:val="20"/>
                <w:color w:val="auto"/>
              </w:rPr>
            </w:pPr>
            <w:r>
              <w:rPr>
                <w:rFonts w:ascii="Times New Roman" w:cs="Times New Roman" w:eastAsia="Times New Roman" w:hAnsi="Times New Roman"/>
                <w:sz w:val="14"/>
                <w:szCs w:val="14"/>
                <w:b w:val="1"/>
                <w:bCs w:val="1"/>
                <w:color w:val="auto"/>
                <w:w w:val="95"/>
              </w:rPr>
              <w:t>Deficit</w:t>
            </w:r>
          </w:p>
        </w:tc>
        <w:tc>
          <w:tcPr>
            <w:tcW w:w="220" w:type="dxa"/>
            <w:vAlign w:val="bottom"/>
          </w:tcPr>
          <w:p>
            <w:pPr>
              <w:spacing w:after="0"/>
              <w:rPr>
                <w:sz w:val="12"/>
                <w:szCs w:val="12"/>
                <w:color w:val="auto"/>
              </w:rPr>
            </w:pPr>
          </w:p>
        </w:tc>
        <w:tc>
          <w:tcPr>
            <w:tcW w:w="680" w:type="dxa"/>
            <w:vAlign w:val="bottom"/>
            <w:gridSpan w:val="3"/>
          </w:tcPr>
          <w:p>
            <w:pPr>
              <w:jc w:val="right"/>
              <w:ind w:right="260"/>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0" w:type="dxa"/>
            <w:vAlign w:val="bottom"/>
          </w:tcPr>
          <w:p>
            <w:pPr>
              <w:spacing w:after="0"/>
              <w:rPr>
                <w:sz w:val="1"/>
                <w:szCs w:val="1"/>
                <w:color w:val="auto"/>
              </w:rPr>
            </w:pPr>
          </w:p>
        </w:tc>
      </w:tr>
      <w:tr>
        <w:trPr>
          <w:trHeight w:val="119"/>
        </w:trPr>
        <w:tc>
          <w:tcPr>
            <w:tcW w:w="140" w:type="dxa"/>
            <w:vAlign w:val="bottom"/>
          </w:tcPr>
          <w:p>
            <w:pPr>
              <w:spacing w:after="0"/>
              <w:rPr>
                <w:sz w:val="10"/>
                <w:szCs w:val="10"/>
                <w:color w:val="auto"/>
              </w:rPr>
            </w:pPr>
          </w:p>
        </w:tc>
        <w:tc>
          <w:tcPr>
            <w:tcW w:w="420" w:type="dxa"/>
            <w:vAlign w:val="bottom"/>
            <w:tcBorders>
              <w:top w:val="single" w:sz="8" w:color="auto"/>
            </w:tcBorders>
            <w:gridSpan w:val="2"/>
          </w:tcPr>
          <w:p>
            <w:pPr>
              <w:jc w:val="right"/>
              <w:spacing w:after="0" w:line="120" w:lineRule="exact"/>
              <w:rPr>
                <w:sz w:val="20"/>
                <w:szCs w:val="20"/>
                <w:color w:val="auto"/>
              </w:rPr>
            </w:pPr>
            <w:r>
              <w:rPr>
                <w:rFonts w:ascii="Times New Roman" w:cs="Times New Roman" w:eastAsia="Times New Roman" w:hAnsi="Times New Roman"/>
                <w:sz w:val="12"/>
                <w:szCs w:val="12"/>
                <w:color w:val="auto"/>
                <w:w w:val="73"/>
              </w:rPr>
              <w:t>10,651,388</w:t>
            </w: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Borders>
              <w:top w:val="single" w:sz="8" w:color="auto"/>
            </w:tcBorders>
          </w:tcPr>
          <w:p>
            <w:pPr>
              <w:jc w:val="right"/>
              <w:ind w:right="191"/>
              <w:spacing w:after="0" w:line="120" w:lineRule="exact"/>
              <w:rPr>
                <w:sz w:val="20"/>
                <w:szCs w:val="20"/>
                <w:color w:val="auto"/>
              </w:rPr>
            </w:pPr>
            <w:r>
              <w:rPr>
                <w:rFonts w:ascii="Times New Roman" w:cs="Times New Roman" w:eastAsia="Times New Roman" w:hAnsi="Times New Roman"/>
                <w:sz w:val="11"/>
                <w:szCs w:val="11"/>
                <w:color w:val="auto"/>
                <w:w w:val="71"/>
              </w:rPr>
              <w:t>$</w:t>
            </w:r>
          </w:p>
        </w:tc>
        <w:tc>
          <w:tcPr>
            <w:tcW w:w="12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jc w:val="right"/>
              <w:spacing w:after="0" w:line="120" w:lineRule="exact"/>
              <w:rPr>
                <w:sz w:val="20"/>
                <w:szCs w:val="20"/>
                <w:color w:val="auto"/>
              </w:rPr>
            </w:pPr>
            <w:r>
              <w:rPr>
                <w:rFonts w:ascii="Times New Roman" w:cs="Times New Roman" w:eastAsia="Times New Roman" w:hAnsi="Times New Roman"/>
                <w:sz w:val="11"/>
                <w:szCs w:val="11"/>
                <w:color w:val="auto"/>
                <w:w w:val="71"/>
              </w:rPr>
              <w:t>1</w:t>
            </w:r>
          </w:p>
        </w:tc>
        <w:tc>
          <w:tcPr>
            <w:tcW w:w="120" w:type="dxa"/>
            <w:vAlign w:val="bottom"/>
          </w:tcPr>
          <w:p>
            <w:pPr>
              <w:spacing w:after="0"/>
              <w:rPr>
                <w:sz w:val="10"/>
                <w:szCs w:val="10"/>
                <w:color w:val="auto"/>
              </w:rPr>
            </w:pPr>
          </w:p>
        </w:tc>
        <w:tc>
          <w:tcPr>
            <w:tcW w:w="100" w:type="dxa"/>
            <w:vAlign w:val="bottom"/>
          </w:tcPr>
          <w:p>
            <w:pPr>
              <w:spacing w:after="0" w:line="119" w:lineRule="exact"/>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0"/>
                <w:szCs w:val="10"/>
                <w:color w:val="auto"/>
              </w:rPr>
            </w:pPr>
          </w:p>
        </w:tc>
        <w:tc>
          <w:tcPr>
            <w:tcW w:w="460" w:type="dxa"/>
            <w:vAlign w:val="bottom"/>
            <w:tcBorders>
              <w:top w:val="single" w:sz="8" w:color="auto"/>
            </w:tcBorders>
          </w:tcPr>
          <w:p>
            <w:pPr>
              <w:ind w:left="340"/>
              <w:spacing w:after="0" w:line="119" w:lineRule="exact"/>
              <w:rPr>
                <w:sz w:val="20"/>
                <w:szCs w:val="20"/>
                <w:color w:val="auto"/>
              </w:rPr>
            </w:pPr>
            <w:r>
              <w:rPr>
                <w:rFonts w:ascii="Times New Roman" w:cs="Times New Roman" w:eastAsia="Times New Roman" w:hAnsi="Times New Roman"/>
                <w:sz w:val="13"/>
                <w:szCs w:val="13"/>
                <w:color w:val="auto"/>
                <w:w w:val="76"/>
              </w:rPr>
              <w:t>—</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line="119" w:lineRule="exact"/>
              <w:rPr>
                <w:sz w:val="20"/>
                <w:szCs w:val="20"/>
                <w:color w:val="auto"/>
              </w:rPr>
            </w:pPr>
            <w:r>
              <w:rPr>
                <w:rFonts w:ascii="Times New Roman" w:cs="Times New Roman" w:eastAsia="Times New Roman" w:hAnsi="Times New Roman"/>
                <w:sz w:val="13"/>
                <w:szCs w:val="13"/>
                <w:color w:val="auto"/>
              </w:rPr>
              <w:t>$</w:t>
            </w:r>
          </w:p>
        </w:tc>
        <w:tc>
          <w:tcPr>
            <w:tcW w:w="400" w:type="dxa"/>
            <w:vAlign w:val="bottom"/>
            <w:tcBorders>
              <w:top w:val="single" w:sz="8" w:color="auto"/>
            </w:tcBorders>
          </w:tcPr>
          <w:p>
            <w:pPr>
              <w:spacing w:after="0"/>
              <w:rPr>
                <w:sz w:val="10"/>
                <w:szCs w:val="10"/>
                <w:color w:val="auto"/>
              </w:rPr>
            </w:pPr>
          </w:p>
        </w:tc>
        <w:tc>
          <w:tcPr>
            <w:tcW w:w="380" w:type="dxa"/>
            <w:vAlign w:val="bottom"/>
            <w:gridSpan w:val="2"/>
          </w:tcPr>
          <w:p>
            <w:pPr>
              <w:jc w:val="right"/>
              <w:ind w:right="120"/>
              <w:spacing w:after="0" w:line="119" w:lineRule="exact"/>
              <w:rPr>
                <w:sz w:val="20"/>
                <w:szCs w:val="20"/>
                <w:color w:val="auto"/>
              </w:rPr>
            </w:pPr>
            <w:r>
              <w:rPr>
                <w:rFonts w:ascii="Times New Roman" w:cs="Times New Roman" w:eastAsia="Times New Roman" w:hAnsi="Times New Roman"/>
                <w:sz w:val="13"/>
                <w:szCs w:val="13"/>
                <w:color w:val="auto"/>
              </w:rPr>
              <w:t>(45)</w:t>
            </w:r>
          </w:p>
        </w:tc>
        <w:tc>
          <w:tcPr>
            <w:tcW w:w="220" w:type="dxa"/>
            <w:vAlign w:val="bottom"/>
          </w:tcPr>
          <w:p>
            <w:pPr>
              <w:spacing w:after="0" w:line="119" w:lineRule="exact"/>
              <w:rPr>
                <w:sz w:val="20"/>
                <w:szCs w:val="20"/>
                <w:color w:val="auto"/>
              </w:rPr>
            </w:pPr>
            <w:r>
              <w:rPr>
                <w:rFonts w:ascii="Times New Roman" w:cs="Times New Roman" w:eastAsia="Times New Roman" w:hAnsi="Times New Roman"/>
                <w:sz w:val="13"/>
                <w:szCs w:val="13"/>
                <w:color w:val="auto"/>
              </w:rPr>
              <w:t>$</w:t>
            </w:r>
          </w:p>
        </w:tc>
        <w:tc>
          <w:tcPr>
            <w:tcW w:w="420" w:type="dxa"/>
            <w:vAlign w:val="bottom"/>
            <w:tcBorders>
              <w:top w:val="single" w:sz="8" w:color="auto"/>
            </w:tcBorders>
          </w:tcPr>
          <w:p>
            <w:pPr>
              <w:spacing w:after="0"/>
              <w:rPr>
                <w:sz w:val="10"/>
                <w:szCs w:val="10"/>
                <w:color w:val="auto"/>
              </w:rPr>
            </w:pPr>
          </w:p>
        </w:tc>
        <w:tc>
          <w:tcPr>
            <w:tcW w:w="260" w:type="dxa"/>
            <w:vAlign w:val="bottom"/>
            <w:gridSpan w:val="2"/>
          </w:tcPr>
          <w:p>
            <w:pPr>
              <w:jc w:val="right"/>
              <w:spacing w:after="0" w:line="119" w:lineRule="exact"/>
              <w:rPr>
                <w:sz w:val="20"/>
                <w:szCs w:val="20"/>
                <w:color w:val="auto"/>
              </w:rPr>
            </w:pPr>
            <w:r>
              <w:rPr>
                <w:rFonts w:ascii="Times New Roman" w:cs="Times New Roman" w:eastAsia="Times New Roman" w:hAnsi="Times New Roman"/>
                <w:sz w:val="13"/>
                <w:szCs w:val="13"/>
                <w:color w:val="auto"/>
              </w:rPr>
              <w:t>(44)</w:t>
            </w:r>
          </w:p>
        </w:tc>
        <w:tc>
          <w:tcPr>
            <w:tcW w:w="0" w:type="dxa"/>
            <w:vAlign w:val="bottom"/>
          </w:tcPr>
          <w:p>
            <w:pPr>
              <w:spacing w:after="0"/>
              <w:rPr>
                <w:sz w:val="1"/>
                <w:szCs w:val="1"/>
                <w:color w:val="auto"/>
              </w:rPr>
            </w:pPr>
          </w:p>
        </w:tc>
      </w:tr>
      <w:tr>
        <w:trPr>
          <w:trHeight w:val="148"/>
        </w:trPr>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gridSpan w:val="4"/>
            <w:vMerge w:val="restart"/>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440" w:type="dxa"/>
            <w:vAlign w:val="bottom"/>
            <w:gridSpan w:val="2"/>
            <w:vMerge w:val="restart"/>
          </w:tcPr>
          <w:p>
            <w:pPr>
              <w:ind w:left="280"/>
              <w:spacing w:after="0"/>
              <w:rPr>
                <w:sz w:val="20"/>
                <w:szCs w:val="20"/>
                <w:color w:val="auto"/>
              </w:rPr>
            </w:pPr>
            <w:r>
              <w:rPr>
                <w:rFonts w:ascii="Times New Roman" w:cs="Times New Roman" w:eastAsia="Times New Roman" w:hAnsi="Times New Roman"/>
                <w:sz w:val="14"/>
                <w:szCs w:val="14"/>
                <w:color w:val="auto"/>
                <w:w w:val="99"/>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4"/>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9</w:t>
            </w:r>
          </w:p>
        </w:tc>
        <w:tc>
          <w:tcPr>
            <w:tcW w:w="220" w:type="dxa"/>
            <w:vAlign w:val="bottom"/>
          </w:tcPr>
          <w:p>
            <w:pPr>
              <w:spacing w:after="0"/>
              <w:rPr>
                <w:sz w:val="12"/>
                <w:szCs w:val="12"/>
                <w:color w:val="auto"/>
              </w:rPr>
            </w:pPr>
          </w:p>
        </w:tc>
        <w:tc>
          <w:tcPr>
            <w:tcW w:w="780" w:type="dxa"/>
            <w:vAlign w:val="bottom"/>
            <w:gridSpan w:val="3"/>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(1,319)</w:t>
            </w:r>
          </w:p>
        </w:tc>
        <w:tc>
          <w:tcPr>
            <w:tcW w:w="220" w:type="dxa"/>
            <w:vAlign w:val="bottom"/>
          </w:tcPr>
          <w:p>
            <w:pPr>
              <w:spacing w:after="0"/>
              <w:rPr>
                <w:sz w:val="12"/>
                <w:szCs w:val="12"/>
                <w:color w:val="auto"/>
              </w:rPr>
            </w:pPr>
          </w:p>
        </w:tc>
        <w:tc>
          <w:tcPr>
            <w:tcW w:w="68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(1,319)</w:t>
            </w:r>
          </w:p>
        </w:tc>
        <w:tc>
          <w:tcPr>
            <w:tcW w:w="0" w:type="dxa"/>
            <w:vAlign w:val="bottom"/>
          </w:tcPr>
          <w:p>
            <w:pPr>
              <w:spacing w:after="0"/>
              <w:rPr>
                <w:sz w:val="1"/>
                <w:szCs w:val="1"/>
                <w:color w:val="auto"/>
              </w:rPr>
            </w:pPr>
          </w:p>
        </w:tc>
      </w:tr>
      <w:tr>
        <w:trPr>
          <w:trHeight w:val="148"/>
        </w:trPr>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4"/>
            <w:vMerge w:val="continue"/>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gridSpan w:val="3"/>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680" w:type="dxa"/>
            <w:vAlign w:val="bottom"/>
            <w:gridSpan w:val="3"/>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9</w:t>
            </w:r>
          </w:p>
        </w:tc>
        <w:tc>
          <w:tcPr>
            <w:tcW w:w="0" w:type="dxa"/>
            <w:vAlign w:val="bottom"/>
          </w:tcPr>
          <w:p>
            <w:pPr>
              <w:spacing w:after="0"/>
              <w:rPr>
                <w:sz w:val="1"/>
                <w:szCs w:val="1"/>
                <w:color w:val="auto"/>
              </w:rPr>
            </w:pPr>
          </w:p>
        </w:tc>
      </w:tr>
      <w:tr>
        <w:trPr>
          <w:trHeight w:val="149"/>
        </w:trPr>
        <w:tc>
          <w:tcPr>
            <w:tcW w:w="740" w:type="dxa"/>
            <w:vAlign w:val="bottom"/>
            <w:gridSpan w:val="6"/>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40,000</w:t>
            </w:r>
          </w:p>
        </w:tc>
        <w:tc>
          <w:tcPr>
            <w:tcW w:w="80" w:type="dxa"/>
            <w:vAlign w:val="bottom"/>
          </w:tcPr>
          <w:p>
            <w:pPr>
              <w:spacing w:after="0"/>
              <w:rPr>
                <w:sz w:val="12"/>
                <w:szCs w:val="12"/>
                <w:color w:val="auto"/>
              </w:rPr>
            </w:pPr>
          </w:p>
        </w:tc>
        <w:tc>
          <w:tcPr>
            <w:tcW w:w="440" w:type="dxa"/>
            <w:vAlign w:val="bottom"/>
            <w:gridSpan w:val="2"/>
          </w:tcPr>
          <w:p>
            <w:pPr>
              <w:ind w:left="28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gridSpan w:val="3"/>
          </w:tcPr>
          <w:p>
            <w:pPr>
              <w:ind w:lef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780" w:type="dxa"/>
            <w:vAlign w:val="bottom"/>
            <w:gridSpan w:val="3"/>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88"/>
        </w:trPr>
        <w:tc>
          <w:tcPr>
            <w:tcW w:w="700" w:type="dxa"/>
            <w:vAlign w:val="bottom"/>
            <w:gridSpan w:val="5"/>
          </w:tcPr>
          <w:p>
            <w:pPr>
              <w:jc w:val="right"/>
              <w:ind w:right="20"/>
              <w:spacing w:after="0"/>
              <w:rPr>
                <w:sz w:val="20"/>
                <w:szCs w:val="20"/>
                <w:color w:val="auto"/>
              </w:rPr>
            </w:pPr>
            <w:r>
              <w:rPr>
                <w:rFonts w:ascii="Times New Roman" w:cs="Times New Roman" w:eastAsia="Times New Roman" w:hAnsi="Times New Roman"/>
                <w:sz w:val="14"/>
                <w:szCs w:val="14"/>
                <w:color w:val="auto"/>
              </w:rPr>
              <w:t>4,000,000</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w w:val="99"/>
              </w:rPr>
              <w:t>—</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gridSpan w:val="3"/>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8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257"/>
        </w:trPr>
        <w:tc>
          <w:tcPr>
            <w:tcW w:w="740" w:type="dxa"/>
            <w:vAlign w:val="bottom"/>
            <w:gridSpan w:val="6"/>
          </w:tcPr>
          <w:p>
            <w:pPr>
              <w:jc w:val="right"/>
              <w:ind w:right="60"/>
              <w:spacing w:after="0"/>
              <w:rPr>
                <w:sz w:val="20"/>
                <w:szCs w:val="20"/>
                <w:color w:val="auto"/>
              </w:rPr>
            </w:pPr>
            <w:r>
              <w:rPr>
                <w:rFonts w:ascii="Times New Roman" w:cs="Times New Roman" w:eastAsia="Times New Roman" w:hAnsi="Times New Roman"/>
                <w:sz w:val="14"/>
                <w:szCs w:val="14"/>
                <w:color w:val="auto"/>
              </w:rPr>
              <w:t>749,999</w:t>
            </w:r>
          </w:p>
        </w:tc>
        <w:tc>
          <w:tcPr>
            <w:tcW w:w="80" w:type="dxa"/>
            <w:vAlign w:val="bottom"/>
          </w:tcPr>
          <w:p>
            <w:pPr>
              <w:spacing w:after="0"/>
              <w:rPr>
                <w:sz w:val="22"/>
                <w:szCs w:val="22"/>
                <w:color w:val="auto"/>
              </w:rPr>
            </w:pPr>
          </w:p>
        </w:tc>
        <w:tc>
          <w:tcPr>
            <w:tcW w:w="44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w w:val="99"/>
              </w:rPr>
              <w:t>—</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60" w:type="dxa"/>
            <w:vAlign w:val="bottom"/>
            <w:gridSpan w:val="3"/>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2"/>
                <w:szCs w:val="22"/>
                <w:color w:val="auto"/>
              </w:rPr>
            </w:pPr>
          </w:p>
        </w:tc>
        <w:tc>
          <w:tcPr>
            <w:tcW w:w="78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71"/>
        </w:trPr>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60" w:type="dxa"/>
            <w:vAlign w:val="bottom"/>
            <w:gridSpan w:val="4"/>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44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w w:val="99"/>
              </w:rPr>
              <w:t>—</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gridSpan w:val="3"/>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78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33"/>
        </w:trPr>
        <w:tc>
          <w:tcPr>
            <w:tcW w:w="680" w:type="dxa"/>
            <w:vAlign w:val="bottom"/>
            <w:tcBorders>
              <w:top w:val="single" w:sz="8" w:color="auto"/>
            </w:tcBorders>
            <w:gridSpan w:val="4"/>
          </w:tcPr>
          <w:p>
            <w:pPr>
              <w:jc w:val="right"/>
              <w:spacing w:after="0" w:line="133" w:lineRule="exact"/>
              <w:rPr>
                <w:sz w:val="20"/>
                <w:szCs w:val="20"/>
                <w:color w:val="auto"/>
              </w:rPr>
            </w:pPr>
            <w:r>
              <w:rPr>
                <w:rFonts w:ascii="Times New Roman" w:cs="Times New Roman" w:eastAsia="Times New Roman" w:hAnsi="Times New Roman"/>
                <w:sz w:val="14"/>
                <w:szCs w:val="14"/>
                <w:color w:val="auto"/>
              </w:rPr>
              <w:t>15,441,387</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Borders>
              <w:top w:val="single" w:sz="8" w:color="auto"/>
            </w:tcBorders>
          </w:tcPr>
          <w:p>
            <w:pPr>
              <w:jc w:val="right"/>
              <w:ind w:right="191"/>
              <w:spacing w:after="0"/>
              <w:rPr>
                <w:sz w:val="20"/>
                <w:szCs w:val="20"/>
                <w:color w:val="auto"/>
              </w:rPr>
            </w:pPr>
            <w:r>
              <w:rPr>
                <w:rFonts w:ascii="Times New Roman" w:cs="Times New Roman" w:eastAsia="Times New Roman" w:hAnsi="Times New Roman"/>
                <w:sz w:val="11"/>
                <w:szCs w:val="11"/>
                <w:color w:val="auto"/>
                <w:w w:val="71"/>
              </w:rPr>
              <w:t>$</w:t>
            </w:r>
          </w:p>
        </w:tc>
        <w:tc>
          <w:tcPr>
            <w:tcW w:w="12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1</w:t>
            </w:r>
          </w:p>
        </w:tc>
        <w:tc>
          <w:tcPr>
            <w:tcW w:w="120" w:type="dxa"/>
            <w:vAlign w:val="bottom"/>
          </w:tcPr>
          <w:p>
            <w:pPr>
              <w:spacing w:after="0"/>
              <w:rPr>
                <w:sz w:val="11"/>
                <w:szCs w:val="11"/>
                <w:color w:val="auto"/>
              </w:rPr>
            </w:pPr>
          </w:p>
        </w:tc>
        <w:tc>
          <w:tcPr>
            <w:tcW w:w="100" w:type="dxa"/>
            <w:vAlign w:val="bottom"/>
            <w:tcBorders>
              <w:top w:val="single" w:sz="8" w:color="auto"/>
            </w:tcBorders>
          </w:tcPr>
          <w:p>
            <w:pPr>
              <w:spacing w:after="0" w:line="133"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top w:val="single" w:sz="8" w:color="auto"/>
            </w:tcBorders>
            <w:gridSpan w:val="3"/>
          </w:tcPr>
          <w:p>
            <w:pPr>
              <w:jc w:val="right"/>
              <w:spacing w:after="0" w:line="133" w:lineRule="exact"/>
              <w:rPr>
                <w:sz w:val="20"/>
                <w:szCs w:val="20"/>
                <w:color w:val="auto"/>
              </w:rPr>
            </w:pPr>
            <w:r>
              <w:rPr>
                <w:rFonts w:ascii="Times New Roman" w:cs="Times New Roman" w:eastAsia="Times New Roman" w:hAnsi="Times New Roman"/>
                <w:sz w:val="14"/>
                <w:szCs w:val="14"/>
                <w:color w:val="auto"/>
              </w:rPr>
              <w:t>9</w:t>
            </w:r>
          </w:p>
        </w:tc>
        <w:tc>
          <w:tcPr>
            <w:tcW w:w="120" w:type="dxa"/>
            <w:vAlign w:val="bottom"/>
          </w:tcPr>
          <w:p>
            <w:pPr>
              <w:spacing w:after="0"/>
              <w:rPr>
                <w:sz w:val="11"/>
                <w:szCs w:val="11"/>
                <w:color w:val="auto"/>
              </w:rPr>
            </w:pPr>
          </w:p>
        </w:tc>
        <w:tc>
          <w:tcPr>
            <w:tcW w:w="220" w:type="dxa"/>
            <w:vAlign w:val="bottom"/>
            <w:tcBorders>
              <w:top w:val="single" w:sz="8" w:color="auto"/>
            </w:tcBorders>
          </w:tcPr>
          <w:p>
            <w:pPr>
              <w:spacing w:after="0" w:line="133"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top w:val="single" w:sz="8" w:color="auto"/>
            </w:tcBorders>
            <w:gridSpan w:val="2"/>
          </w:tcPr>
          <w:p>
            <w:pPr>
              <w:jc w:val="right"/>
              <w:spacing w:after="0" w:line="133" w:lineRule="exact"/>
              <w:rPr>
                <w:sz w:val="20"/>
                <w:szCs w:val="20"/>
                <w:color w:val="auto"/>
              </w:rPr>
            </w:pPr>
            <w:r>
              <w:rPr>
                <w:rFonts w:ascii="Times New Roman" w:cs="Times New Roman" w:eastAsia="Times New Roman" w:hAnsi="Times New Roman"/>
                <w:sz w:val="14"/>
                <w:szCs w:val="14"/>
                <w:color w:val="auto"/>
              </w:rPr>
              <w:t>(1,364)</w:t>
            </w:r>
          </w:p>
        </w:tc>
        <w:tc>
          <w:tcPr>
            <w:tcW w:w="160" w:type="dxa"/>
            <w:vAlign w:val="bottom"/>
          </w:tcPr>
          <w:p>
            <w:pPr>
              <w:spacing w:after="0"/>
              <w:rPr>
                <w:sz w:val="11"/>
                <w:szCs w:val="11"/>
                <w:color w:val="auto"/>
              </w:rPr>
            </w:pPr>
          </w:p>
        </w:tc>
        <w:tc>
          <w:tcPr>
            <w:tcW w:w="220" w:type="dxa"/>
            <w:vAlign w:val="bottom"/>
            <w:tcBorders>
              <w:top w:val="single" w:sz="8" w:color="auto"/>
            </w:tcBorders>
          </w:tcPr>
          <w:p>
            <w:pPr>
              <w:spacing w:after="0" w:line="133"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tcBorders>
            <w:gridSpan w:val="2"/>
          </w:tcPr>
          <w:p>
            <w:pPr>
              <w:jc w:val="right"/>
              <w:spacing w:after="0" w:line="133" w:lineRule="exact"/>
              <w:rPr>
                <w:sz w:val="20"/>
                <w:szCs w:val="20"/>
                <w:color w:val="auto"/>
              </w:rPr>
            </w:pPr>
            <w:r>
              <w:rPr>
                <w:rFonts w:ascii="Times New Roman" w:cs="Times New Roman" w:eastAsia="Times New Roman" w:hAnsi="Times New Roman"/>
                <w:sz w:val="14"/>
                <w:szCs w:val="14"/>
                <w:color w:val="auto"/>
              </w:rPr>
              <w:t>(1,354)</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gridSpan w:val="4"/>
          </w:tcPr>
          <w:p>
            <w:pPr>
              <w:ind w:lef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440" w:type="dxa"/>
            <w:vAlign w:val="bottom"/>
            <w:gridSpan w:val="2"/>
          </w:tcPr>
          <w:p>
            <w:pPr>
              <w:ind w:left="28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gridSpan w:val="3"/>
          </w:tcPr>
          <w:p>
            <w:pPr>
              <w:ind w:lef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780" w:type="dxa"/>
            <w:vAlign w:val="bottom"/>
            <w:gridSpan w:val="3"/>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(4,670)</w:t>
            </w:r>
          </w:p>
        </w:tc>
        <w:tc>
          <w:tcPr>
            <w:tcW w:w="220" w:type="dxa"/>
            <w:vAlign w:val="bottom"/>
          </w:tcPr>
          <w:p>
            <w:pPr>
              <w:spacing w:after="0"/>
              <w:rPr>
                <w:sz w:val="12"/>
                <w:szCs w:val="12"/>
                <w:color w:val="auto"/>
              </w:rPr>
            </w:pPr>
          </w:p>
        </w:tc>
        <w:tc>
          <w:tcPr>
            <w:tcW w:w="68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(4,670)</w:t>
            </w:r>
          </w:p>
        </w:tc>
        <w:tc>
          <w:tcPr>
            <w:tcW w:w="0" w:type="dxa"/>
            <w:vAlign w:val="bottom"/>
          </w:tcPr>
          <w:p>
            <w:pPr>
              <w:spacing w:after="0"/>
              <w:rPr>
                <w:sz w:val="1"/>
                <w:szCs w:val="1"/>
                <w:color w:val="auto"/>
              </w:rPr>
            </w:pPr>
          </w:p>
        </w:tc>
      </w:tr>
      <w:tr>
        <w:trPr>
          <w:trHeight w:val="148"/>
        </w:trPr>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gridSpan w:val="4"/>
          </w:tcPr>
          <w:p>
            <w:pPr>
              <w:ind w:lef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440" w:type="dxa"/>
            <w:vAlign w:val="bottom"/>
            <w:gridSpan w:val="2"/>
          </w:tcPr>
          <w:p>
            <w:pPr>
              <w:ind w:left="28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w w:val="71"/>
              </w:rPr>
              <w:t>1</w:t>
            </w:r>
          </w:p>
        </w:tc>
        <w:tc>
          <w:tcPr>
            <w:tcW w:w="100" w:type="dxa"/>
            <w:vAlign w:val="bottom"/>
          </w:tcPr>
          <w:p>
            <w:pPr>
              <w:spacing w:after="0"/>
              <w:rPr>
                <w:sz w:val="12"/>
                <w:szCs w:val="12"/>
                <w:color w:val="auto"/>
              </w:rPr>
            </w:pPr>
          </w:p>
        </w:tc>
        <w:tc>
          <w:tcPr>
            <w:tcW w:w="680" w:type="dxa"/>
            <w:vAlign w:val="bottom"/>
            <w:gridSpan w:val="4"/>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18</w:t>
            </w:r>
          </w:p>
        </w:tc>
        <w:tc>
          <w:tcPr>
            <w:tcW w:w="220" w:type="dxa"/>
            <w:vAlign w:val="bottom"/>
          </w:tcPr>
          <w:p>
            <w:pPr>
              <w:spacing w:after="0"/>
              <w:rPr>
                <w:sz w:val="12"/>
                <w:szCs w:val="12"/>
                <w:color w:val="auto"/>
              </w:rPr>
            </w:pPr>
          </w:p>
        </w:tc>
        <w:tc>
          <w:tcPr>
            <w:tcW w:w="780" w:type="dxa"/>
            <w:vAlign w:val="bottom"/>
            <w:gridSpan w:val="3"/>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680" w:type="dxa"/>
            <w:vAlign w:val="bottom"/>
            <w:gridSpan w:val="3"/>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18</w:t>
            </w:r>
          </w:p>
        </w:tc>
        <w:tc>
          <w:tcPr>
            <w:tcW w:w="0" w:type="dxa"/>
            <w:vAlign w:val="bottom"/>
          </w:tcPr>
          <w:p>
            <w:pPr>
              <w:spacing w:after="0"/>
              <w:rPr>
                <w:sz w:val="1"/>
                <w:szCs w:val="1"/>
                <w:color w:val="auto"/>
              </w:rPr>
            </w:pPr>
          </w:p>
        </w:tc>
      </w:tr>
      <w:tr>
        <w:trPr>
          <w:trHeight w:val="188"/>
        </w:trPr>
        <w:tc>
          <w:tcPr>
            <w:tcW w:w="700" w:type="dxa"/>
            <w:vAlign w:val="bottom"/>
            <w:gridSpan w:val="5"/>
          </w:tcPr>
          <w:p>
            <w:pPr>
              <w:jc w:val="right"/>
              <w:ind w:right="20"/>
              <w:spacing w:after="0"/>
              <w:rPr>
                <w:sz w:val="20"/>
                <w:szCs w:val="20"/>
                <w:color w:val="auto"/>
              </w:rPr>
            </w:pPr>
            <w:r>
              <w:rPr>
                <w:rFonts w:ascii="Times New Roman" w:cs="Times New Roman" w:eastAsia="Times New Roman" w:hAnsi="Times New Roman"/>
                <w:sz w:val="14"/>
                <w:szCs w:val="14"/>
                <w:color w:val="auto"/>
              </w:rPr>
              <w:t>3,666,667</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gridSpan w:val="3"/>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8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68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257"/>
        </w:trPr>
        <w:tc>
          <w:tcPr>
            <w:tcW w:w="740" w:type="dxa"/>
            <w:vAlign w:val="bottom"/>
            <w:gridSpan w:val="6"/>
          </w:tcPr>
          <w:p>
            <w:pPr>
              <w:jc w:val="right"/>
              <w:ind w:right="60"/>
              <w:spacing w:after="0"/>
              <w:rPr>
                <w:sz w:val="20"/>
                <w:szCs w:val="20"/>
                <w:color w:val="auto"/>
              </w:rPr>
            </w:pPr>
            <w:r>
              <w:rPr>
                <w:rFonts w:ascii="Times New Roman" w:cs="Times New Roman" w:eastAsia="Times New Roman" w:hAnsi="Times New Roman"/>
                <w:sz w:val="14"/>
                <w:szCs w:val="14"/>
                <w:color w:val="auto"/>
              </w:rPr>
              <w:t>550,001</w:t>
            </w:r>
          </w:p>
        </w:tc>
        <w:tc>
          <w:tcPr>
            <w:tcW w:w="80" w:type="dxa"/>
            <w:vAlign w:val="bottom"/>
          </w:tcPr>
          <w:p>
            <w:pPr>
              <w:spacing w:after="0"/>
              <w:rPr>
                <w:sz w:val="22"/>
                <w:szCs w:val="22"/>
                <w:color w:val="auto"/>
              </w:rPr>
            </w:pPr>
          </w:p>
        </w:tc>
        <w:tc>
          <w:tcPr>
            <w:tcW w:w="44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w w:val="99"/>
              </w:rPr>
              <w:t>—</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60" w:type="dxa"/>
            <w:vAlign w:val="bottom"/>
            <w:gridSpan w:val="3"/>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2"/>
                <w:szCs w:val="22"/>
                <w:color w:val="auto"/>
              </w:rPr>
            </w:pPr>
          </w:p>
        </w:tc>
        <w:tc>
          <w:tcPr>
            <w:tcW w:w="78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48"/>
        </w:trPr>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gridSpan w:val="4"/>
          </w:tcPr>
          <w:p>
            <w:pPr>
              <w:ind w:lef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440" w:type="dxa"/>
            <w:vAlign w:val="bottom"/>
            <w:gridSpan w:val="2"/>
          </w:tcPr>
          <w:p>
            <w:pPr>
              <w:ind w:left="28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gridSpan w:val="3"/>
          </w:tcPr>
          <w:p>
            <w:pPr>
              <w:ind w:lef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780" w:type="dxa"/>
            <w:vAlign w:val="bottom"/>
            <w:gridSpan w:val="3"/>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71"/>
        </w:trPr>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60" w:type="dxa"/>
            <w:vAlign w:val="bottom"/>
            <w:gridSpan w:val="4"/>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44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w w:val="99"/>
              </w:rPr>
              <w:t>—</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gridSpan w:val="3"/>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78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33"/>
        </w:trPr>
        <w:tc>
          <w:tcPr>
            <w:tcW w:w="680" w:type="dxa"/>
            <w:vAlign w:val="bottom"/>
            <w:tcBorders>
              <w:top w:val="single" w:sz="8" w:color="auto"/>
            </w:tcBorders>
            <w:gridSpan w:val="4"/>
          </w:tcPr>
          <w:p>
            <w:pPr>
              <w:jc w:val="right"/>
              <w:spacing w:after="0" w:line="133" w:lineRule="exact"/>
              <w:rPr>
                <w:sz w:val="20"/>
                <w:szCs w:val="20"/>
                <w:color w:val="auto"/>
              </w:rPr>
            </w:pPr>
            <w:r>
              <w:rPr>
                <w:rFonts w:ascii="Times New Roman" w:cs="Times New Roman" w:eastAsia="Times New Roman" w:hAnsi="Times New Roman"/>
                <w:sz w:val="14"/>
                <w:szCs w:val="14"/>
                <w:color w:val="auto"/>
              </w:rPr>
              <w:t>19,658,055</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Borders>
              <w:top w:val="single" w:sz="8" w:color="auto"/>
            </w:tcBorders>
          </w:tcPr>
          <w:p>
            <w:pPr>
              <w:jc w:val="right"/>
              <w:ind w:right="191"/>
              <w:spacing w:after="0"/>
              <w:rPr>
                <w:sz w:val="20"/>
                <w:szCs w:val="20"/>
                <w:color w:val="auto"/>
              </w:rPr>
            </w:pPr>
            <w:r>
              <w:rPr>
                <w:rFonts w:ascii="Times New Roman" w:cs="Times New Roman" w:eastAsia="Times New Roman" w:hAnsi="Times New Roman"/>
                <w:sz w:val="11"/>
                <w:szCs w:val="11"/>
                <w:color w:val="auto"/>
                <w:w w:val="71"/>
              </w:rPr>
              <w:t>$</w:t>
            </w:r>
          </w:p>
        </w:tc>
        <w:tc>
          <w:tcPr>
            <w:tcW w:w="12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2</w:t>
            </w:r>
          </w:p>
        </w:tc>
        <w:tc>
          <w:tcPr>
            <w:tcW w:w="120" w:type="dxa"/>
            <w:vAlign w:val="bottom"/>
          </w:tcPr>
          <w:p>
            <w:pPr>
              <w:spacing w:after="0"/>
              <w:rPr>
                <w:sz w:val="11"/>
                <w:szCs w:val="11"/>
                <w:color w:val="auto"/>
              </w:rPr>
            </w:pPr>
          </w:p>
        </w:tc>
        <w:tc>
          <w:tcPr>
            <w:tcW w:w="100" w:type="dxa"/>
            <w:vAlign w:val="bottom"/>
            <w:tcBorders>
              <w:top w:val="single" w:sz="8" w:color="auto"/>
            </w:tcBorders>
          </w:tcPr>
          <w:p>
            <w:pPr>
              <w:spacing w:after="0" w:line="133"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top w:val="single" w:sz="8" w:color="auto"/>
            </w:tcBorders>
            <w:gridSpan w:val="3"/>
          </w:tcPr>
          <w:p>
            <w:pPr>
              <w:jc w:val="right"/>
              <w:spacing w:after="0" w:line="133" w:lineRule="exact"/>
              <w:rPr>
                <w:sz w:val="20"/>
                <w:szCs w:val="20"/>
                <w:color w:val="auto"/>
              </w:rPr>
            </w:pPr>
            <w:r>
              <w:rPr>
                <w:rFonts w:ascii="Times New Roman" w:cs="Times New Roman" w:eastAsia="Times New Roman" w:hAnsi="Times New Roman"/>
                <w:sz w:val="14"/>
                <w:szCs w:val="14"/>
                <w:color w:val="auto"/>
              </w:rPr>
              <w:t>27</w:t>
            </w:r>
          </w:p>
        </w:tc>
        <w:tc>
          <w:tcPr>
            <w:tcW w:w="120" w:type="dxa"/>
            <w:vAlign w:val="bottom"/>
          </w:tcPr>
          <w:p>
            <w:pPr>
              <w:spacing w:after="0"/>
              <w:rPr>
                <w:sz w:val="11"/>
                <w:szCs w:val="11"/>
                <w:color w:val="auto"/>
              </w:rPr>
            </w:pPr>
          </w:p>
        </w:tc>
        <w:tc>
          <w:tcPr>
            <w:tcW w:w="220" w:type="dxa"/>
            <w:vAlign w:val="bottom"/>
            <w:tcBorders>
              <w:top w:val="single" w:sz="8" w:color="auto"/>
            </w:tcBorders>
          </w:tcPr>
          <w:p>
            <w:pPr>
              <w:spacing w:after="0" w:line="133"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top w:val="single" w:sz="8" w:color="auto"/>
            </w:tcBorders>
            <w:gridSpan w:val="2"/>
          </w:tcPr>
          <w:p>
            <w:pPr>
              <w:jc w:val="right"/>
              <w:spacing w:after="0" w:line="133" w:lineRule="exact"/>
              <w:rPr>
                <w:sz w:val="20"/>
                <w:szCs w:val="20"/>
                <w:color w:val="auto"/>
              </w:rPr>
            </w:pPr>
            <w:r>
              <w:rPr>
                <w:rFonts w:ascii="Times New Roman" w:cs="Times New Roman" w:eastAsia="Times New Roman" w:hAnsi="Times New Roman"/>
                <w:sz w:val="14"/>
                <w:szCs w:val="14"/>
                <w:color w:val="auto"/>
              </w:rPr>
              <w:t>(6,034)</w:t>
            </w:r>
          </w:p>
        </w:tc>
        <w:tc>
          <w:tcPr>
            <w:tcW w:w="160" w:type="dxa"/>
            <w:vAlign w:val="bottom"/>
          </w:tcPr>
          <w:p>
            <w:pPr>
              <w:spacing w:after="0"/>
              <w:rPr>
                <w:sz w:val="11"/>
                <w:szCs w:val="11"/>
                <w:color w:val="auto"/>
              </w:rPr>
            </w:pPr>
          </w:p>
        </w:tc>
        <w:tc>
          <w:tcPr>
            <w:tcW w:w="220" w:type="dxa"/>
            <w:vAlign w:val="bottom"/>
            <w:tcBorders>
              <w:top w:val="single" w:sz="8" w:color="auto"/>
            </w:tcBorders>
          </w:tcPr>
          <w:p>
            <w:pPr>
              <w:spacing w:after="0" w:line="133"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tcBorders>
            <w:gridSpan w:val="2"/>
          </w:tcPr>
          <w:p>
            <w:pPr>
              <w:jc w:val="right"/>
              <w:spacing w:after="0" w:line="133" w:lineRule="exact"/>
              <w:rPr>
                <w:sz w:val="20"/>
                <w:szCs w:val="20"/>
                <w:color w:val="auto"/>
              </w:rPr>
            </w:pPr>
            <w:r>
              <w:rPr>
                <w:rFonts w:ascii="Times New Roman" w:cs="Times New Roman" w:eastAsia="Times New Roman" w:hAnsi="Times New Roman"/>
                <w:sz w:val="14"/>
                <w:szCs w:val="14"/>
                <w:color w:val="auto"/>
              </w:rPr>
              <w:t>(6,005)</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700" w:type="dxa"/>
            <w:vAlign w:val="bottom"/>
            <w:gridSpan w:val="5"/>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15,441,387</w:t>
            </w:r>
          </w:p>
        </w:tc>
        <w:tc>
          <w:tcPr>
            <w:tcW w:w="40" w:type="dxa"/>
            <w:vAlign w:val="bottom"/>
          </w:tcPr>
          <w:p>
            <w:pPr>
              <w:spacing w:after="0"/>
              <w:rPr>
                <w:sz w:val="12"/>
                <w:szCs w:val="12"/>
                <w:color w:val="auto"/>
              </w:rPr>
            </w:pPr>
          </w:p>
        </w:tc>
        <w:tc>
          <w:tcPr>
            <w:tcW w:w="400" w:type="dxa"/>
            <w:vAlign w:val="bottom"/>
            <w:gridSpan w:val="2"/>
          </w:tcPr>
          <w:p>
            <w:pPr>
              <w:jc w:val="right"/>
              <w:ind w:right="191"/>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w w:val="71"/>
              </w:rPr>
              <w:t>1</w:t>
            </w:r>
          </w:p>
        </w:tc>
        <w:tc>
          <w:tcPr>
            <w:tcW w:w="1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4"/>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9</w:t>
            </w:r>
          </w:p>
        </w:tc>
        <w:tc>
          <w:tcPr>
            <w:tcW w:w="2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3"/>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(1,364)</w:t>
            </w:r>
          </w:p>
        </w:tc>
        <w:tc>
          <w:tcPr>
            <w:tcW w:w="2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(1,354)</w:t>
            </w:r>
          </w:p>
        </w:tc>
        <w:tc>
          <w:tcPr>
            <w:tcW w:w="0" w:type="dxa"/>
            <w:vAlign w:val="bottom"/>
          </w:tcPr>
          <w:p>
            <w:pPr>
              <w:spacing w:after="0"/>
              <w:rPr>
                <w:sz w:val="1"/>
                <w:szCs w:val="1"/>
                <w:color w:val="auto"/>
              </w:rPr>
            </w:pPr>
          </w:p>
        </w:tc>
      </w:tr>
      <w:tr>
        <w:trPr>
          <w:trHeight w:val="148"/>
        </w:trPr>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gridSpan w:val="4"/>
          </w:tcPr>
          <w:p>
            <w:pPr>
              <w:ind w:lef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440" w:type="dxa"/>
            <w:vAlign w:val="bottom"/>
            <w:gridSpan w:val="2"/>
          </w:tcPr>
          <w:p>
            <w:pPr>
              <w:ind w:left="28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gridSpan w:val="3"/>
          </w:tcPr>
          <w:p>
            <w:pPr>
              <w:ind w:lef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780" w:type="dxa"/>
            <w:vAlign w:val="bottom"/>
            <w:gridSpan w:val="3"/>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(2,576)</w:t>
            </w:r>
          </w:p>
        </w:tc>
        <w:tc>
          <w:tcPr>
            <w:tcW w:w="220" w:type="dxa"/>
            <w:vAlign w:val="bottom"/>
          </w:tcPr>
          <w:p>
            <w:pPr>
              <w:spacing w:after="0"/>
              <w:rPr>
                <w:sz w:val="12"/>
                <w:szCs w:val="12"/>
                <w:color w:val="auto"/>
              </w:rPr>
            </w:pPr>
          </w:p>
        </w:tc>
        <w:tc>
          <w:tcPr>
            <w:tcW w:w="68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(2,576)</w:t>
            </w:r>
          </w:p>
        </w:tc>
        <w:tc>
          <w:tcPr>
            <w:tcW w:w="0" w:type="dxa"/>
            <w:vAlign w:val="bottom"/>
          </w:tcPr>
          <w:p>
            <w:pPr>
              <w:spacing w:after="0"/>
              <w:rPr>
                <w:sz w:val="1"/>
                <w:szCs w:val="1"/>
                <w:color w:val="auto"/>
              </w:rPr>
            </w:pPr>
          </w:p>
        </w:tc>
      </w:tr>
      <w:tr>
        <w:trPr>
          <w:trHeight w:val="148"/>
        </w:trPr>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gridSpan w:val="4"/>
          </w:tcPr>
          <w:p>
            <w:pPr>
              <w:ind w:lef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440" w:type="dxa"/>
            <w:vAlign w:val="bottom"/>
            <w:gridSpan w:val="2"/>
          </w:tcPr>
          <w:p>
            <w:pPr>
              <w:ind w:left="28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w w:val="71"/>
              </w:rPr>
              <w:t>1</w:t>
            </w:r>
          </w:p>
        </w:tc>
        <w:tc>
          <w:tcPr>
            <w:tcW w:w="100" w:type="dxa"/>
            <w:vAlign w:val="bottom"/>
          </w:tcPr>
          <w:p>
            <w:pPr>
              <w:spacing w:after="0"/>
              <w:rPr>
                <w:sz w:val="12"/>
                <w:szCs w:val="12"/>
                <w:color w:val="auto"/>
              </w:rPr>
            </w:pPr>
          </w:p>
        </w:tc>
        <w:tc>
          <w:tcPr>
            <w:tcW w:w="680" w:type="dxa"/>
            <w:vAlign w:val="bottom"/>
            <w:gridSpan w:val="4"/>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9</w:t>
            </w:r>
          </w:p>
        </w:tc>
        <w:tc>
          <w:tcPr>
            <w:tcW w:w="220" w:type="dxa"/>
            <w:vAlign w:val="bottom"/>
          </w:tcPr>
          <w:p>
            <w:pPr>
              <w:spacing w:after="0"/>
              <w:rPr>
                <w:sz w:val="12"/>
                <w:szCs w:val="12"/>
                <w:color w:val="auto"/>
              </w:rPr>
            </w:pPr>
          </w:p>
        </w:tc>
        <w:tc>
          <w:tcPr>
            <w:tcW w:w="780" w:type="dxa"/>
            <w:vAlign w:val="bottom"/>
            <w:gridSpan w:val="3"/>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680" w:type="dxa"/>
            <w:vAlign w:val="bottom"/>
            <w:gridSpan w:val="3"/>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9</w:t>
            </w:r>
          </w:p>
        </w:tc>
        <w:tc>
          <w:tcPr>
            <w:tcW w:w="0" w:type="dxa"/>
            <w:vAlign w:val="bottom"/>
          </w:tcPr>
          <w:p>
            <w:pPr>
              <w:spacing w:after="0"/>
              <w:rPr>
                <w:sz w:val="1"/>
                <w:szCs w:val="1"/>
                <w:color w:val="auto"/>
              </w:rPr>
            </w:pPr>
          </w:p>
        </w:tc>
      </w:tr>
      <w:tr>
        <w:trPr>
          <w:trHeight w:val="188"/>
        </w:trPr>
        <w:tc>
          <w:tcPr>
            <w:tcW w:w="700" w:type="dxa"/>
            <w:vAlign w:val="bottom"/>
            <w:gridSpan w:val="5"/>
          </w:tcPr>
          <w:p>
            <w:pPr>
              <w:jc w:val="right"/>
              <w:ind w:right="20"/>
              <w:spacing w:after="0"/>
              <w:rPr>
                <w:sz w:val="20"/>
                <w:szCs w:val="20"/>
                <w:color w:val="auto"/>
              </w:rPr>
            </w:pPr>
            <w:r>
              <w:rPr>
                <w:rFonts w:ascii="Times New Roman" w:cs="Times New Roman" w:eastAsia="Times New Roman" w:hAnsi="Times New Roman"/>
                <w:sz w:val="14"/>
                <w:szCs w:val="14"/>
                <w:color w:val="auto"/>
              </w:rPr>
              <w:t>2,000,000</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gridSpan w:val="3"/>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8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68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280"/>
        </w:trPr>
        <w:tc>
          <w:tcPr>
            <w:tcW w:w="740" w:type="dxa"/>
            <w:vAlign w:val="bottom"/>
            <w:gridSpan w:val="6"/>
          </w:tcPr>
          <w:p>
            <w:pPr>
              <w:jc w:val="right"/>
              <w:ind w:right="60"/>
              <w:spacing w:after="0"/>
              <w:rPr>
                <w:sz w:val="20"/>
                <w:szCs w:val="20"/>
                <w:color w:val="auto"/>
              </w:rPr>
            </w:pPr>
            <w:r>
              <w:rPr>
                <w:rFonts w:ascii="Times New Roman" w:cs="Times New Roman" w:eastAsia="Times New Roman" w:hAnsi="Times New Roman"/>
                <w:sz w:val="14"/>
                <w:szCs w:val="14"/>
                <w:color w:val="auto"/>
              </w:rPr>
              <w:t>375,001</w:t>
            </w:r>
          </w:p>
        </w:tc>
        <w:tc>
          <w:tcPr>
            <w:tcW w:w="80" w:type="dxa"/>
            <w:vAlign w:val="bottom"/>
          </w:tcPr>
          <w:p>
            <w:pPr>
              <w:spacing w:after="0"/>
              <w:rPr>
                <w:sz w:val="24"/>
                <w:szCs w:val="24"/>
                <w:color w:val="auto"/>
              </w:rPr>
            </w:pPr>
          </w:p>
        </w:tc>
        <w:tc>
          <w:tcPr>
            <w:tcW w:w="44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w w:val="99"/>
              </w:rPr>
              <w:t>—</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gridSpan w:val="3"/>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4"/>
                <w:szCs w:val="24"/>
                <w:color w:val="auto"/>
              </w:rPr>
            </w:pPr>
          </w:p>
        </w:tc>
        <w:tc>
          <w:tcPr>
            <w:tcW w:w="78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33"/>
        </w:trPr>
        <w:tc>
          <w:tcPr>
            <w:tcW w:w="700" w:type="dxa"/>
            <w:vAlign w:val="bottom"/>
            <w:tcBorders>
              <w:top w:val="single" w:sz="8" w:color="auto"/>
            </w:tcBorders>
            <w:gridSpan w:val="5"/>
          </w:tcPr>
          <w:p>
            <w:pPr>
              <w:jc w:val="right"/>
              <w:ind w:right="20"/>
              <w:spacing w:after="0" w:line="133" w:lineRule="exact"/>
              <w:rPr>
                <w:sz w:val="20"/>
                <w:szCs w:val="20"/>
                <w:color w:val="auto"/>
              </w:rPr>
            </w:pPr>
            <w:r>
              <w:rPr>
                <w:rFonts w:ascii="Times New Roman" w:cs="Times New Roman" w:eastAsia="Times New Roman" w:hAnsi="Times New Roman"/>
                <w:sz w:val="14"/>
                <w:szCs w:val="14"/>
                <w:color w:val="auto"/>
              </w:rPr>
              <w:t>17,816,388</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Borders>
              <w:top w:val="single" w:sz="8" w:color="auto"/>
            </w:tcBorders>
          </w:tcPr>
          <w:p>
            <w:pPr>
              <w:jc w:val="right"/>
              <w:ind w:right="191"/>
              <w:spacing w:after="0"/>
              <w:rPr>
                <w:sz w:val="20"/>
                <w:szCs w:val="20"/>
                <w:color w:val="auto"/>
              </w:rPr>
            </w:pPr>
            <w:r>
              <w:rPr>
                <w:rFonts w:ascii="Times New Roman" w:cs="Times New Roman" w:eastAsia="Times New Roman" w:hAnsi="Times New Roman"/>
                <w:sz w:val="11"/>
                <w:szCs w:val="11"/>
                <w:color w:val="auto"/>
                <w:w w:val="71"/>
              </w:rPr>
              <w:t>$</w:t>
            </w:r>
          </w:p>
        </w:tc>
        <w:tc>
          <w:tcPr>
            <w:tcW w:w="12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2</w:t>
            </w:r>
          </w:p>
        </w:tc>
        <w:tc>
          <w:tcPr>
            <w:tcW w:w="120" w:type="dxa"/>
            <w:vAlign w:val="bottom"/>
          </w:tcPr>
          <w:p>
            <w:pPr>
              <w:spacing w:after="0"/>
              <w:rPr>
                <w:sz w:val="11"/>
                <w:szCs w:val="11"/>
                <w:color w:val="auto"/>
              </w:rPr>
            </w:pPr>
          </w:p>
        </w:tc>
        <w:tc>
          <w:tcPr>
            <w:tcW w:w="100" w:type="dxa"/>
            <w:vAlign w:val="bottom"/>
            <w:tcBorders>
              <w:top w:val="single" w:sz="8" w:color="auto"/>
            </w:tcBorders>
          </w:tcPr>
          <w:p>
            <w:pPr>
              <w:spacing w:after="0" w:line="133"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top w:val="single" w:sz="8" w:color="auto"/>
            </w:tcBorders>
            <w:gridSpan w:val="3"/>
          </w:tcPr>
          <w:p>
            <w:pPr>
              <w:jc w:val="right"/>
              <w:spacing w:after="0" w:line="133" w:lineRule="exact"/>
              <w:rPr>
                <w:sz w:val="20"/>
                <w:szCs w:val="20"/>
                <w:color w:val="auto"/>
              </w:rPr>
            </w:pPr>
            <w:r>
              <w:rPr>
                <w:rFonts w:ascii="Times New Roman" w:cs="Times New Roman" w:eastAsia="Times New Roman" w:hAnsi="Times New Roman"/>
                <w:sz w:val="14"/>
                <w:szCs w:val="14"/>
                <w:color w:val="auto"/>
              </w:rPr>
              <w:t>18</w:t>
            </w:r>
          </w:p>
        </w:tc>
        <w:tc>
          <w:tcPr>
            <w:tcW w:w="120" w:type="dxa"/>
            <w:vAlign w:val="bottom"/>
          </w:tcPr>
          <w:p>
            <w:pPr>
              <w:spacing w:after="0"/>
              <w:rPr>
                <w:sz w:val="11"/>
                <w:szCs w:val="11"/>
                <w:color w:val="auto"/>
              </w:rPr>
            </w:pPr>
          </w:p>
        </w:tc>
        <w:tc>
          <w:tcPr>
            <w:tcW w:w="220" w:type="dxa"/>
            <w:vAlign w:val="bottom"/>
            <w:tcBorders>
              <w:top w:val="single" w:sz="8" w:color="auto"/>
            </w:tcBorders>
          </w:tcPr>
          <w:p>
            <w:pPr>
              <w:spacing w:after="0" w:line="133"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top w:val="single" w:sz="8" w:color="auto"/>
            </w:tcBorders>
            <w:gridSpan w:val="2"/>
          </w:tcPr>
          <w:p>
            <w:pPr>
              <w:jc w:val="right"/>
              <w:spacing w:after="0" w:line="133" w:lineRule="exact"/>
              <w:rPr>
                <w:sz w:val="20"/>
                <w:szCs w:val="20"/>
                <w:color w:val="auto"/>
              </w:rPr>
            </w:pPr>
            <w:r>
              <w:rPr>
                <w:rFonts w:ascii="Times New Roman" w:cs="Times New Roman" w:eastAsia="Times New Roman" w:hAnsi="Times New Roman"/>
                <w:sz w:val="14"/>
                <w:szCs w:val="14"/>
                <w:color w:val="auto"/>
              </w:rPr>
              <w:t>(3,940)</w:t>
            </w:r>
          </w:p>
        </w:tc>
        <w:tc>
          <w:tcPr>
            <w:tcW w:w="160" w:type="dxa"/>
            <w:vAlign w:val="bottom"/>
          </w:tcPr>
          <w:p>
            <w:pPr>
              <w:spacing w:after="0"/>
              <w:rPr>
                <w:sz w:val="11"/>
                <w:szCs w:val="11"/>
                <w:color w:val="auto"/>
              </w:rPr>
            </w:pPr>
          </w:p>
        </w:tc>
        <w:tc>
          <w:tcPr>
            <w:tcW w:w="220" w:type="dxa"/>
            <w:vAlign w:val="bottom"/>
            <w:tcBorders>
              <w:top w:val="single" w:sz="8" w:color="auto"/>
            </w:tcBorders>
          </w:tcPr>
          <w:p>
            <w:pPr>
              <w:spacing w:after="0" w:line="133"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tcBorders>
            <w:gridSpan w:val="2"/>
          </w:tcPr>
          <w:p>
            <w:pPr>
              <w:jc w:val="right"/>
              <w:spacing w:after="0" w:line="133" w:lineRule="exact"/>
              <w:rPr>
                <w:sz w:val="20"/>
                <w:szCs w:val="20"/>
                <w:color w:val="auto"/>
              </w:rPr>
            </w:pPr>
            <w:r>
              <w:rPr>
                <w:rFonts w:ascii="Times New Roman" w:cs="Times New Roman" w:eastAsia="Times New Roman" w:hAnsi="Times New Roman"/>
                <w:sz w:val="14"/>
                <w:szCs w:val="14"/>
                <w:color w:val="auto"/>
              </w:rPr>
              <w:t>(3,920)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700" w:type="dxa"/>
            <w:vAlign w:val="bottom"/>
            <w:gridSpan w:val="5"/>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19,658,055</w:t>
            </w:r>
          </w:p>
        </w:tc>
        <w:tc>
          <w:tcPr>
            <w:tcW w:w="40" w:type="dxa"/>
            <w:vAlign w:val="bottom"/>
          </w:tcPr>
          <w:p>
            <w:pPr>
              <w:spacing w:after="0"/>
              <w:rPr>
                <w:sz w:val="12"/>
                <w:szCs w:val="12"/>
                <w:color w:val="auto"/>
              </w:rPr>
            </w:pPr>
          </w:p>
        </w:tc>
        <w:tc>
          <w:tcPr>
            <w:tcW w:w="400" w:type="dxa"/>
            <w:vAlign w:val="bottom"/>
            <w:gridSpan w:val="2"/>
          </w:tcPr>
          <w:p>
            <w:pPr>
              <w:jc w:val="right"/>
              <w:ind w:right="191"/>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w w:val="71"/>
              </w:rPr>
              <w:t>2</w:t>
            </w:r>
          </w:p>
        </w:tc>
        <w:tc>
          <w:tcPr>
            <w:tcW w:w="1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4"/>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27</w:t>
            </w:r>
          </w:p>
        </w:tc>
        <w:tc>
          <w:tcPr>
            <w:tcW w:w="2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gridSpan w:val="3"/>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(6,034)</w:t>
            </w:r>
          </w:p>
        </w:tc>
        <w:tc>
          <w:tcPr>
            <w:tcW w:w="2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(6,005)</w:t>
            </w:r>
          </w:p>
        </w:tc>
        <w:tc>
          <w:tcPr>
            <w:tcW w:w="0" w:type="dxa"/>
            <w:vAlign w:val="bottom"/>
          </w:tcPr>
          <w:p>
            <w:pPr>
              <w:spacing w:after="0"/>
              <w:rPr>
                <w:sz w:val="1"/>
                <w:szCs w:val="1"/>
                <w:color w:val="auto"/>
              </w:rPr>
            </w:pPr>
          </w:p>
        </w:tc>
      </w:tr>
      <w:tr>
        <w:trPr>
          <w:trHeight w:val="148"/>
        </w:trPr>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gridSpan w:val="4"/>
          </w:tcPr>
          <w:p>
            <w:pPr>
              <w:ind w:left="3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440" w:type="dxa"/>
            <w:vAlign w:val="bottom"/>
            <w:gridSpan w:val="2"/>
          </w:tcPr>
          <w:p>
            <w:pPr>
              <w:ind w:left="28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gridSpan w:val="3"/>
          </w:tcPr>
          <w:p>
            <w:pPr>
              <w:ind w:lef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780" w:type="dxa"/>
            <w:vAlign w:val="bottom"/>
            <w:gridSpan w:val="3"/>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(5,207)</w:t>
            </w:r>
          </w:p>
        </w:tc>
        <w:tc>
          <w:tcPr>
            <w:tcW w:w="220" w:type="dxa"/>
            <w:vAlign w:val="bottom"/>
          </w:tcPr>
          <w:p>
            <w:pPr>
              <w:spacing w:after="0"/>
              <w:rPr>
                <w:sz w:val="12"/>
                <w:szCs w:val="12"/>
                <w:color w:val="auto"/>
              </w:rPr>
            </w:pPr>
          </w:p>
        </w:tc>
        <w:tc>
          <w:tcPr>
            <w:tcW w:w="68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(5,207)</w:t>
            </w:r>
          </w:p>
        </w:tc>
        <w:tc>
          <w:tcPr>
            <w:tcW w:w="0" w:type="dxa"/>
            <w:vAlign w:val="bottom"/>
          </w:tcPr>
          <w:p>
            <w:pPr>
              <w:spacing w:after="0"/>
              <w:rPr>
                <w:sz w:val="1"/>
                <w:szCs w:val="1"/>
                <w:color w:val="auto"/>
              </w:rPr>
            </w:pPr>
          </w:p>
        </w:tc>
      </w:tr>
      <w:tr>
        <w:trPr>
          <w:trHeight w:val="188"/>
        </w:trPr>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60" w:type="dxa"/>
            <w:vAlign w:val="bottom"/>
            <w:gridSpan w:val="4"/>
          </w:tcPr>
          <w:p>
            <w:pPr>
              <w:ind w:left="3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44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w w:val="99"/>
              </w:rPr>
              <w:t>—</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4"/>
          </w:tcPr>
          <w:p>
            <w:pPr>
              <w:ind w:left="360"/>
              <w:spacing w:after="0"/>
              <w:rPr>
                <w:sz w:val="20"/>
                <w:szCs w:val="20"/>
                <w:color w:val="auto"/>
              </w:rPr>
            </w:pPr>
            <w:r>
              <w:rPr>
                <w:rFonts w:ascii="Times New Roman" w:cs="Times New Roman" w:eastAsia="Times New Roman" w:hAnsi="Times New Roman"/>
                <w:sz w:val="14"/>
                <w:szCs w:val="14"/>
                <w:color w:val="auto"/>
              </w:rPr>
              <w:t>177</w:t>
            </w:r>
          </w:p>
        </w:tc>
        <w:tc>
          <w:tcPr>
            <w:tcW w:w="220" w:type="dxa"/>
            <w:vAlign w:val="bottom"/>
          </w:tcPr>
          <w:p>
            <w:pPr>
              <w:spacing w:after="0"/>
              <w:rPr>
                <w:sz w:val="16"/>
                <w:szCs w:val="16"/>
                <w:color w:val="auto"/>
              </w:rPr>
            </w:pPr>
          </w:p>
        </w:tc>
        <w:tc>
          <w:tcPr>
            <w:tcW w:w="78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68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177</w:t>
            </w:r>
          </w:p>
        </w:tc>
        <w:tc>
          <w:tcPr>
            <w:tcW w:w="0" w:type="dxa"/>
            <w:vAlign w:val="bottom"/>
          </w:tcPr>
          <w:p>
            <w:pPr>
              <w:spacing w:after="0"/>
              <w:rPr>
                <w:sz w:val="1"/>
                <w:szCs w:val="1"/>
                <w:color w:val="auto"/>
              </w:rPr>
            </w:pPr>
          </w:p>
        </w:tc>
      </w:tr>
      <w:tr>
        <w:trPr>
          <w:trHeight w:val="257"/>
        </w:trPr>
        <w:tc>
          <w:tcPr>
            <w:tcW w:w="740" w:type="dxa"/>
            <w:vAlign w:val="bottom"/>
            <w:gridSpan w:val="6"/>
          </w:tcPr>
          <w:p>
            <w:pPr>
              <w:jc w:val="right"/>
              <w:ind w:right="60"/>
              <w:spacing w:after="0"/>
              <w:rPr>
                <w:sz w:val="20"/>
                <w:szCs w:val="20"/>
                <w:color w:val="auto"/>
              </w:rPr>
            </w:pPr>
            <w:r>
              <w:rPr>
                <w:rFonts w:ascii="Times New Roman" w:cs="Times New Roman" w:eastAsia="Times New Roman" w:hAnsi="Times New Roman"/>
                <w:sz w:val="14"/>
                <w:szCs w:val="14"/>
                <w:color w:val="auto"/>
              </w:rPr>
              <w:t>31,945</w:t>
            </w:r>
          </w:p>
        </w:tc>
        <w:tc>
          <w:tcPr>
            <w:tcW w:w="80" w:type="dxa"/>
            <w:vAlign w:val="bottom"/>
          </w:tcPr>
          <w:p>
            <w:pPr>
              <w:spacing w:after="0"/>
              <w:rPr>
                <w:sz w:val="22"/>
                <w:szCs w:val="22"/>
                <w:color w:val="auto"/>
              </w:rPr>
            </w:pPr>
          </w:p>
        </w:tc>
        <w:tc>
          <w:tcPr>
            <w:tcW w:w="44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w w:val="99"/>
              </w:rPr>
              <w:t>—</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60" w:type="dxa"/>
            <w:vAlign w:val="bottom"/>
            <w:gridSpan w:val="3"/>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2"/>
                <w:szCs w:val="22"/>
                <w:color w:val="auto"/>
              </w:rPr>
            </w:pPr>
          </w:p>
        </w:tc>
        <w:tc>
          <w:tcPr>
            <w:tcW w:w="78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71"/>
        </w:trPr>
        <w:tc>
          <w:tcPr>
            <w:tcW w:w="740" w:type="dxa"/>
            <w:vAlign w:val="bottom"/>
            <w:gridSpan w:val="6"/>
          </w:tcPr>
          <w:p>
            <w:pPr>
              <w:jc w:val="right"/>
              <w:ind w:right="60"/>
              <w:spacing w:after="0"/>
              <w:rPr>
                <w:sz w:val="20"/>
                <w:szCs w:val="20"/>
                <w:color w:val="auto"/>
              </w:rPr>
            </w:pPr>
            <w:r>
              <w:rPr>
                <w:rFonts w:ascii="Times New Roman" w:cs="Times New Roman" w:eastAsia="Times New Roman" w:hAnsi="Times New Roman"/>
                <w:sz w:val="14"/>
                <w:szCs w:val="14"/>
                <w:color w:val="auto"/>
              </w:rPr>
              <w:t>8,000</w:t>
            </w:r>
          </w:p>
        </w:tc>
        <w:tc>
          <w:tcPr>
            <w:tcW w:w="80" w:type="dxa"/>
            <w:vAlign w:val="bottom"/>
          </w:tcPr>
          <w:p>
            <w:pPr>
              <w:spacing w:after="0"/>
              <w:rPr>
                <w:sz w:val="14"/>
                <w:szCs w:val="14"/>
                <w:color w:val="auto"/>
              </w:rPr>
            </w:pPr>
          </w:p>
        </w:tc>
        <w:tc>
          <w:tcPr>
            <w:tcW w:w="44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w w:val="99"/>
              </w:rPr>
              <w:t>—</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gridSpan w:val="3"/>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78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156"/>
        </w:trPr>
        <w:tc>
          <w:tcPr>
            <w:tcW w:w="700" w:type="dxa"/>
            <w:vAlign w:val="bottom"/>
            <w:tcBorders>
              <w:top w:val="single" w:sz="8" w:color="auto"/>
              <w:bottom w:val="single" w:sz="8" w:color="auto"/>
            </w:tcBorders>
            <w:gridSpan w:val="5"/>
          </w:tcPr>
          <w:p>
            <w:pPr>
              <w:jc w:val="right"/>
              <w:ind w:right="20"/>
              <w:spacing w:after="0" w:line="155" w:lineRule="exact"/>
              <w:rPr>
                <w:sz w:val="20"/>
                <w:szCs w:val="20"/>
                <w:color w:val="auto"/>
              </w:rPr>
            </w:pPr>
            <w:r>
              <w:rPr>
                <w:rFonts w:ascii="Times New Roman" w:cs="Times New Roman" w:eastAsia="Times New Roman" w:hAnsi="Times New Roman"/>
                <w:sz w:val="14"/>
                <w:szCs w:val="14"/>
                <w:color w:val="auto"/>
              </w:rPr>
              <w:t>19,698,000</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Borders>
              <w:top w:val="single" w:sz="8" w:color="auto"/>
              <w:bottom w:val="single" w:sz="8" w:color="auto"/>
            </w:tcBorders>
          </w:tcPr>
          <w:p>
            <w:pPr>
              <w:jc w:val="right"/>
              <w:ind w:right="191"/>
              <w:spacing w:after="0"/>
              <w:rPr>
                <w:sz w:val="20"/>
                <w:szCs w:val="20"/>
                <w:color w:val="auto"/>
              </w:rPr>
            </w:pPr>
            <w:r>
              <w:rPr>
                <w:rFonts w:ascii="Times New Roman" w:cs="Times New Roman" w:eastAsia="Times New Roman" w:hAnsi="Times New Roman"/>
                <w:sz w:val="11"/>
                <w:szCs w:val="11"/>
                <w:color w:val="auto"/>
                <w:w w:val="71"/>
              </w:rPr>
              <w:t>$</w:t>
            </w:r>
          </w:p>
        </w:tc>
        <w:tc>
          <w:tcPr>
            <w:tcW w:w="120" w:type="dxa"/>
            <w:vAlign w:val="bottom"/>
            <w:tcBorders>
              <w:top w:val="single" w:sz="8" w:color="auto"/>
              <w:bottom w:val="single" w:sz="8" w:color="auto"/>
            </w:tcBorders>
          </w:tcPr>
          <w:p>
            <w:pPr>
              <w:spacing w:after="0"/>
              <w:rPr>
                <w:sz w:val="13"/>
                <w:szCs w:val="13"/>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2</w:t>
            </w:r>
          </w:p>
        </w:tc>
        <w:tc>
          <w:tcPr>
            <w:tcW w:w="12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top w:val="single" w:sz="8" w:color="auto"/>
              <w:bottom w:val="single" w:sz="8" w:color="auto"/>
            </w:tcBorders>
            <w:gridSpan w:val="3"/>
          </w:tcPr>
          <w:p>
            <w:pPr>
              <w:ind w:left="360"/>
              <w:spacing w:after="0" w:line="155" w:lineRule="exact"/>
              <w:rPr>
                <w:sz w:val="20"/>
                <w:szCs w:val="20"/>
                <w:color w:val="auto"/>
              </w:rPr>
            </w:pPr>
            <w:r>
              <w:rPr>
                <w:rFonts w:ascii="Times New Roman" w:cs="Times New Roman" w:eastAsia="Times New Roman" w:hAnsi="Times New Roman"/>
                <w:sz w:val="14"/>
                <w:szCs w:val="14"/>
                <w:color w:val="auto"/>
                <w:w w:val="85"/>
              </w:rPr>
              <w:t>204</w:t>
            </w:r>
          </w:p>
        </w:tc>
        <w:tc>
          <w:tcPr>
            <w:tcW w:w="120" w:type="dxa"/>
            <w:vAlign w:val="bottom"/>
          </w:tcPr>
          <w:p>
            <w:pPr>
              <w:spacing w:after="0"/>
              <w:rPr>
                <w:sz w:val="13"/>
                <w:szCs w:val="13"/>
                <w:color w:val="auto"/>
              </w:rPr>
            </w:pPr>
          </w:p>
        </w:tc>
        <w:tc>
          <w:tcPr>
            <w:tcW w:w="220" w:type="dxa"/>
            <w:vAlign w:val="bottom"/>
            <w:tcBorders>
              <w:top w:val="single" w:sz="8" w:color="auto"/>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top w:val="single" w:sz="8" w:color="auto"/>
              <w:bottom w:val="single" w:sz="8" w:color="auto"/>
            </w:tcBorders>
            <w:gridSpan w:val="2"/>
          </w:tcPr>
          <w:p>
            <w:pPr>
              <w:jc w:val="right"/>
              <w:spacing w:after="0" w:line="155" w:lineRule="exact"/>
              <w:rPr>
                <w:sz w:val="20"/>
                <w:szCs w:val="20"/>
                <w:color w:val="auto"/>
              </w:rPr>
            </w:pPr>
            <w:r>
              <w:rPr>
                <w:rFonts w:ascii="Times New Roman" w:cs="Times New Roman" w:eastAsia="Times New Roman" w:hAnsi="Times New Roman"/>
                <w:sz w:val="14"/>
                <w:szCs w:val="14"/>
                <w:color w:val="auto"/>
              </w:rPr>
              <w:t>(11,241)</w:t>
            </w:r>
          </w:p>
        </w:tc>
        <w:tc>
          <w:tcPr>
            <w:tcW w:w="160" w:type="dxa"/>
            <w:vAlign w:val="bottom"/>
          </w:tcPr>
          <w:p>
            <w:pPr>
              <w:spacing w:after="0"/>
              <w:rPr>
                <w:sz w:val="13"/>
                <w:szCs w:val="13"/>
                <w:color w:val="auto"/>
              </w:rPr>
            </w:pPr>
          </w:p>
        </w:tc>
        <w:tc>
          <w:tcPr>
            <w:tcW w:w="220" w:type="dxa"/>
            <w:vAlign w:val="bottom"/>
            <w:tcBorders>
              <w:top w:val="single" w:sz="8" w:color="auto"/>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bottom w:val="single" w:sz="8" w:color="auto"/>
            </w:tcBorders>
            <w:gridSpan w:val="2"/>
          </w:tcPr>
          <w:p>
            <w:pPr>
              <w:jc w:val="right"/>
              <w:spacing w:after="0" w:line="155" w:lineRule="exact"/>
              <w:rPr>
                <w:sz w:val="20"/>
                <w:szCs w:val="20"/>
                <w:color w:val="auto"/>
              </w:rPr>
            </w:pPr>
            <w:r>
              <w:rPr>
                <w:rFonts w:ascii="Times New Roman" w:cs="Times New Roman" w:eastAsia="Times New Roman" w:hAnsi="Times New Roman"/>
                <w:sz w:val="14"/>
                <w:szCs w:val="14"/>
                <w:color w:val="auto"/>
              </w:rPr>
              <w:t>(11,035)</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780" w:space="180"/>
            <w:col w:w="4120"/>
          </w:cols>
          <w:pgMar w:left="320" w:top="455" w:right="499" w:bottom="1440" w:gutter="0" w:footer="0" w:header="0"/>
          <w:type w:val="continuous"/>
        </w:sectPr>
      </w:pPr>
    </w:p>
    <w:p>
      <w:pPr>
        <w:spacing w:after="0" w:line="22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7"/>
          <w:szCs w:val="17"/>
          <w:color w:val="auto"/>
        </w:rPr>
        <w:t>See accompanying notes to these financial statements.</w:t>
      </w:r>
    </w:p>
    <w:p>
      <w:pPr>
        <w:spacing w:after="0" w:line="16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F-5</w:t>
      </w:r>
    </w:p>
    <w:p>
      <w:pPr>
        <w:sectPr>
          <w:pgSz w:w="11900" w:h="16838" w:orient="portrait"/>
          <w:cols w:equalWidth="0" w:num="1">
            <w:col w:w="11080"/>
          </w:cols>
          <w:pgMar w:left="320" w:top="455" w:right="499" w:bottom="1440" w:gutter="0" w:footer="0" w:header="0"/>
          <w:type w:val="continuous"/>
        </w:sectPr>
      </w:pPr>
    </w:p>
    <w:bookmarkStart w:id="217" w:name="page218"/>
    <w:bookmarkEnd w:id="2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TARSUS PHARMACEUTICALS, INC.</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STATEMENTS OF CASH FLOWS</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gridSpan w:val="9"/>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20" w:type="dxa"/>
            <w:vAlign w:val="bottom"/>
          </w:tcPr>
          <w:p>
            <w:pPr>
              <w:spacing w:after="0"/>
              <w:rPr>
                <w:sz w:val="13"/>
                <w:szCs w:val="13"/>
                <w:color w:val="auto"/>
              </w:rPr>
            </w:pPr>
          </w:p>
        </w:tc>
        <w:tc>
          <w:tcPr>
            <w:tcW w:w="1940" w:type="dxa"/>
            <w:vAlign w:val="bottom"/>
            <w:gridSpan w:val="1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73"/>
        </w:trPr>
        <w:tc>
          <w:tcPr>
            <w:tcW w:w="7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gridSpan w:val="9"/>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40" w:type="dxa"/>
            <w:vAlign w:val="bottom"/>
          </w:tcPr>
          <w:p>
            <w:pPr>
              <w:spacing w:after="0"/>
              <w:rPr>
                <w:sz w:val="15"/>
                <w:szCs w:val="15"/>
                <w:color w:val="auto"/>
              </w:rPr>
            </w:pPr>
          </w:p>
        </w:tc>
        <w:tc>
          <w:tcPr>
            <w:tcW w:w="72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(unaudited)</w:t>
            </w:r>
          </w:p>
        </w:tc>
        <w:tc>
          <w:tcPr>
            <w:tcW w:w="3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2020</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gridSpan w:val="2"/>
            <w:vMerge w:val="continue"/>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20" w:type="dxa"/>
            <w:vAlign w:val="bottom"/>
            <w:gridSpan w:val="2"/>
            <w:vMerge w:val="continue"/>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7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gridSpan w:val="3"/>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gridSpan w:val="2"/>
            <w:vMerge w:val="continue"/>
          </w:tcPr>
          <w:p>
            <w:pPr>
              <w:spacing w:after="0"/>
              <w:rPr>
                <w:sz w:val="12"/>
                <w:szCs w:val="12"/>
                <w:color w:val="auto"/>
              </w:rPr>
            </w:pPr>
          </w:p>
        </w:tc>
        <w:tc>
          <w:tcPr>
            <w:tcW w:w="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gridSpan w:val="2"/>
            <w:vMerge w:val="continue"/>
          </w:tcPr>
          <w:p>
            <w:pPr>
              <w:spacing w:after="0"/>
              <w:rPr>
                <w:sz w:val="12"/>
                <w:szCs w:val="12"/>
                <w:color w:val="auto"/>
              </w:rPr>
            </w:pPr>
          </w:p>
        </w:tc>
        <w:tc>
          <w:tcPr>
            <w:tcW w:w="240" w:type="dxa"/>
            <w:vAlign w:val="bottom"/>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Net loss</w:t>
            </w:r>
          </w:p>
        </w:tc>
        <w:tc>
          <w:tcPr>
            <w:tcW w:w="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gridSpan w:val="5"/>
          </w:tcPr>
          <w:p>
            <w:pPr>
              <w:jc w:val="right"/>
              <w:ind w:right="240"/>
              <w:spacing w:after="0"/>
              <w:rPr>
                <w:sz w:val="20"/>
                <w:szCs w:val="20"/>
                <w:color w:val="auto"/>
              </w:rPr>
            </w:pPr>
            <w:r>
              <w:rPr>
                <w:rFonts w:ascii="Times New Roman" w:cs="Times New Roman" w:eastAsia="Times New Roman" w:hAnsi="Times New Roman"/>
                <w:sz w:val="16"/>
                <w:szCs w:val="16"/>
                <w:color w:val="auto"/>
                <w:w w:val="98"/>
              </w:rPr>
              <w:t>(1,319)</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gridSpan w:val="5"/>
          </w:tcPr>
          <w:p>
            <w:pPr>
              <w:jc w:val="right"/>
              <w:ind w:right="120"/>
              <w:spacing w:after="0"/>
              <w:rPr>
                <w:sz w:val="20"/>
                <w:szCs w:val="20"/>
                <w:color w:val="auto"/>
              </w:rPr>
            </w:pPr>
            <w:r>
              <w:rPr>
                <w:rFonts w:ascii="Times New Roman" w:cs="Times New Roman" w:eastAsia="Times New Roman" w:hAnsi="Times New Roman"/>
                <w:sz w:val="16"/>
                <w:szCs w:val="16"/>
                <w:color w:val="auto"/>
              </w:rPr>
              <w:t>(4,670)</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5"/>
          </w:tcPr>
          <w:p>
            <w:pPr>
              <w:jc w:val="right"/>
              <w:ind w:right="140"/>
              <w:spacing w:after="0"/>
              <w:rPr>
                <w:sz w:val="20"/>
                <w:szCs w:val="20"/>
                <w:color w:val="auto"/>
              </w:rPr>
            </w:pPr>
            <w:r>
              <w:rPr>
                <w:rFonts w:ascii="Times New Roman" w:cs="Times New Roman" w:eastAsia="Times New Roman" w:hAnsi="Times New Roman"/>
                <w:sz w:val="16"/>
                <w:szCs w:val="16"/>
                <w:color w:val="auto"/>
              </w:rPr>
              <w:t>(2,576)</w:t>
            </w:r>
          </w:p>
        </w:tc>
        <w:tc>
          <w:tcPr>
            <w:tcW w:w="36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4"/>
          </w:tcPr>
          <w:p>
            <w:pPr>
              <w:jc w:val="right"/>
              <w:ind w:right="40"/>
              <w:spacing w:after="0"/>
              <w:rPr>
                <w:sz w:val="20"/>
                <w:szCs w:val="20"/>
                <w:color w:val="auto"/>
              </w:rPr>
            </w:pPr>
            <w:r>
              <w:rPr>
                <w:rFonts w:ascii="Times New Roman" w:cs="Times New Roman" w:eastAsia="Times New Roman" w:hAnsi="Times New Roman"/>
                <w:sz w:val="16"/>
                <w:szCs w:val="16"/>
                <w:color w:val="auto"/>
              </w:rPr>
              <w:t>(5,207)</w:t>
            </w:r>
          </w:p>
        </w:tc>
        <w:tc>
          <w:tcPr>
            <w:tcW w:w="0" w:type="dxa"/>
            <w:vAlign w:val="bottom"/>
          </w:tcPr>
          <w:p>
            <w:pPr>
              <w:spacing w:after="0"/>
              <w:rPr>
                <w:sz w:val="1"/>
                <w:szCs w:val="1"/>
                <w:color w:val="auto"/>
              </w:rPr>
            </w:pPr>
          </w:p>
        </w:tc>
      </w:tr>
      <w:tr>
        <w:trPr>
          <w:trHeight w:val="203"/>
        </w:trPr>
        <w:tc>
          <w:tcPr>
            <w:tcW w:w="74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Adjustments to reconcile net loss to net cash used in operating activities:</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6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gridSpan w:val="5"/>
          </w:tcPr>
          <w:p>
            <w:pPr>
              <w:jc w:val="right"/>
              <w:ind w:right="300"/>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17"/>
                <w:szCs w:val="17"/>
                <w:color w:val="auto"/>
              </w:rPr>
            </w:pPr>
          </w:p>
        </w:tc>
        <w:tc>
          <w:tcPr>
            <w:tcW w:w="44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gridSpan w:val="5"/>
          </w:tcPr>
          <w:p>
            <w:pPr>
              <w:jc w:val="right"/>
              <w:ind w:right="200"/>
              <w:spacing w:after="0"/>
              <w:rPr>
                <w:sz w:val="20"/>
                <w:szCs w:val="20"/>
                <w:color w:val="auto"/>
              </w:rPr>
            </w:pPr>
            <w:r>
              <w:rPr>
                <w:rFonts w:ascii="Times New Roman" w:cs="Times New Roman" w:eastAsia="Times New Roman" w:hAnsi="Times New Roman"/>
                <w:sz w:val="16"/>
                <w:szCs w:val="16"/>
                <w:color w:val="auto"/>
              </w:rPr>
              <w:t>9</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 xml:space="preserve">Stock-based compensation </w:t>
            </w:r>
            <w:r>
              <w:rPr>
                <w:rFonts w:ascii="Times New Roman" w:cs="Times New Roman" w:eastAsia="Times New Roman" w:hAnsi="Times New Roman"/>
                <w:sz w:val="16"/>
                <w:szCs w:val="16"/>
                <w:i w:val="1"/>
                <w:iCs w:val="1"/>
                <w:color w:val="auto"/>
              </w:rPr>
              <w:t>(Note 5)</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gridSpan w:val="5"/>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9</w:t>
            </w:r>
          </w:p>
        </w:tc>
        <w:tc>
          <w:tcPr>
            <w:tcW w:w="80" w:type="dxa"/>
            <w:vAlign w:val="bottom"/>
            <w:shd w:val="clear" w:color="auto" w:fill="CCEEFF"/>
          </w:tcPr>
          <w:p>
            <w:pPr>
              <w:spacing w:after="0"/>
              <w:rPr>
                <w:sz w:val="17"/>
                <w:szCs w:val="17"/>
                <w:color w:val="auto"/>
              </w:rPr>
            </w:pPr>
          </w:p>
        </w:tc>
        <w:tc>
          <w:tcPr>
            <w:tcW w:w="4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gridSpan w:val="5"/>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9</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6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 xml:space="preserve">Amortization of operating lease right-of-use asset </w:t>
            </w:r>
            <w:r>
              <w:rPr>
                <w:rFonts w:ascii="Times New Roman" w:cs="Times New Roman" w:eastAsia="Times New Roman" w:hAnsi="Times New Roman"/>
                <w:sz w:val="16"/>
                <w:szCs w:val="16"/>
                <w:i w:val="1"/>
                <w:iCs w:val="1"/>
                <w:color w:val="auto"/>
              </w:rPr>
              <w:t>(Note 10(a))</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gridSpan w:val="3"/>
          </w:tcPr>
          <w:p>
            <w:pPr>
              <w:jc w:val="right"/>
              <w:ind w:right="380"/>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tcPr>
          <w:p>
            <w:pPr>
              <w:spacing w:after="0"/>
              <w:rPr>
                <w:sz w:val="17"/>
                <w:szCs w:val="17"/>
                <w:color w:val="auto"/>
              </w:rPr>
            </w:pPr>
          </w:p>
        </w:tc>
        <w:tc>
          <w:tcPr>
            <w:tcW w:w="44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gridSpan w:val="5"/>
          </w:tcPr>
          <w:p>
            <w:pPr>
              <w:jc w:val="right"/>
              <w:ind w:right="200"/>
              <w:spacing w:after="0"/>
              <w:rPr>
                <w:sz w:val="20"/>
                <w:szCs w:val="20"/>
                <w:color w:val="auto"/>
              </w:rPr>
            </w:pPr>
            <w:r>
              <w:rPr>
                <w:rFonts w:ascii="Times New Roman" w:cs="Times New Roman" w:eastAsia="Times New Roman" w:hAnsi="Times New Roman"/>
                <w:sz w:val="16"/>
                <w:szCs w:val="16"/>
                <w:color w:val="auto"/>
              </w:rPr>
              <w:t>15</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 xml:space="preserve">Change in fair value of derivative liabilities </w:t>
            </w:r>
            <w:r>
              <w:rPr>
                <w:rFonts w:ascii="Times New Roman" w:cs="Times New Roman" w:eastAsia="Times New Roman" w:hAnsi="Times New Roman"/>
                <w:sz w:val="16"/>
                <w:szCs w:val="16"/>
                <w:i w:val="1"/>
                <w:iCs w:val="1"/>
                <w:color w:val="auto"/>
              </w:rPr>
              <w:t>(Note 9)</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shd w:val="clear" w:color="auto" w:fill="CCEEFF"/>
          </w:tcPr>
          <w:p>
            <w:pPr>
              <w:spacing w:after="0"/>
              <w:rPr>
                <w:sz w:val="17"/>
                <w:szCs w:val="17"/>
                <w:color w:val="auto"/>
              </w:rPr>
            </w:pPr>
          </w:p>
        </w:tc>
        <w:tc>
          <w:tcPr>
            <w:tcW w:w="4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gridSpan w:val="4"/>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746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Non-cash related party interest expense</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gridSpan w:val="3"/>
          </w:tcPr>
          <w:p>
            <w:pPr>
              <w:jc w:val="right"/>
              <w:ind w:right="380"/>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tcPr>
          <w:p>
            <w:pPr>
              <w:spacing w:after="0"/>
              <w:rPr>
                <w:sz w:val="17"/>
                <w:szCs w:val="17"/>
                <w:color w:val="auto"/>
              </w:rPr>
            </w:pPr>
          </w:p>
        </w:tc>
        <w:tc>
          <w:tcPr>
            <w:tcW w:w="44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89</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gridSpan w:val="5"/>
          </w:tcPr>
          <w:p>
            <w:pPr>
              <w:jc w:val="right"/>
              <w:ind w:right="200"/>
              <w:spacing w:after="0"/>
              <w:rPr>
                <w:sz w:val="20"/>
                <w:szCs w:val="20"/>
                <w:color w:val="auto"/>
              </w:rPr>
            </w:pPr>
            <w:r>
              <w:rPr>
                <w:rFonts w:ascii="Times New Roman" w:cs="Times New Roman" w:eastAsia="Times New Roman" w:hAnsi="Times New Roman"/>
                <w:sz w:val="16"/>
                <w:szCs w:val="16"/>
                <w:color w:val="auto"/>
              </w:rPr>
              <w:t>6</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74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 xml:space="preserve">Loss on extinguishment of convertible notes </w:t>
            </w:r>
            <w:r>
              <w:rPr>
                <w:rFonts w:ascii="Times New Roman" w:cs="Times New Roman" w:eastAsia="Times New Roman" w:hAnsi="Times New Roman"/>
                <w:sz w:val="16"/>
                <w:szCs w:val="16"/>
                <w:i w:val="1"/>
                <w:iCs w:val="1"/>
                <w:color w:val="auto"/>
              </w:rPr>
              <w:t>(Note 9)</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shd w:val="clear" w:color="auto" w:fill="CCEEFF"/>
          </w:tcPr>
          <w:p>
            <w:pPr>
              <w:spacing w:after="0"/>
              <w:rPr>
                <w:sz w:val="17"/>
                <w:szCs w:val="17"/>
                <w:color w:val="auto"/>
              </w:rPr>
            </w:pPr>
          </w:p>
        </w:tc>
        <w:tc>
          <w:tcPr>
            <w:tcW w:w="4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gridSpan w:val="4"/>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746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Other receivables</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gridSpan w:val="5"/>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(4)</w:t>
            </w:r>
          </w:p>
        </w:tc>
        <w:tc>
          <w:tcPr>
            <w:tcW w:w="80" w:type="dxa"/>
            <w:vAlign w:val="bottom"/>
            <w:shd w:val="clear" w:color="auto" w:fill="CCEEFF"/>
          </w:tcPr>
          <w:p>
            <w:pPr>
              <w:spacing w:after="0"/>
              <w:rPr>
                <w:sz w:val="17"/>
                <w:szCs w:val="17"/>
                <w:color w:val="auto"/>
              </w:rPr>
            </w:pPr>
          </w:p>
        </w:tc>
        <w:tc>
          <w:tcPr>
            <w:tcW w:w="620" w:type="dxa"/>
            <w:vAlign w:val="bottom"/>
            <w:gridSpan w:val="5"/>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(32)</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gridSpan w:val="5"/>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(30)</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6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gridSpan w:val="5"/>
          </w:tcPr>
          <w:p>
            <w:pPr>
              <w:jc w:val="right"/>
              <w:ind w:right="240"/>
              <w:spacing w:after="0"/>
              <w:rPr>
                <w:sz w:val="20"/>
                <w:szCs w:val="20"/>
                <w:color w:val="auto"/>
              </w:rPr>
            </w:pPr>
            <w:r>
              <w:rPr>
                <w:rFonts w:ascii="Times New Roman" w:cs="Times New Roman" w:eastAsia="Times New Roman" w:hAnsi="Times New Roman"/>
                <w:sz w:val="16"/>
                <w:szCs w:val="16"/>
                <w:color w:val="auto"/>
              </w:rPr>
              <w:t>(4)</w:t>
            </w:r>
          </w:p>
        </w:tc>
        <w:tc>
          <w:tcPr>
            <w:tcW w:w="80" w:type="dxa"/>
            <w:vAlign w:val="bottom"/>
          </w:tcPr>
          <w:p>
            <w:pPr>
              <w:spacing w:after="0"/>
              <w:rPr>
                <w:sz w:val="17"/>
                <w:szCs w:val="17"/>
                <w:color w:val="auto"/>
              </w:rPr>
            </w:pPr>
          </w:p>
        </w:tc>
        <w:tc>
          <w:tcPr>
            <w:tcW w:w="620" w:type="dxa"/>
            <w:vAlign w:val="bottom"/>
            <w:gridSpan w:val="5"/>
          </w:tcPr>
          <w:p>
            <w:pPr>
              <w:jc w:val="right"/>
              <w:ind w:right="120"/>
              <w:spacing w:after="0"/>
              <w:rPr>
                <w:sz w:val="20"/>
                <w:szCs w:val="20"/>
                <w:color w:val="auto"/>
              </w:rPr>
            </w:pPr>
            <w:r>
              <w:rPr>
                <w:rFonts w:ascii="Times New Roman" w:cs="Times New Roman" w:eastAsia="Times New Roman" w:hAnsi="Times New Roman"/>
                <w:sz w:val="16"/>
                <w:szCs w:val="16"/>
                <w:color w:val="auto"/>
              </w:rPr>
              <w:t>(18)</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gridSpan w:val="5"/>
          </w:tcPr>
          <w:p>
            <w:pPr>
              <w:jc w:val="right"/>
              <w:ind w:right="140"/>
              <w:spacing w:after="0"/>
              <w:rPr>
                <w:sz w:val="20"/>
                <w:szCs w:val="20"/>
                <w:color w:val="auto"/>
              </w:rPr>
            </w:pPr>
            <w:r>
              <w:rPr>
                <w:rFonts w:ascii="Times New Roman" w:cs="Times New Roman" w:eastAsia="Times New Roman" w:hAnsi="Times New Roman"/>
                <w:sz w:val="16"/>
                <w:szCs w:val="16"/>
                <w:color w:val="auto"/>
              </w:rPr>
              <w:t>(2)</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gridSpan w:val="4"/>
          </w:tcPr>
          <w:p>
            <w:pPr>
              <w:jc w:val="right"/>
              <w:ind w:right="40"/>
              <w:spacing w:after="0"/>
              <w:rPr>
                <w:sz w:val="20"/>
                <w:szCs w:val="20"/>
                <w:color w:val="auto"/>
              </w:rPr>
            </w:pPr>
            <w:r>
              <w:rPr>
                <w:rFonts w:ascii="Times New Roman" w:cs="Times New Roman" w:eastAsia="Times New Roman" w:hAnsi="Times New Roman"/>
                <w:sz w:val="16"/>
                <w:szCs w:val="16"/>
                <w:color w:val="auto"/>
              </w:rPr>
              <w:t>(1,526)</w:t>
            </w:r>
          </w:p>
        </w:tc>
        <w:tc>
          <w:tcPr>
            <w:tcW w:w="0" w:type="dxa"/>
            <w:vAlign w:val="bottom"/>
          </w:tcPr>
          <w:p>
            <w:pPr>
              <w:spacing w:after="0"/>
              <w:rPr>
                <w:sz w:val="1"/>
                <w:szCs w:val="1"/>
                <w:color w:val="auto"/>
              </w:rPr>
            </w:pPr>
          </w:p>
        </w:tc>
      </w:tr>
      <w:tr>
        <w:trPr>
          <w:trHeight w:val="203"/>
        </w:trPr>
        <w:tc>
          <w:tcPr>
            <w:tcW w:w="74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Other non-current assets</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shd w:val="clear" w:color="auto" w:fill="CCEEFF"/>
          </w:tcPr>
          <w:p>
            <w:pPr>
              <w:spacing w:after="0"/>
              <w:rPr>
                <w:sz w:val="17"/>
                <w:szCs w:val="17"/>
                <w:color w:val="auto"/>
              </w:rPr>
            </w:pPr>
          </w:p>
        </w:tc>
        <w:tc>
          <w:tcPr>
            <w:tcW w:w="620" w:type="dxa"/>
            <w:vAlign w:val="bottom"/>
            <w:gridSpan w:val="5"/>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gridSpan w:val="5"/>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(6)</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(27)</w:t>
            </w:r>
          </w:p>
        </w:tc>
        <w:tc>
          <w:tcPr>
            <w:tcW w:w="0" w:type="dxa"/>
            <w:vAlign w:val="bottom"/>
          </w:tcPr>
          <w:p>
            <w:pPr>
              <w:spacing w:after="0"/>
              <w:rPr>
                <w:sz w:val="1"/>
                <w:szCs w:val="1"/>
                <w:color w:val="auto"/>
              </w:rPr>
            </w:pPr>
          </w:p>
        </w:tc>
      </w:tr>
      <w:tr>
        <w:trPr>
          <w:trHeight w:val="203"/>
        </w:trPr>
        <w:tc>
          <w:tcPr>
            <w:tcW w:w="746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Accounts payable and other accrued liabilities</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gridSpan w:val="5"/>
          </w:tcPr>
          <w:p>
            <w:pPr>
              <w:jc w:val="right"/>
              <w:ind w:right="300"/>
              <w:spacing w:after="0"/>
              <w:rPr>
                <w:sz w:val="20"/>
                <w:szCs w:val="20"/>
                <w:color w:val="auto"/>
              </w:rPr>
            </w:pPr>
            <w:r>
              <w:rPr>
                <w:rFonts w:ascii="Times New Roman" w:cs="Times New Roman" w:eastAsia="Times New Roman" w:hAnsi="Times New Roman"/>
                <w:sz w:val="16"/>
                <w:szCs w:val="16"/>
                <w:color w:val="auto"/>
              </w:rPr>
              <w:t>131</w:t>
            </w:r>
          </w:p>
        </w:tc>
        <w:tc>
          <w:tcPr>
            <w:tcW w:w="80" w:type="dxa"/>
            <w:vAlign w:val="bottom"/>
          </w:tcPr>
          <w:p>
            <w:pPr>
              <w:spacing w:after="0"/>
              <w:rPr>
                <w:sz w:val="17"/>
                <w:szCs w:val="17"/>
                <w:color w:val="auto"/>
              </w:rPr>
            </w:pPr>
          </w:p>
        </w:tc>
        <w:tc>
          <w:tcPr>
            <w:tcW w:w="44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245</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gridSpan w:val="5"/>
          </w:tcPr>
          <w:p>
            <w:pPr>
              <w:jc w:val="right"/>
              <w:ind w:right="200"/>
              <w:spacing w:after="0"/>
              <w:rPr>
                <w:sz w:val="20"/>
                <w:szCs w:val="20"/>
                <w:color w:val="auto"/>
              </w:rPr>
            </w:pPr>
            <w:r>
              <w:rPr>
                <w:rFonts w:ascii="Times New Roman" w:cs="Times New Roman" w:eastAsia="Times New Roman" w:hAnsi="Times New Roman"/>
                <w:sz w:val="16"/>
                <w:szCs w:val="16"/>
                <w:color w:val="auto"/>
              </w:rPr>
              <w:t>261</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1,953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Accrued payroll and benefits</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gridSpan w:val="5"/>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3</w:t>
            </w:r>
          </w:p>
        </w:tc>
        <w:tc>
          <w:tcPr>
            <w:tcW w:w="80" w:type="dxa"/>
            <w:vAlign w:val="bottom"/>
            <w:shd w:val="clear" w:color="auto" w:fill="CCEEFF"/>
          </w:tcPr>
          <w:p>
            <w:pPr>
              <w:spacing w:after="0"/>
              <w:rPr>
                <w:sz w:val="17"/>
                <w:szCs w:val="17"/>
                <w:color w:val="auto"/>
              </w:rPr>
            </w:pPr>
          </w:p>
        </w:tc>
        <w:tc>
          <w:tcPr>
            <w:tcW w:w="4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296</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gridSpan w:val="5"/>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17</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(27)</w:t>
            </w:r>
          </w:p>
        </w:tc>
        <w:tc>
          <w:tcPr>
            <w:tcW w:w="0" w:type="dxa"/>
            <w:vAlign w:val="bottom"/>
          </w:tcPr>
          <w:p>
            <w:pPr>
              <w:spacing w:after="0"/>
              <w:rPr>
                <w:sz w:val="1"/>
                <w:szCs w:val="1"/>
                <w:color w:val="auto"/>
              </w:rPr>
            </w:pPr>
          </w:p>
        </w:tc>
      </w:tr>
      <w:tr>
        <w:trPr>
          <w:trHeight w:val="216"/>
        </w:trPr>
        <w:tc>
          <w:tcPr>
            <w:tcW w:w="74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Net cash used in operating activities</w:t>
            </w:r>
          </w:p>
        </w:tc>
        <w:tc>
          <w:tcPr>
            <w:tcW w:w="20" w:type="dxa"/>
            <w:vAlign w:val="bottom"/>
          </w:tcPr>
          <w:p>
            <w:pPr>
              <w:spacing w:after="0"/>
              <w:rPr>
                <w:sz w:val="18"/>
                <w:szCs w:val="18"/>
                <w:color w:val="auto"/>
              </w:rPr>
            </w:pPr>
          </w:p>
        </w:tc>
        <w:tc>
          <w:tcPr>
            <w:tcW w:w="60" w:type="dxa"/>
            <w:vAlign w:val="bottom"/>
            <w:tcBorders>
              <w:top w:val="single" w:sz="8" w:color="auto"/>
              <w:bottom w:val="single" w:sz="8" w:color="auto"/>
            </w:tcBorders>
          </w:tcPr>
          <w:p>
            <w:pPr>
              <w:spacing w:after="0"/>
              <w:rPr>
                <w:sz w:val="18"/>
                <w:szCs w:val="18"/>
                <w:color w:val="auto"/>
              </w:rPr>
            </w:pPr>
          </w:p>
        </w:tc>
        <w:tc>
          <w:tcPr>
            <w:tcW w:w="420" w:type="dxa"/>
            <w:vAlign w:val="bottom"/>
            <w:tcBorders>
              <w:top w:val="single" w:sz="8" w:color="auto"/>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color w:val="auto"/>
                <w:w w:val="85"/>
              </w:rPr>
              <w:t>(1,183)</w:t>
            </w:r>
          </w:p>
        </w:tc>
        <w:tc>
          <w:tcPr>
            <w:tcW w:w="30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440" w:type="dxa"/>
            <w:vAlign w:val="bottom"/>
            <w:tcBorders>
              <w:top w:val="single" w:sz="8" w:color="auto"/>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color w:val="auto"/>
                <w:w w:val="89"/>
              </w:rPr>
              <w:t>(3,673)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color w:val="auto"/>
              </w:rPr>
              <w:t>(2,297)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rPr>
              <w:t>(4,553)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gridSpan w:val="5"/>
          </w:tcPr>
          <w:p>
            <w:pPr>
              <w:jc w:val="right"/>
              <w:ind w:right="240"/>
              <w:spacing w:after="0"/>
              <w:rPr>
                <w:sz w:val="20"/>
                <w:szCs w:val="20"/>
                <w:color w:val="auto"/>
              </w:rPr>
            </w:pPr>
            <w:r>
              <w:rPr>
                <w:rFonts w:ascii="Times New Roman" w:cs="Times New Roman" w:eastAsia="Times New Roman" w:hAnsi="Times New Roman"/>
                <w:sz w:val="16"/>
                <w:szCs w:val="16"/>
                <w:color w:val="auto"/>
              </w:rPr>
              <w:t>(7)</w:t>
            </w:r>
          </w:p>
        </w:tc>
        <w:tc>
          <w:tcPr>
            <w:tcW w:w="80" w:type="dxa"/>
            <w:vAlign w:val="bottom"/>
          </w:tcPr>
          <w:p>
            <w:pPr>
              <w:spacing w:after="0"/>
              <w:rPr>
                <w:sz w:val="17"/>
                <w:szCs w:val="17"/>
                <w:color w:val="auto"/>
              </w:rPr>
            </w:pPr>
          </w:p>
        </w:tc>
        <w:tc>
          <w:tcPr>
            <w:tcW w:w="620" w:type="dxa"/>
            <w:vAlign w:val="bottom"/>
            <w:gridSpan w:val="5"/>
          </w:tcPr>
          <w:p>
            <w:pPr>
              <w:jc w:val="right"/>
              <w:ind w:right="120"/>
              <w:spacing w:after="0"/>
              <w:rPr>
                <w:sz w:val="20"/>
                <w:szCs w:val="20"/>
                <w:color w:val="auto"/>
              </w:rPr>
            </w:pPr>
            <w:r>
              <w:rPr>
                <w:rFonts w:ascii="Times New Roman" w:cs="Times New Roman" w:eastAsia="Times New Roman" w:hAnsi="Times New Roman"/>
                <w:sz w:val="16"/>
                <w:szCs w:val="16"/>
                <w:color w:val="auto"/>
              </w:rPr>
              <w:t>(175)</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gridSpan w:val="5"/>
          </w:tcPr>
          <w:p>
            <w:pPr>
              <w:jc w:val="right"/>
              <w:ind w:right="140"/>
              <w:spacing w:after="0"/>
              <w:rPr>
                <w:sz w:val="20"/>
                <w:szCs w:val="20"/>
                <w:color w:val="auto"/>
              </w:rPr>
            </w:pPr>
            <w:r>
              <w:rPr>
                <w:rFonts w:ascii="Times New Roman" w:cs="Times New Roman" w:eastAsia="Times New Roman" w:hAnsi="Times New Roman"/>
                <w:sz w:val="16"/>
                <w:szCs w:val="16"/>
                <w:color w:val="auto"/>
              </w:rPr>
              <w:t>(145)</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gridSpan w:val="4"/>
          </w:tcPr>
          <w:p>
            <w:pPr>
              <w:jc w:val="right"/>
              <w:ind w:right="40"/>
              <w:spacing w:after="0"/>
              <w:rPr>
                <w:sz w:val="20"/>
                <w:szCs w:val="20"/>
                <w:color w:val="auto"/>
              </w:rPr>
            </w:pPr>
            <w:r>
              <w:rPr>
                <w:rFonts w:ascii="Times New Roman" w:cs="Times New Roman" w:eastAsia="Times New Roman" w:hAnsi="Times New Roman"/>
                <w:sz w:val="16"/>
                <w:szCs w:val="16"/>
                <w:color w:val="auto"/>
              </w:rPr>
              <w:t>(371)</w:t>
            </w:r>
          </w:p>
        </w:tc>
        <w:tc>
          <w:tcPr>
            <w:tcW w:w="0" w:type="dxa"/>
            <w:vAlign w:val="bottom"/>
          </w:tcPr>
          <w:p>
            <w:pPr>
              <w:spacing w:after="0"/>
              <w:rPr>
                <w:sz w:val="1"/>
                <w:szCs w:val="1"/>
                <w:color w:val="auto"/>
              </w:rPr>
            </w:pPr>
          </w:p>
        </w:tc>
      </w:tr>
      <w:tr>
        <w:trPr>
          <w:trHeight w:val="27"/>
        </w:trPr>
        <w:tc>
          <w:tcPr>
            <w:tcW w:w="74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74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Cash used in investing activities</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gridSpan w:val="5"/>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(7)</w:t>
            </w:r>
          </w:p>
        </w:tc>
        <w:tc>
          <w:tcPr>
            <w:tcW w:w="80" w:type="dxa"/>
            <w:vAlign w:val="bottom"/>
            <w:shd w:val="clear" w:color="auto" w:fill="CCEEFF"/>
          </w:tcPr>
          <w:p>
            <w:pPr>
              <w:spacing w:after="0"/>
              <w:rPr>
                <w:sz w:val="17"/>
                <w:szCs w:val="17"/>
                <w:color w:val="auto"/>
              </w:rPr>
            </w:pPr>
          </w:p>
        </w:tc>
        <w:tc>
          <w:tcPr>
            <w:tcW w:w="620" w:type="dxa"/>
            <w:vAlign w:val="bottom"/>
            <w:gridSpan w:val="5"/>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(175)</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gridSpan w:val="5"/>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(145)</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(371)</w:t>
            </w:r>
          </w:p>
        </w:tc>
        <w:tc>
          <w:tcPr>
            <w:tcW w:w="0" w:type="dxa"/>
            <w:vAlign w:val="bottom"/>
          </w:tcPr>
          <w:p>
            <w:pPr>
              <w:spacing w:after="0"/>
              <w:rPr>
                <w:sz w:val="1"/>
                <w:szCs w:val="1"/>
                <w:color w:val="auto"/>
              </w:rPr>
            </w:pPr>
          </w:p>
        </w:tc>
      </w:tr>
      <w:tr>
        <w:trPr>
          <w:trHeight w:val="206"/>
        </w:trPr>
        <w:tc>
          <w:tcPr>
            <w:tcW w:w="74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20" w:type="dxa"/>
            <w:vAlign w:val="bottom"/>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74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 xml:space="preserve">Proceeds from issuance of Series A Preferred Stock, net of issuance costs </w:t>
            </w:r>
            <w:r>
              <w:rPr>
                <w:rFonts w:ascii="Times New Roman" w:cs="Times New Roman" w:eastAsia="Times New Roman" w:hAnsi="Times New Roman"/>
                <w:sz w:val="16"/>
                <w:szCs w:val="16"/>
                <w:i w:val="1"/>
                <w:iCs w:val="1"/>
                <w:color w:val="auto"/>
              </w:rPr>
              <w:t>(Note 4)</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gridSpan w:val="5"/>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3,564</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80" w:type="dxa"/>
            <w:vAlign w:val="bottom"/>
            <w:gridSpan w:val="4"/>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gridSpan w:val="4"/>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74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 xml:space="preserve">Proceeds from issuance of Series B Preferred Stock, net of issuance costs </w:t>
            </w:r>
            <w:r>
              <w:rPr>
                <w:rFonts w:ascii="Times New Roman" w:cs="Times New Roman" w:eastAsia="Times New Roman" w:hAnsi="Times New Roman"/>
                <w:sz w:val="16"/>
                <w:szCs w:val="16"/>
                <w:i w:val="1"/>
                <w:iCs w:val="1"/>
                <w:color w:val="auto"/>
              </w:rPr>
              <w:t>(Note 4)</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gridSpan w:val="3"/>
          </w:tcPr>
          <w:p>
            <w:pPr>
              <w:jc w:val="right"/>
              <w:ind w:right="380"/>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tcPr>
          <w:p>
            <w:pPr>
              <w:spacing w:after="0"/>
              <w:rPr>
                <w:sz w:val="17"/>
                <w:szCs w:val="17"/>
                <w:color w:val="auto"/>
              </w:rPr>
            </w:pPr>
          </w:p>
        </w:tc>
        <w:tc>
          <w:tcPr>
            <w:tcW w:w="44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w w:val="95"/>
              </w:rPr>
              <w:t>57,456</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gridSpan w:val="4"/>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gridSpan w:val="4"/>
          </w:tcPr>
          <w:p>
            <w:pPr>
              <w:jc w:val="right"/>
              <w:ind w:right="40"/>
              <w:spacing w:after="0"/>
              <w:rPr>
                <w:sz w:val="20"/>
                <w:szCs w:val="20"/>
                <w:color w:val="auto"/>
              </w:rPr>
            </w:pPr>
            <w:r>
              <w:rPr>
                <w:rFonts w:ascii="Times New Roman" w:cs="Times New Roman" w:eastAsia="Times New Roman" w:hAnsi="Times New Roman"/>
                <w:sz w:val="16"/>
                <w:szCs w:val="16"/>
                <w:color w:val="auto"/>
              </w:rPr>
              <w:t>(28)</w:t>
            </w:r>
          </w:p>
        </w:tc>
        <w:tc>
          <w:tcPr>
            <w:tcW w:w="0" w:type="dxa"/>
            <w:vAlign w:val="bottom"/>
          </w:tcPr>
          <w:p>
            <w:pPr>
              <w:spacing w:after="0"/>
              <w:rPr>
                <w:sz w:val="1"/>
                <w:szCs w:val="1"/>
                <w:color w:val="auto"/>
              </w:rPr>
            </w:pPr>
          </w:p>
        </w:tc>
      </w:tr>
      <w:tr>
        <w:trPr>
          <w:trHeight w:val="203"/>
        </w:trPr>
        <w:tc>
          <w:tcPr>
            <w:tcW w:w="74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 xml:space="preserve">Proceeds from issuance of convertible notes, net of issuance costs </w:t>
            </w:r>
            <w:r>
              <w:rPr>
                <w:rFonts w:ascii="Times New Roman" w:cs="Times New Roman" w:eastAsia="Times New Roman" w:hAnsi="Times New Roman"/>
                <w:sz w:val="16"/>
                <w:szCs w:val="16"/>
                <w:i w:val="1"/>
                <w:iCs w:val="1"/>
                <w:color w:val="auto"/>
              </w:rPr>
              <w:t>(Note 9)</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shd w:val="clear" w:color="auto" w:fill="CCEEFF"/>
          </w:tcPr>
          <w:p>
            <w:pPr>
              <w:spacing w:after="0"/>
              <w:rPr>
                <w:sz w:val="17"/>
                <w:szCs w:val="17"/>
                <w:color w:val="auto"/>
              </w:rPr>
            </w:pPr>
          </w:p>
        </w:tc>
        <w:tc>
          <w:tcPr>
            <w:tcW w:w="4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1,989</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gridSpan w:val="5"/>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500</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74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Proceeds from early exercise of stock options</w:t>
            </w:r>
          </w:p>
        </w:tc>
        <w:tc>
          <w:tcPr>
            <w:tcW w:w="2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3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gridSpan w:val="3"/>
          </w:tcPr>
          <w:p>
            <w:pPr>
              <w:jc w:val="right"/>
              <w:ind w:right="8"/>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rPr>
              <w:t>135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4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Net cash provided by financing activities</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gridSpan w:val="5"/>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3,564</w:t>
            </w:r>
          </w:p>
        </w:tc>
        <w:tc>
          <w:tcPr>
            <w:tcW w:w="80" w:type="dxa"/>
            <w:vAlign w:val="bottom"/>
            <w:shd w:val="clear" w:color="auto" w:fill="CCEEFF"/>
          </w:tcPr>
          <w:p>
            <w:pPr>
              <w:spacing w:after="0"/>
              <w:rPr>
                <w:sz w:val="17"/>
                <w:szCs w:val="17"/>
                <w:color w:val="auto"/>
              </w:rPr>
            </w:pPr>
          </w:p>
        </w:tc>
        <w:tc>
          <w:tcPr>
            <w:tcW w:w="4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5"/>
              </w:rPr>
              <w:t>59,445</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gridSpan w:val="5"/>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500</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4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Net increase (decrease) in cash, cash equivalents and restricted cash</w:t>
            </w:r>
          </w:p>
        </w:tc>
        <w:tc>
          <w:tcPr>
            <w:tcW w:w="20" w:type="dxa"/>
            <w:vAlign w:val="bottom"/>
          </w:tcPr>
          <w:p>
            <w:pPr>
              <w:spacing w:after="0"/>
              <w:rPr>
                <w:sz w:val="18"/>
                <w:szCs w:val="18"/>
                <w:color w:val="auto"/>
              </w:rPr>
            </w:pPr>
          </w:p>
        </w:tc>
        <w:tc>
          <w:tcPr>
            <w:tcW w:w="60" w:type="dxa"/>
            <w:vAlign w:val="bottom"/>
            <w:tcBorders>
              <w:top w:val="single" w:sz="8" w:color="auto"/>
              <w:bottom w:val="single" w:sz="8" w:color="auto"/>
            </w:tcBorders>
          </w:tcPr>
          <w:p>
            <w:pPr>
              <w:spacing w:after="0"/>
              <w:rPr>
                <w:sz w:val="18"/>
                <w:szCs w:val="18"/>
                <w:color w:val="auto"/>
              </w:rPr>
            </w:pPr>
          </w:p>
        </w:tc>
        <w:tc>
          <w:tcPr>
            <w:tcW w:w="420" w:type="dxa"/>
            <w:vAlign w:val="bottom"/>
            <w:tcBorders>
              <w:top w:val="single" w:sz="8" w:color="auto"/>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color w:val="auto"/>
              </w:rPr>
              <w:t>2,374</w:t>
            </w:r>
          </w:p>
        </w:tc>
        <w:tc>
          <w:tcPr>
            <w:tcW w:w="30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440" w:type="dxa"/>
            <w:vAlign w:val="bottom"/>
            <w:tcBorders>
              <w:top w:val="single" w:sz="8" w:color="auto"/>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color w:val="auto"/>
                <w:w w:val="95"/>
              </w:rPr>
              <w:t>55,597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color w:val="auto"/>
              </w:rPr>
              <w:t>(1,942)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rPr>
              <w:t>(4,817)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cash equivalents, and restricted cash — beginning of year</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gridSpan w:val="5"/>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shd w:val="clear" w:color="auto" w:fill="CCEEFF"/>
          </w:tcPr>
          <w:p>
            <w:pPr>
              <w:spacing w:after="0"/>
              <w:rPr>
                <w:sz w:val="17"/>
                <w:szCs w:val="17"/>
                <w:color w:val="auto"/>
              </w:rPr>
            </w:pPr>
          </w:p>
        </w:tc>
        <w:tc>
          <w:tcPr>
            <w:tcW w:w="4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2,375</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gridSpan w:val="5"/>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2,375</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57,972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74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Cash, cash equivalents, and restricted cash — end of year</w:t>
            </w:r>
          </w:p>
        </w:tc>
        <w:tc>
          <w:tcPr>
            <w:tcW w:w="20" w:type="dxa"/>
            <w:vAlign w:val="bottom"/>
          </w:tcPr>
          <w:p>
            <w:pPr>
              <w:spacing w:after="0"/>
              <w:rPr>
                <w:sz w:val="17"/>
                <w:szCs w:val="17"/>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tcBorders>
              <w:top w:val="single" w:sz="8" w:color="auto"/>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color w:val="auto"/>
              </w:rPr>
              <w:t>2,375</w:t>
            </w:r>
          </w:p>
        </w:tc>
        <w:tc>
          <w:tcPr>
            <w:tcW w:w="30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440" w:type="dxa"/>
            <w:vAlign w:val="bottom"/>
            <w:tcBorders>
              <w:top w:val="single" w:sz="8" w:color="auto"/>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color w:val="auto"/>
                <w:w w:val="95"/>
              </w:rPr>
              <w:t>57,972</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top w:val="single" w:sz="8" w:color="auto"/>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color w:val="auto"/>
              </w:rPr>
              <w:t>433</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rPr>
              <w:t>53,155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Reconciliation of cash, cash equivalents and restricted cash</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6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gridSpan w:val="5"/>
          </w:tcPr>
          <w:p>
            <w:pPr>
              <w:jc w:val="right"/>
              <w:ind w:right="300"/>
              <w:spacing w:after="0"/>
              <w:rPr>
                <w:sz w:val="20"/>
                <w:szCs w:val="20"/>
                <w:color w:val="auto"/>
              </w:rPr>
            </w:pPr>
            <w:r>
              <w:rPr>
                <w:rFonts w:ascii="Times New Roman" w:cs="Times New Roman" w:eastAsia="Times New Roman" w:hAnsi="Times New Roman"/>
                <w:sz w:val="16"/>
                <w:szCs w:val="16"/>
                <w:color w:val="auto"/>
              </w:rPr>
              <w:t>2,355</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4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w w:val="95"/>
              </w:rPr>
              <w:t>57,952</w:t>
            </w:r>
          </w:p>
        </w:tc>
        <w:tc>
          <w:tcPr>
            <w:tcW w:w="180" w:type="dxa"/>
            <w:vAlign w:val="bottom"/>
          </w:tcPr>
          <w:p>
            <w:pPr>
              <w:spacing w:after="0"/>
              <w:rPr>
                <w:sz w:val="17"/>
                <w:szCs w:val="17"/>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5"/>
          </w:tcPr>
          <w:p>
            <w:pPr>
              <w:jc w:val="right"/>
              <w:ind w:right="200"/>
              <w:spacing w:after="0"/>
              <w:rPr>
                <w:sz w:val="20"/>
                <w:szCs w:val="20"/>
                <w:color w:val="auto"/>
              </w:rPr>
            </w:pPr>
            <w:r>
              <w:rPr>
                <w:rFonts w:ascii="Times New Roman" w:cs="Times New Roman" w:eastAsia="Times New Roman" w:hAnsi="Times New Roman"/>
                <w:sz w:val="16"/>
                <w:szCs w:val="16"/>
                <w:color w:val="auto"/>
              </w:rPr>
              <w:t>413</w:t>
            </w:r>
          </w:p>
        </w:tc>
        <w:tc>
          <w:tcPr>
            <w:tcW w:w="36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53,135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Restricted cash</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gridSpan w:val="5"/>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20</w:t>
            </w:r>
          </w:p>
        </w:tc>
        <w:tc>
          <w:tcPr>
            <w:tcW w:w="80" w:type="dxa"/>
            <w:vAlign w:val="bottom"/>
            <w:shd w:val="clear" w:color="auto" w:fill="CCEEFF"/>
          </w:tcPr>
          <w:p>
            <w:pPr>
              <w:spacing w:after="0"/>
              <w:rPr>
                <w:sz w:val="17"/>
                <w:szCs w:val="17"/>
                <w:color w:val="auto"/>
              </w:rPr>
            </w:pPr>
          </w:p>
        </w:tc>
        <w:tc>
          <w:tcPr>
            <w:tcW w:w="4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gridSpan w:val="5"/>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20</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746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Cash, cash equivalents and restricted cash</w:t>
            </w:r>
          </w:p>
        </w:tc>
        <w:tc>
          <w:tcPr>
            <w:tcW w:w="20" w:type="dxa"/>
            <w:vAlign w:val="bottom"/>
          </w:tcPr>
          <w:p>
            <w:pPr>
              <w:spacing w:after="0"/>
              <w:rPr>
                <w:sz w:val="17"/>
                <w:szCs w:val="17"/>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20" w:type="dxa"/>
            <w:vAlign w:val="bottom"/>
            <w:tcBorders>
              <w:top w:val="single" w:sz="8" w:color="auto"/>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color w:val="auto"/>
              </w:rPr>
              <w:t>2,375</w:t>
            </w:r>
          </w:p>
        </w:tc>
        <w:tc>
          <w:tcPr>
            <w:tcW w:w="30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u w:val="single" w:color="auto"/>
                <w:color w:val="auto"/>
                <w:w w:val="74"/>
              </w:rPr>
              <w:t>$</w:t>
            </w:r>
          </w:p>
        </w:tc>
        <w:tc>
          <w:tcPr>
            <w:tcW w:w="440" w:type="dxa"/>
            <w:vAlign w:val="bottom"/>
            <w:tcBorders>
              <w:top w:val="single" w:sz="8" w:color="auto"/>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color w:val="auto"/>
                <w:w w:val="95"/>
              </w:rPr>
              <w:t>57,972</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top w:val="single" w:sz="8" w:color="auto"/>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color w:val="auto"/>
              </w:rPr>
              <w:t>433</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rPr>
              <w:t>53,155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Supplemental Disclosures Noncash Investing and Financing Activities:</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6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Operating lease right-of-use asset obtained in exchange for operating lease liability</w:t>
            </w:r>
          </w:p>
        </w:tc>
        <w:tc>
          <w:tcPr>
            <w:tcW w:w="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gridSpan w:val="3"/>
          </w:tcPr>
          <w:p>
            <w:pPr>
              <w:jc w:val="right"/>
              <w:ind w:right="380"/>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4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163</w:t>
            </w:r>
          </w:p>
        </w:tc>
        <w:tc>
          <w:tcPr>
            <w:tcW w:w="180" w:type="dxa"/>
            <w:vAlign w:val="bottom"/>
          </w:tcPr>
          <w:p>
            <w:pPr>
              <w:spacing w:after="0"/>
              <w:rPr>
                <w:sz w:val="17"/>
                <w:szCs w:val="17"/>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5"/>
          </w:tcPr>
          <w:p>
            <w:pPr>
              <w:jc w:val="right"/>
              <w:ind w:right="200"/>
              <w:spacing w:after="0"/>
              <w:rPr>
                <w:sz w:val="20"/>
                <w:szCs w:val="20"/>
                <w:color w:val="auto"/>
              </w:rPr>
            </w:pPr>
            <w:r>
              <w:rPr>
                <w:rFonts w:ascii="Times New Roman" w:cs="Times New Roman" w:eastAsia="Times New Roman" w:hAnsi="Times New Roman"/>
                <w:sz w:val="16"/>
                <w:szCs w:val="16"/>
                <w:color w:val="auto"/>
              </w:rPr>
              <w:t>163</w:t>
            </w:r>
          </w:p>
        </w:tc>
        <w:tc>
          <w:tcPr>
            <w:tcW w:w="36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767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4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Settlement of derivative liabilities upon conversion of convertible notes (Note 9)</w:t>
            </w:r>
          </w:p>
        </w:tc>
        <w:tc>
          <w:tcPr>
            <w:tcW w:w="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363</w:t>
            </w:r>
          </w:p>
        </w:tc>
        <w:tc>
          <w:tcPr>
            <w:tcW w:w="180" w:type="dxa"/>
            <w:vAlign w:val="bottom"/>
            <w:shd w:val="clear" w:color="auto" w:fill="CCEEFF"/>
          </w:tcPr>
          <w:p>
            <w:pPr>
              <w:spacing w:after="0"/>
              <w:rPr>
                <w:sz w:val="17"/>
                <w:szCs w:val="17"/>
                <w:color w:val="auto"/>
              </w:rPr>
            </w:pP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700" w:type="dxa"/>
            <w:vAlign w:val="bottom"/>
            <w:gridSpan w:val="4"/>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7"/>
                <w:szCs w:val="17"/>
                <w:color w:val="auto"/>
              </w:rPr>
            </w:pPr>
          </w:p>
        </w:tc>
        <w:tc>
          <w:tcPr>
            <w:tcW w:w="6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7460" w:type="dxa"/>
            <w:vAlign w:val="bottom"/>
            <w:vMerge w:val="restart"/>
          </w:tcPr>
          <w:p>
            <w:pPr>
              <w:ind w:left="640"/>
              <w:spacing w:after="0"/>
              <w:rPr>
                <w:sz w:val="20"/>
                <w:szCs w:val="20"/>
                <w:color w:val="auto"/>
              </w:rPr>
            </w:pPr>
            <w:r>
              <w:rPr>
                <w:rFonts w:ascii="Times New Roman" w:cs="Times New Roman" w:eastAsia="Times New Roman" w:hAnsi="Times New Roman"/>
                <w:sz w:val="16"/>
                <w:szCs w:val="16"/>
                <w:color w:val="auto"/>
              </w:rPr>
              <w:t xml:space="preserve">Additions of property and equipment in accounts payable and other accrued liabilities </w:t>
            </w:r>
            <w:r>
              <w:rPr>
                <w:rFonts w:ascii="Times New Roman" w:cs="Times New Roman" w:eastAsia="Times New Roman" w:hAnsi="Times New Roman"/>
                <w:sz w:val="16"/>
                <w:szCs w:val="16"/>
                <w:i w:val="1"/>
                <w:iCs w:val="1"/>
                <w:color w:val="auto"/>
              </w:rPr>
              <w:t>(Note 3(b))</w:t>
            </w: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746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300" w:type="dxa"/>
            <w:vAlign w:val="bottom"/>
          </w:tcPr>
          <w:p>
            <w:pPr>
              <w:spacing w:after="0"/>
              <w:rPr>
                <w:sz w:val="16"/>
                <w:szCs w:val="16"/>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74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Series B Preferred Stock issuance costs in accounts payable and other accrued liabilities</w:t>
            </w:r>
          </w:p>
        </w:tc>
        <w:tc>
          <w:tcPr>
            <w:tcW w:w="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80" w:type="dxa"/>
            <w:vAlign w:val="bottom"/>
            <w:shd w:val="clear" w:color="auto" w:fill="CCEEFF"/>
          </w:tcPr>
          <w:p>
            <w:pPr>
              <w:spacing w:after="0"/>
              <w:rPr>
                <w:sz w:val="17"/>
                <w:szCs w:val="17"/>
                <w:color w:val="auto"/>
              </w:rPr>
            </w:pP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700" w:type="dxa"/>
            <w:vAlign w:val="bottom"/>
            <w:gridSpan w:val="4"/>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7"/>
                <w:szCs w:val="17"/>
                <w:color w:val="auto"/>
              </w:rPr>
            </w:pPr>
          </w:p>
        </w:tc>
        <w:tc>
          <w:tcPr>
            <w:tcW w:w="6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7460" w:type="dxa"/>
            <w:vAlign w:val="bottom"/>
            <w:vMerge w:val="restart"/>
          </w:tcPr>
          <w:p>
            <w:pPr>
              <w:ind w:left="640"/>
              <w:spacing w:after="0"/>
              <w:rPr>
                <w:sz w:val="20"/>
                <w:szCs w:val="20"/>
                <w:color w:val="auto"/>
              </w:rPr>
            </w:pPr>
            <w:r>
              <w:rPr>
                <w:rFonts w:ascii="Times New Roman" w:cs="Times New Roman" w:eastAsia="Times New Roman" w:hAnsi="Times New Roman"/>
                <w:sz w:val="16"/>
                <w:szCs w:val="16"/>
                <w:color w:val="auto"/>
              </w:rPr>
              <w:t xml:space="preserve">Conversion of convertible notes to Series B Preferred Stock </w:t>
            </w:r>
            <w:r>
              <w:rPr>
                <w:rFonts w:ascii="Times New Roman" w:cs="Times New Roman" w:eastAsia="Times New Roman" w:hAnsi="Times New Roman"/>
                <w:sz w:val="16"/>
                <w:szCs w:val="16"/>
                <w:i w:val="1"/>
                <w:iCs w:val="1"/>
                <w:color w:val="auto"/>
              </w:rPr>
              <w:t>(Note 9)</w:t>
            </w: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746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300" w:type="dxa"/>
            <w:vAlign w:val="bottom"/>
          </w:tcPr>
          <w:p>
            <w:pPr>
              <w:spacing w:after="0"/>
              <w:rPr>
                <w:sz w:val="16"/>
                <w:szCs w:val="16"/>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color w:val="auto"/>
              </w:rPr>
              <w:t>2,410</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gridSpan w:val="3"/>
          </w:tcPr>
          <w:p>
            <w:pPr>
              <w:jc w:val="right"/>
              <w:ind w:right="8"/>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74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Convertible notes issuance costs included in accounts payable and accrued liabilities</w:t>
            </w:r>
          </w:p>
        </w:tc>
        <w:tc>
          <w:tcPr>
            <w:tcW w:w="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gridSpan w:val="3"/>
            <w:shd w:val="clear" w:color="auto" w:fill="CCEEFF"/>
          </w:tcPr>
          <w:p>
            <w:pPr>
              <w:jc w:val="right"/>
              <w:ind w:right="380"/>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0" w:type="dxa"/>
            <w:vAlign w:val="bottom"/>
            <w:shd w:val="clear" w:color="auto" w:fill="CCEEFF"/>
          </w:tcPr>
          <w:p>
            <w:pPr>
              <w:spacing w:after="0"/>
              <w:rPr>
                <w:sz w:val="17"/>
                <w:szCs w:val="17"/>
                <w:color w:val="auto"/>
              </w:rPr>
            </w:pPr>
          </w:p>
        </w:tc>
        <w:tc>
          <w:tcPr>
            <w:tcW w:w="580" w:type="dxa"/>
            <w:vAlign w:val="bottom"/>
            <w:gridSpan w:val="4"/>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5"/>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3</w:t>
            </w:r>
          </w:p>
        </w:tc>
        <w:tc>
          <w:tcPr>
            <w:tcW w:w="36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7"/>
                <w:szCs w:val="17"/>
                <w:color w:val="auto"/>
              </w:rPr>
            </w:pPr>
          </w:p>
        </w:tc>
        <w:tc>
          <w:tcPr>
            <w:tcW w:w="6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7460" w:type="dxa"/>
            <w:vAlign w:val="bottom"/>
            <w:vMerge w:val="restart"/>
          </w:tcPr>
          <w:p>
            <w:pPr>
              <w:ind w:left="640"/>
              <w:spacing w:after="0"/>
              <w:rPr>
                <w:sz w:val="20"/>
                <w:szCs w:val="20"/>
                <w:color w:val="auto"/>
              </w:rPr>
            </w:pPr>
            <w:r>
              <w:rPr>
                <w:rFonts w:ascii="Times New Roman" w:cs="Times New Roman" w:eastAsia="Times New Roman" w:hAnsi="Times New Roman"/>
                <w:sz w:val="16"/>
                <w:szCs w:val="16"/>
                <w:color w:val="auto"/>
              </w:rPr>
              <w:t>Deferred offering costs included in accounts payable and accrued liabilities</w:t>
            </w: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7460" w:type="dxa"/>
            <w:vAlign w:val="bottom"/>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300" w:type="dxa"/>
            <w:vAlign w:val="bottom"/>
          </w:tcPr>
          <w:p>
            <w:pPr>
              <w:spacing w:after="0"/>
              <w:rPr>
                <w:sz w:val="16"/>
                <w:szCs w:val="16"/>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gridSpan w:val="3"/>
          </w:tcPr>
          <w:p>
            <w:pPr>
              <w:jc w:val="right"/>
              <w:ind w:right="8"/>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See accompanying notes to these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F-6</w:t>
      </w:r>
    </w:p>
    <w:p>
      <w:pPr>
        <w:sectPr>
          <w:pgSz w:w="11900" w:h="16838" w:orient="portrait"/>
          <w:cols w:equalWidth="0" w:num="1">
            <w:col w:w="11140"/>
          </w:cols>
          <w:pgMar w:left="320" w:top="455" w:right="439" w:bottom="1440" w:gutter="0" w:footer="0" w:header="0"/>
        </w:sectPr>
      </w:pPr>
    </w:p>
    <w:bookmarkStart w:id="218" w:name="page219"/>
    <w:bookmarkEnd w:id="2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TARSUS PHARMACEUTICALS, INC.</w:t>
      </w:r>
    </w:p>
    <w:p>
      <w:pPr>
        <w:spacing w:after="0" w:line="2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THE FINANCIAL STATEMENTS</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(Information as of June 30, 2020 and thereafter and for the six months ended June 30, 2019 and 2020 is unaudited; all tabular amounts</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presented in thousands, except share, per share, per unit, and number of years)</w:t>
      </w:r>
    </w:p>
    <w:p>
      <w:pPr>
        <w:spacing w:after="0" w:line="203" w:lineRule="exact"/>
        <w:rPr>
          <w:sz w:val="20"/>
          <w:szCs w:val="20"/>
          <w:color w:val="auto"/>
        </w:rPr>
      </w:pPr>
    </w:p>
    <w:p>
      <w:pPr>
        <w:ind w:left="120" w:right="3860"/>
        <w:spacing w:after="0" w:line="377" w:lineRule="auto"/>
        <w:rPr>
          <w:sz w:val="20"/>
          <w:szCs w:val="20"/>
          <w:color w:val="auto"/>
        </w:rPr>
      </w:pPr>
      <w:r>
        <w:rPr>
          <w:rFonts w:ascii="Times New Roman" w:cs="Times New Roman" w:eastAsia="Times New Roman" w:hAnsi="Times New Roman"/>
          <w:sz w:val="18"/>
          <w:szCs w:val="18"/>
          <w:b w:val="1"/>
          <w:bCs w:val="1"/>
          <w:color w:val="auto"/>
        </w:rPr>
        <w:t xml:space="preserve">1. DESCRIPTION OF BUSINESS AND PRESENTATION OF FINANCIAL STATEMENTS </w:t>
      </w:r>
      <w:r>
        <w:rPr>
          <w:rFonts w:ascii="Times New Roman" w:cs="Times New Roman" w:eastAsia="Times New Roman" w:hAnsi="Times New Roman"/>
          <w:sz w:val="18"/>
          <w:szCs w:val="18"/>
          <w:b w:val="1"/>
          <w:bCs w:val="1"/>
          <w:i w:val="1"/>
          <w:iCs w:val="1"/>
          <w:color w:val="auto"/>
        </w:rPr>
        <w:t>(a) Description of Business</w:t>
      </w:r>
    </w:p>
    <w:p>
      <w:pPr>
        <w:spacing w:after="0" w:line="2" w:lineRule="exact"/>
        <w:rPr>
          <w:sz w:val="20"/>
          <w:szCs w:val="20"/>
          <w:color w:val="auto"/>
        </w:rPr>
      </w:pPr>
    </w:p>
    <w:p>
      <w:pPr>
        <w:jc w:val="both"/>
        <w:ind w:left="120" w:right="140" w:firstLine="881"/>
        <w:spacing w:after="0" w:line="266" w:lineRule="auto"/>
        <w:rPr>
          <w:sz w:val="20"/>
          <w:szCs w:val="20"/>
          <w:color w:val="auto"/>
        </w:rPr>
      </w:pPr>
      <w:r>
        <w:rPr>
          <w:rFonts w:ascii="Times New Roman" w:cs="Times New Roman" w:eastAsia="Times New Roman" w:hAnsi="Times New Roman"/>
          <w:sz w:val="18"/>
          <w:szCs w:val="18"/>
          <w:color w:val="auto"/>
        </w:rPr>
        <w:t>Tarsus Pharmaceuticals, Inc. (“Tarsus” or the “Company”) is a late clinical-stage biopharmaceutical company focused on the development and commercialization of novel therapeutic candidates to address large market opportunities initially in ophthalmic conditions where there are limited treatment alternatives.</w:t>
      </w:r>
    </w:p>
    <w:p>
      <w:pPr>
        <w:spacing w:after="0" w:line="1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 Liquidity Risks</w:t>
      </w:r>
    </w:p>
    <w:p>
      <w:pPr>
        <w:spacing w:after="0" w:line="229" w:lineRule="exact"/>
        <w:rPr>
          <w:sz w:val="20"/>
          <w:szCs w:val="20"/>
          <w:color w:val="auto"/>
        </w:rPr>
      </w:pPr>
    </w:p>
    <w:p>
      <w:pPr>
        <w:ind w:left="120" w:right="180" w:firstLine="881"/>
        <w:spacing w:after="0" w:line="255" w:lineRule="auto"/>
        <w:rPr>
          <w:sz w:val="20"/>
          <w:szCs w:val="20"/>
          <w:color w:val="auto"/>
        </w:rPr>
      </w:pPr>
      <w:r>
        <w:rPr>
          <w:rFonts w:ascii="Times New Roman" w:cs="Times New Roman" w:eastAsia="Times New Roman" w:hAnsi="Times New Roman"/>
          <w:sz w:val="18"/>
          <w:szCs w:val="18"/>
          <w:color w:val="auto"/>
        </w:rPr>
        <w:t>The Company has no revenue and incurred losses and negative cash flows from operations since inception, resulting in an accumulated deficit of $6.0 million as of December 31, 2019, and $11.2 million as of June 30, 2020. The Company’s cash and cash equivalents was $2.4 million, $58.0 million, and $53.1 million as of December 31, 2018, December 31, 2019, and June 30, 2020, respectively, and has historically financed its operations primarily through equity capital raises. Additionally, in September 2020, the Company received $40.0 million in gross cash proceeds from the sale of its Series C preferred stock. See Note 12. The Company believes that existing capital resources, including the cash proceeds received from the issuance of Series C preferred stock, will be sufficient to meet projected operating requirements for at least 12 months from the date of issuance of the accompanying financial statements, though expects to incur operating losses and negative cash flows for the foreseeable future.</w:t>
      </w:r>
    </w:p>
    <w:p>
      <w:pPr>
        <w:spacing w:after="0" w:line="189" w:lineRule="exact"/>
        <w:rPr>
          <w:sz w:val="20"/>
          <w:szCs w:val="20"/>
          <w:color w:val="auto"/>
        </w:rPr>
      </w:pPr>
    </w:p>
    <w:p>
      <w:pPr>
        <w:ind w:left="120" w:firstLine="881"/>
        <w:spacing w:after="0" w:line="256" w:lineRule="auto"/>
        <w:rPr>
          <w:sz w:val="20"/>
          <w:szCs w:val="20"/>
          <w:color w:val="auto"/>
        </w:rPr>
      </w:pPr>
      <w:r>
        <w:rPr>
          <w:rFonts w:ascii="Times New Roman" w:cs="Times New Roman" w:eastAsia="Times New Roman" w:hAnsi="Times New Roman"/>
          <w:sz w:val="18"/>
          <w:szCs w:val="18"/>
          <w:color w:val="auto"/>
        </w:rPr>
        <w:t>The Company’s operations have consisted primarily of its organization, securing financing, in-licensing intellectual property, and conducting preclinical and clinical studies. The Company faces risks associated with early-stage biotechnology companies whose product candidates are in development that require significant additional research and development efforts, including extensive preclinical and clinical testing and regulatory approval prior to commercialization. These efforts require the Company to expend large amounts of additional capital to complete research and development, achieve research and development objectives, defend intellectual property rights, and recruit and retain skilled personnel, including key members of management.</w:t>
      </w:r>
    </w:p>
    <w:p>
      <w:pPr>
        <w:spacing w:after="0" w:line="187" w:lineRule="exact"/>
        <w:rPr>
          <w:sz w:val="20"/>
          <w:szCs w:val="20"/>
          <w:color w:val="auto"/>
        </w:rPr>
      </w:pPr>
    </w:p>
    <w:p>
      <w:pPr>
        <w:ind w:left="120" w:right="40" w:firstLine="881"/>
        <w:spacing w:after="0" w:line="253" w:lineRule="auto"/>
        <w:rPr>
          <w:sz w:val="20"/>
          <w:szCs w:val="20"/>
          <w:color w:val="auto"/>
        </w:rPr>
      </w:pPr>
      <w:r>
        <w:rPr>
          <w:rFonts w:ascii="Times New Roman" w:cs="Times New Roman" w:eastAsia="Times New Roman" w:hAnsi="Times New Roman"/>
          <w:sz w:val="18"/>
          <w:szCs w:val="18"/>
          <w:color w:val="auto"/>
        </w:rPr>
        <w:t>If the Company raises additional funds by issuing equity securities, its stockholders may experience dilution. Any future debt financing into which the Company enters may impose additional covenants that restrict operations, including limitations on its ability to incur liens or additional debt, pay dividends, repurchase common stock, make certain investments or engage in certain merger, consolidation or asset sale transactions. Any debt financing or additional equity raise may contain terms that are not favorable to the Company or its stockholders. Further, adequate funding may not be available on acceptable terms, or at all. The Company’s potential inability to raise capital when needed could have a negative impact on its financial condition and ability to pursue planned business strategies. If the Company is unable to raise additional funds as required, it may need to delay, reduce, or terminate some or all its development programs and clinical trials. The Company may also be required to sell or license its rights to product candidates in certain territories or indications that it would otherwise prefer to develop and commercialize on its own. If the Company is required to enter into collaborations and other arrangements to address its liquidity needs, it may have to give up certain rights that limit its ability to develop and commercialize product candidates or may have other terms that are not favorable to the Company or its stockholders, which could materially and adversely affect its business and financial prospects.</w:t>
      </w:r>
    </w:p>
    <w:p>
      <w:pPr>
        <w:spacing w:after="0" w:line="12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F-7</w:t>
      </w:r>
    </w:p>
    <w:p>
      <w:pPr>
        <w:sectPr>
          <w:pgSz w:w="11900" w:h="16838" w:orient="portrait"/>
          <w:cols w:equalWidth="0" w:num="1">
            <w:col w:w="11100"/>
          </w:cols>
          <w:pgMar w:left="320" w:top="455" w:right="479" w:bottom="1440" w:gutter="0" w:footer="0" w:header="0"/>
        </w:sectPr>
      </w:pPr>
    </w:p>
    <w:bookmarkStart w:id="219" w:name="page220"/>
    <w:bookmarkEnd w:id="2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TARSUS PHARMACEUTICALS, INC.</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THE FINANCIAL STATEMENTS</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(Information as of June 30, 2020 and thereafter and for the six months ended June 30, 2019 and 2020 is unaudited; all tabular amounts</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presented in thousands, except share, per share, per unit, and number of years)</w:t>
      </w:r>
    </w:p>
    <w:p>
      <w:pPr>
        <w:spacing w:after="0" w:line="2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 Operating Segment</w:t>
      </w:r>
    </w:p>
    <w:p>
      <w:pPr>
        <w:spacing w:after="0" w:line="229" w:lineRule="exact"/>
        <w:rPr>
          <w:sz w:val="20"/>
          <w:szCs w:val="20"/>
          <w:color w:val="auto"/>
        </w:rPr>
      </w:pPr>
    </w:p>
    <w:p>
      <w:pPr>
        <w:jc w:val="both"/>
        <w:ind w:left="120" w:right="60" w:firstLine="881"/>
        <w:spacing w:after="0" w:line="266" w:lineRule="auto"/>
        <w:rPr>
          <w:sz w:val="20"/>
          <w:szCs w:val="20"/>
          <w:color w:val="auto"/>
        </w:rPr>
      </w:pPr>
      <w:r>
        <w:rPr>
          <w:rFonts w:ascii="Times New Roman" w:cs="Times New Roman" w:eastAsia="Times New Roman" w:hAnsi="Times New Roman"/>
          <w:sz w:val="18"/>
          <w:szCs w:val="18"/>
          <w:color w:val="auto"/>
        </w:rPr>
        <w:t>To date, the Company has operated and managed its business and financial information on an aggregate basis for the purposes of evaluating financial performance and the allocation of resources. Accordingly, the Company’s management determined that it operates in one reportable operating segment that is focused exclusively on developing pharmaceutical products for commercialization.</w:t>
      </w:r>
    </w:p>
    <w:p>
      <w:pPr>
        <w:spacing w:after="0" w:line="1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 Emerging Growth Company Status</w:t>
      </w:r>
    </w:p>
    <w:p>
      <w:pPr>
        <w:spacing w:after="0" w:line="229" w:lineRule="exact"/>
        <w:rPr>
          <w:sz w:val="20"/>
          <w:szCs w:val="20"/>
          <w:color w:val="auto"/>
        </w:rPr>
      </w:pPr>
    </w:p>
    <w:p>
      <w:pPr>
        <w:ind w:left="120" w:right="100" w:firstLine="881"/>
        <w:spacing w:after="0" w:line="258" w:lineRule="auto"/>
        <w:rPr>
          <w:sz w:val="20"/>
          <w:szCs w:val="20"/>
          <w:color w:val="auto"/>
        </w:rPr>
      </w:pPr>
      <w:r>
        <w:rPr>
          <w:rFonts w:ascii="Times New Roman" w:cs="Times New Roman" w:eastAsia="Times New Roman" w:hAnsi="Times New Roman"/>
          <w:sz w:val="18"/>
          <w:szCs w:val="18"/>
          <w:color w:val="auto"/>
        </w:rPr>
        <w:t>The Company is an emerging growth company, as defined in the Jumpstart Our Business Startups Act of 2012, or the JOBS Act. Under the JOBS Act, emerging growth companies can delay adopting new or revised accounting standards issued subsequent to the enactment of the JOBS Act until such time as those standards apply to private companies. The Company has irrevocably elected to not take this exemption and, as a result, will adopt new or revised accounting standards on the relevant effective dates on which adoption of such standards is required for other public companies that are not emerging growth companies.</w:t>
      </w:r>
    </w:p>
    <w:p>
      <w:pPr>
        <w:spacing w:after="0" w:line="1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 Unaudited Interim Financial Information</w:t>
      </w:r>
    </w:p>
    <w:p>
      <w:pPr>
        <w:spacing w:after="0" w:line="229" w:lineRule="exact"/>
        <w:rPr>
          <w:sz w:val="20"/>
          <w:szCs w:val="20"/>
          <w:color w:val="auto"/>
        </w:rPr>
      </w:pPr>
    </w:p>
    <w:p>
      <w:pPr>
        <w:ind w:left="120" w:firstLine="881"/>
        <w:spacing w:after="0" w:line="255" w:lineRule="auto"/>
        <w:rPr>
          <w:sz w:val="20"/>
          <w:szCs w:val="20"/>
          <w:color w:val="auto"/>
        </w:rPr>
      </w:pPr>
      <w:r>
        <w:rPr>
          <w:rFonts w:ascii="Times New Roman" w:cs="Times New Roman" w:eastAsia="Times New Roman" w:hAnsi="Times New Roman"/>
          <w:sz w:val="18"/>
          <w:szCs w:val="18"/>
          <w:color w:val="auto"/>
        </w:rPr>
        <w:t>The interim condensed balance sheet as of June 30, 2020, and the interim condensed statements of operations and comprehensive loss, changes in preferred stock and stockholders’ deficit and cash flows for the six months ended June 30, 2019 and 2020 are unaudited. These unaudited interim financial statements have been prepared on the same basis as the Company’s annual financial statements and, in the opinion of management, reflect all adjustments, which consist of only normal recurring adjustments, necessary for the fair statement of the Company’s financial information. The financial data and other information disclosed in these notes related to the six month periods are also unaudited. The condensed interim results for the six months ended June 30, 2020 are not necessarily indicative of results to be expected for the year ending December 31, 2020, any other interim periods or any future year or period.</w:t>
      </w:r>
    </w:p>
    <w:p>
      <w:pPr>
        <w:spacing w:after="0" w:line="1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 Unaudited Pro Forma Information</w:t>
      </w:r>
    </w:p>
    <w:p>
      <w:pPr>
        <w:spacing w:after="0" w:line="229" w:lineRule="exact"/>
        <w:rPr>
          <w:sz w:val="20"/>
          <w:szCs w:val="20"/>
          <w:color w:val="auto"/>
        </w:rPr>
      </w:pPr>
    </w:p>
    <w:p>
      <w:pPr>
        <w:ind w:left="120" w:right="180" w:firstLine="881"/>
        <w:spacing w:after="0" w:line="258" w:lineRule="auto"/>
        <w:rPr>
          <w:sz w:val="20"/>
          <w:szCs w:val="20"/>
          <w:color w:val="auto"/>
        </w:rPr>
      </w:pPr>
      <w:r>
        <w:rPr>
          <w:rFonts w:ascii="Times New Roman" w:cs="Times New Roman" w:eastAsia="Times New Roman" w:hAnsi="Times New Roman"/>
          <w:sz w:val="18"/>
          <w:szCs w:val="18"/>
          <w:color w:val="auto"/>
        </w:rPr>
        <w:t>The unaudited pro forma stockholders’ equity in the accompanying balance sheet as of June 30, 2020 assumes the conversion of all of the outstanding preferred stock of the Company on a one-to-one basis into 82,498,619 shares of common stock immediately prior to the completion of the Company’s planned initial public offering (“IPO”). The unaudited pro forma stockholders’ equity in the balance sheet assumes that the completion of the IPO had occurred as of June 30, 2020 and excludes shares of the Company’s common stock issued in the proposed IPO and any related proceeds therefrom.</w:t>
      </w:r>
    </w:p>
    <w:p>
      <w:pPr>
        <w:spacing w:after="0" w:line="183" w:lineRule="exact"/>
        <w:rPr>
          <w:sz w:val="20"/>
          <w:szCs w:val="20"/>
          <w:color w:val="auto"/>
        </w:rPr>
      </w:pPr>
    </w:p>
    <w:p>
      <w:pPr>
        <w:ind w:left="120" w:right="220" w:firstLine="881"/>
        <w:spacing w:after="0" w:line="282" w:lineRule="auto"/>
        <w:rPr>
          <w:sz w:val="20"/>
          <w:szCs w:val="20"/>
          <w:color w:val="auto"/>
        </w:rPr>
      </w:pPr>
      <w:r>
        <w:rPr>
          <w:rFonts w:ascii="Times New Roman" w:cs="Times New Roman" w:eastAsia="Times New Roman" w:hAnsi="Times New Roman"/>
          <w:sz w:val="18"/>
          <w:szCs w:val="18"/>
          <w:color w:val="auto"/>
        </w:rPr>
        <w:t>The unaudited pro forma net loss per share information for the six months ended June 30, 2020 assumes the conversion of all outstanding preferred stock into 82,498,619 shares of the Company’s common stock at the beginning of the period or the date of issuance, if later.</w:t>
      </w:r>
    </w:p>
    <w:p>
      <w:pPr>
        <w:spacing w:after="0" w:line="158" w:lineRule="exact"/>
        <w:rPr>
          <w:sz w:val="20"/>
          <w:szCs w:val="20"/>
          <w:color w:val="auto"/>
        </w:rPr>
      </w:pPr>
    </w:p>
    <w:p>
      <w:pPr>
        <w:ind w:left="120" w:right="3920"/>
        <w:spacing w:after="0" w:line="378" w:lineRule="auto"/>
        <w:rPr>
          <w:sz w:val="20"/>
          <w:szCs w:val="20"/>
          <w:color w:val="auto"/>
        </w:rPr>
      </w:pPr>
      <w:r>
        <w:rPr>
          <w:rFonts w:ascii="Times New Roman" w:cs="Times New Roman" w:eastAsia="Times New Roman" w:hAnsi="Times New Roman"/>
          <w:sz w:val="18"/>
          <w:szCs w:val="18"/>
          <w:b w:val="1"/>
          <w:bCs w:val="1"/>
          <w:color w:val="auto"/>
        </w:rPr>
        <w:t xml:space="preserve">2. SUMMARY OF SIGNIFICANT ACCOUNTING POLICIES AND USE OF ESTIMATES </w:t>
      </w:r>
      <w:r>
        <w:rPr>
          <w:rFonts w:ascii="Times New Roman" w:cs="Times New Roman" w:eastAsia="Times New Roman" w:hAnsi="Times New Roman"/>
          <w:sz w:val="18"/>
          <w:szCs w:val="18"/>
          <w:b w:val="1"/>
          <w:bCs w:val="1"/>
          <w:i w:val="1"/>
          <w:iCs w:val="1"/>
          <w:color w:val="auto"/>
        </w:rPr>
        <w:t>(i) Basis of Presentation</w:t>
      </w:r>
    </w:p>
    <w:p>
      <w:pPr>
        <w:ind w:left="120" w:right="120" w:firstLine="881"/>
        <w:spacing w:after="0" w:line="282"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generally accepted accounting principles (“GAAP”) and with the rules and regulations of the Securities and Exchange Commission (“SEC”)</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F-8</w:t>
      </w:r>
    </w:p>
    <w:p>
      <w:pPr>
        <w:sectPr>
          <w:pgSz w:w="11900" w:h="16838" w:orient="portrait"/>
          <w:cols w:equalWidth="0" w:num="1">
            <w:col w:w="11120"/>
          </w:cols>
          <w:pgMar w:left="320" w:top="455" w:right="459" w:bottom="1440" w:gutter="0" w:footer="0" w:header="0"/>
        </w:sectPr>
      </w:pPr>
    </w:p>
    <w:bookmarkStart w:id="220" w:name="page221"/>
    <w:bookmarkEnd w:id="2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TARSUS PHARMACEUTICALS, INC.</w:t>
      </w:r>
    </w:p>
    <w:p>
      <w:pPr>
        <w:spacing w:after="0" w:line="22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NOTES TO THE FINANCIAL STATEMENTS</w:t>
      </w:r>
    </w:p>
    <w:p>
      <w:pPr>
        <w:spacing w:after="0" w:line="3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(Information as of June 30, 2020 and thereafter and for the six months ended June 30, 2019 and 2020 is unaudited; all tabular amounts</w:t>
      </w:r>
    </w:p>
    <w:p>
      <w:pPr>
        <w:spacing w:after="0" w:line="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presented in thousands, except share, per share, per unit, and number of years)</w:t>
      </w:r>
    </w:p>
    <w:p>
      <w:pPr>
        <w:spacing w:after="0" w:line="234" w:lineRule="exact"/>
        <w:rPr>
          <w:sz w:val="20"/>
          <w:szCs w:val="20"/>
          <w:color w:val="auto"/>
        </w:rPr>
      </w:pPr>
    </w:p>
    <w:p>
      <w:pPr>
        <w:ind w:left="120" w:right="280"/>
        <w:spacing w:after="0" w:line="270" w:lineRule="auto"/>
        <w:rPr>
          <w:sz w:val="20"/>
          <w:szCs w:val="20"/>
          <w:color w:val="auto"/>
        </w:rPr>
      </w:pPr>
      <w:r>
        <w:rPr>
          <w:rFonts w:ascii="Times New Roman" w:cs="Times New Roman" w:eastAsia="Times New Roman" w:hAnsi="Times New Roman"/>
          <w:sz w:val="17"/>
          <w:szCs w:val="17"/>
          <w:color w:val="auto"/>
        </w:rPr>
        <w:t>requires management to make informed estimates and assumptions that affect the amounts reported in these financial statements and accompanying notes. These amounts may materially differ from the amounts ultimately realized and reported due to the inherent uncertainty of any estimate or assumption. On an on-going basis, management evaluates its most critical estimates and assumptions, including those related to the (i) fair value of stock awards and periodic expense recognition of stock-based compensation, (ii) the realization of income tax assets and estimates of tax liabilities,</w:t>
      </w:r>
    </w:p>
    <w:p>
      <w:pPr>
        <w:spacing w:after="0" w:line="3" w:lineRule="exact"/>
        <w:rPr>
          <w:sz w:val="20"/>
          <w:szCs w:val="20"/>
          <w:color w:val="auto"/>
        </w:rPr>
      </w:pPr>
    </w:p>
    <w:p>
      <w:pPr>
        <w:ind w:left="120" w:right="640" w:hanging="4"/>
        <w:spacing w:after="0" w:line="260" w:lineRule="auto"/>
        <w:tabs>
          <w:tab w:leader="none" w:pos="435"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 accruals related to research and development activities, including clinical trials, and (iv) valuation of convertible notes, derivative instruments, and preferred stock.</w:t>
      </w:r>
    </w:p>
    <w:p>
      <w:pPr>
        <w:spacing w:after="0" w:line="181" w:lineRule="exact"/>
        <w:rPr>
          <w:sz w:val="20"/>
          <w:szCs w:val="20"/>
          <w:color w:val="auto"/>
        </w:rPr>
      </w:pPr>
    </w:p>
    <w:p>
      <w:pPr>
        <w:ind w:left="120" w:right="520" w:firstLine="881"/>
        <w:spacing w:after="0" w:line="282" w:lineRule="auto"/>
        <w:rPr>
          <w:sz w:val="20"/>
          <w:szCs w:val="20"/>
          <w:color w:val="auto"/>
        </w:rPr>
      </w:pPr>
      <w:r>
        <w:rPr>
          <w:rFonts w:ascii="Times New Roman" w:cs="Times New Roman" w:eastAsia="Times New Roman" w:hAnsi="Times New Roman"/>
          <w:sz w:val="18"/>
          <w:szCs w:val="18"/>
          <w:color w:val="auto"/>
        </w:rPr>
        <w:t>Accounting policies and estimates that most significantly impact the presented amounts within these financial statements are further described below:</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(ii) Cash and Cash Equivalents</w:t>
      </w:r>
    </w:p>
    <w:p>
      <w:pPr>
        <w:spacing w:after="0" w:line="229" w:lineRule="exact"/>
        <w:rPr>
          <w:sz w:val="20"/>
          <w:szCs w:val="20"/>
          <w:color w:val="auto"/>
        </w:rPr>
      </w:pPr>
    </w:p>
    <w:p>
      <w:pPr>
        <w:ind w:left="120" w:right="260" w:firstLine="881"/>
        <w:spacing w:after="0" w:line="282" w:lineRule="auto"/>
        <w:rPr>
          <w:sz w:val="20"/>
          <w:szCs w:val="20"/>
          <w:color w:val="auto"/>
        </w:rPr>
      </w:pPr>
      <w:r>
        <w:rPr>
          <w:rFonts w:ascii="Times New Roman" w:cs="Times New Roman" w:eastAsia="Times New Roman" w:hAnsi="Times New Roman"/>
          <w:sz w:val="18"/>
          <w:szCs w:val="18"/>
          <w:color w:val="auto"/>
        </w:rPr>
        <w:t>Cash and cash equivalents consist of bank deposits and highly liquid investments, including money market fund accounts, with original maturities of three months or less from the purchase date.</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(iii) Restricted Cash</w:t>
      </w:r>
    </w:p>
    <w:p>
      <w:pPr>
        <w:spacing w:after="0" w:line="229" w:lineRule="exact"/>
        <w:rPr>
          <w:sz w:val="20"/>
          <w:szCs w:val="20"/>
          <w:color w:val="auto"/>
        </w:rPr>
      </w:pPr>
    </w:p>
    <w:p>
      <w:pPr>
        <w:ind w:left="120" w:firstLine="881"/>
        <w:spacing w:after="0" w:line="282" w:lineRule="auto"/>
        <w:rPr>
          <w:sz w:val="20"/>
          <w:szCs w:val="20"/>
          <w:color w:val="auto"/>
        </w:rPr>
      </w:pPr>
      <w:r>
        <w:rPr>
          <w:rFonts w:ascii="Times New Roman" w:cs="Times New Roman" w:eastAsia="Times New Roman" w:hAnsi="Times New Roman"/>
          <w:sz w:val="18"/>
          <w:szCs w:val="18"/>
          <w:color w:val="auto"/>
        </w:rPr>
        <w:t>Restricted cash represents cash held as collateral for the Company’s corporate credit card program. Any cash that is legally or contractually restricted from immediate use is classified as restricted cash.</w:t>
      </w:r>
    </w:p>
    <w:p>
      <w:pPr>
        <w:spacing w:after="0" w:line="162" w:lineRule="exact"/>
        <w:rPr>
          <w:sz w:val="20"/>
          <w:szCs w:val="20"/>
          <w:color w:val="auto"/>
        </w:rPr>
      </w:pPr>
    </w:p>
    <w:p>
      <w:pPr>
        <w:ind w:left="120" w:right="80" w:firstLine="881"/>
        <w:spacing w:after="0" w:line="261" w:lineRule="auto"/>
        <w:rPr>
          <w:sz w:val="20"/>
          <w:szCs w:val="20"/>
          <w:color w:val="auto"/>
        </w:rPr>
      </w:pPr>
      <w:r>
        <w:rPr>
          <w:rFonts w:ascii="Times New Roman" w:cs="Times New Roman" w:eastAsia="Times New Roman" w:hAnsi="Times New Roman"/>
          <w:sz w:val="18"/>
          <w:szCs w:val="18"/>
          <w:color w:val="auto"/>
        </w:rPr>
        <w:t xml:space="preserve">In November 2016, the Financial Accounting Standards Board (“FASB”) issued Accounting Standards Update (“ASU”) No. 2016-18, </w:t>
      </w:r>
      <w:r>
        <w:rPr>
          <w:rFonts w:ascii="Times New Roman" w:cs="Times New Roman" w:eastAsia="Times New Roman" w:hAnsi="Times New Roman"/>
          <w:sz w:val="18"/>
          <w:szCs w:val="18"/>
          <w:i w:val="1"/>
          <w:iCs w:val="1"/>
          <w:color w:val="auto"/>
        </w:rPr>
        <w:t xml:space="preserve">Statement of Cash Flows (Topic 230): Restricted Cash </w:t>
      </w:r>
      <w:r>
        <w:rPr>
          <w:rFonts w:ascii="Times New Roman" w:cs="Times New Roman" w:eastAsia="Times New Roman" w:hAnsi="Times New Roman"/>
          <w:sz w:val="18"/>
          <w:szCs w:val="18"/>
          <w:color w:val="auto"/>
        </w:rPr>
        <w:t>(“ASU 2016-18”), which requires companies to include restricted cash and restricted cash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equivalents in cash and cash equivalents when reconciling beginning-of-period and end-of-period total amounts shown on the statement of cash flows. The Company early adopted </w:t>
      </w:r>
      <w:r>
        <w:rPr>
          <w:rFonts w:ascii="Times New Roman" w:cs="Times New Roman" w:eastAsia="Times New Roman" w:hAnsi="Times New Roman"/>
          <w:sz w:val="18"/>
          <w:szCs w:val="18"/>
          <w:i w:val="1"/>
          <w:iCs w:val="1"/>
          <w:color w:val="auto"/>
        </w:rPr>
        <w:t>ASU 2016-18</w:t>
      </w:r>
      <w:r>
        <w:rPr>
          <w:rFonts w:ascii="Times New Roman" w:cs="Times New Roman" w:eastAsia="Times New Roman" w:hAnsi="Times New Roman"/>
          <w:sz w:val="18"/>
          <w:szCs w:val="18"/>
          <w:color w:val="auto"/>
        </w:rPr>
        <w:t xml:space="preserve"> on January 1, 2018, as reflected in the accompanying Statements of Cash Flows.</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(iv) Concentration of Credit Risk and Other Risks and Uncertainties</w:t>
      </w:r>
    </w:p>
    <w:p>
      <w:pPr>
        <w:spacing w:after="0" w:line="229" w:lineRule="exact"/>
        <w:rPr>
          <w:sz w:val="20"/>
          <w:szCs w:val="20"/>
          <w:color w:val="auto"/>
        </w:rPr>
      </w:pPr>
    </w:p>
    <w:p>
      <w:pPr>
        <w:ind w:left="120" w:right="240" w:firstLine="881"/>
        <w:spacing w:after="0" w:line="282"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significant concentrations of credit risk consist primarily of cash and cash equivalents in deposits at financial institutions that exceed federally insured limits.</w:t>
      </w:r>
    </w:p>
    <w:p>
      <w:pPr>
        <w:spacing w:after="0" w:line="162" w:lineRule="exact"/>
        <w:rPr>
          <w:sz w:val="20"/>
          <w:szCs w:val="20"/>
          <w:color w:val="auto"/>
        </w:rPr>
      </w:pPr>
    </w:p>
    <w:p>
      <w:pPr>
        <w:jc w:val="both"/>
        <w:ind w:left="120" w:right="80" w:firstLine="881"/>
        <w:spacing w:after="0" w:line="261" w:lineRule="auto"/>
        <w:rPr>
          <w:sz w:val="20"/>
          <w:szCs w:val="20"/>
          <w:color w:val="auto"/>
        </w:rPr>
      </w:pPr>
      <w:r>
        <w:rPr>
          <w:rFonts w:ascii="Times New Roman" w:cs="Times New Roman" w:eastAsia="Times New Roman" w:hAnsi="Times New Roman"/>
          <w:sz w:val="18"/>
          <w:szCs w:val="18"/>
          <w:color w:val="auto"/>
        </w:rPr>
        <w:t>In March 2020, the World Health Organization declared a pandemic related to the global novel coronavirus disease 2019 (“COVID-19”) outbreak. The Company’s operations have not been significantly impacted by the COVID-19 pandemic. The Company has been carefully monitoring the potential impact COVID-19 may have on the Company’s business. However, the Company cannot at this time predict the specific extent, duration, or full impact that the COVID-19 outbreak will have on its financial condition and operations, including ongoing and planned clinical trials.</w:t>
      </w:r>
    </w:p>
    <w:p>
      <w:pPr>
        <w:spacing w:after="0" w:line="180" w:lineRule="exact"/>
        <w:rPr>
          <w:sz w:val="20"/>
          <w:szCs w:val="20"/>
          <w:color w:val="auto"/>
        </w:rPr>
      </w:pPr>
    </w:p>
    <w:p>
      <w:pPr>
        <w:ind w:left="120" w:right="80" w:firstLine="881"/>
        <w:spacing w:after="0" w:line="261" w:lineRule="auto"/>
        <w:rPr>
          <w:sz w:val="20"/>
          <w:szCs w:val="20"/>
          <w:color w:val="auto"/>
        </w:rPr>
      </w:pPr>
      <w:r>
        <w:rPr>
          <w:rFonts w:ascii="Times New Roman" w:cs="Times New Roman" w:eastAsia="Times New Roman" w:hAnsi="Times New Roman"/>
          <w:sz w:val="18"/>
          <w:szCs w:val="18"/>
          <w:color w:val="auto"/>
        </w:rPr>
        <w:t>The Company’s results of operations involve numerous risks and uncertainties. Factors that could affect the Company’s operating results and cause actual results to vary materially from expectations include, but are not limited to, uncertainty of results of clinical trials, uncertainty of regulatory approval of the Company’s potential product candidates, including TP-03 for ophthalmic conditions, TP-04 for treatment of skin conditions and TP-05</w:t>
      </w:r>
    </w:p>
    <w:p>
      <w:pPr>
        <w:spacing w:after="0" w:line="112"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F-9</w:t>
      </w:r>
    </w:p>
    <w:p>
      <w:pPr>
        <w:sectPr>
          <w:pgSz w:w="11900" w:h="16838" w:orient="portrait"/>
          <w:cols w:equalWidth="0" w:num="1">
            <w:col w:w="11020"/>
          </w:cols>
          <w:pgMar w:left="320" w:top="455" w:right="559" w:bottom="1440" w:gutter="0" w:footer="0" w:header="0"/>
        </w:sectPr>
      </w:pPr>
    </w:p>
    <w:bookmarkStart w:id="221" w:name="page222"/>
    <w:bookmarkEnd w:id="2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TARSUS PHARMACEUTICALS, INC.</w:t>
      </w:r>
    </w:p>
    <w:p>
      <w:pPr>
        <w:spacing w:after="0" w:line="22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NOTES TO THE FINANCIAL STATEMENTS</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(Information as of June 30, 2020 and thereafter and for the six months ended June 30, 2019 and 2020 is unaudited; all tabular amounts</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presented in thousands, except share, per share, per unit, and number of years)</w:t>
      </w:r>
    </w:p>
    <w:p>
      <w:pPr>
        <w:spacing w:after="0" w:line="234" w:lineRule="exact"/>
        <w:rPr>
          <w:sz w:val="20"/>
          <w:szCs w:val="20"/>
          <w:color w:val="auto"/>
        </w:rPr>
      </w:pPr>
    </w:p>
    <w:p>
      <w:pPr>
        <w:jc w:val="both"/>
        <w:ind w:left="120" w:right="400"/>
        <w:spacing w:after="0" w:line="266" w:lineRule="auto"/>
        <w:rPr>
          <w:sz w:val="20"/>
          <w:szCs w:val="20"/>
          <w:color w:val="auto"/>
        </w:rPr>
      </w:pPr>
      <w:r>
        <w:rPr>
          <w:rFonts w:ascii="Times New Roman" w:cs="Times New Roman" w:eastAsia="Times New Roman" w:hAnsi="Times New Roman"/>
          <w:sz w:val="18"/>
          <w:szCs w:val="18"/>
          <w:color w:val="auto"/>
        </w:rPr>
        <w:t>for prophylaxis of Lyme and community malaria reduction, uncertainty of market acceptance of its product candidates, competition from substitute products and larger companies, securing and protecting proprietary technology, strategic relationships and dependence on key individuals and sole source suppliers.</w:t>
      </w:r>
    </w:p>
    <w:p>
      <w:pPr>
        <w:spacing w:after="0" w:line="176" w:lineRule="exact"/>
        <w:rPr>
          <w:sz w:val="20"/>
          <w:szCs w:val="20"/>
          <w:color w:val="auto"/>
        </w:rPr>
      </w:pPr>
    </w:p>
    <w:p>
      <w:pPr>
        <w:ind w:left="120" w:right="100" w:firstLine="881"/>
        <w:spacing w:after="0" w:line="261" w:lineRule="auto"/>
        <w:rPr>
          <w:sz w:val="20"/>
          <w:szCs w:val="20"/>
          <w:color w:val="auto"/>
        </w:rPr>
      </w:pPr>
      <w:r>
        <w:rPr>
          <w:rFonts w:ascii="Times New Roman" w:cs="Times New Roman" w:eastAsia="Times New Roman" w:hAnsi="Times New Roman"/>
          <w:sz w:val="18"/>
          <w:szCs w:val="18"/>
          <w:color w:val="auto"/>
        </w:rPr>
        <w:t>The Company’s product candidates require approvals from the U.S. Food and Drug Administration (“FDA”) and comparable foreign regulatory agencies prior to commercial sales in their respective jurisdictions. There can be no assurance that any product candidates will receive the necessary approvals. If the Company is denied approval, approval is delayed or the Company is unable to maintain approval for any product candidate, it could have a materially adverse impact on the business.</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(v) Property and Equipment</w:t>
      </w:r>
    </w:p>
    <w:p>
      <w:pPr>
        <w:spacing w:after="0" w:line="229" w:lineRule="exact"/>
        <w:rPr>
          <w:sz w:val="20"/>
          <w:szCs w:val="20"/>
          <w:color w:val="auto"/>
        </w:rPr>
      </w:pPr>
    </w:p>
    <w:p>
      <w:pPr>
        <w:ind w:left="120" w:right="140" w:firstLine="881"/>
        <w:spacing w:after="0" w:line="254" w:lineRule="auto"/>
        <w:rPr>
          <w:sz w:val="20"/>
          <w:szCs w:val="20"/>
          <w:color w:val="auto"/>
        </w:rPr>
      </w:pPr>
      <w:r>
        <w:rPr>
          <w:rFonts w:ascii="Times New Roman" w:cs="Times New Roman" w:eastAsia="Times New Roman" w:hAnsi="Times New Roman"/>
          <w:sz w:val="18"/>
          <w:szCs w:val="18"/>
          <w:color w:val="auto"/>
        </w:rPr>
        <w:t>Property and equipment is stated at historical cost and is depreciated on a straight-line basis over an estimated useful life that corresponds with its designated asset category. Leasehold improvements are amortized on a straight-line basis over the shorter of the remaining lease term or the estimated useful lives of related improvements. The Company evaluates the recoverability of “long-lived assets” (which includes property and equipment) whenever events or changes in circumstances in the business indicate that the asset’s carrying amount may not be recoverable. Recoverability of these assets is measured by a comparison of the carrying amounts to the sum of the future undiscounted cash flows the assets are expected to generate over the remaining useful lives of the assets. If a long-lived asset fails a recoverability test, the Company measures the amount by which the carrying value of the asset exceeds its fair value. There were no events or changes in business circumstances during the years ended December 31, 2018 and 2019 or the six months ended June 30, 2020 that indicated the carrying amounts of any long-lived assets were not fully recoverable.</w:t>
      </w:r>
    </w:p>
    <w:p>
      <w:pPr>
        <w:spacing w:after="0" w:line="1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(vi) Derivative Instruments</w:t>
      </w:r>
    </w:p>
    <w:p>
      <w:pPr>
        <w:spacing w:after="0" w:line="229" w:lineRule="exact"/>
        <w:rPr>
          <w:sz w:val="20"/>
          <w:szCs w:val="20"/>
          <w:color w:val="auto"/>
        </w:rPr>
      </w:pPr>
    </w:p>
    <w:p>
      <w:pPr>
        <w:ind w:left="120" w:right="180" w:firstLine="881"/>
        <w:spacing w:after="0" w:line="258" w:lineRule="auto"/>
        <w:rPr>
          <w:sz w:val="20"/>
          <w:szCs w:val="20"/>
          <w:color w:val="auto"/>
        </w:rPr>
      </w:pPr>
      <w:r>
        <w:rPr>
          <w:rFonts w:ascii="Times New Roman" w:cs="Times New Roman" w:eastAsia="Times New Roman" w:hAnsi="Times New Roman"/>
          <w:sz w:val="18"/>
          <w:szCs w:val="18"/>
          <w:color w:val="auto"/>
        </w:rPr>
        <w:t xml:space="preserve">The convertible notes issued in May 2019, August 2019, and October 2019 contained embedded derivative instruments, representing “contingent redemption options”. The contingent redemption options met the requirements for separate accounting and were accounted for as a single derivative instrument for each tranche of the convertible notes. The derivative instruments were recorded at fair value at inception and were subject to remeasurement to fair value, with any changes in estimated fair value recognized as a component of “other (expense) income” in the Statements of Operations and Comprehensive Loss (see </w:t>
      </w:r>
      <w:r>
        <w:rPr>
          <w:rFonts w:ascii="Times New Roman" w:cs="Times New Roman" w:eastAsia="Times New Roman" w:hAnsi="Times New Roman"/>
          <w:sz w:val="18"/>
          <w:szCs w:val="18"/>
          <w:i w:val="1"/>
          <w:iCs w:val="1"/>
          <w:color w:val="auto"/>
        </w:rPr>
        <w:t>Note 8</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(vii) Research and Development Costs</w:t>
      </w:r>
    </w:p>
    <w:p>
      <w:pPr>
        <w:spacing w:after="0" w:line="229" w:lineRule="exact"/>
        <w:rPr>
          <w:sz w:val="20"/>
          <w:szCs w:val="20"/>
          <w:color w:val="auto"/>
        </w:rPr>
      </w:pPr>
    </w:p>
    <w:p>
      <w:pPr>
        <w:ind w:left="120" w:firstLine="881"/>
        <w:spacing w:after="0" w:line="255" w:lineRule="auto"/>
        <w:rPr>
          <w:sz w:val="20"/>
          <w:szCs w:val="20"/>
          <w:color w:val="auto"/>
        </w:rPr>
      </w:pPr>
      <w:r>
        <w:rPr>
          <w:rFonts w:ascii="Times New Roman" w:cs="Times New Roman" w:eastAsia="Times New Roman" w:hAnsi="Times New Roman"/>
          <w:sz w:val="18"/>
          <w:szCs w:val="18"/>
          <w:color w:val="auto"/>
        </w:rPr>
        <w:t>Research and development costs are expensed as incurred or as certain upfront or milestone payments become contractually due to licensors upon the achievement of clinical or regulatory events. These expenses also include internal costs directly attributable to in-development programs, including cost of certain salaries, payroll taxes, employee benefits, and stock-based compensation expense, as well as laboratory and clinical supplies, pre-clinical and clinical trial related expenses, and the cost of services provided by outside contractors. Prior to receiving invoices from its vendors, the Company accrues expense for pre-clinical studies and clinical trial activities performed by these third parties. This is typically based upon estimates of the proportion of work completed over the term of the individual study or trial, as well as patient enrollment and dosing events in accordance with agreements established with clinical research organizations (CROs) and clinical trial or pre-clinical study sites.</w:t>
      </w:r>
    </w:p>
    <w:p>
      <w:pPr>
        <w:spacing w:after="0" w:line="12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F-10</w:t>
      </w:r>
    </w:p>
    <w:p>
      <w:pPr>
        <w:sectPr>
          <w:pgSz w:w="11900" w:h="16838" w:orient="portrait"/>
          <w:cols w:equalWidth="0" w:num="1">
            <w:col w:w="11100"/>
          </w:cols>
          <w:pgMar w:left="320" w:top="455" w:right="479" w:bottom="1440" w:gutter="0" w:footer="0" w:header="0"/>
        </w:sectPr>
      </w:pPr>
    </w:p>
    <w:bookmarkStart w:id="222" w:name="page223"/>
    <w:bookmarkEnd w:id="2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TARSUS PHARMACEUTICALS, INC.</w:t>
      </w:r>
    </w:p>
    <w:p>
      <w:pPr>
        <w:spacing w:after="0" w:line="22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NOTES TO THE FINANCIAL STATEMENTS</w:t>
      </w:r>
    </w:p>
    <w:p>
      <w:pPr>
        <w:spacing w:after="0" w:line="3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(Information as of June 30, 2020 and thereafter and for the six months ended June 30, 2019 and 2020 is unaudited; all tabular amounts</w:t>
      </w:r>
    </w:p>
    <w:p>
      <w:pPr>
        <w:spacing w:after="0" w:line="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presented in thousands, except share, per share, per unit, and number of years)</w:t>
      </w:r>
    </w:p>
    <w:p>
      <w:pPr>
        <w:spacing w:after="0" w:line="234" w:lineRule="exact"/>
        <w:rPr>
          <w:sz w:val="20"/>
          <w:szCs w:val="20"/>
          <w:color w:val="auto"/>
        </w:rPr>
      </w:pPr>
    </w:p>
    <w:p>
      <w:pPr>
        <w:ind w:left="120" w:right="160" w:firstLine="881"/>
        <w:spacing w:after="0" w:line="255" w:lineRule="auto"/>
        <w:rPr>
          <w:sz w:val="20"/>
          <w:szCs w:val="20"/>
          <w:color w:val="auto"/>
        </w:rPr>
      </w:pPr>
      <w:r>
        <w:rPr>
          <w:rFonts w:ascii="Times New Roman" w:cs="Times New Roman" w:eastAsia="Times New Roman" w:hAnsi="Times New Roman"/>
          <w:sz w:val="18"/>
          <w:szCs w:val="18"/>
          <w:color w:val="auto"/>
        </w:rPr>
        <w:t xml:space="preserve">The Company has entered, and may continue to enter into, license agreements to access and utilize intellectual property for drug development. In each case, the Company evaluates if the assets acquired in a transaction represent the acquisition of an asset or a business, as defined under applicable GAAP. The Company’s only executed in-license agreement (see </w:t>
      </w:r>
      <w:r>
        <w:rPr>
          <w:rFonts w:ascii="Times New Roman" w:cs="Times New Roman" w:eastAsia="Times New Roman" w:hAnsi="Times New Roman"/>
          <w:sz w:val="18"/>
          <w:szCs w:val="18"/>
          <w:i w:val="1"/>
          <w:iCs w:val="1"/>
          <w:color w:val="auto"/>
        </w:rPr>
        <w:t>Note 10(b)</w:t>
      </w:r>
      <w:r>
        <w:rPr>
          <w:rFonts w:ascii="Times New Roman" w:cs="Times New Roman" w:eastAsia="Times New Roman" w:hAnsi="Times New Roman"/>
          <w:sz w:val="18"/>
          <w:szCs w:val="18"/>
          <w:color w:val="auto"/>
        </w:rPr>
        <w:t>) was evaluated and determined to represent an asset acquisition. Because this asset had not yet received regulatory approval and has no alternative future use, its fair value was immediately recognized as research and development expense. In addition, any future milestone payments made before product approval (that do not meet the definition of a derivative) will also be immediately recognized as research and development expense when paid or becomes payable, provided there is no alternative future use of the rights in other research and development projects.</w:t>
      </w:r>
    </w:p>
    <w:p>
      <w:pPr>
        <w:spacing w:after="0" w:line="1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(viii) Deferred Offering Costs</w:t>
      </w:r>
    </w:p>
    <w:p>
      <w:pPr>
        <w:spacing w:after="0" w:line="229" w:lineRule="exact"/>
        <w:rPr>
          <w:sz w:val="20"/>
          <w:szCs w:val="20"/>
          <w:color w:val="auto"/>
        </w:rPr>
      </w:pPr>
    </w:p>
    <w:p>
      <w:pPr>
        <w:ind w:left="120" w:firstLine="881"/>
        <w:spacing w:after="0" w:line="256" w:lineRule="auto"/>
        <w:rPr>
          <w:sz w:val="20"/>
          <w:szCs w:val="20"/>
          <w:color w:val="auto"/>
        </w:rPr>
      </w:pPr>
      <w:r>
        <w:rPr>
          <w:rFonts w:ascii="Times New Roman" w:cs="Times New Roman" w:eastAsia="Times New Roman" w:hAnsi="Times New Roman"/>
          <w:sz w:val="18"/>
          <w:szCs w:val="18"/>
          <w:color w:val="auto"/>
        </w:rPr>
        <w:t>Costs directly related to the Company’s IPO are deferred for expense recognition and instead capitalized and recorded on the accompanying balance sheets. These costs consist of legal fees, accounting fees, and other applicable professional services. These deferred offering costs will be reclassified to “additional paid in capital” upon the closing of the planned IPO. In the event that the Company’s plans for an IPO are terminated, all deferred offering costs will be recognized within “general and administrative” and expensed in the same period on the Company’s statements of operations and comprehensive loss. There were no deferred offering costs capitalized as of December 31, 2018 and 2019. As of June 30, 2020, $0.1 million of deferred offering costs are reported on the accompanying Balance Sheets within “other assets.”</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(ix) Stock-Based Compensation</w:t>
      </w:r>
    </w:p>
    <w:p>
      <w:pPr>
        <w:spacing w:after="0" w:line="229" w:lineRule="exact"/>
        <w:rPr>
          <w:sz w:val="20"/>
          <w:szCs w:val="20"/>
          <w:color w:val="auto"/>
        </w:rPr>
      </w:pPr>
    </w:p>
    <w:p>
      <w:pPr>
        <w:ind w:left="120" w:right="60" w:firstLine="881"/>
        <w:spacing w:after="0" w:line="255" w:lineRule="auto"/>
        <w:rPr>
          <w:sz w:val="20"/>
          <w:szCs w:val="20"/>
          <w:color w:val="auto"/>
        </w:rPr>
      </w:pPr>
      <w:r>
        <w:rPr>
          <w:rFonts w:ascii="Times New Roman" w:cs="Times New Roman" w:eastAsia="Times New Roman" w:hAnsi="Times New Roman"/>
          <w:sz w:val="18"/>
          <w:szCs w:val="18"/>
          <w:color w:val="auto"/>
        </w:rPr>
        <w:t>Stock-based compensation expense is recognized for all equity awards granted to employees, consultants, and members of the Company’s Board of Directors and is recognized at fair value. For stock-based awards that vest subject to the satisfaction of a service requirement, the fair value measurement date is the date of grant and the related expense is recognized on a straight-line basis over each award’s actual or implied vesting period. For stock-based awards that vest subject to a performance condition, the Company recognizes compensation cost if and when it concludes that it is probable that the performance condition will be achieved and the related expense is recognized on an accelerated attribution method. As applicable, the Company reverses previously recognized expense for forfeitures of unvested awards in the period of occurrence. The Company uses the Black-Scholes option pricing model to estimate the fair value of stock-based awards as of the date of grant.</w:t>
      </w:r>
    </w:p>
    <w:p>
      <w:pPr>
        <w:spacing w:after="0" w:line="189" w:lineRule="exact"/>
        <w:rPr>
          <w:sz w:val="20"/>
          <w:szCs w:val="20"/>
          <w:color w:val="auto"/>
        </w:rPr>
      </w:pPr>
    </w:p>
    <w:p>
      <w:pPr>
        <w:ind w:left="120" w:right="60" w:firstLine="881"/>
        <w:spacing w:after="0" w:line="258" w:lineRule="auto"/>
        <w:rPr>
          <w:sz w:val="20"/>
          <w:szCs w:val="20"/>
          <w:color w:val="auto"/>
        </w:rPr>
      </w:pPr>
      <w:r>
        <w:rPr>
          <w:rFonts w:ascii="Times New Roman" w:cs="Times New Roman" w:eastAsia="Times New Roman" w:hAnsi="Times New Roman"/>
          <w:sz w:val="18"/>
          <w:szCs w:val="18"/>
          <w:color w:val="auto"/>
        </w:rPr>
        <w:t>The measurement of the fair value of stock-based awards and recognition of stock-based compensation expense requires assumptions to be estimated by management that involve inherent uncertainties and the application of management’s judgment, including (a) the fair value of the Company’s common stock on the date of the option grant, (b) the expected term of the stock option until its exercise by the recipient, (c) stock price volatility over the expected term, (d) the prevailing risk-free interest rate over the expected term, and (e) expected dividend payments over the expected term.</w:t>
      </w:r>
    </w:p>
    <w:p>
      <w:pPr>
        <w:spacing w:after="0" w:line="183" w:lineRule="exact"/>
        <w:rPr>
          <w:sz w:val="20"/>
          <w:szCs w:val="20"/>
          <w:color w:val="auto"/>
        </w:rPr>
      </w:pPr>
    </w:p>
    <w:p>
      <w:pPr>
        <w:jc w:val="both"/>
        <w:ind w:left="120" w:right="160" w:firstLine="881"/>
        <w:spacing w:after="0" w:line="261" w:lineRule="auto"/>
        <w:rPr>
          <w:sz w:val="20"/>
          <w:szCs w:val="20"/>
          <w:color w:val="auto"/>
        </w:rPr>
      </w:pPr>
      <w:r>
        <w:rPr>
          <w:rFonts w:ascii="Times New Roman" w:cs="Times New Roman" w:eastAsia="Times New Roman" w:hAnsi="Times New Roman"/>
          <w:sz w:val="18"/>
          <w:szCs w:val="18"/>
          <w:color w:val="auto"/>
        </w:rPr>
        <w:t>Management estimates the expected term of awarded stock options utilizing the “simplified method” for awards as the Company does not yet have sufficient exercise history since its November 2016 formation. Further, the Company is privately-held and therefore lacks company-specific historical and implied volatility information of its stock. Accordingly, management estimates this expected volatility using that of its designated peer-group of publicly-traded companies for a look-back period, as of the date of grant, that corresponds with the expected</w:t>
      </w:r>
    </w:p>
    <w:p>
      <w:pPr>
        <w:spacing w:after="0" w:line="11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F-11</w:t>
      </w:r>
    </w:p>
    <w:p>
      <w:pPr>
        <w:sectPr>
          <w:pgSz w:w="11900" w:h="16838" w:orient="portrait"/>
          <w:cols w:equalWidth="0" w:num="1">
            <w:col w:w="11080"/>
          </w:cols>
          <w:pgMar w:left="320" w:top="455" w:right="499" w:bottom="1440" w:gutter="0" w:footer="0" w:header="0"/>
        </w:sectPr>
      </w:pPr>
    </w:p>
    <w:bookmarkStart w:id="223" w:name="page224"/>
    <w:bookmarkEnd w:id="2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TARSUS PHARMACEUTICALS, INC.</w:t>
      </w:r>
    </w:p>
    <w:p>
      <w:pPr>
        <w:spacing w:after="0" w:line="22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NOTES TO THE FINANCIAL STATEMENTS</w:t>
      </w:r>
    </w:p>
    <w:p>
      <w:pPr>
        <w:spacing w:after="0" w:line="3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(Information as of June 30, 2020 and thereafter and for the six months ended June 30, 2019 and 2020 is unaudited; all tabular amounts</w:t>
      </w:r>
    </w:p>
    <w:p>
      <w:pPr>
        <w:spacing w:after="0" w:line="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presented in thousands, except share, per share, per unit, and number of years)</w:t>
      </w:r>
    </w:p>
    <w:p>
      <w:pPr>
        <w:spacing w:after="0" w:line="234" w:lineRule="exact"/>
        <w:rPr>
          <w:sz w:val="20"/>
          <w:szCs w:val="20"/>
          <w:color w:val="auto"/>
        </w:rPr>
      </w:pPr>
    </w:p>
    <w:p>
      <w:pPr>
        <w:ind w:left="120" w:right="240"/>
        <w:spacing w:after="0" w:line="266" w:lineRule="auto"/>
        <w:rPr>
          <w:sz w:val="20"/>
          <w:szCs w:val="20"/>
          <w:color w:val="auto"/>
        </w:rPr>
      </w:pPr>
      <w:r>
        <w:rPr>
          <w:rFonts w:ascii="Times New Roman" w:cs="Times New Roman" w:eastAsia="Times New Roman" w:hAnsi="Times New Roman"/>
          <w:sz w:val="18"/>
          <w:szCs w:val="18"/>
          <w:color w:val="auto"/>
        </w:rPr>
        <w:t>term of the awarded stock option. The Company estimates the risk-free interest rate based upon the U.S. Department of the Treasury yield curve in effect at award grant for time periods that correspond with the expected term of the awarded stock option. The Company’s expected dividend yield is zero because it has never paid cash dividends and does not expect to for the foreseeable future.</w:t>
      </w:r>
    </w:p>
    <w:p>
      <w:pPr>
        <w:spacing w:after="0" w:line="176" w:lineRule="exact"/>
        <w:rPr>
          <w:sz w:val="20"/>
          <w:szCs w:val="20"/>
          <w:color w:val="auto"/>
        </w:rPr>
      </w:pPr>
    </w:p>
    <w:p>
      <w:pPr>
        <w:ind w:left="120" w:right="120" w:firstLine="881"/>
        <w:spacing w:after="0" w:line="256" w:lineRule="auto"/>
        <w:rPr>
          <w:sz w:val="20"/>
          <w:szCs w:val="20"/>
          <w:color w:val="auto"/>
        </w:rPr>
      </w:pPr>
      <w:r>
        <w:rPr>
          <w:rFonts w:ascii="Times New Roman" w:cs="Times New Roman" w:eastAsia="Times New Roman" w:hAnsi="Times New Roman"/>
          <w:sz w:val="18"/>
          <w:szCs w:val="18"/>
          <w:color w:val="auto"/>
        </w:rPr>
        <w:t>Given the absence of a public trading market, the Company’s Board of Directors, with input from management, considered numerous objective and subjective factors to determine the fair value of its common stock. The factors included: (i) third-party valuations of the Company’s common stock; (ii) the Company’s stage of development; (iii) the status of research and development efforts; (iv) the rights, preferences and privileges of the Company’s preferred stock relative to common stock; (v) the Company’s operating results and financial condition, including the Company’s levels of available capital resources; (vi) equity market conditions affecting comparable public companies; (vii) general U.S. market conditions; and (viii) the lack of current marketability of the Company’s common stock.</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(x) Income Taxes</w:t>
      </w:r>
    </w:p>
    <w:p>
      <w:pPr>
        <w:spacing w:after="0" w:line="229" w:lineRule="exact"/>
        <w:rPr>
          <w:sz w:val="20"/>
          <w:szCs w:val="20"/>
          <w:color w:val="auto"/>
        </w:rPr>
      </w:pPr>
    </w:p>
    <w:p>
      <w:pPr>
        <w:ind w:left="120" w:right="160" w:firstLine="881"/>
        <w:spacing w:after="0" w:line="255" w:lineRule="auto"/>
        <w:rPr>
          <w:sz w:val="20"/>
          <w:szCs w:val="20"/>
          <w:color w:val="auto"/>
        </w:rPr>
      </w:pPr>
      <w:r>
        <w:rPr>
          <w:rFonts w:ascii="Times New Roman" w:cs="Times New Roman" w:eastAsia="Times New Roman" w:hAnsi="Times New Roman"/>
          <w:sz w:val="18"/>
          <w:szCs w:val="18"/>
          <w:color w:val="auto"/>
        </w:rPr>
        <w:t>Income taxes are accounted for using the asset and liability method. Deferred tax assets and liabilities are recorded based on the estimated future tax effects of temporary differences between the tax basis of assets and liabilities and amounts reported in the financial statements, as well as operating losses and tax credit carry forwards using enacted tax rates and laws that are expected to be in effect when the differences are expected to reverse. Deferred tax assets and liabilities are measured using the enacted tax rates expected to apply to taxable income in the years in which those temporary differences are expected to be recovered or settled. The effect on deferred tax assets and liabilities of a change in tax rates is recognized in income in the period of enactment. Realization of deferred tax assets is dependent upon future earnings, the timing and amount of which are uncertain due to the Company’s historical operating performance and recorded cumulative net losses in prior fiscal periods.</w:t>
      </w:r>
    </w:p>
    <w:p>
      <w:pPr>
        <w:spacing w:after="0" w:line="189" w:lineRule="exact"/>
        <w:rPr>
          <w:sz w:val="20"/>
          <w:szCs w:val="20"/>
          <w:color w:val="auto"/>
        </w:rPr>
      </w:pPr>
    </w:p>
    <w:p>
      <w:pPr>
        <w:ind w:left="120" w:right="60" w:firstLine="881"/>
        <w:spacing w:after="0" w:line="266" w:lineRule="auto"/>
        <w:rPr>
          <w:sz w:val="20"/>
          <w:szCs w:val="20"/>
          <w:color w:val="auto"/>
        </w:rPr>
      </w:pPr>
      <w:r>
        <w:rPr>
          <w:rFonts w:ascii="Times New Roman" w:cs="Times New Roman" w:eastAsia="Times New Roman" w:hAnsi="Times New Roman"/>
          <w:sz w:val="18"/>
          <w:szCs w:val="18"/>
          <w:color w:val="auto"/>
        </w:rPr>
        <w:t>A valuation allowance is recorded to reduce deferred tax assets, because based upon a weighting of positive and negative factors, it is more likely than not that these deferred tax assets will not be realized. If/when the Company were to determine that deferred tax assets are realizable, an adjustment to the corresponding valuation allowance would increase the net income in the period that such determination was made.</w:t>
      </w:r>
    </w:p>
    <w:p>
      <w:pPr>
        <w:spacing w:after="0" w:line="176" w:lineRule="exact"/>
        <w:rPr>
          <w:sz w:val="20"/>
          <w:szCs w:val="20"/>
          <w:color w:val="auto"/>
        </w:rPr>
      </w:pPr>
    </w:p>
    <w:p>
      <w:pPr>
        <w:ind w:left="120" w:right="280" w:firstLine="881"/>
        <w:spacing w:after="0" w:line="266" w:lineRule="auto"/>
        <w:rPr>
          <w:sz w:val="20"/>
          <w:szCs w:val="20"/>
          <w:color w:val="auto"/>
        </w:rPr>
      </w:pPr>
      <w:r>
        <w:rPr>
          <w:rFonts w:ascii="Times New Roman" w:cs="Times New Roman" w:eastAsia="Times New Roman" w:hAnsi="Times New Roman"/>
          <w:sz w:val="18"/>
          <w:szCs w:val="18"/>
          <w:color w:val="auto"/>
        </w:rPr>
        <w:t>In the event that the Company is assessed interest and/or penalties from taxing authorities that have not been previously accrued, such amounts would be included as a component of “income tax expense” within the Statements of Operations and Comprehensive Loss in the period the notice was received. To date there have been no interest or penalties charged.</w:t>
      </w:r>
    </w:p>
    <w:p>
      <w:pPr>
        <w:spacing w:after="0" w:line="1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(xi) Preferred Stock</w:t>
      </w:r>
    </w:p>
    <w:p>
      <w:pPr>
        <w:spacing w:after="0" w:line="229" w:lineRule="exact"/>
        <w:rPr>
          <w:sz w:val="20"/>
          <w:szCs w:val="20"/>
          <w:color w:val="auto"/>
        </w:rPr>
      </w:pPr>
    </w:p>
    <w:p>
      <w:pPr>
        <w:ind w:left="120" w:firstLine="881"/>
        <w:spacing w:after="0" w:line="258" w:lineRule="auto"/>
        <w:rPr>
          <w:sz w:val="20"/>
          <w:szCs w:val="20"/>
          <w:color w:val="auto"/>
        </w:rPr>
      </w:pPr>
      <w:r>
        <w:rPr>
          <w:rFonts w:ascii="Times New Roman" w:cs="Times New Roman" w:eastAsia="Times New Roman" w:hAnsi="Times New Roman"/>
          <w:sz w:val="18"/>
          <w:szCs w:val="18"/>
          <w:color w:val="auto"/>
        </w:rPr>
        <w:t>The Company classifies preferred stock outside of stockholders’ deficit on the accompanying balance sheets. The requirements of a deemed liquidation event, as defined within its amended and restated certificate of incorporation filed in 2019 (the “2019 Amended and Restated Certificate of Incorporation”) are not entirely within the Company’s control. In the event of such a deemed liquidation event, the proceeds from the event are distributed in accordance with the liquidation preferences, provided that the holders of preferred stock have not converted their shares into common stock. The Company records the issuance of preferred stock at the issuance</w:t>
      </w:r>
    </w:p>
    <w:p>
      <w:pPr>
        <w:spacing w:after="0" w:line="11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F-12</w:t>
      </w:r>
    </w:p>
    <w:p>
      <w:pPr>
        <w:sectPr>
          <w:pgSz w:w="11900" w:h="16838" w:orient="portrait"/>
          <w:cols w:equalWidth="0" w:num="1">
            <w:col w:w="11080"/>
          </w:cols>
          <w:pgMar w:left="320" w:top="455" w:right="499" w:bottom="1440" w:gutter="0" w:footer="0" w:header="0"/>
        </w:sectPr>
      </w:pPr>
    </w:p>
    <w:bookmarkStart w:id="224" w:name="page225"/>
    <w:bookmarkEnd w:id="22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TARSUS PHARMACEUTICALS, INC.</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THE FINANCIAL STATEMENTS</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(Information as of June 30, 2020 and thereafter and for the six months ended June 30, 2019 and 2020 is unaudited; all tabular amounts</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presented in thousands, except share, per share, per unit, and number of years)</w:t>
      </w:r>
    </w:p>
    <w:p>
      <w:pPr>
        <w:spacing w:after="0" w:line="234" w:lineRule="exact"/>
        <w:rPr>
          <w:sz w:val="20"/>
          <w:szCs w:val="20"/>
          <w:color w:val="auto"/>
        </w:rPr>
      </w:pPr>
    </w:p>
    <w:p>
      <w:pPr>
        <w:ind w:left="120" w:right="120"/>
        <w:spacing w:after="0" w:line="282" w:lineRule="auto"/>
        <w:rPr>
          <w:sz w:val="20"/>
          <w:szCs w:val="20"/>
          <w:color w:val="auto"/>
        </w:rPr>
      </w:pPr>
      <w:r>
        <w:rPr>
          <w:rFonts w:ascii="Times New Roman" w:cs="Times New Roman" w:eastAsia="Times New Roman" w:hAnsi="Times New Roman"/>
          <w:sz w:val="18"/>
          <w:szCs w:val="18"/>
          <w:color w:val="auto"/>
        </w:rPr>
        <w:t>price less related issuance costs. The Company has not adjusted the carrying value of outstanding preferred stock to its liquidation preference because a deemed liquidation event is not probable of occurring as of the end of the reporting period.</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(xii) Net Loss per Share Attributable to Common Stockholders</w:t>
      </w:r>
    </w:p>
    <w:p>
      <w:pPr>
        <w:spacing w:after="0" w:line="229" w:lineRule="exact"/>
        <w:rPr>
          <w:sz w:val="20"/>
          <w:szCs w:val="20"/>
          <w:color w:val="auto"/>
        </w:rPr>
      </w:pPr>
    </w:p>
    <w:p>
      <w:pPr>
        <w:ind w:left="120" w:firstLine="881"/>
        <w:spacing w:after="0" w:line="253" w:lineRule="auto"/>
        <w:rPr>
          <w:sz w:val="20"/>
          <w:szCs w:val="20"/>
          <w:color w:val="auto"/>
        </w:rPr>
      </w:pPr>
      <w:r>
        <w:rPr>
          <w:rFonts w:ascii="Times New Roman" w:cs="Times New Roman" w:eastAsia="Times New Roman" w:hAnsi="Times New Roman"/>
          <w:sz w:val="18"/>
          <w:szCs w:val="18"/>
          <w:color w:val="auto"/>
        </w:rPr>
        <w:t>Basic net loss per share attributable to common stockholders is calculated by dividing the net loss by the weighted-average number of shares of common stock outstanding for the period, without the consideration for potential dilutive shares of common stock. Diluted net loss per share is computed by dividing the net loss by the weighted-average number of common share equivalents outstanding for the period determined using the treasury-stock method and if-converted method, as applicable. Basic and diluted net loss per share attributable to common stockholders is presented in conformity with the two-class method required for participating securities. The Company’s participating securities include preferred stock, unvested common stock to founders, and unvested common stock awards issued upon early exercise of certain stock options. The Company’s participating securities do not have a contractual obligation to share in the Company’s losses. As such, the net loss was attributed entirely to common stockholders. Shares of common stock subject to repurchase by the Company are excluded from the weighted-average shares. Due to net losses in all periods presented, all otherwise potentially dilutive securities are antidilutive. Accordingly, basic net loss per share equals diluted net loss per share for all period presented in the accompanying financial statements.</w:t>
      </w:r>
    </w:p>
    <w:p>
      <w:pPr>
        <w:spacing w:after="0" w:line="1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(xiii) Unaudited Pro forma Net Loss Per Share Attributable to Common Stockholders</w:t>
      </w:r>
    </w:p>
    <w:p>
      <w:pPr>
        <w:spacing w:after="0" w:line="229" w:lineRule="exact"/>
        <w:rPr>
          <w:sz w:val="20"/>
          <w:szCs w:val="20"/>
          <w:color w:val="auto"/>
        </w:rPr>
      </w:pPr>
    </w:p>
    <w:p>
      <w:pPr>
        <w:ind w:left="120" w:right="60" w:firstLine="881"/>
        <w:spacing w:after="0" w:line="261" w:lineRule="auto"/>
        <w:rPr>
          <w:sz w:val="20"/>
          <w:szCs w:val="20"/>
          <w:color w:val="auto"/>
        </w:rPr>
      </w:pPr>
      <w:r>
        <w:rPr>
          <w:rFonts w:ascii="Times New Roman" w:cs="Times New Roman" w:eastAsia="Times New Roman" w:hAnsi="Times New Roman"/>
          <w:sz w:val="18"/>
          <w:szCs w:val="18"/>
          <w:color w:val="auto"/>
        </w:rPr>
        <w:t>The unaudited pro forma basic and diluted net loss per share attributable to common stockholders has been computed to give effect to the automatic conversion of all outstanding preferred stock into shares of common stock using the if-converted method immediately prior to the closing of a qualifying IPO (</w:t>
      </w:r>
      <w:r>
        <w:rPr>
          <w:rFonts w:ascii="Times New Roman" w:cs="Times New Roman" w:eastAsia="Times New Roman" w:hAnsi="Times New Roman"/>
          <w:sz w:val="18"/>
          <w:szCs w:val="18"/>
          <w:i w:val="1"/>
          <w:iCs w:val="1"/>
          <w:color w:val="auto"/>
        </w:rPr>
        <w:t>Note 4</w:t>
      </w:r>
      <w:r>
        <w:rPr>
          <w:rFonts w:ascii="Times New Roman" w:cs="Times New Roman" w:eastAsia="Times New Roman" w:hAnsi="Times New Roman"/>
          <w:sz w:val="18"/>
          <w:szCs w:val="18"/>
          <w:color w:val="auto"/>
        </w:rPr>
        <w:t>) as though such IPO had occurred as of the beginning of the period or the date of issuance, if later. The unaudited pro forma net loss per share does not include the shares expected to be sold and related proceeds to be received from the IPO of Tarsus’ common stock.</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(xiv) Fair Value Measurements</w:t>
      </w:r>
    </w:p>
    <w:p>
      <w:pPr>
        <w:spacing w:after="0" w:line="229" w:lineRule="exact"/>
        <w:rPr>
          <w:sz w:val="20"/>
          <w:szCs w:val="20"/>
          <w:color w:val="auto"/>
        </w:rPr>
      </w:pPr>
    </w:p>
    <w:p>
      <w:pPr>
        <w:ind w:left="120" w:right="40" w:firstLine="881"/>
        <w:spacing w:after="0" w:line="256" w:lineRule="auto"/>
        <w:rPr>
          <w:sz w:val="20"/>
          <w:szCs w:val="20"/>
          <w:color w:val="auto"/>
        </w:rPr>
      </w:pPr>
      <w:r>
        <w:rPr>
          <w:rFonts w:ascii="Times New Roman" w:cs="Times New Roman" w:eastAsia="Times New Roman" w:hAnsi="Times New Roman"/>
          <w:sz w:val="18"/>
          <w:szCs w:val="18"/>
          <w:color w:val="auto"/>
        </w:rPr>
        <w:t>Assets and liabilities recorded at fair value on a recurring basis in the balance sheets are categorized based upon the level of judgment associated with the inputs used to measure their fair values. Fair value is defined as the exchange price that would be received for an asset or an exit price that would be paid to transfer a liability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The authoritative guidance on fair value measurements establishes a three-tier fair value hierarchy for disclosure of fair value measurements as follows:</w:t>
      </w:r>
    </w:p>
    <w:p>
      <w:pPr>
        <w:spacing w:after="0" w:line="212" w:lineRule="exact"/>
        <w:rPr>
          <w:sz w:val="20"/>
          <w:szCs w:val="20"/>
          <w:color w:val="auto"/>
        </w:rPr>
      </w:pPr>
    </w:p>
    <w:p>
      <w:pPr>
        <w:ind w:left="1420" w:right="140" w:hanging="319"/>
        <w:spacing w:after="0" w:line="284" w:lineRule="auto"/>
        <w:tabs>
          <w:tab w:leader="none" w:pos="142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Level 1: </w:t>
      </w:r>
      <w:r>
        <w:rPr>
          <w:rFonts w:ascii="Times New Roman" w:cs="Times New Roman" w:eastAsia="Times New Roman" w:hAnsi="Times New Roman"/>
          <w:sz w:val="18"/>
          <w:szCs w:val="18"/>
          <w:color w:val="auto"/>
        </w:rPr>
        <w:t>Quoted prices (unadjusted) in active markets for identical assets or liabilities that are publicly accessible at the measurement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date.</w:t>
      </w:r>
    </w:p>
    <w:p>
      <w:pPr>
        <w:spacing w:after="0" w:line="185" w:lineRule="exact"/>
        <w:rPr>
          <w:rFonts w:ascii="Times New Roman" w:cs="Times New Roman" w:eastAsia="Times New Roman" w:hAnsi="Times New Roman"/>
          <w:sz w:val="18"/>
          <w:szCs w:val="18"/>
          <w:color w:val="auto"/>
        </w:rPr>
      </w:pPr>
    </w:p>
    <w:p>
      <w:pPr>
        <w:ind w:left="1420" w:right="260" w:hanging="319"/>
        <w:spacing w:after="0" w:line="267" w:lineRule="auto"/>
        <w:tabs>
          <w:tab w:leader="none" w:pos="142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Level 2: </w:t>
      </w:r>
      <w:r>
        <w:rPr>
          <w:rFonts w:ascii="Times New Roman" w:cs="Times New Roman" w:eastAsia="Times New Roman" w:hAnsi="Times New Roman"/>
          <w:sz w:val="18"/>
          <w:szCs w:val="18"/>
          <w:color w:val="auto"/>
        </w:rPr>
        <w:t>Observable prices that are based on inputs not quoted on active markets, but that are corroborated by market data. These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inputs may include quoted prices for similar assets or liabilities or quoted market prices in markets that are not active to the general public.</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F-13</w:t>
      </w:r>
    </w:p>
    <w:p>
      <w:pPr>
        <w:sectPr>
          <w:pgSz w:w="11900" w:h="16838" w:orient="portrait"/>
          <w:cols w:equalWidth="0" w:num="1">
            <w:col w:w="11140"/>
          </w:cols>
          <w:pgMar w:left="320" w:top="455" w:right="439" w:bottom="1440" w:gutter="0" w:footer="0" w:header="0"/>
        </w:sectPr>
      </w:pPr>
    </w:p>
    <w:bookmarkStart w:id="225" w:name="page226"/>
    <w:bookmarkEnd w:id="22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TARSUS PHARMACEUTICALS, INC.</w:t>
      </w:r>
    </w:p>
    <w:p>
      <w:pPr>
        <w:spacing w:after="0" w:line="22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NOTES TO THE FINANCIAL STATEMENTS</w:t>
      </w:r>
    </w:p>
    <w:p>
      <w:pPr>
        <w:spacing w:after="0" w:line="3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(Information as of June 30, 2020 and thereafter and for the six months ended June 30, 2019 and 2020 is unaudited; all tabular amounts</w:t>
      </w:r>
    </w:p>
    <w:p>
      <w:pPr>
        <w:spacing w:after="0" w:line="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presented in thousands, except share, per share, per unit, and number of years)</w:t>
      </w:r>
    </w:p>
    <w:p>
      <w:pPr>
        <w:spacing w:after="0" w:line="232" w:lineRule="exact"/>
        <w:rPr>
          <w:sz w:val="20"/>
          <w:szCs w:val="20"/>
          <w:color w:val="auto"/>
        </w:rPr>
      </w:pPr>
    </w:p>
    <w:p>
      <w:pPr>
        <w:ind w:left="1420" w:right="60" w:hanging="319"/>
        <w:spacing w:after="0" w:line="284" w:lineRule="auto"/>
        <w:tabs>
          <w:tab w:leader="none" w:pos="142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Level 3: </w:t>
      </w:r>
      <w:r>
        <w:rPr>
          <w:rFonts w:ascii="Times New Roman" w:cs="Times New Roman" w:eastAsia="Times New Roman" w:hAnsi="Times New Roman"/>
          <w:sz w:val="18"/>
          <w:szCs w:val="18"/>
          <w:color w:val="auto"/>
        </w:rPr>
        <w:t>Unobservable inputs that are supported by little or no market activity and that are significant to the fair value of the assets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liabilities.</w:t>
      </w:r>
    </w:p>
    <w:p>
      <w:pPr>
        <w:spacing w:after="0" w:line="160" w:lineRule="exact"/>
        <w:rPr>
          <w:sz w:val="20"/>
          <w:szCs w:val="20"/>
          <w:color w:val="auto"/>
        </w:rPr>
      </w:pPr>
    </w:p>
    <w:p>
      <w:pPr>
        <w:ind w:left="120" w:right="860" w:firstLine="881"/>
        <w:spacing w:after="0" w:line="312" w:lineRule="auto"/>
        <w:rPr>
          <w:sz w:val="20"/>
          <w:szCs w:val="20"/>
          <w:color w:val="auto"/>
        </w:rPr>
      </w:pPr>
      <w:r>
        <w:rPr>
          <w:rFonts w:ascii="Times New Roman" w:cs="Times New Roman" w:eastAsia="Times New Roman" w:hAnsi="Times New Roman"/>
          <w:sz w:val="17"/>
          <w:szCs w:val="17"/>
          <w:color w:val="auto"/>
        </w:rPr>
        <w:t>The carrying amounts for financial instruments consisting of cash and cash equivalents, accounts payable and accrued liabilities approximate fair value due to their short maturities. Derivative instruments are carried at fair value based on unobservable market inputs.</w:t>
      </w:r>
    </w:p>
    <w:p>
      <w:pPr>
        <w:spacing w:after="0" w:line="13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(xv) Comprehensive Loss</w:t>
      </w:r>
    </w:p>
    <w:p>
      <w:pPr>
        <w:spacing w:after="0" w:line="229" w:lineRule="exact"/>
        <w:rPr>
          <w:sz w:val="20"/>
          <w:szCs w:val="20"/>
          <w:color w:val="auto"/>
        </w:rPr>
      </w:pPr>
    </w:p>
    <w:p>
      <w:pPr>
        <w:ind w:left="120" w:firstLine="881"/>
        <w:spacing w:after="0" w:line="282" w:lineRule="auto"/>
        <w:rPr>
          <w:sz w:val="20"/>
          <w:szCs w:val="20"/>
          <w:color w:val="auto"/>
        </w:rPr>
      </w:pPr>
      <w:r>
        <w:rPr>
          <w:rFonts w:ascii="Times New Roman" w:cs="Times New Roman" w:eastAsia="Times New Roman" w:hAnsi="Times New Roman"/>
          <w:sz w:val="18"/>
          <w:szCs w:val="18"/>
          <w:color w:val="auto"/>
        </w:rPr>
        <w:t>Comprehensive loss represents all changes in stockholders’ deficit, except those resulting from distributions to stockholders. For all periods presented, comprehensive loss was the same as reported net loss.</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(xvi) Recently Issued or Effective Accounting Standards</w:t>
      </w:r>
    </w:p>
    <w:p>
      <w:pPr>
        <w:spacing w:after="0" w:line="229" w:lineRule="exact"/>
        <w:rPr>
          <w:sz w:val="20"/>
          <w:szCs w:val="20"/>
          <w:color w:val="auto"/>
        </w:rPr>
      </w:pPr>
    </w:p>
    <w:p>
      <w:pPr>
        <w:ind w:left="120" w:firstLine="881"/>
        <w:spacing w:after="0" w:line="261" w:lineRule="auto"/>
        <w:rPr>
          <w:sz w:val="20"/>
          <w:szCs w:val="20"/>
          <w:color w:val="auto"/>
        </w:rPr>
      </w:pPr>
      <w:r>
        <w:rPr>
          <w:rFonts w:ascii="Times New Roman" w:cs="Times New Roman" w:eastAsia="Times New Roman" w:hAnsi="Times New Roman"/>
          <w:sz w:val="18"/>
          <w:szCs w:val="18"/>
          <w:color w:val="auto"/>
        </w:rPr>
        <w:t>Recently issued or effective accounting pronouncements that impact, or may have an impact, on the Company’s financial statements have been discussed within the footnote to which each relates. Other recent accounting pronouncements not disclosed in these financial statements have been determined by the Company’s management to have no impact, or an immaterial impact, on its current and expected future financial position, results of operations, or cash flows.</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3. BALANCE SHEET ACCOUNT DETAIL</w:t>
      </w:r>
    </w:p>
    <w:p>
      <w:pPr>
        <w:spacing w:after="0" w:line="22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The composition of selected financial statement captions that comprise the accompanying balance sheets are summarized below:</w:t>
      </w:r>
    </w:p>
    <w:p>
      <w:pPr>
        <w:spacing w:after="0" w:line="2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 Prepaid Expenses and Other Current Assets</w:t>
      </w:r>
    </w:p>
    <w:p>
      <w:pPr>
        <w:spacing w:after="0" w:line="22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“Prepaid expenses and other current assets” consists of the following:</w:t>
      </w:r>
    </w:p>
    <w:p>
      <w:pPr>
        <w:spacing w:after="0" w:line="246" w:lineRule="exact"/>
        <w:rPr>
          <w:sz w:val="20"/>
          <w:szCs w:val="20"/>
          <w:color w:val="auto"/>
        </w:rPr>
      </w:pPr>
    </w:p>
    <w:tbl>
      <w:tblPr>
        <w:tblLayout w:type="fixed"/>
        <w:tblInd w:w="92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84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gridSpan w:val="4"/>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60" w:type="dxa"/>
            <w:vAlign w:val="bottom"/>
            <w:gridSpan w:val="4"/>
          </w:tcPr>
          <w:p>
            <w:pPr>
              <w:ind w:left="580"/>
              <w:spacing w:after="0"/>
              <w:rPr>
                <w:sz w:val="20"/>
                <w:szCs w:val="20"/>
                <w:color w:val="auto"/>
              </w:rPr>
            </w:pPr>
            <w:r>
              <w:rPr>
                <w:rFonts w:ascii="Times New Roman" w:cs="Times New Roman" w:eastAsia="Times New Roman" w:hAnsi="Times New Roman"/>
                <w:sz w:val="14"/>
                <w:szCs w:val="14"/>
                <w:b w:val="1"/>
                <w:bCs w:val="1"/>
                <w:color w:val="auto"/>
              </w:rPr>
              <w:t>June 30,</w:t>
            </w:r>
          </w:p>
        </w:tc>
      </w:tr>
      <w:tr>
        <w:trPr>
          <w:trHeight w:val="142"/>
        </w:trPr>
        <w:tc>
          <w:tcPr>
            <w:tcW w:w="2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36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940" w:type="dxa"/>
            <w:vAlign w:val="bottom"/>
            <w:tcBorders>
              <w:top w:val="single" w:sz="8" w:color="auto"/>
            </w:tcBorders>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5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ind w:right="35"/>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2020</w:t>
            </w:r>
          </w:p>
        </w:tc>
        <w:tc>
          <w:tcPr>
            <w:tcW w:w="6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38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expenses</w:t>
            </w:r>
          </w:p>
        </w:tc>
        <w:tc>
          <w:tcPr>
            <w:tcW w:w="3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5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5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w:t>
            </w:r>
          </w:p>
        </w:tc>
        <w:tc>
          <w:tcPr>
            <w:tcW w:w="60" w:type="dxa"/>
            <w:vAlign w:val="bottom"/>
            <w:tcBorders>
              <w:top w:val="single" w:sz="8" w:color="CCEEFF"/>
            </w:tcBorders>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Clinical research organization service assets</w:t>
            </w:r>
          </w:p>
        </w:tc>
        <w:tc>
          <w:tcPr>
            <w:tcW w:w="31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center"/>
              <w:ind w:right="15"/>
              <w:spacing w:after="0"/>
              <w:rPr>
                <w:sz w:val="20"/>
                <w:szCs w:val="20"/>
                <w:color w:val="auto"/>
              </w:rPr>
            </w:pPr>
            <w:r>
              <w:rPr>
                <w:rFonts w:ascii="Times New Roman" w:cs="Times New Roman" w:eastAsia="Times New Roman" w:hAnsi="Times New Roman"/>
                <w:sz w:val="18"/>
                <w:szCs w:val="18"/>
                <w:color w:val="auto"/>
                <w:w w:val="99"/>
              </w:rPr>
              <w:t>—</w:t>
            </w:r>
          </w:p>
        </w:tc>
        <w:tc>
          <w:tcPr>
            <w:tcW w:w="5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5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1,057</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68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1,549</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3180" w:type="dxa"/>
            <w:vAlign w:val="bottom"/>
            <w:gridSpan w:val="2"/>
          </w:tcPr>
          <w:p>
            <w:pPr>
              <w:jc w:val="right"/>
              <w:ind w:right="2082"/>
              <w:spacing w:after="0"/>
              <w:rPr>
                <w:sz w:val="20"/>
                <w:szCs w:val="20"/>
                <w:color w:val="auto"/>
              </w:rPr>
            </w:pPr>
            <w:r>
              <w:rPr>
                <w:rFonts w:ascii="Times New Roman" w:cs="Times New Roman" w:eastAsia="Times New Roman" w:hAnsi="Times New Roman"/>
                <w:sz w:val="18"/>
                <w:szCs w:val="18"/>
                <w:color w:val="auto"/>
              </w:rPr>
              <w:t>F-14</w:t>
            </w: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060"/>
          </w:cols>
          <w:pgMar w:left="320" w:top="455" w:right="519" w:bottom="1440" w:gutter="0" w:footer="0" w:header="0"/>
        </w:sectPr>
      </w:pPr>
    </w:p>
    <w:bookmarkStart w:id="226" w:name="page227"/>
    <w:bookmarkEnd w:id="22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TARSUS PHARMACEUTICALS, INC.</w:t>
      </w:r>
    </w:p>
    <w:p>
      <w:pPr>
        <w:spacing w:after="0" w:line="22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NOTES TO THE FINANCIAL STATEMENTS</w:t>
      </w:r>
    </w:p>
    <w:p>
      <w:pPr>
        <w:spacing w:after="0" w:line="3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(Information as of June 30, 2020 and thereafter and for the six months ended June 30, 2019 and 2020 is unaudited; all tabular amounts</w:t>
      </w:r>
    </w:p>
    <w:p>
      <w:pPr>
        <w:spacing w:after="0" w:line="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presented in thousands, except share, per share, per unit, and number of years)</w:t>
      </w:r>
    </w:p>
    <w:p>
      <w:pPr>
        <w:spacing w:after="0" w:line="2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 Property and Equipment, net of Accumulated Depreciation</w:t>
      </w:r>
    </w:p>
    <w:p>
      <w:pPr>
        <w:spacing w:after="0" w:line="22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“Property and equipment, net of accumulated depreciation” consists of the following:</w:t>
      </w:r>
    </w:p>
    <w:p>
      <w:pPr>
        <w:spacing w:after="0" w:line="246" w:lineRule="exact"/>
        <w:rPr>
          <w:sz w:val="20"/>
          <w:szCs w:val="20"/>
          <w:color w:val="auto"/>
        </w:rPr>
      </w:pPr>
    </w:p>
    <w:tbl>
      <w:tblPr>
        <w:tblLayout w:type="fixed"/>
        <w:tblInd w:w="1660" w:type="dxa"/>
        <w:tblCellMar>
          <w:top w:w="0" w:type="dxa"/>
          <w:left w:w="0" w:type="dxa"/>
          <w:bottom w:w="0" w:type="dxa"/>
          <w:right w:w="0" w:type="dxa"/>
        </w:tblCellMar>
      </w:tblPr>
      <w:tr>
        <w:trPr>
          <w:trHeight w:val="173"/>
        </w:trPr>
        <w:tc>
          <w:tcPr>
            <w:tcW w:w="5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60" w:type="dxa"/>
            <w:vAlign w:val="bottom"/>
            <w:gridSpan w:val="4"/>
          </w:tcPr>
          <w:p>
            <w:pPr>
              <w:ind w:left="1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00" w:type="dxa"/>
            <w:vAlign w:val="bottom"/>
            <w:gridSpan w:val="4"/>
          </w:tcPr>
          <w:p>
            <w:pPr>
              <w:ind w:left="620"/>
              <w:spacing w:after="0"/>
              <w:rPr>
                <w:sz w:val="20"/>
                <w:szCs w:val="20"/>
                <w:color w:val="auto"/>
              </w:rPr>
            </w:pPr>
            <w:r>
              <w:rPr>
                <w:rFonts w:ascii="Times New Roman" w:cs="Times New Roman" w:eastAsia="Times New Roman" w:hAnsi="Times New Roman"/>
                <w:sz w:val="14"/>
                <w:szCs w:val="14"/>
                <w:b w:val="1"/>
                <w:bCs w:val="1"/>
                <w:color w:val="auto"/>
              </w:rPr>
              <w:t>June 30,</w:t>
            </w:r>
          </w:p>
        </w:tc>
      </w:tr>
      <w:tr>
        <w:trPr>
          <w:trHeight w:val="142"/>
        </w:trPr>
        <w:tc>
          <w:tcPr>
            <w:tcW w:w="5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Borders>
              <w:top w:val="single" w:sz="8" w:color="auto"/>
            </w:tcBorders>
            <w:gridSpan w:val="2"/>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980" w:type="dxa"/>
            <w:vAlign w:val="bottom"/>
            <w:tcBorders>
              <w:top w:val="single" w:sz="8" w:color="auto"/>
            </w:tcBorders>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6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ind w:right="32"/>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2020</w:t>
            </w:r>
          </w:p>
        </w:tc>
        <w:tc>
          <w:tcPr>
            <w:tcW w:w="60" w:type="dxa"/>
            <w:vAlign w:val="bottom"/>
          </w:tcPr>
          <w:p>
            <w:pPr>
              <w:spacing w:after="0"/>
              <w:rPr>
                <w:sz w:val="12"/>
                <w:szCs w:val="12"/>
                <w:color w:val="auto"/>
              </w:rPr>
            </w:pPr>
          </w:p>
        </w:tc>
      </w:tr>
      <w:tr>
        <w:trPr>
          <w:trHeight w:val="210"/>
        </w:trPr>
        <w:tc>
          <w:tcPr>
            <w:tcW w:w="53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80" w:type="dxa"/>
            <w:vAlign w:val="bottom"/>
            <w:tcBorders>
              <w:top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88"/>
              </w:rPr>
              <w:t>1</w:t>
            </w:r>
          </w:p>
        </w:tc>
        <w:tc>
          <w:tcPr>
            <w:tcW w:w="6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6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Office equipment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jc w:val="center"/>
              <w:ind w:right="12"/>
              <w:spacing w:after="0"/>
              <w:rPr>
                <w:sz w:val="20"/>
                <w:szCs w:val="20"/>
                <w:color w:val="auto"/>
              </w:rPr>
            </w:pPr>
            <w:r>
              <w:rPr>
                <w:rFonts w:ascii="Times New Roman" w:cs="Times New Roman" w:eastAsia="Times New Roman" w:hAnsi="Times New Roman"/>
                <w:sz w:val="18"/>
                <w:szCs w:val="18"/>
                <w:color w:val="auto"/>
                <w:w w:val="99"/>
              </w:rPr>
              <w:t>—</w:t>
            </w: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60" w:type="dxa"/>
            <w:vAlign w:val="bottom"/>
          </w:tcPr>
          <w:p>
            <w:pPr>
              <w:spacing w:after="0"/>
              <w:rPr>
                <w:sz w:val="18"/>
                <w:szCs w:val="18"/>
                <w:color w:val="auto"/>
              </w:rPr>
            </w:pPr>
          </w:p>
        </w:tc>
      </w:tr>
      <w:tr>
        <w:trPr>
          <w:trHeight w:val="216"/>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Lab equipment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88"/>
              </w:rPr>
              <w:t>6</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60" w:type="dxa"/>
            <w:vAlign w:val="bottom"/>
            <w:shd w:val="clear" w:color="auto" w:fill="CCEEFF"/>
          </w:tcPr>
          <w:p>
            <w:pPr>
              <w:spacing w:after="0"/>
              <w:rPr>
                <w:sz w:val="18"/>
                <w:szCs w:val="18"/>
                <w:color w:val="auto"/>
              </w:rPr>
            </w:pP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jc w:val="center"/>
              <w:ind w:right="12"/>
              <w:spacing w:after="0"/>
              <w:rPr>
                <w:sz w:val="20"/>
                <w:szCs w:val="20"/>
                <w:color w:val="auto"/>
              </w:rPr>
            </w:pPr>
            <w:r>
              <w:rPr>
                <w:rFonts w:ascii="Times New Roman" w:cs="Times New Roman" w:eastAsia="Times New Roman" w:hAnsi="Times New Roman"/>
                <w:sz w:val="18"/>
                <w:szCs w:val="18"/>
                <w:color w:val="auto"/>
                <w:w w:val="99"/>
              </w:rPr>
              <w:t>—</w:t>
            </w: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60" w:type="dxa"/>
            <w:vAlign w:val="bottom"/>
          </w:tcPr>
          <w:p>
            <w:pPr>
              <w:spacing w:after="0"/>
              <w:rPr>
                <w:sz w:val="18"/>
                <w:szCs w:val="18"/>
                <w:color w:val="auto"/>
              </w:rPr>
            </w:pPr>
          </w:p>
        </w:tc>
      </w:tr>
      <w:tr>
        <w:trPr>
          <w:trHeight w:val="216"/>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Software licenses</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center"/>
              <w:ind w:right="12"/>
              <w:spacing w:after="0"/>
              <w:rPr>
                <w:sz w:val="20"/>
                <w:szCs w:val="20"/>
                <w:color w:val="auto"/>
              </w:rPr>
            </w:pPr>
            <w:r>
              <w:rPr>
                <w:rFonts w:ascii="Times New Roman" w:cs="Times New Roman" w:eastAsia="Times New Roman" w:hAnsi="Times New Roman"/>
                <w:sz w:val="18"/>
                <w:szCs w:val="18"/>
                <w:color w:val="auto"/>
                <w:w w:val="99"/>
              </w:rPr>
              <w:t>—</w:t>
            </w:r>
          </w:p>
        </w:tc>
        <w:tc>
          <w:tcPr>
            <w:tcW w:w="6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9"/>
              </w:rPr>
              <w:t>—</w:t>
            </w:r>
          </w:p>
        </w:tc>
        <w:tc>
          <w:tcPr>
            <w:tcW w:w="6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60" w:type="dxa"/>
            <w:vAlign w:val="bottom"/>
            <w:shd w:val="clear" w:color="auto" w:fill="CCEEFF"/>
          </w:tcPr>
          <w:p>
            <w:pPr>
              <w:spacing w:after="0"/>
              <w:rPr>
                <w:sz w:val="18"/>
                <w:szCs w:val="18"/>
                <w:color w:val="auto"/>
              </w:rPr>
            </w:pPr>
          </w:p>
        </w:tc>
      </w:tr>
      <w:tr>
        <w:trPr>
          <w:trHeight w:val="223"/>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at cost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88"/>
              </w:rPr>
              <w:t>7</w:t>
            </w: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192</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w:t>
            </w:r>
          </w:p>
        </w:tc>
        <w:tc>
          <w:tcPr>
            <w:tcW w:w="60" w:type="dxa"/>
            <w:vAlign w:val="bottom"/>
          </w:tcPr>
          <w:p>
            <w:pPr>
              <w:spacing w:after="0"/>
              <w:rPr>
                <w:sz w:val="19"/>
                <w:szCs w:val="19"/>
                <w:color w:val="auto"/>
              </w:rPr>
            </w:pPr>
          </w:p>
        </w:tc>
      </w:tr>
      <w:tr>
        <w:trPr>
          <w:trHeight w:val="216"/>
        </w:trPr>
        <w:tc>
          <w:tcPr>
            <w:tcW w:w="5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88"/>
              </w:rPr>
              <w:t>1</w:t>
            </w:r>
          </w:p>
        </w:tc>
        <w:tc>
          <w:tcPr>
            <w:tcW w:w="6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6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60" w:type="dxa"/>
            <w:vAlign w:val="bottom"/>
            <w:shd w:val="clear" w:color="auto" w:fill="CCEEFF"/>
          </w:tcPr>
          <w:p>
            <w:pPr>
              <w:spacing w:after="0"/>
              <w:rPr>
                <w:sz w:val="18"/>
                <w:szCs w:val="18"/>
                <w:color w:val="auto"/>
              </w:rPr>
            </w:pPr>
          </w:p>
        </w:tc>
      </w:tr>
      <w:tr>
        <w:trPr>
          <w:trHeight w:val="223"/>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 of accumulated depreciation</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w w:val="88"/>
              </w:rPr>
              <w:t>6</w:t>
            </w:r>
          </w:p>
        </w:tc>
        <w:tc>
          <w:tcPr>
            <w:tcW w:w="62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154</w:t>
            </w:r>
          </w:p>
        </w:tc>
        <w:tc>
          <w:tcPr>
            <w:tcW w:w="620" w:type="dxa"/>
            <w:vAlign w:val="bottom"/>
          </w:tcPr>
          <w:p>
            <w:pPr>
              <w:spacing w:after="0"/>
              <w:rPr>
                <w:sz w:val="19"/>
                <w:szCs w:val="19"/>
                <w:color w:val="auto"/>
              </w:rPr>
            </w:pP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60" w:type="dxa"/>
            <w:vAlign w:val="bottom"/>
          </w:tcPr>
          <w:p>
            <w:pPr>
              <w:spacing w:after="0"/>
              <w:rPr>
                <w:sz w:val="19"/>
                <w:szCs w:val="19"/>
                <w:color w:val="auto"/>
              </w:rPr>
            </w:pPr>
          </w:p>
        </w:tc>
      </w:tr>
      <w:tr>
        <w:trPr>
          <w:trHeight w:val="20"/>
        </w:trPr>
        <w:tc>
          <w:tcPr>
            <w:tcW w:w="5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firstLine="881"/>
        <w:spacing w:after="0" w:line="266" w:lineRule="auto"/>
        <w:rPr>
          <w:sz w:val="20"/>
          <w:szCs w:val="20"/>
          <w:color w:val="auto"/>
        </w:rPr>
      </w:pPr>
      <w:r>
        <w:rPr>
          <w:rFonts w:ascii="Times New Roman" w:cs="Times New Roman" w:eastAsia="Times New Roman" w:hAnsi="Times New Roman"/>
          <w:sz w:val="18"/>
          <w:szCs w:val="18"/>
          <w:color w:val="auto"/>
        </w:rPr>
        <w:t>Depreciation expense (included within “total operating expenses” in the accompanying Statements of Operations and Comprehensive Loss) for the years ended December 31, 2018 and 2019 was $1 thousand and $37 thousand, respectively. Depreciation expense for the six months ended June 30, 2019 and 2020 was $9 thousand and $32 thousand, respectively.</w:t>
      </w:r>
    </w:p>
    <w:p>
      <w:pPr>
        <w:spacing w:after="0" w:line="1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 Accounts Payable and Other Accrued Liabilities</w:t>
      </w:r>
    </w:p>
    <w:p>
      <w:pPr>
        <w:spacing w:after="0" w:line="22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“Accounts payable and other accrued liabilities” consists of the following:</w:t>
      </w:r>
    </w:p>
    <w:p>
      <w:pPr>
        <w:spacing w:after="0" w:line="246" w:lineRule="exact"/>
        <w:rPr>
          <w:sz w:val="20"/>
          <w:szCs w:val="20"/>
          <w:color w:val="auto"/>
        </w:rPr>
      </w:pPr>
    </w:p>
    <w:tbl>
      <w:tblPr>
        <w:tblLayout w:type="fixed"/>
        <w:tblInd w:w="16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0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40" w:type="dxa"/>
            <w:vAlign w:val="bottom"/>
            <w:gridSpan w:val="3"/>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80" w:type="dxa"/>
            <w:vAlign w:val="bottom"/>
            <w:gridSpan w:val="3"/>
          </w:tcPr>
          <w:p>
            <w:pPr>
              <w:ind w:left="50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6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880" w:type="dxa"/>
            <w:vAlign w:val="bottom"/>
            <w:tcBorders>
              <w:top w:val="single" w:sz="8" w:color="auto"/>
            </w:tcBorders>
            <w:gridSpan w:val="2"/>
          </w:tcPr>
          <w:p>
            <w:pPr>
              <w:jc w:val="center"/>
              <w:ind w:left="396"/>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2019</w:t>
            </w:r>
          </w:p>
        </w:tc>
        <w:tc>
          <w:tcPr>
            <w:tcW w:w="500" w:type="dxa"/>
            <w:vAlign w:val="bottom"/>
          </w:tcPr>
          <w:p>
            <w:pPr>
              <w:spacing w:after="0"/>
              <w:rPr>
                <w:sz w:val="12"/>
                <w:szCs w:val="12"/>
                <w:color w:val="auto"/>
              </w:rPr>
            </w:pPr>
          </w:p>
        </w:tc>
        <w:tc>
          <w:tcPr>
            <w:tcW w:w="520" w:type="dxa"/>
            <w:vAlign w:val="bottom"/>
            <w:tcBorders>
              <w:top w:val="single" w:sz="8" w:color="auto"/>
            </w:tcBorders>
          </w:tcPr>
          <w:p>
            <w:pPr>
              <w:jc w:val="right"/>
              <w:ind w:right="35"/>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accounts payable</w:t>
            </w:r>
          </w:p>
        </w:tc>
        <w:tc>
          <w:tcPr>
            <w:tcW w:w="5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$175</w:t>
            </w:r>
          </w:p>
        </w:tc>
        <w:tc>
          <w:tcPr>
            <w:tcW w:w="5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$456</w:t>
            </w:r>
          </w:p>
        </w:tc>
        <w:tc>
          <w:tcPr>
            <w:tcW w:w="5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$1,420</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Shares subject to repurchase from its founders </w:t>
            </w:r>
            <w:r>
              <w:rPr>
                <w:rFonts w:ascii="Times New Roman" w:cs="Times New Roman" w:eastAsia="Times New Roman" w:hAnsi="Times New Roman"/>
                <w:sz w:val="18"/>
                <w:szCs w:val="18"/>
                <w:i w:val="1"/>
                <w:iCs w:val="1"/>
                <w:color w:val="auto"/>
              </w:rPr>
              <w:t>(Note 5)</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500" w:type="dxa"/>
            <w:vAlign w:val="bottom"/>
          </w:tcPr>
          <w:p>
            <w:pPr>
              <w:spacing w:after="0"/>
              <w:rPr>
                <w:sz w:val="18"/>
                <w:szCs w:val="18"/>
                <w:color w:val="auto"/>
              </w:rPr>
            </w:pPr>
          </w:p>
        </w:tc>
        <w:tc>
          <w:tcPr>
            <w:tcW w:w="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500" w:type="dxa"/>
            <w:vAlign w:val="bottom"/>
          </w:tcPr>
          <w:p>
            <w:pPr>
              <w:spacing w:after="0"/>
              <w:rPr>
                <w:sz w:val="18"/>
                <w:szCs w:val="18"/>
                <w:color w:val="auto"/>
              </w:rPr>
            </w:pPr>
          </w:p>
        </w:tc>
        <w:tc>
          <w:tcPr>
            <w:tcW w:w="5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liability, current portion</w:t>
            </w: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Accrued clinical studies</w:t>
            </w:r>
          </w:p>
        </w:tc>
        <w:tc>
          <w:tcPr>
            <w:tcW w:w="580" w:type="dxa"/>
            <w:vAlign w:val="bottom"/>
          </w:tcPr>
          <w:p>
            <w:pPr>
              <w:spacing w:after="0"/>
              <w:rPr>
                <w:sz w:val="18"/>
                <w:szCs w:val="18"/>
                <w:color w:val="auto"/>
              </w:rPr>
            </w:pPr>
          </w:p>
        </w:tc>
        <w:tc>
          <w:tcPr>
            <w:tcW w:w="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500" w:type="dxa"/>
            <w:vAlign w:val="bottom"/>
          </w:tcPr>
          <w:p>
            <w:pPr>
              <w:spacing w:after="0"/>
              <w:rPr>
                <w:sz w:val="18"/>
                <w:szCs w:val="18"/>
                <w:color w:val="auto"/>
              </w:rPr>
            </w:pPr>
          </w:p>
        </w:tc>
        <w:tc>
          <w:tcPr>
            <w:tcW w:w="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Employee stock option early exercise liability, current portion</w:t>
            </w: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Other accrued liabilities</w:t>
            </w:r>
          </w:p>
        </w:tc>
        <w:tc>
          <w:tcPr>
            <w:tcW w:w="580" w:type="dxa"/>
            <w:vAlign w:val="bottom"/>
          </w:tcPr>
          <w:p>
            <w:pPr>
              <w:spacing w:after="0"/>
              <w:rPr>
                <w:sz w:val="19"/>
                <w:szCs w:val="19"/>
                <w:color w:val="auto"/>
              </w:rPr>
            </w:pPr>
          </w:p>
        </w:tc>
        <w:tc>
          <w:tcPr>
            <w:tcW w:w="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500" w:type="dxa"/>
            <w:vAlign w:val="bottom"/>
          </w:tcPr>
          <w:p>
            <w:pPr>
              <w:spacing w:after="0"/>
              <w:rPr>
                <w:sz w:val="19"/>
                <w:szCs w:val="19"/>
                <w:color w:val="auto"/>
              </w:rPr>
            </w:pPr>
          </w:p>
        </w:tc>
        <w:tc>
          <w:tcPr>
            <w:tcW w:w="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500" w:type="dxa"/>
            <w:vAlign w:val="bottom"/>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 and other accrued liabilities</w:t>
            </w:r>
          </w:p>
        </w:tc>
        <w:tc>
          <w:tcPr>
            <w:tcW w:w="940" w:type="dxa"/>
            <w:vAlign w:val="bottom"/>
            <w:gridSpan w:val="2"/>
            <w:shd w:val="clear" w:color="auto" w:fill="CCEEFF"/>
          </w:tcPr>
          <w:p>
            <w:pPr>
              <w:jc w:val="center"/>
              <w:ind w:left="450"/>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176</w:t>
            </w:r>
          </w:p>
        </w:tc>
        <w:tc>
          <w:tcPr>
            <w:tcW w:w="880" w:type="dxa"/>
            <w:vAlign w:val="bottom"/>
            <w:gridSpan w:val="2"/>
            <w:shd w:val="clear" w:color="auto" w:fill="CCEEFF"/>
          </w:tcPr>
          <w:p>
            <w:pPr>
              <w:jc w:val="center"/>
              <w:ind w:left="396"/>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520</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2,803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20" w:type="dxa"/>
            <w:vAlign w:val="bottom"/>
            <w:vMerge w:val="restart"/>
          </w:tcPr>
          <w:p>
            <w:pPr>
              <w:ind w:left="3780"/>
              <w:spacing w:after="0"/>
              <w:rPr>
                <w:sz w:val="20"/>
                <w:szCs w:val="20"/>
                <w:color w:val="auto"/>
              </w:rPr>
            </w:pPr>
            <w:r>
              <w:rPr>
                <w:rFonts w:ascii="Times New Roman" w:cs="Times New Roman" w:eastAsia="Times New Roman" w:hAnsi="Times New Roman"/>
                <w:sz w:val="18"/>
                <w:szCs w:val="18"/>
                <w:color w:val="auto"/>
              </w:rPr>
              <w:t>F-15</w:t>
            </w:r>
          </w:p>
        </w:tc>
        <w:tc>
          <w:tcPr>
            <w:tcW w:w="5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5020" w:type="dxa"/>
            <w:vAlign w:val="bottom"/>
            <w:vMerge w:val="continue"/>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60"/>
          </w:cols>
          <w:pgMar w:left="320" w:top="455" w:right="519" w:bottom="1440" w:gutter="0" w:footer="0" w:header="0"/>
        </w:sectPr>
      </w:pPr>
    </w:p>
    <w:bookmarkStart w:id="227" w:name="page228"/>
    <w:bookmarkEnd w:id="22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TARSUS PHARMACEUTICALS, INC.</w:t>
      </w:r>
    </w:p>
    <w:p>
      <w:pPr>
        <w:spacing w:after="0" w:line="22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NOTES TO THE FINANCIAL STATEMENTS</w:t>
      </w:r>
    </w:p>
    <w:p>
      <w:pPr>
        <w:spacing w:after="0" w:line="3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(Information as of June 30, 2020 and thereafter and for the six months ended June 30, 2019 and 2020 is unaudited; all tabular amounts</w:t>
      </w:r>
    </w:p>
    <w:p>
      <w:pPr>
        <w:spacing w:after="0" w:line="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presented in thousands, except share, per share, per unit, and number of years)</w:t>
      </w:r>
    </w:p>
    <w:p>
      <w:pPr>
        <w:spacing w:after="0" w:line="2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 Other Long-Term Liabilities</w:t>
      </w:r>
    </w:p>
    <w:p>
      <w:pPr>
        <w:spacing w:after="0" w:line="22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“Other long-term liabilities” consists of the following:</w:t>
      </w:r>
    </w:p>
    <w:p>
      <w:pPr>
        <w:spacing w:after="0" w:line="246" w:lineRule="exact"/>
        <w:rPr>
          <w:sz w:val="20"/>
          <w:szCs w:val="20"/>
          <w:color w:val="auto"/>
        </w:rPr>
      </w:pPr>
    </w:p>
    <w:tbl>
      <w:tblPr>
        <w:tblLayout w:type="fixed"/>
        <w:tblInd w:w="16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00" w:type="dxa"/>
            <w:vAlign w:val="bottom"/>
            <w:gridSpan w:val="3"/>
          </w:tcPr>
          <w:p>
            <w:pPr>
              <w:ind w:left="2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60" w:type="dxa"/>
            <w:vAlign w:val="bottom"/>
            <w:gridSpan w:val="4"/>
          </w:tcPr>
          <w:p>
            <w:pPr>
              <w:ind w:left="580"/>
              <w:spacing w:after="0"/>
              <w:rPr>
                <w:sz w:val="20"/>
                <w:szCs w:val="20"/>
                <w:color w:val="auto"/>
              </w:rPr>
            </w:pPr>
            <w:r>
              <w:rPr>
                <w:rFonts w:ascii="Times New Roman" w:cs="Times New Roman" w:eastAsia="Times New Roman" w:hAnsi="Times New Roman"/>
                <w:sz w:val="14"/>
                <w:szCs w:val="14"/>
                <w:b w:val="1"/>
                <w:bCs w:val="1"/>
                <w:color w:val="auto"/>
              </w:rPr>
              <w:t>June 30,</w:t>
            </w:r>
          </w:p>
        </w:tc>
      </w:tr>
      <w:tr>
        <w:trPr>
          <w:trHeight w:val="142"/>
        </w:trPr>
        <w:tc>
          <w:tcPr>
            <w:tcW w:w="2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940" w:type="dxa"/>
            <w:vAlign w:val="bottom"/>
            <w:tcBorders>
              <w:top w:val="single" w:sz="8" w:color="auto"/>
            </w:tcBorders>
            <w:gridSpan w:val="2"/>
          </w:tcPr>
          <w:p>
            <w:pPr>
              <w:jc w:val="center"/>
              <w:ind w:left="499"/>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2019</w:t>
            </w:r>
          </w:p>
        </w:tc>
        <w:tc>
          <w:tcPr>
            <w:tcW w:w="5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ind w:right="35"/>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2020</w:t>
            </w:r>
          </w:p>
        </w:tc>
        <w:tc>
          <w:tcPr>
            <w:tcW w:w="6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51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liability, non-current portion</w:t>
            </w:r>
          </w:p>
        </w:tc>
        <w:tc>
          <w:tcPr>
            <w:tcW w:w="3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5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w:t>
            </w:r>
          </w:p>
        </w:tc>
        <w:tc>
          <w:tcPr>
            <w:tcW w:w="60" w:type="dxa"/>
            <w:vAlign w:val="bottom"/>
            <w:tcBorders>
              <w:top w:val="single" w:sz="8" w:color="CCEEFF"/>
            </w:tcBorders>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Employee stock option early exercise liability, non-current portion</w:t>
            </w:r>
          </w:p>
        </w:tc>
        <w:tc>
          <w:tcPr>
            <w:tcW w:w="360" w:type="dxa"/>
            <w:vAlign w:val="bottom"/>
          </w:tcPr>
          <w:p>
            <w:pPr>
              <w:spacing w:after="0"/>
              <w:rPr>
                <w:sz w:val="19"/>
                <w:szCs w:val="19"/>
                <w:color w:val="auto"/>
              </w:rPr>
            </w:pPr>
          </w:p>
        </w:tc>
        <w:tc>
          <w:tcPr>
            <w:tcW w:w="3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19"/>
                <w:szCs w:val="19"/>
                <w:color w:val="auto"/>
              </w:rPr>
            </w:pPr>
          </w:p>
        </w:tc>
        <w:tc>
          <w:tcPr>
            <w:tcW w:w="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5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 and other accrued liabilities</w:t>
            </w:r>
          </w:p>
        </w:tc>
        <w:tc>
          <w:tcPr>
            <w:tcW w:w="72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center"/>
              <w:ind w:left="499"/>
              <w:spacing w:after="0"/>
              <w:rPr>
                <w:sz w:val="20"/>
                <w:szCs w:val="20"/>
                <w:color w:val="auto"/>
              </w:rPr>
            </w:pPr>
            <w:r>
              <w:rPr>
                <w:rFonts w:ascii="Times New Roman" w:cs="Times New Roman" w:eastAsia="Times New Roman" w:hAnsi="Times New Roman"/>
                <w:sz w:val="18"/>
                <w:szCs w:val="18"/>
                <w:u w:val="single" w:color="auto"/>
                <w:color w:val="auto"/>
                <w:w w:val="99"/>
              </w:rPr>
              <w:t>$</w:t>
            </w:r>
            <w:r>
              <w:rPr>
                <w:rFonts w:ascii="Times New Roman" w:cs="Times New Roman" w:eastAsia="Times New Roman" w:hAnsi="Times New Roman"/>
                <w:sz w:val="18"/>
                <w:szCs w:val="18"/>
                <w:color w:val="auto"/>
                <w:w w:val="99"/>
              </w:rPr>
              <w:t>100</w:t>
            </w:r>
          </w:p>
        </w:tc>
        <w:tc>
          <w:tcPr>
            <w:tcW w:w="68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4. STOCKHOLDERS’ EQUITY</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Authorized Stock</w:t>
      </w:r>
    </w:p>
    <w:p>
      <w:pPr>
        <w:spacing w:after="0" w:line="229" w:lineRule="exact"/>
        <w:rPr>
          <w:sz w:val="20"/>
          <w:szCs w:val="20"/>
          <w:color w:val="auto"/>
        </w:rPr>
      </w:pPr>
    </w:p>
    <w:p>
      <w:pPr>
        <w:jc w:val="both"/>
        <w:ind w:left="120" w:right="300" w:firstLine="881"/>
        <w:spacing w:after="0" w:line="266" w:lineRule="auto"/>
        <w:rPr>
          <w:sz w:val="20"/>
          <w:szCs w:val="20"/>
          <w:color w:val="auto"/>
        </w:rPr>
      </w:pPr>
      <w:r>
        <w:rPr>
          <w:rFonts w:ascii="Times New Roman" w:cs="Times New Roman" w:eastAsia="Times New Roman" w:hAnsi="Times New Roman"/>
          <w:sz w:val="18"/>
          <w:szCs w:val="18"/>
          <w:color w:val="auto"/>
        </w:rPr>
        <w:t>Under the December 2019 Amended and Restated Certificate of Incorporation, the Company is authorized to issue two classes of stock: common and preferred. The total number of shares authorized for issuance is 103 million of common shares and 61.7 million of preferred shares, of which 11.7 million shares are designated as Series A Preferred Stock and 50 million shares are designated as Series B Preferred Stock.</w:t>
      </w:r>
    </w:p>
    <w:p>
      <w:pPr>
        <w:spacing w:after="0" w:line="1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Preferred Stock Overview</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Series A Preferred Stock Issuance</w:t>
      </w:r>
    </w:p>
    <w:p>
      <w:pPr>
        <w:spacing w:after="0" w:line="229" w:lineRule="exact"/>
        <w:rPr>
          <w:sz w:val="20"/>
          <w:szCs w:val="20"/>
          <w:color w:val="auto"/>
        </w:rPr>
      </w:pPr>
    </w:p>
    <w:p>
      <w:pPr>
        <w:ind w:left="120" w:right="80" w:firstLine="881"/>
        <w:spacing w:after="0" w:line="282" w:lineRule="auto"/>
        <w:rPr>
          <w:sz w:val="20"/>
          <w:szCs w:val="20"/>
          <w:color w:val="auto"/>
        </w:rPr>
      </w:pPr>
      <w:r>
        <w:rPr>
          <w:rFonts w:ascii="Times New Roman" w:cs="Times New Roman" w:eastAsia="Times New Roman" w:hAnsi="Times New Roman"/>
          <w:sz w:val="18"/>
          <w:szCs w:val="18"/>
          <w:color w:val="auto"/>
        </w:rPr>
        <w:t>In March and May 2018, the Company executed a private placement Series A Stock Purchase Agreement and issued 11.7 million shares of Series A Preferred Stock at $0.312 per share for net proceeds of $3.6 million, after issuance costs of $0.1 million.</w:t>
      </w:r>
    </w:p>
    <w:p>
      <w:pPr>
        <w:spacing w:after="0" w:line="170"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152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Net</w:t>
            </w:r>
          </w:p>
        </w:tc>
        <w:tc>
          <w:tcPr>
            <w:tcW w:w="420" w:type="dxa"/>
            <w:vAlign w:val="bottom"/>
          </w:tcPr>
          <w:p>
            <w:pPr>
              <w:spacing w:after="0"/>
              <w:rPr>
                <w:sz w:val="13"/>
                <w:szCs w:val="13"/>
                <w:color w:val="auto"/>
              </w:rPr>
            </w:pPr>
          </w:p>
        </w:tc>
        <w:tc>
          <w:tcPr>
            <w:tcW w:w="7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Liquidation</w:t>
            </w:r>
          </w:p>
        </w:tc>
        <w:tc>
          <w:tcPr>
            <w:tcW w:w="420" w:type="dxa"/>
            <w:vAlign w:val="bottom"/>
          </w:tcPr>
          <w:p>
            <w:pPr>
              <w:spacing w:after="0"/>
              <w:rPr>
                <w:sz w:val="13"/>
                <w:szCs w:val="13"/>
                <w:color w:val="auto"/>
              </w:rPr>
            </w:pPr>
          </w:p>
        </w:tc>
        <w:tc>
          <w:tcPr>
            <w:tcW w:w="6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Original</w:t>
            </w:r>
          </w:p>
        </w:tc>
        <w:tc>
          <w:tcPr>
            <w:tcW w:w="0" w:type="dxa"/>
            <w:vAlign w:val="bottom"/>
          </w:tcPr>
          <w:p>
            <w:pPr>
              <w:spacing w:after="0"/>
              <w:rPr>
                <w:sz w:val="1"/>
                <w:szCs w:val="1"/>
                <w:color w:val="auto"/>
              </w:rPr>
            </w:pPr>
          </w:p>
        </w:tc>
      </w:tr>
      <w:tr>
        <w:trPr>
          <w:trHeight w:val="148"/>
        </w:trPr>
        <w:tc>
          <w:tcPr>
            <w:tcW w:w="15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As of December 31, 2018</w:t>
            </w:r>
          </w:p>
        </w:tc>
        <w:tc>
          <w:tcPr>
            <w:tcW w:w="2420" w:type="dxa"/>
            <w:vAlign w:val="bottom"/>
            <w:vMerge w:val="restart"/>
          </w:tcPr>
          <w:p>
            <w:pPr>
              <w:spacing w:after="0"/>
              <w:rPr>
                <w:sz w:val="12"/>
                <w:szCs w:val="12"/>
                <w:color w:val="auto"/>
              </w:rPr>
            </w:pPr>
          </w:p>
        </w:tc>
        <w:tc>
          <w:tcPr>
            <w:tcW w:w="13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Authorized</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42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42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420" w:type="dxa"/>
            <w:vAlign w:val="bottom"/>
          </w:tcPr>
          <w:p>
            <w:pPr>
              <w:spacing w:after="0"/>
              <w:rPr>
                <w:sz w:val="12"/>
                <w:szCs w:val="12"/>
                <w:color w:val="auto"/>
              </w:rPr>
            </w:pPr>
          </w:p>
        </w:tc>
        <w:tc>
          <w:tcPr>
            <w:tcW w:w="64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Issue</w:t>
            </w:r>
          </w:p>
        </w:tc>
        <w:tc>
          <w:tcPr>
            <w:tcW w:w="0" w:type="dxa"/>
            <w:vAlign w:val="bottom"/>
          </w:tcPr>
          <w:p>
            <w:pPr>
              <w:spacing w:after="0"/>
              <w:rPr>
                <w:sz w:val="1"/>
                <w:szCs w:val="1"/>
                <w:color w:val="auto"/>
              </w:rPr>
            </w:pPr>
          </w:p>
        </w:tc>
      </w:tr>
      <w:tr>
        <w:trPr>
          <w:trHeight w:val="180"/>
        </w:trPr>
        <w:tc>
          <w:tcPr>
            <w:tcW w:w="1520" w:type="dxa"/>
            <w:vAlign w:val="bottom"/>
            <w:tcBorders>
              <w:bottom w:val="single" w:sz="8" w:color="auto"/>
            </w:tcBorders>
            <w:vMerge w:val="continue"/>
          </w:tcPr>
          <w:p>
            <w:pPr>
              <w:spacing w:after="0"/>
              <w:rPr>
                <w:sz w:val="15"/>
                <w:szCs w:val="15"/>
                <w:color w:val="auto"/>
              </w:rPr>
            </w:pPr>
          </w:p>
        </w:tc>
        <w:tc>
          <w:tcPr>
            <w:tcW w:w="2420" w:type="dxa"/>
            <w:vAlign w:val="bottom"/>
            <w:vMerge w:val="continue"/>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60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Value</w:t>
            </w:r>
          </w:p>
        </w:tc>
        <w:tc>
          <w:tcPr>
            <w:tcW w:w="420" w:type="dxa"/>
            <w:vAlign w:val="bottom"/>
          </w:tcPr>
          <w:p>
            <w:pPr>
              <w:spacing w:after="0"/>
              <w:rPr>
                <w:sz w:val="15"/>
                <w:szCs w:val="15"/>
                <w:color w:val="auto"/>
              </w:rPr>
            </w:pPr>
          </w:p>
        </w:tc>
        <w:tc>
          <w:tcPr>
            <w:tcW w:w="760" w:type="dxa"/>
            <w:vAlign w:val="bottom"/>
            <w:gridSpan w:val="2"/>
          </w:tcPr>
          <w:p>
            <w:pPr>
              <w:ind w:left="40"/>
              <w:spacing w:after="0" w:line="160" w:lineRule="exact"/>
              <w:rPr>
                <w:sz w:val="20"/>
                <w:szCs w:val="20"/>
                <w:color w:val="auto"/>
              </w:rPr>
            </w:pPr>
            <w:r>
              <w:rPr>
                <w:rFonts w:ascii="Times New Roman" w:cs="Times New Roman" w:eastAsia="Times New Roman" w:hAnsi="Times New Roman"/>
                <w:sz w:val="14"/>
                <w:szCs w:val="14"/>
                <w:b w:val="1"/>
                <w:bCs w:val="1"/>
                <w:color w:val="auto"/>
              </w:rPr>
              <w:t>Preference</w:t>
            </w:r>
          </w:p>
        </w:tc>
        <w:tc>
          <w:tcPr>
            <w:tcW w:w="420" w:type="dxa"/>
            <w:vAlign w:val="bottom"/>
          </w:tcPr>
          <w:p>
            <w:pPr>
              <w:spacing w:after="0"/>
              <w:rPr>
                <w:sz w:val="15"/>
                <w:szCs w:val="15"/>
                <w:color w:val="auto"/>
              </w:rPr>
            </w:pPr>
          </w:p>
        </w:tc>
        <w:tc>
          <w:tcPr>
            <w:tcW w:w="640" w:type="dxa"/>
            <w:vAlign w:val="bottom"/>
            <w:gridSpan w:val="2"/>
          </w:tcPr>
          <w:p>
            <w:pPr>
              <w:jc w:val="center"/>
              <w:ind w:right="80"/>
              <w:spacing w:after="0" w:line="160" w:lineRule="exact"/>
              <w:rPr>
                <w:sz w:val="20"/>
                <w:szCs w:val="20"/>
                <w:color w:val="auto"/>
              </w:rPr>
            </w:pPr>
            <w:r>
              <w:rPr>
                <w:rFonts w:ascii="Times New Roman" w:cs="Times New Roman" w:eastAsia="Times New Roman" w:hAnsi="Times New Roman"/>
                <w:sz w:val="14"/>
                <w:szCs w:val="14"/>
                <w:b w:val="1"/>
                <w:bCs w:val="1"/>
                <w:color w:val="auto"/>
              </w:rPr>
              <w:t>Price</w:t>
            </w:r>
          </w:p>
        </w:tc>
        <w:tc>
          <w:tcPr>
            <w:tcW w:w="0" w:type="dxa"/>
            <w:vAlign w:val="bottom"/>
          </w:tcPr>
          <w:p>
            <w:pPr>
              <w:spacing w:after="0"/>
              <w:rPr>
                <w:sz w:val="1"/>
                <w:szCs w:val="1"/>
                <w:color w:val="auto"/>
              </w:rPr>
            </w:pPr>
          </w:p>
        </w:tc>
      </w:tr>
      <w:tr>
        <w:trPr>
          <w:trHeight w:val="203"/>
        </w:trPr>
        <w:tc>
          <w:tcPr>
            <w:tcW w:w="394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Series A Preferred Stock</w:t>
            </w:r>
          </w:p>
        </w:tc>
        <w:tc>
          <w:tcPr>
            <w:tcW w:w="900" w:type="dxa"/>
            <w:vAlign w:val="bottom"/>
            <w:tcBorders>
              <w:top w:val="single" w:sz="8" w:color="auto"/>
            </w:tcBorders>
            <w:shd w:val="clear" w:color="auto" w:fill="CCEEFF"/>
          </w:tcPr>
          <w:p>
            <w:pPr>
              <w:ind w:left="80"/>
              <w:spacing w:after="0" w:line="203" w:lineRule="exact"/>
              <w:rPr>
                <w:sz w:val="20"/>
                <w:szCs w:val="20"/>
                <w:color w:val="auto"/>
              </w:rPr>
            </w:pPr>
            <w:r>
              <w:rPr>
                <w:rFonts w:ascii="Times New Roman" w:cs="Times New Roman" w:eastAsia="Times New Roman" w:hAnsi="Times New Roman"/>
                <w:sz w:val="18"/>
                <w:szCs w:val="18"/>
                <w:color w:val="auto"/>
                <w:w w:val="98"/>
              </w:rPr>
              <w:t>12,820,512</w:t>
            </w:r>
          </w:p>
        </w:tc>
        <w:tc>
          <w:tcPr>
            <w:tcW w:w="42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11,698,716</w:t>
            </w:r>
          </w:p>
        </w:tc>
        <w:tc>
          <w:tcPr>
            <w:tcW w:w="42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rPr>
              <w:t>$ 3,564</w:t>
            </w:r>
          </w:p>
        </w:tc>
        <w:tc>
          <w:tcPr>
            <w:tcW w:w="4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3,650</w:t>
            </w:r>
          </w:p>
        </w:tc>
        <w:tc>
          <w:tcPr>
            <w:tcW w:w="42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rPr>
              <w:t>$ 0.312</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Series B Preferred Stock Issuance</w:t>
      </w:r>
    </w:p>
    <w:p>
      <w:pPr>
        <w:spacing w:after="0" w:line="229" w:lineRule="exact"/>
        <w:rPr>
          <w:sz w:val="20"/>
          <w:szCs w:val="20"/>
          <w:color w:val="auto"/>
        </w:rPr>
      </w:pPr>
    </w:p>
    <w:p>
      <w:pPr>
        <w:ind w:left="120" w:firstLine="881"/>
        <w:spacing w:after="0" w:line="258" w:lineRule="auto"/>
        <w:rPr>
          <w:sz w:val="20"/>
          <w:szCs w:val="20"/>
          <w:color w:val="auto"/>
        </w:rPr>
      </w:pPr>
      <w:r>
        <w:rPr>
          <w:rFonts w:ascii="Times New Roman" w:cs="Times New Roman" w:eastAsia="Times New Roman" w:hAnsi="Times New Roman"/>
          <w:sz w:val="18"/>
          <w:szCs w:val="18"/>
          <w:color w:val="auto"/>
        </w:rPr>
        <w:t xml:space="preserve">In December 2019, the Company executed a private placement Series B Stock Purchase Agreement of 47.6 million shares of Series B Preferred Stock at $1.2104 per share for net proceeds of $57.4 million, after issuance costs of $0.2 million. Concurrently, convertible notes issued in May, August, and October 2019 for aggregate proceeds of $2.0 million were converted based on principal and accrued interest, and the Company issued 2.0 million shares of Series B Preferred Stock at its contractual conversion price (see </w:t>
      </w:r>
      <w:r>
        <w:rPr>
          <w:rFonts w:ascii="Times New Roman" w:cs="Times New Roman" w:eastAsia="Times New Roman" w:hAnsi="Times New Roman"/>
          <w:sz w:val="18"/>
          <w:szCs w:val="18"/>
          <w:i w:val="1"/>
          <w:iCs w:val="1"/>
          <w:color w:val="auto"/>
        </w:rPr>
        <w:t>Note 9</w:t>
      </w:r>
      <w:r>
        <w:rPr>
          <w:rFonts w:ascii="Times New Roman" w:cs="Times New Roman" w:eastAsia="Times New Roman" w:hAnsi="Times New Roman"/>
          <w:sz w:val="18"/>
          <w:szCs w:val="18"/>
          <w:color w:val="auto"/>
        </w:rPr>
        <w:t>). The table below includes preferred stock details as of December 31, 2019 and June 30, 2020.</w:t>
      </w:r>
    </w:p>
    <w:p>
      <w:pPr>
        <w:spacing w:after="0" w:line="192"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17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As of December 31, 2019 and</w:t>
            </w:r>
          </w:p>
        </w:tc>
        <w:tc>
          <w:tcPr>
            <w:tcW w:w="18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Net</w:t>
            </w:r>
          </w:p>
        </w:tc>
        <w:tc>
          <w:tcPr>
            <w:tcW w:w="420" w:type="dxa"/>
            <w:vAlign w:val="bottom"/>
          </w:tcPr>
          <w:p>
            <w:pPr>
              <w:spacing w:after="0"/>
              <w:rPr>
                <w:sz w:val="13"/>
                <w:szCs w:val="13"/>
                <w:color w:val="auto"/>
              </w:rPr>
            </w:pPr>
          </w:p>
        </w:tc>
        <w:tc>
          <w:tcPr>
            <w:tcW w:w="8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Liquidation</w:t>
            </w:r>
          </w:p>
        </w:tc>
        <w:tc>
          <w:tcPr>
            <w:tcW w:w="420" w:type="dxa"/>
            <w:vAlign w:val="bottom"/>
          </w:tcPr>
          <w:p>
            <w:pPr>
              <w:spacing w:after="0"/>
              <w:rPr>
                <w:sz w:val="13"/>
                <w:szCs w:val="13"/>
                <w:color w:val="auto"/>
              </w:rPr>
            </w:pPr>
          </w:p>
        </w:tc>
        <w:tc>
          <w:tcPr>
            <w:tcW w:w="74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Original</w:t>
            </w:r>
          </w:p>
        </w:tc>
        <w:tc>
          <w:tcPr>
            <w:tcW w:w="0" w:type="dxa"/>
            <w:vAlign w:val="bottom"/>
          </w:tcPr>
          <w:p>
            <w:pPr>
              <w:spacing w:after="0"/>
              <w:rPr>
                <w:sz w:val="1"/>
                <w:szCs w:val="1"/>
                <w:color w:val="auto"/>
              </w:rPr>
            </w:pPr>
          </w:p>
        </w:tc>
      </w:tr>
      <w:tr>
        <w:trPr>
          <w:trHeight w:val="146"/>
        </w:trPr>
        <w:tc>
          <w:tcPr>
            <w:tcW w:w="1780" w:type="dxa"/>
            <w:vAlign w:val="bottom"/>
            <w:gridSpan w:val="2"/>
            <w:vMerge w:val="continue"/>
          </w:tcPr>
          <w:p>
            <w:pPr>
              <w:spacing w:after="0"/>
              <w:rPr>
                <w:sz w:val="12"/>
                <w:szCs w:val="12"/>
                <w:color w:val="auto"/>
              </w:rPr>
            </w:pPr>
          </w:p>
        </w:tc>
        <w:tc>
          <w:tcPr>
            <w:tcW w:w="1880" w:type="dxa"/>
            <w:vAlign w:val="bottom"/>
          </w:tcPr>
          <w:p>
            <w:pPr>
              <w:spacing w:after="0"/>
              <w:rPr>
                <w:sz w:val="12"/>
                <w:szCs w:val="12"/>
                <w:color w:val="auto"/>
              </w:rPr>
            </w:pPr>
          </w:p>
        </w:tc>
        <w:tc>
          <w:tcPr>
            <w:tcW w:w="13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Authorized</w:t>
            </w:r>
          </w:p>
        </w:tc>
        <w:tc>
          <w:tcPr>
            <w:tcW w:w="940" w:type="dxa"/>
            <w:vAlign w:val="bottom"/>
            <w:vMerge w:val="restart"/>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420" w:type="dxa"/>
            <w:vAlign w:val="bottom"/>
          </w:tcPr>
          <w:p>
            <w:pPr>
              <w:spacing w:after="0"/>
              <w:rPr>
                <w:sz w:val="12"/>
                <w:szCs w:val="12"/>
                <w:color w:val="auto"/>
              </w:rPr>
            </w:pPr>
          </w:p>
        </w:tc>
        <w:tc>
          <w:tcPr>
            <w:tcW w:w="640" w:type="dxa"/>
            <w:vAlign w:val="bottom"/>
            <w:gridSpan w:val="2"/>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42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gridSpan w:val="2"/>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rPr>
              <w:t>Issue</w:t>
            </w:r>
          </w:p>
        </w:tc>
        <w:tc>
          <w:tcPr>
            <w:tcW w:w="0" w:type="dxa"/>
            <w:vAlign w:val="bottom"/>
          </w:tcPr>
          <w:p>
            <w:pPr>
              <w:spacing w:after="0"/>
              <w:rPr>
                <w:sz w:val="1"/>
                <w:szCs w:val="1"/>
                <w:color w:val="auto"/>
              </w:rPr>
            </w:pPr>
          </w:p>
        </w:tc>
      </w:tr>
      <w:tr>
        <w:trPr>
          <w:trHeight w:val="182"/>
        </w:trPr>
        <w:tc>
          <w:tcPr>
            <w:tcW w:w="17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June 30, 2020</w:t>
            </w:r>
          </w:p>
        </w:tc>
        <w:tc>
          <w:tcPr>
            <w:tcW w:w="1880" w:type="dxa"/>
            <w:vAlign w:val="bottom"/>
          </w:tcPr>
          <w:p>
            <w:pPr>
              <w:spacing w:after="0"/>
              <w:rPr>
                <w:sz w:val="15"/>
                <w:szCs w:val="15"/>
                <w:color w:val="auto"/>
              </w:rPr>
            </w:pPr>
          </w:p>
        </w:tc>
        <w:tc>
          <w:tcPr>
            <w:tcW w:w="1360" w:type="dxa"/>
            <w:vAlign w:val="bottom"/>
            <w:gridSpan w:val="2"/>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420" w:type="dxa"/>
            <w:vAlign w:val="bottom"/>
          </w:tcPr>
          <w:p>
            <w:pPr>
              <w:spacing w:after="0"/>
              <w:rPr>
                <w:sz w:val="15"/>
                <w:szCs w:val="15"/>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Preference</w:t>
            </w: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76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w w:val="97"/>
              </w:rPr>
              <w:t>Series A Preferred Stock</w:t>
            </w:r>
          </w:p>
        </w:tc>
        <w:tc>
          <w:tcPr>
            <w:tcW w:w="188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ind w:left="120"/>
              <w:spacing w:after="0" w:line="203" w:lineRule="exact"/>
              <w:rPr>
                <w:sz w:val="20"/>
                <w:szCs w:val="20"/>
                <w:color w:val="auto"/>
              </w:rPr>
            </w:pPr>
            <w:r>
              <w:rPr>
                <w:rFonts w:ascii="Times New Roman" w:cs="Times New Roman" w:eastAsia="Times New Roman" w:hAnsi="Times New Roman"/>
                <w:sz w:val="18"/>
                <w:szCs w:val="18"/>
                <w:color w:val="auto"/>
                <w:w w:val="98"/>
              </w:rPr>
              <w:t>11,698,716</w:t>
            </w:r>
          </w:p>
        </w:tc>
        <w:tc>
          <w:tcPr>
            <w:tcW w:w="42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11,698,716</w:t>
            </w:r>
          </w:p>
        </w:tc>
        <w:tc>
          <w:tcPr>
            <w:tcW w:w="4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3,564</w:t>
            </w:r>
          </w:p>
        </w:tc>
        <w:tc>
          <w:tcPr>
            <w:tcW w:w="4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3,650</w:t>
            </w:r>
          </w:p>
        </w:tc>
        <w:tc>
          <w:tcPr>
            <w:tcW w:w="4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0.312</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w w:val="98"/>
              </w:rPr>
              <w:t>Series B Preferred Stock</w:t>
            </w:r>
          </w:p>
        </w:tc>
        <w:tc>
          <w:tcPr>
            <w:tcW w:w="1880" w:type="dxa"/>
            <w:vAlign w:val="bottom"/>
          </w:tcPr>
          <w:p>
            <w:pPr>
              <w:spacing w:after="0"/>
              <w:rPr>
                <w:sz w:val="18"/>
                <w:szCs w:val="18"/>
                <w:color w:val="auto"/>
              </w:rPr>
            </w:pPr>
          </w:p>
        </w:tc>
        <w:tc>
          <w:tcPr>
            <w:tcW w:w="94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8"/>
              </w:rPr>
              <w:t>50,000,000</w:t>
            </w:r>
          </w:p>
        </w:tc>
        <w:tc>
          <w:tcPr>
            <w:tcW w:w="4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49,578,623</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59,838</w:t>
            </w:r>
          </w:p>
        </w:tc>
        <w:tc>
          <w:tcPr>
            <w:tcW w:w="620" w:type="dxa"/>
            <w:vAlign w:val="bottom"/>
            <w:gridSpan w:val="2"/>
          </w:tcPr>
          <w:p>
            <w:pPr>
              <w:jc w:val="right"/>
              <w:ind w:right="44"/>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60,010</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1.2104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7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880" w:type="dxa"/>
            <w:vAlign w:val="bottom"/>
            <w:shd w:val="clear" w:color="auto" w:fill="CCEEFF"/>
          </w:tcPr>
          <w:p>
            <w:pPr>
              <w:spacing w:after="0"/>
              <w:rPr>
                <w:sz w:val="18"/>
                <w:szCs w:val="18"/>
                <w:color w:val="auto"/>
              </w:rPr>
            </w:pPr>
          </w:p>
        </w:tc>
        <w:tc>
          <w:tcPr>
            <w:tcW w:w="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98"/>
              </w:rPr>
              <w:t>61,698,716</w:t>
            </w: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61,277,339</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63,402</w:t>
            </w:r>
          </w:p>
        </w:tc>
        <w:tc>
          <w:tcPr>
            <w:tcW w:w="620" w:type="dxa"/>
            <w:vAlign w:val="bottom"/>
            <w:gridSpan w:val="2"/>
            <w:shd w:val="clear" w:color="auto" w:fill="CCEEFF"/>
          </w:tcPr>
          <w:p>
            <w:pPr>
              <w:jc w:val="right"/>
              <w:ind w:right="44"/>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63,660</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36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F-16</w:t>
            </w:r>
          </w:p>
        </w:tc>
        <w:tc>
          <w:tcPr>
            <w:tcW w:w="9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55" w:right="499" w:bottom="1440" w:gutter="0" w:footer="0" w:header="0"/>
        </w:sectPr>
      </w:pPr>
    </w:p>
    <w:bookmarkStart w:id="228" w:name="page229"/>
    <w:bookmarkEnd w:id="22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TARSUS PHARMACEUTICALS, INC.</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THE FINANCIAL STATEMENTS</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(Information as of June 30, 2020 and thereafter and for the six months ended June 30, 2019 and 2020 is unaudited; all tabular amounts</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presented in thousands, except share, per share, per unit, and number of years)</w:t>
      </w:r>
    </w:p>
    <w:p>
      <w:pPr>
        <w:spacing w:after="0" w:line="2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Significant Provisions of Series A and Series B Preferred Stock</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Conversion Rights and Mandatory Conversion</w:t>
      </w:r>
    </w:p>
    <w:p>
      <w:pPr>
        <w:spacing w:after="0" w:line="229" w:lineRule="exact"/>
        <w:rPr>
          <w:sz w:val="20"/>
          <w:szCs w:val="20"/>
          <w:color w:val="auto"/>
        </w:rPr>
      </w:pPr>
    </w:p>
    <w:p>
      <w:pPr>
        <w:ind w:left="120" w:right="200" w:firstLine="881"/>
        <w:spacing w:after="0" w:line="255" w:lineRule="auto"/>
        <w:rPr>
          <w:sz w:val="20"/>
          <w:szCs w:val="20"/>
          <w:color w:val="auto"/>
        </w:rPr>
      </w:pPr>
      <w:r>
        <w:rPr>
          <w:rFonts w:ascii="Times New Roman" w:cs="Times New Roman" w:eastAsia="Times New Roman" w:hAnsi="Times New Roman"/>
          <w:sz w:val="18"/>
          <w:szCs w:val="18"/>
          <w:color w:val="auto"/>
        </w:rPr>
        <w:t>Each share of Series A and Series B Preferred Stock is convertible into common shares determined by dividing the original issuance price by the conversion price and at the sole option of the holder on a one-to-one basis. The conversion price will be adjusted for stock splits, distributions, dividends, noncash distributions, share purchase rights, and capital reorganizations. In addition, subject to customary exceptions, the conversion price for each series of preferred stock will be reduced upon the issuance or sale of common shares or instruments convertible or exercisable into common shares, for consideration or with an exercise price that is less than the conversion price applicable to such series. Such reduction may result in recognition of a deemed dividend to preferred stockholders if the resulting conversion price is less than the fair value per share of common stock as of the date preferred stock was issued.</w:t>
      </w:r>
    </w:p>
    <w:p>
      <w:pPr>
        <w:spacing w:after="0" w:line="189" w:lineRule="exact"/>
        <w:rPr>
          <w:sz w:val="20"/>
          <w:szCs w:val="20"/>
          <w:color w:val="auto"/>
        </w:rPr>
      </w:pPr>
    </w:p>
    <w:p>
      <w:pPr>
        <w:ind w:left="120" w:right="200" w:firstLine="881"/>
        <w:spacing w:after="0" w:line="258" w:lineRule="auto"/>
        <w:rPr>
          <w:sz w:val="20"/>
          <w:szCs w:val="20"/>
          <w:color w:val="auto"/>
        </w:rPr>
      </w:pPr>
      <w:r>
        <w:rPr>
          <w:rFonts w:ascii="Times New Roman" w:cs="Times New Roman" w:eastAsia="Times New Roman" w:hAnsi="Times New Roman"/>
          <w:sz w:val="18"/>
          <w:szCs w:val="18"/>
          <w:color w:val="auto"/>
        </w:rPr>
        <w:t>Mandatory conversion into common shares will occur upon either (i) the closing of a Qualified Public Offering, which is defined in the December 2019 Amended and Restated Certificate of Incorporation to include the sale of common stock in a firm commitment underwritten public offering on Form S-1, the public offering price of which is at least $3.03 per share and that results in at least $60 million of proceeds, or (ii) by vote or written consent or agreement of the holders of a majority of the then-outstanding shares of Series A and Series B Preferred Stock, voting together as a single class on an as-converted basis.</w:t>
      </w:r>
    </w:p>
    <w:p>
      <w:pPr>
        <w:spacing w:after="0" w:line="1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Liquidation Preference</w:t>
      </w:r>
    </w:p>
    <w:p>
      <w:pPr>
        <w:spacing w:after="0" w:line="229" w:lineRule="exact"/>
        <w:rPr>
          <w:sz w:val="20"/>
          <w:szCs w:val="20"/>
          <w:color w:val="auto"/>
        </w:rPr>
      </w:pPr>
    </w:p>
    <w:p>
      <w:pPr>
        <w:ind w:left="120" w:firstLine="881"/>
        <w:spacing w:after="0" w:line="253" w:lineRule="auto"/>
        <w:rPr>
          <w:sz w:val="20"/>
          <w:szCs w:val="20"/>
          <w:color w:val="auto"/>
        </w:rPr>
      </w:pPr>
      <w:r>
        <w:rPr>
          <w:rFonts w:ascii="Times New Roman" w:cs="Times New Roman" w:eastAsia="Times New Roman" w:hAnsi="Times New Roman"/>
          <w:sz w:val="18"/>
          <w:szCs w:val="18"/>
          <w:color w:val="auto"/>
        </w:rPr>
        <w:t xml:space="preserve">In the event of any Liquidation Event (as defined in the December 2019 Amended and Restated Certificate of Incorporation), the holders of Series A and B Preferred Stock are first entitled to proceeds or assets available for distribution that are in preference of any distribution to common stockholders (the “Liquidation Preference”); provided, however, that if the holders of Series A and Series B Preferred Stock would receive greater proceeds in a Liquidation Event as a result of their conversion to common stock such shares of Series A and/or Series B Preferred Stock shall be deemed to have automatically thus converted. This Liquidation Preference is equal to the </w:t>
      </w:r>
      <w:r>
        <w:rPr>
          <w:rFonts w:ascii="Times New Roman" w:cs="Times New Roman" w:eastAsia="Times New Roman" w:hAnsi="Times New Roman"/>
          <w:sz w:val="18"/>
          <w:szCs w:val="18"/>
          <w:i w:val="1"/>
          <w:iCs w:val="1"/>
          <w:color w:val="auto"/>
        </w:rPr>
        <w:t>sum of</w:t>
      </w:r>
      <w:r>
        <w:rPr>
          <w:rFonts w:ascii="Times New Roman" w:cs="Times New Roman" w:eastAsia="Times New Roman" w:hAnsi="Times New Roman"/>
          <w:sz w:val="18"/>
          <w:szCs w:val="18"/>
          <w:color w:val="auto"/>
        </w:rPr>
        <w:t xml:space="preserve"> (i) the original issue price of Series A and Series B Preferred Stock ($0.312 and $1.2104 per share, respectively) for each outstanding share of Series A and Series B Preferred Stock and (ii) any declared but unpaid dividends for each outstanding share of Series A and Series B Preferred Stock. If the proceeds from the Liquidation Event are less than the Liquidation Preference, then all available proceeds will be distributed ratably to the holders of Series A and Series B Preferred Stock in proportion to the preferential amount each is otherwise entitled to receive. After the distributions described above have been paid in full, the remaining assets of the Company will be distributed among the holders of common stock pro rata based on the number of shares held by each holder.</w:t>
      </w:r>
    </w:p>
    <w:p>
      <w:pPr>
        <w:spacing w:after="0" w:line="19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Voting Rights</w:t>
      </w:r>
    </w:p>
    <w:p>
      <w:pPr>
        <w:spacing w:after="0" w:line="229" w:lineRule="exact"/>
        <w:rPr>
          <w:sz w:val="20"/>
          <w:szCs w:val="20"/>
          <w:color w:val="auto"/>
        </w:rPr>
      </w:pPr>
    </w:p>
    <w:p>
      <w:pPr>
        <w:ind w:left="120" w:firstLine="881"/>
        <w:spacing w:after="0" w:line="261" w:lineRule="auto"/>
        <w:rPr>
          <w:sz w:val="20"/>
          <w:szCs w:val="20"/>
          <w:color w:val="auto"/>
        </w:rPr>
      </w:pPr>
      <w:r>
        <w:rPr>
          <w:rFonts w:ascii="Times New Roman" w:cs="Times New Roman" w:eastAsia="Times New Roman" w:hAnsi="Times New Roman"/>
          <w:sz w:val="18"/>
          <w:szCs w:val="18"/>
          <w:color w:val="auto"/>
        </w:rPr>
        <w:t>The holder of each share of preferred stock has the right to one vote for each share of common stock into which such preferred stock could then be converted, and with respect to such vote, such holder has full voting rights and powers equal to the voting rights and powers of the holders of common stock. So long as the majority of the Series A Preferred Stock originally issued remains outstanding, its holders are additionally entitled to elect one director (“Series A Director”). So long as at least 10 million shares of Series B Preferred</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F-17</w:t>
      </w:r>
    </w:p>
    <w:p>
      <w:pPr>
        <w:sectPr>
          <w:pgSz w:w="11900" w:h="16838" w:orient="portrait"/>
          <w:cols w:equalWidth="0" w:num="1">
            <w:col w:w="11120"/>
          </w:cols>
          <w:pgMar w:left="320" w:top="455" w:right="459" w:bottom="1440" w:gutter="0" w:footer="0" w:header="0"/>
        </w:sectPr>
      </w:pPr>
    </w:p>
    <w:bookmarkStart w:id="229" w:name="page230"/>
    <w:bookmarkEnd w:id="22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TARSUS PHARMACEUTICALS, INC.</w:t>
      </w:r>
    </w:p>
    <w:p>
      <w:pPr>
        <w:spacing w:after="0" w:line="22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NOTES TO THE FINANCIAL STATEMENTS</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(Information as of June 30, 2020 and thereafter and for the six months ended June 30, 2019 and 2020 is unaudited; all tabular amounts</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presented in thousands, except share, per share, per unit, and number of years)</w:t>
      </w:r>
    </w:p>
    <w:p>
      <w:pPr>
        <w:spacing w:after="0" w:line="234" w:lineRule="exact"/>
        <w:rPr>
          <w:sz w:val="20"/>
          <w:szCs w:val="20"/>
          <w:color w:val="auto"/>
        </w:rPr>
      </w:pPr>
    </w:p>
    <w:p>
      <w:pPr>
        <w:ind w:left="120" w:right="280"/>
        <w:spacing w:after="0" w:line="266" w:lineRule="auto"/>
        <w:rPr>
          <w:sz w:val="20"/>
          <w:szCs w:val="20"/>
          <w:color w:val="auto"/>
        </w:rPr>
      </w:pPr>
      <w:r>
        <w:rPr>
          <w:rFonts w:ascii="Times New Roman" w:cs="Times New Roman" w:eastAsia="Times New Roman" w:hAnsi="Times New Roman"/>
          <w:sz w:val="18"/>
          <w:szCs w:val="18"/>
          <w:color w:val="auto"/>
        </w:rPr>
        <w:t>Stock remain outstanding, its holders are entitled to elect two directors (each a “Series B Director”). The holders of outstanding common stock are entitled to elect three directors. The holders of preferred stock and common stock (voting together as a single class and on an as-converted basis) are entitled to elect any of the Company’s remaining directors.</w:t>
      </w:r>
    </w:p>
    <w:p>
      <w:pPr>
        <w:spacing w:after="0" w:line="1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Dividend Rights</w:t>
      </w:r>
    </w:p>
    <w:p>
      <w:pPr>
        <w:spacing w:after="0" w:line="229" w:lineRule="exact"/>
        <w:rPr>
          <w:sz w:val="20"/>
          <w:szCs w:val="20"/>
          <w:color w:val="auto"/>
        </w:rPr>
      </w:pPr>
    </w:p>
    <w:p>
      <w:pPr>
        <w:ind w:left="120" w:right="20" w:firstLine="881"/>
        <w:spacing w:after="0" w:line="256" w:lineRule="auto"/>
        <w:rPr>
          <w:sz w:val="20"/>
          <w:szCs w:val="20"/>
          <w:color w:val="auto"/>
        </w:rPr>
      </w:pPr>
      <w:r>
        <w:rPr>
          <w:rFonts w:ascii="Times New Roman" w:cs="Times New Roman" w:eastAsia="Times New Roman" w:hAnsi="Times New Roman"/>
          <w:sz w:val="18"/>
          <w:szCs w:val="18"/>
          <w:color w:val="auto"/>
        </w:rPr>
        <w:t>The holders of Preferred Stock are entitled to receive dividends, when, as and if declared by the Board of Directors at the applicable dividend rate set forth in the December 2019 Amended and Restated Certificate of Incorporation ($0.03 and $0.10 per annum for each share of Series A and Series B Preferred Stock, respectively), prior and in preference to any declaration or payment of any cash dividend on the common stock. The Company cannot declare, pay, or set aside any dividends on shares of any class or series of capital stock unless the Series A and Series B Preferred Stockholders first receive a dividend in an amount equal to the greater of (i) applicable dividend rate, or (ii) the dividend payable to such other class or series of capital stock. No cash dividends have been declared to date.</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Redemption Rights</w:t>
      </w:r>
    </w:p>
    <w:p>
      <w:pPr>
        <w:spacing w:after="0" w:line="229" w:lineRule="exact"/>
        <w:rPr>
          <w:sz w:val="20"/>
          <w:szCs w:val="20"/>
          <w:color w:val="auto"/>
        </w:rPr>
      </w:pPr>
    </w:p>
    <w:p>
      <w:pPr>
        <w:ind w:left="120" w:firstLine="881"/>
        <w:spacing w:after="0" w:line="266" w:lineRule="auto"/>
        <w:rPr>
          <w:sz w:val="20"/>
          <w:szCs w:val="20"/>
          <w:color w:val="auto"/>
        </w:rPr>
      </w:pPr>
      <w:r>
        <w:rPr>
          <w:rFonts w:ascii="Times New Roman" w:cs="Times New Roman" w:eastAsia="Times New Roman" w:hAnsi="Times New Roman"/>
          <w:sz w:val="18"/>
          <w:szCs w:val="18"/>
          <w:color w:val="auto"/>
        </w:rPr>
        <w:t>The Series A and Series B Preferred Stock are not redeemable at the option of its holder under the terms of the December 2019 Amended and Restated Certificate of Incorporation. Upon certain change in control events that are outside of the Company’s control, including its liquidation, sale or transfer of control, the preferred stock is contingently redeemable.</w:t>
      </w:r>
    </w:p>
    <w:p>
      <w:pPr>
        <w:spacing w:after="0" w:line="1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Common Stock Overview and Reserve for Future Issuance</w:t>
      </w:r>
    </w:p>
    <w:p>
      <w:pPr>
        <w:spacing w:after="0" w:line="229" w:lineRule="exact"/>
        <w:rPr>
          <w:sz w:val="20"/>
          <w:szCs w:val="20"/>
          <w:color w:val="auto"/>
        </w:rPr>
      </w:pPr>
    </w:p>
    <w:p>
      <w:pPr>
        <w:ind w:left="120" w:right="240" w:firstLine="881"/>
        <w:spacing w:after="0" w:line="289" w:lineRule="auto"/>
        <w:rPr>
          <w:sz w:val="20"/>
          <w:szCs w:val="20"/>
          <w:color w:val="auto"/>
        </w:rPr>
      </w:pPr>
      <w:r>
        <w:rPr>
          <w:rFonts w:ascii="Times New Roman" w:cs="Times New Roman" w:eastAsia="Times New Roman" w:hAnsi="Times New Roman"/>
          <w:sz w:val="17"/>
          <w:szCs w:val="17"/>
          <w:color w:val="auto"/>
        </w:rPr>
        <w:t>Common stockholders have one vote for each share of common stock held and are entitled to receive any dividends declared by the Company’s Board of Directors when legally available for distribution, subject to the dividend rights of the holders of Series A and Series B preferred stock discussed above. For the years ended December 31, 2018 and 2019 and for the six months ended June 30, 2020, no dividends were declared.</w:t>
      </w:r>
    </w:p>
    <w:p>
      <w:pPr>
        <w:spacing w:after="0" w:line="158" w:lineRule="exact"/>
        <w:rPr>
          <w:sz w:val="20"/>
          <w:szCs w:val="20"/>
          <w:color w:val="auto"/>
        </w:rPr>
      </w:pPr>
    </w:p>
    <w:p>
      <w:pPr>
        <w:ind w:left="120" w:right="40" w:firstLine="881"/>
        <w:spacing w:after="0" w:line="266" w:lineRule="auto"/>
        <w:rPr>
          <w:sz w:val="20"/>
          <w:szCs w:val="20"/>
          <w:color w:val="auto"/>
        </w:rPr>
      </w:pPr>
      <w:r>
        <w:rPr>
          <w:rFonts w:ascii="Times New Roman" w:cs="Times New Roman" w:eastAsia="Times New Roman" w:hAnsi="Times New Roman"/>
          <w:sz w:val="18"/>
          <w:szCs w:val="18"/>
          <w:color w:val="auto"/>
        </w:rPr>
        <w:t>As of December 31, 2018 and 2019, and June 30, 2020, the Company had 19.9 million, 19.7 million, and 20.2 million common shares issued, respectively. At December 31, 2018 and 2019, and June 30, 2020, the Company had 15.4 million, 19.7 million, and 19.7 million common shares outstanding, respectively. The following shares of common stock were reserved for issuance:</w:t>
      </w:r>
    </w:p>
    <w:p>
      <w:pPr>
        <w:spacing w:after="0" w:line="196" w:lineRule="exact"/>
        <w:rPr>
          <w:sz w:val="20"/>
          <w:szCs w:val="20"/>
          <w:color w:val="auto"/>
        </w:rPr>
      </w:pPr>
    </w:p>
    <w:tbl>
      <w:tblPr>
        <w:tblLayout w:type="fixed"/>
        <w:tblInd w:w="920" w:type="dxa"/>
        <w:tblCellMar>
          <w:top w:w="0" w:type="dxa"/>
          <w:left w:w="0" w:type="dxa"/>
          <w:bottom w:w="0" w:type="dxa"/>
          <w:right w:w="0" w:type="dxa"/>
        </w:tblCellMar>
      </w:tblPr>
      <w:tr>
        <w:trPr>
          <w:trHeight w:val="173"/>
        </w:trPr>
        <w:tc>
          <w:tcPr>
            <w:tcW w:w="44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380" w:type="dxa"/>
            <w:vAlign w:val="bottom"/>
            <w:gridSpan w:val="3"/>
          </w:tcPr>
          <w:p>
            <w:pPr>
              <w:jc w:val="right"/>
              <w:ind w:right="69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40" w:type="dxa"/>
            <w:vAlign w:val="bottom"/>
          </w:tcPr>
          <w:p>
            <w:pPr>
              <w:spacing w:after="0"/>
              <w:rPr>
                <w:sz w:val="15"/>
                <w:szCs w:val="15"/>
                <w:color w:val="auto"/>
              </w:rPr>
            </w:pPr>
          </w:p>
        </w:tc>
        <w:tc>
          <w:tcPr>
            <w:tcW w:w="116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June 30,</w:t>
            </w:r>
          </w:p>
        </w:tc>
      </w:tr>
      <w:tr>
        <w:trPr>
          <w:trHeight w:val="142"/>
        </w:trPr>
        <w:tc>
          <w:tcPr>
            <w:tcW w:w="44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60" w:type="dxa"/>
            <w:vAlign w:val="bottom"/>
            <w:tcBorders>
              <w:top w:val="single" w:sz="8" w:color="auto"/>
            </w:tcBorders>
          </w:tcPr>
          <w:p>
            <w:pPr>
              <w:jc w:val="right"/>
              <w:ind w:right="319"/>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1320" w:type="dxa"/>
            <w:vAlign w:val="bottom"/>
            <w:tcBorders>
              <w:top w:val="single" w:sz="8" w:color="auto"/>
            </w:tcBorders>
            <w:gridSpan w:val="2"/>
          </w:tcPr>
          <w:p>
            <w:pPr>
              <w:jc w:val="right"/>
              <w:ind w:right="310"/>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240" w:type="dxa"/>
            <w:vAlign w:val="bottom"/>
          </w:tcPr>
          <w:p>
            <w:pPr>
              <w:spacing w:after="0"/>
              <w:rPr>
                <w:sz w:val="12"/>
                <w:szCs w:val="12"/>
                <w:color w:val="auto"/>
              </w:rPr>
            </w:pPr>
          </w:p>
        </w:tc>
        <w:tc>
          <w:tcPr>
            <w:tcW w:w="1080" w:type="dxa"/>
            <w:vAlign w:val="bottom"/>
            <w:tcBorders>
              <w:top w:val="single" w:sz="8" w:color="auto"/>
            </w:tcBorders>
          </w:tcPr>
          <w:p>
            <w:pPr>
              <w:jc w:val="right"/>
              <w:ind w:right="319"/>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80" w:type="dxa"/>
            <w:vAlign w:val="bottom"/>
          </w:tcPr>
          <w:p>
            <w:pPr>
              <w:spacing w:after="0"/>
              <w:rPr>
                <w:sz w:val="12"/>
                <w:szCs w:val="12"/>
                <w:color w:val="auto"/>
              </w:rPr>
            </w:pPr>
          </w:p>
        </w:tc>
      </w:tr>
      <w:tr>
        <w:trPr>
          <w:trHeight w:val="209"/>
        </w:trPr>
        <w:tc>
          <w:tcPr>
            <w:tcW w:w="44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Preferred Stock outstanding</w:t>
            </w:r>
          </w:p>
        </w:tc>
        <w:tc>
          <w:tcPr>
            <w:tcW w:w="122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11,698,716</w:t>
            </w:r>
          </w:p>
        </w:tc>
        <w:tc>
          <w:tcPr>
            <w:tcW w:w="24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61,277,339</w:t>
            </w:r>
          </w:p>
        </w:tc>
        <w:tc>
          <w:tcPr>
            <w:tcW w:w="24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61,277,339</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Stock options issued and outstanding under the 2016 Plan</w:t>
            </w:r>
          </w:p>
        </w:tc>
        <w:tc>
          <w:tcPr>
            <w:tcW w:w="2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1,983,543</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2,207,154</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9,141,330</w:t>
            </w:r>
          </w:p>
        </w:tc>
        <w:tc>
          <w:tcPr>
            <w:tcW w:w="80" w:type="dxa"/>
            <w:vAlign w:val="bottom"/>
          </w:tcPr>
          <w:p>
            <w:pPr>
              <w:spacing w:after="0"/>
              <w:rPr>
                <w:sz w:val="18"/>
                <w:szCs w:val="18"/>
                <w:color w:val="auto"/>
              </w:rPr>
            </w:pPr>
          </w:p>
        </w:tc>
      </w:tr>
      <w:tr>
        <w:trPr>
          <w:trHeight w:val="216"/>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options available for future grant under the 2016 Plan</w:t>
            </w:r>
          </w:p>
        </w:tc>
        <w:tc>
          <w:tcPr>
            <w:tcW w:w="2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563,457</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15,975,661</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8,533,485</w:t>
            </w:r>
          </w:p>
        </w:tc>
        <w:tc>
          <w:tcPr>
            <w:tcW w:w="80" w:type="dxa"/>
            <w:vAlign w:val="bottom"/>
            <w:shd w:val="clear" w:color="auto" w:fill="CCEEFF"/>
          </w:tcPr>
          <w:p>
            <w:pPr>
              <w:spacing w:after="0"/>
              <w:rPr>
                <w:sz w:val="18"/>
                <w:szCs w:val="18"/>
                <w:color w:val="auto"/>
              </w:rPr>
            </w:pPr>
          </w:p>
        </w:tc>
      </w:tr>
      <w:tr>
        <w:trPr>
          <w:trHeight w:val="223"/>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Total shares of common stock reserved</w:t>
            </w:r>
          </w:p>
        </w:tc>
        <w:tc>
          <w:tcPr>
            <w:tcW w:w="1220" w:type="dxa"/>
            <w:vAlign w:val="bottom"/>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14,245,716</w:t>
            </w:r>
          </w:p>
        </w:tc>
        <w:tc>
          <w:tcPr>
            <w:tcW w:w="240" w:type="dxa"/>
            <w:vAlign w:val="bottom"/>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79,460,154</w:t>
            </w:r>
          </w:p>
        </w:tc>
        <w:tc>
          <w:tcPr>
            <w:tcW w:w="240" w:type="dxa"/>
            <w:vAlign w:val="bottom"/>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78,952,154</w:t>
            </w:r>
          </w:p>
        </w:tc>
        <w:tc>
          <w:tcPr>
            <w:tcW w:w="80" w:type="dxa"/>
            <w:vAlign w:val="bottom"/>
          </w:tcPr>
          <w:p>
            <w:pPr>
              <w:spacing w:after="0"/>
              <w:rPr>
                <w:sz w:val="19"/>
                <w:szCs w:val="19"/>
                <w:color w:val="auto"/>
              </w:rPr>
            </w:pPr>
          </w:p>
        </w:tc>
      </w:tr>
      <w:tr>
        <w:trPr>
          <w:trHeight w:val="20"/>
        </w:trPr>
        <w:tc>
          <w:tcPr>
            <w:tcW w:w="44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59"/>
        </w:trPr>
        <w:tc>
          <w:tcPr>
            <w:tcW w:w="4420" w:type="dxa"/>
            <w:vAlign w:val="bottom"/>
          </w:tcPr>
          <w:p>
            <w:pPr>
              <w:spacing w:after="0"/>
              <w:rPr>
                <w:sz w:val="24"/>
                <w:szCs w:val="24"/>
                <w:color w:val="auto"/>
              </w:rPr>
            </w:pPr>
          </w:p>
        </w:tc>
        <w:tc>
          <w:tcPr>
            <w:tcW w:w="2280" w:type="dxa"/>
            <w:vAlign w:val="bottom"/>
            <w:gridSpan w:val="2"/>
          </w:tcPr>
          <w:p>
            <w:pPr>
              <w:jc w:val="right"/>
              <w:ind w:right="1739"/>
              <w:spacing w:after="0"/>
              <w:rPr>
                <w:sz w:val="20"/>
                <w:szCs w:val="20"/>
                <w:color w:val="auto"/>
              </w:rPr>
            </w:pPr>
            <w:r>
              <w:rPr>
                <w:rFonts w:ascii="Times New Roman" w:cs="Times New Roman" w:eastAsia="Times New Roman" w:hAnsi="Times New Roman"/>
                <w:sz w:val="18"/>
                <w:szCs w:val="18"/>
                <w:color w:val="auto"/>
              </w:rPr>
              <w:t>F-18</w:t>
            </w: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11080"/>
          </w:cols>
          <w:pgMar w:left="320" w:top="455" w:right="499" w:bottom="1440" w:gutter="0" w:footer="0" w:header="0"/>
        </w:sectPr>
      </w:pPr>
    </w:p>
    <w:bookmarkStart w:id="230" w:name="page231"/>
    <w:bookmarkEnd w:id="23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TARSUS PHARMACEUTICALS, INC.</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THE FINANCIAL STATEMENTS</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(Information as of June 30, 2020 and thereafter and for the six months ended June 30, 2019 and 2020 is unaudited; all tabular amounts</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presented in thousands, except share, per share, per unit, and number of years)</w:t>
      </w:r>
    </w:p>
    <w:p>
      <w:pPr>
        <w:spacing w:after="0" w:line="2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Adoption of ASU 2017-11</w:t>
      </w:r>
    </w:p>
    <w:p>
      <w:pPr>
        <w:spacing w:after="0" w:line="227" w:lineRule="exact"/>
        <w:rPr>
          <w:sz w:val="20"/>
          <w:szCs w:val="20"/>
          <w:color w:val="auto"/>
        </w:rPr>
      </w:pPr>
    </w:p>
    <w:p>
      <w:pPr>
        <w:ind w:left="120" w:right="40" w:firstLine="881"/>
        <w:spacing w:after="0" w:line="254" w:lineRule="auto"/>
        <w:rPr>
          <w:sz w:val="20"/>
          <w:szCs w:val="20"/>
          <w:color w:val="auto"/>
        </w:rPr>
      </w:pPr>
      <w:r>
        <w:rPr>
          <w:rFonts w:ascii="Times New Roman" w:cs="Times New Roman" w:eastAsia="Times New Roman" w:hAnsi="Times New Roman"/>
          <w:sz w:val="18"/>
          <w:szCs w:val="18"/>
          <w:color w:val="auto"/>
        </w:rPr>
        <w:t xml:space="preserve">In July 2017, the FASB issued ASU No. 2017-11, </w:t>
      </w:r>
      <w:r>
        <w:rPr>
          <w:rFonts w:ascii="Times New Roman" w:cs="Times New Roman" w:eastAsia="Times New Roman" w:hAnsi="Times New Roman"/>
          <w:sz w:val="18"/>
          <w:szCs w:val="18"/>
          <w:i w:val="1"/>
          <w:iCs w:val="1"/>
          <w:color w:val="auto"/>
        </w:rPr>
        <w:t>Earnings Per Share (Topic 260); Distinguishing Liabilities from Equity (Topic 480);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Derivatives and Hedging (Topic 815): (Part I) Accounting for Certain Financial Instruments with Down Round Features, (Part II) Replacement of the Indefinite Deferral for Mandatorily Redeemable Financial Instruments of Certain Nonpublic Entities and Certain Mandatorily Redeemable Noncontrolling Interests with a Scope Exception</w:t>
      </w:r>
      <w:r>
        <w:rPr>
          <w:rFonts w:ascii="Times New Roman" w:cs="Times New Roman" w:eastAsia="Times New Roman" w:hAnsi="Times New Roman"/>
          <w:sz w:val="18"/>
          <w:szCs w:val="18"/>
          <w:color w:val="auto"/>
        </w:rPr>
        <w:t>. This ASU simplifies the accounting for certain financial instruments with “down round” features,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provision in an equity-linked financial instrument (or embedded feature) that provides a downward adjustment of the current exercise price based on the price of future equity offerings. This update requires companies to disregard the down round feature when assessing whether the instrument is “indexed to its own stock” for purposes of determining liability or equity classification. For public business entities, this ASU became effective for fiscal years beginning after December 15, 2018. The Company adopted </w:t>
      </w:r>
      <w:r>
        <w:rPr>
          <w:rFonts w:ascii="Times New Roman" w:cs="Times New Roman" w:eastAsia="Times New Roman" w:hAnsi="Times New Roman"/>
          <w:sz w:val="18"/>
          <w:szCs w:val="18"/>
          <w:i w:val="1"/>
          <w:iCs w:val="1"/>
          <w:color w:val="auto"/>
        </w:rPr>
        <w:t>ASU 2017-11</w:t>
      </w:r>
      <w:r>
        <w:rPr>
          <w:rFonts w:ascii="Times New Roman" w:cs="Times New Roman" w:eastAsia="Times New Roman" w:hAnsi="Times New Roman"/>
          <w:sz w:val="18"/>
          <w:szCs w:val="18"/>
          <w:color w:val="auto"/>
        </w:rPr>
        <w:t xml:space="preserve"> effective January 1, 2019 and applied this guidance in presenting Series A and Series B Preferred Stock on the accompanying Balance Sheets.</w:t>
      </w:r>
    </w:p>
    <w:p>
      <w:pPr>
        <w:spacing w:after="0" w:line="1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5. STOCK-BASED COMPENSATION</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2016 Stock Plan</w:t>
      </w:r>
    </w:p>
    <w:p>
      <w:pPr>
        <w:spacing w:after="0" w:line="229" w:lineRule="exact"/>
        <w:rPr>
          <w:sz w:val="20"/>
          <w:szCs w:val="20"/>
          <w:color w:val="auto"/>
        </w:rPr>
      </w:pPr>
    </w:p>
    <w:p>
      <w:pPr>
        <w:ind w:left="120" w:firstLine="881"/>
        <w:spacing w:after="0" w:line="266" w:lineRule="auto"/>
        <w:rPr>
          <w:sz w:val="20"/>
          <w:szCs w:val="20"/>
          <w:color w:val="auto"/>
        </w:rPr>
      </w:pPr>
      <w:r>
        <w:rPr>
          <w:rFonts w:ascii="Times New Roman" w:cs="Times New Roman" w:eastAsia="Times New Roman" w:hAnsi="Times New Roman"/>
          <w:sz w:val="18"/>
          <w:szCs w:val="18"/>
          <w:color w:val="auto"/>
        </w:rPr>
        <w:t>The Company has one active stockholder-approved stock-based compensation plan (the “2016 Plan”), adopted in December 2016, which permits the grant of incentive stock options, nonqualified stock options, stock awards and certain other awards to its employees, members of its Board of Directors, and consultants.</w:t>
      </w:r>
    </w:p>
    <w:p>
      <w:pPr>
        <w:spacing w:after="0" w:line="176" w:lineRule="exact"/>
        <w:rPr>
          <w:sz w:val="20"/>
          <w:szCs w:val="20"/>
          <w:color w:val="auto"/>
        </w:rPr>
      </w:pPr>
    </w:p>
    <w:p>
      <w:pPr>
        <w:ind w:left="120" w:right="40" w:firstLine="881"/>
        <w:spacing w:after="0" w:line="282" w:lineRule="auto"/>
        <w:rPr>
          <w:sz w:val="20"/>
          <w:szCs w:val="20"/>
          <w:color w:val="auto"/>
        </w:rPr>
      </w:pPr>
      <w:r>
        <w:rPr>
          <w:rFonts w:ascii="Times New Roman" w:cs="Times New Roman" w:eastAsia="Times New Roman" w:hAnsi="Times New Roman"/>
          <w:sz w:val="18"/>
          <w:szCs w:val="18"/>
          <w:color w:val="auto"/>
        </w:rPr>
        <w:t>The stated maximum availability of common stock under the 2016 Plan is 19.8 million shares. As of December 31, 2019 and June 30, 2020, the Company had 16.0 million and 8.5 million shares of common stock available for issuance under the 2016 Plan, respectively.</w:t>
      </w:r>
    </w:p>
    <w:p>
      <w:pPr>
        <w:spacing w:after="0" w:line="162" w:lineRule="exact"/>
        <w:rPr>
          <w:sz w:val="20"/>
          <w:szCs w:val="20"/>
          <w:color w:val="auto"/>
        </w:rPr>
      </w:pPr>
    </w:p>
    <w:p>
      <w:pPr>
        <w:jc w:val="both"/>
        <w:ind w:left="120" w:right="80" w:firstLine="881"/>
        <w:spacing w:after="0" w:line="258" w:lineRule="auto"/>
        <w:rPr>
          <w:sz w:val="20"/>
          <w:szCs w:val="20"/>
          <w:color w:val="auto"/>
        </w:rPr>
      </w:pPr>
      <w:r>
        <w:rPr>
          <w:rFonts w:ascii="Times New Roman" w:cs="Times New Roman" w:eastAsia="Times New Roman" w:hAnsi="Times New Roman"/>
          <w:sz w:val="18"/>
          <w:szCs w:val="18"/>
          <w:color w:val="auto"/>
        </w:rPr>
        <w:t>Stock-based awards are governed by agreements between the Company and the recipients. Incentive stock options and nonqualified stock options may be granted under the 2016 Plan at an exercise price of not less than 100% of the fair market value of common stock on the respective date of grant. For ten-percent stockholders, the exercise price may not be less than 110% of its fair market value at grant. The grant date is the date the terms of the award are formally approved by the Company’s Board of Directors. It is the Company’s policy that before stock is issued through the exercise of stock options, it must first receive all required cash proceeds for such shares.</w:t>
      </w:r>
    </w:p>
    <w:p>
      <w:pPr>
        <w:spacing w:after="0" w:line="183" w:lineRule="exact"/>
        <w:rPr>
          <w:sz w:val="20"/>
          <w:szCs w:val="20"/>
          <w:color w:val="auto"/>
        </w:rPr>
      </w:pPr>
    </w:p>
    <w:p>
      <w:pPr>
        <w:ind w:left="120" w:right="20" w:firstLine="881"/>
        <w:spacing w:after="0" w:line="261" w:lineRule="auto"/>
        <w:rPr>
          <w:sz w:val="20"/>
          <w:szCs w:val="20"/>
          <w:color w:val="auto"/>
        </w:rPr>
      </w:pPr>
      <w:r>
        <w:rPr>
          <w:rFonts w:ascii="Times New Roman" w:cs="Times New Roman" w:eastAsia="Times New Roman" w:hAnsi="Times New Roman"/>
          <w:sz w:val="18"/>
          <w:szCs w:val="18"/>
          <w:color w:val="auto"/>
        </w:rPr>
        <w:t>Through December 31, 2019 and June 30, 2020, all awards issued under the 2016 Plan were in the form of stock options. These option agreements have service and/or performance conditions for vesting, unless immediately vested on the date of grant. Stock options granted typically have one to four-year service conditions for full vesting. The performance conditions for vesting are explicitly stated in each option agreement and are associated with clinical, business development, or operational milestones.</w:t>
      </w:r>
    </w:p>
    <w:p>
      <w:pPr>
        <w:spacing w:after="0" w:line="180" w:lineRule="exact"/>
        <w:rPr>
          <w:sz w:val="20"/>
          <w:szCs w:val="20"/>
          <w:color w:val="auto"/>
        </w:rPr>
      </w:pPr>
    </w:p>
    <w:p>
      <w:pPr>
        <w:jc w:val="both"/>
        <w:ind w:left="120" w:right="160" w:firstLine="881"/>
        <w:spacing w:after="0" w:line="266" w:lineRule="auto"/>
        <w:rPr>
          <w:sz w:val="20"/>
          <w:szCs w:val="20"/>
          <w:color w:val="auto"/>
        </w:rPr>
      </w:pPr>
      <w:r>
        <w:rPr>
          <w:rFonts w:ascii="Times New Roman" w:cs="Times New Roman" w:eastAsia="Times New Roman" w:hAnsi="Times New Roman"/>
          <w:sz w:val="18"/>
          <w:szCs w:val="18"/>
          <w:color w:val="auto"/>
        </w:rPr>
        <w:t>Stock options must generally be exercised, if at all, no later than 10 years from the date of grant. Upon termination of employment, vested stock options may be exercised within 12 months after the date of termination upon death; six months after the date of termination upon disability; and three months after the date of termination for all other separations.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F-19</w:t>
      </w:r>
    </w:p>
    <w:p>
      <w:pPr>
        <w:sectPr>
          <w:pgSz w:w="11900" w:h="16838" w:orient="portrait"/>
          <w:cols w:equalWidth="0" w:num="1">
            <w:col w:w="11120"/>
          </w:cols>
          <w:pgMar w:left="320" w:top="455" w:right="459" w:bottom="1440" w:gutter="0" w:footer="0" w:header="0"/>
        </w:sectPr>
      </w:pPr>
    </w:p>
    <w:bookmarkStart w:id="231" w:name="page232"/>
    <w:bookmarkEnd w:id="23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TARSUS PHARMACEUTICALS, INC.</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NOTES TO THE FINANCIAL STATEMENTS</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(Information as of June 30, 2020 and thereafter and for the six months ended June 30, 2019 and 2020 is unaudited; all tabular amounts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presented in thousands, except share, per share, per unit, and number of years)</w:t>
      </w:r>
    </w:p>
    <w:p>
      <w:pPr>
        <w:spacing w:after="0" w:line="2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Adoption of ASU 2018-07</w:t>
      </w:r>
    </w:p>
    <w:p>
      <w:pPr>
        <w:spacing w:after="0" w:line="227" w:lineRule="exact"/>
        <w:rPr>
          <w:sz w:val="20"/>
          <w:szCs w:val="20"/>
          <w:color w:val="auto"/>
        </w:rPr>
      </w:pPr>
    </w:p>
    <w:p>
      <w:pPr>
        <w:ind w:left="120" w:right="160" w:firstLine="881"/>
        <w:spacing w:after="0" w:line="273" w:lineRule="auto"/>
        <w:rPr>
          <w:sz w:val="20"/>
          <w:szCs w:val="20"/>
          <w:color w:val="auto"/>
        </w:rPr>
      </w:pPr>
      <w:r>
        <w:rPr>
          <w:rFonts w:ascii="Times New Roman" w:cs="Times New Roman" w:eastAsia="Times New Roman" w:hAnsi="Times New Roman"/>
          <w:sz w:val="17"/>
          <w:szCs w:val="17"/>
          <w:color w:val="auto"/>
        </w:rPr>
        <w:t>In June 2018, the FASB issued ASU No. 2018-07</w:t>
      </w:r>
      <w:r>
        <w:rPr>
          <w:rFonts w:ascii="Times New Roman" w:cs="Times New Roman" w:eastAsia="Times New Roman" w:hAnsi="Times New Roman"/>
          <w:sz w:val="17"/>
          <w:szCs w:val="17"/>
          <w:i w:val="1"/>
          <w:iCs w:val="1"/>
          <w:color w:val="auto"/>
        </w:rPr>
        <w:t>, Compensation-Stock Compensation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Topic 718): Improvements to Nonemployee Share-Based Payment Accounting</w:t>
      </w:r>
      <w:r>
        <w:rPr>
          <w:rFonts w:ascii="Times New Roman" w:cs="Times New Roman" w:eastAsia="Times New Roman" w:hAnsi="Times New Roman"/>
          <w:sz w:val="17"/>
          <w:szCs w:val="17"/>
          <w:color w:val="auto"/>
        </w:rPr>
        <w:t xml:space="preserve">. This standard is intended to reduce the cost and complexity and to improve financial reporting for nonemployee share-based payments. The ASU expands the scope of </w:t>
      </w:r>
      <w:r>
        <w:rPr>
          <w:rFonts w:ascii="Times New Roman" w:cs="Times New Roman" w:eastAsia="Times New Roman" w:hAnsi="Times New Roman"/>
          <w:sz w:val="17"/>
          <w:szCs w:val="17"/>
          <w:i w:val="1"/>
          <w:iCs w:val="1"/>
          <w:color w:val="auto"/>
        </w:rPr>
        <w:t>Topic 718</w:t>
      </w:r>
      <w:r>
        <w:rPr>
          <w:rFonts w:ascii="Times New Roman" w:cs="Times New Roman" w:eastAsia="Times New Roman" w:hAnsi="Times New Roman"/>
          <w:sz w:val="17"/>
          <w:szCs w:val="17"/>
          <w:color w:val="auto"/>
        </w:rPr>
        <w:t xml:space="preserve"> to include share-based payments issued to nonemployees for goods or services. Consequently, the accounting for share-based payments to nonemployees and employees is substantially aligned; the Company has issued and outstanding stock options to both employees and non-employee consultants. The standard is effective for fiscal years beginning after December 15, 2019. Early adoption is permitted, but no earlier than a company’s adoption date of </w:t>
      </w:r>
      <w:r>
        <w:rPr>
          <w:rFonts w:ascii="Times New Roman" w:cs="Times New Roman" w:eastAsia="Times New Roman" w:hAnsi="Times New Roman"/>
          <w:sz w:val="17"/>
          <w:szCs w:val="17"/>
          <w:i w:val="1"/>
          <w:iCs w:val="1"/>
          <w:color w:val="auto"/>
        </w:rPr>
        <w:t>Topic 606, Revenue Recognition</w:t>
      </w:r>
      <w:r>
        <w:rPr>
          <w:rFonts w:ascii="Times New Roman" w:cs="Times New Roman" w:eastAsia="Times New Roman" w:hAnsi="Times New Roman"/>
          <w:sz w:val="17"/>
          <w:szCs w:val="17"/>
          <w:color w:val="auto"/>
        </w:rPr>
        <w:t xml:space="preserve">. The Company early adopted </w:t>
      </w:r>
      <w:r>
        <w:rPr>
          <w:rFonts w:ascii="Times New Roman" w:cs="Times New Roman" w:eastAsia="Times New Roman" w:hAnsi="Times New Roman"/>
          <w:sz w:val="17"/>
          <w:szCs w:val="17"/>
          <w:i w:val="1"/>
          <w:iCs w:val="1"/>
          <w:color w:val="auto"/>
        </w:rPr>
        <w:t>ASU</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2018-17 </w:t>
      </w:r>
      <w:r>
        <w:rPr>
          <w:rFonts w:ascii="Times New Roman" w:cs="Times New Roman" w:eastAsia="Times New Roman" w:hAnsi="Times New Roman"/>
          <w:sz w:val="17"/>
          <w:szCs w:val="17"/>
          <w:color w:val="auto"/>
        </w:rPr>
        <w:t>and</w:t>
      </w:r>
      <w:r>
        <w:rPr>
          <w:rFonts w:ascii="Times New Roman" w:cs="Times New Roman" w:eastAsia="Times New Roman" w:hAnsi="Times New Roman"/>
          <w:sz w:val="17"/>
          <w:szCs w:val="17"/>
          <w:i w:val="1"/>
          <w:iCs w:val="1"/>
          <w:color w:val="auto"/>
        </w:rPr>
        <w:t xml:space="preserve"> Topic 606 </w:t>
      </w:r>
      <w:r>
        <w:rPr>
          <w:rFonts w:ascii="Times New Roman" w:cs="Times New Roman" w:eastAsia="Times New Roman" w:hAnsi="Times New Roman"/>
          <w:sz w:val="17"/>
          <w:szCs w:val="17"/>
          <w:color w:val="auto"/>
        </w:rPr>
        <w:t>on January 1, 2018 and there was no material impact on the accompanying financial statements from these adopted standards.</w:t>
      </w:r>
    </w:p>
    <w:p>
      <w:pPr>
        <w:spacing w:after="0" w:line="16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Summary</w:t>
      </w:r>
    </w:p>
    <w:p>
      <w:pPr>
        <w:spacing w:after="0" w:line="229" w:lineRule="exact"/>
        <w:rPr>
          <w:sz w:val="20"/>
          <w:szCs w:val="20"/>
          <w:color w:val="auto"/>
        </w:rPr>
      </w:pPr>
    </w:p>
    <w:p>
      <w:pPr>
        <w:ind w:left="120" w:right="40" w:firstLine="881"/>
        <w:spacing w:after="0" w:line="266" w:lineRule="auto"/>
        <w:rPr>
          <w:sz w:val="20"/>
          <w:szCs w:val="20"/>
          <w:color w:val="auto"/>
        </w:rPr>
      </w:pPr>
      <w:r>
        <w:rPr>
          <w:rFonts w:ascii="Times New Roman" w:cs="Times New Roman" w:eastAsia="Times New Roman" w:hAnsi="Times New Roman"/>
          <w:sz w:val="18"/>
          <w:szCs w:val="18"/>
          <w:color w:val="auto"/>
        </w:rPr>
        <w:t>Stock-based compensation expense is recorded in the accompanying statements of operations and comprehensive loss based on the assigned department of the award recipient. Stock-based compensation expense for the years ended December 31, 2018 and 2019 and for the six months ended June 30, 2019 and 2020 was as follows:</w:t>
      </w:r>
    </w:p>
    <w:p>
      <w:pPr>
        <w:spacing w:after="0" w:line="184"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42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gridSpan w:val="5"/>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Six Months</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42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4"/>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5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8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34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2018</w:t>
            </w:r>
          </w:p>
        </w:tc>
        <w:tc>
          <w:tcPr>
            <w:tcW w:w="820" w:type="dxa"/>
            <w:vAlign w:val="bottom"/>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500" w:type="dxa"/>
            <w:vAlign w:val="bottom"/>
          </w:tcPr>
          <w:p>
            <w:pPr>
              <w:spacing w:after="0"/>
              <w:rPr>
                <w:sz w:val="12"/>
                <w:szCs w:val="12"/>
                <w:color w:val="auto"/>
              </w:rPr>
            </w:pPr>
          </w:p>
        </w:tc>
        <w:tc>
          <w:tcPr>
            <w:tcW w:w="30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2"/>
              </w:rPr>
              <w:t>2019</w:t>
            </w:r>
          </w:p>
        </w:tc>
        <w:tc>
          <w:tcPr>
            <w:tcW w:w="840" w:type="dxa"/>
            <w:vAlign w:val="bottom"/>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4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4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5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4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4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12</w:t>
            </w:r>
          </w:p>
        </w:tc>
        <w:tc>
          <w:tcPr>
            <w:tcW w:w="5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4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162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stock-based compensation</w:t>
            </w:r>
          </w:p>
        </w:tc>
        <w:tc>
          <w:tcPr>
            <w:tcW w:w="2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18</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177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Valuation Assumptions of Stock Options</w:t>
      </w:r>
    </w:p>
    <w:p>
      <w:pPr>
        <w:spacing w:after="0" w:line="229" w:lineRule="exact"/>
        <w:rPr>
          <w:sz w:val="20"/>
          <w:szCs w:val="20"/>
          <w:color w:val="auto"/>
        </w:rPr>
      </w:pPr>
    </w:p>
    <w:p>
      <w:pPr>
        <w:ind w:left="120" w:right="340" w:firstLine="881"/>
        <w:spacing w:after="0" w:line="282" w:lineRule="auto"/>
        <w:rPr>
          <w:sz w:val="20"/>
          <w:szCs w:val="20"/>
          <w:color w:val="auto"/>
        </w:rPr>
      </w:pPr>
      <w:r>
        <w:rPr>
          <w:rFonts w:ascii="Times New Roman" w:cs="Times New Roman" w:eastAsia="Times New Roman" w:hAnsi="Times New Roman"/>
          <w:sz w:val="18"/>
          <w:szCs w:val="18"/>
          <w:color w:val="auto"/>
        </w:rPr>
        <w:t>The fair value of granted stock options was estimated as of the date of grant using the Black-Scholes option-pricing model, based on the following inputs:</w:t>
      </w:r>
    </w:p>
    <w:p>
      <w:pPr>
        <w:spacing w:after="0" w:line="17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8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20" w:type="dxa"/>
            <w:vAlign w:val="bottom"/>
            <w:gridSpan w:val="6"/>
          </w:tcPr>
          <w:p>
            <w:pPr>
              <w:jc w:val="right"/>
              <w:ind w:right="1200"/>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73"/>
        </w:trPr>
        <w:tc>
          <w:tcPr>
            <w:tcW w:w="3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5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0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r>
      <w:tr>
        <w:trPr>
          <w:trHeight w:val="142"/>
        </w:trPr>
        <w:tc>
          <w:tcPr>
            <w:tcW w:w="3280" w:type="dxa"/>
            <w:vAlign w:val="bottom"/>
            <w:tcBorders>
              <w:bottom w:val="single" w:sz="8" w:color="CCEEFF"/>
            </w:tcBorders>
          </w:tcPr>
          <w:p>
            <w:pPr>
              <w:spacing w:after="0"/>
              <w:rPr>
                <w:sz w:val="12"/>
                <w:szCs w:val="12"/>
                <w:color w:val="auto"/>
              </w:rPr>
            </w:pPr>
          </w:p>
        </w:tc>
        <w:tc>
          <w:tcPr>
            <w:tcW w:w="4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313"/>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8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313"/>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520" w:type="dxa"/>
            <w:vAlign w:val="bottom"/>
            <w:tcBorders>
              <w:bottom w:val="single" w:sz="8" w:color="CCEEFF"/>
            </w:tcBorders>
          </w:tcPr>
          <w:p>
            <w:pPr>
              <w:spacing w:after="0"/>
              <w:rPr>
                <w:sz w:val="12"/>
                <w:szCs w:val="12"/>
                <w:color w:val="auto"/>
              </w:rPr>
            </w:pPr>
          </w:p>
        </w:tc>
        <w:tc>
          <w:tcPr>
            <w:tcW w:w="3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335"/>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60" w:type="dxa"/>
            <w:vAlign w:val="bottom"/>
            <w:tcBorders>
              <w:bottom w:val="single" w:sz="8" w:color="CCEEFF"/>
            </w:tcBorders>
          </w:tcPr>
          <w:p>
            <w:pPr>
              <w:spacing w:after="0"/>
              <w:rPr>
                <w:sz w:val="12"/>
                <w:szCs w:val="12"/>
                <w:color w:val="auto"/>
              </w:rPr>
            </w:pPr>
          </w:p>
        </w:tc>
        <w:tc>
          <w:tcPr>
            <w:tcW w:w="7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313"/>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220" w:type="dxa"/>
            <w:vAlign w:val="bottom"/>
            <w:tcBorders>
              <w:bottom w:val="single" w:sz="8" w:color="CCEEFF"/>
            </w:tcBorders>
          </w:tcPr>
          <w:p>
            <w:pPr>
              <w:spacing w:after="0"/>
              <w:rPr>
                <w:sz w:val="12"/>
                <w:szCs w:val="12"/>
                <w:color w:val="auto"/>
              </w:rPr>
            </w:pPr>
          </w:p>
        </w:tc>
      </w:tr>
      <w:tr>
        <w:trPr>
          <w:trHeight w:val="178"/>
        </w:trPr>
        <w:tc>
          <w:tcPr>
            <w:tcW w:w="328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Exercise price (estimated fair value per</w:t>
            </w: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r>
      <w:tr>
        <w:trPr>
          <w:trHeight w:val="234"/>
        </w:trPr>
        <w:tc>
          <w:tcPr>
            <w:tcW w:w="3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common share on grant date)</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gridSpan w:val="2"/>
            <w:shd w:val="clear" w:color="auto" w:fill="CCEEFF"/>
          </w:tcPr>
          <w:p>
            <w:pPr>
              <w:jc w:val="right"/>
              <w:ind w:right="808"/>
              <w:spacing w:after="0"/>
              <w:rPr>
                <w:sz w:val="20"/>
                <w:szCs w:val="20"/>
                <w:color w:val="auto"/>
              </w:rPr>
            </w:pPr>
            <w:r>
              <w:rPr>
                <w:rFonts w:ascii="Times New Roman" w:cs="Times New Roman" w:eastAsia="Times New Roman" w:hAnsi="Times New Roman"/>
                <w:sz w:val="18"/>
                <w:szCs w:val="18"/>
                <w:color w:val="auto"/>
              </w:rPr>
              <w:t>0.06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0.06</w:t>
            </w: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0.06</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center"/>
              <w:ind w:left="393"/>
              <w:spacing w:after="0"/>
              <w:rPr>
                <w:sz w:val="20"/>
                <w:szCs w:val="20"/>
                <w:color w:val="auto"/>
              </w:rPr>
            </w:pPr>
            <w:r>
              <w:rPr>
                <w:rFonts w:ascii="Times New Roman" w:cs="Times New Roman" w:eastAsia="Times New Roman" w:hAnsi="Times New Roman"/>
                <w:sz w:val="18"/>
                <w:szCs w:val="18"/>
                <w:color w:val="auto"/>
                <w:w w:val="95"/>
              </w:rPr>
              <w:t>0.27</w:t>
            </w: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 (in years) (a)</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00" w:type="dxa"/>
            <w:vAlign w:val="bottom"/>
            <w:gridSpan w:val="2"/>
          </w:tcPr>
          <w:p>
            <w:pPr>
              <w:jc w:val="right"/>
              <w:ind w:right="808"/>
              <w:spacing w:after="0"/>
              <w:rPr>
                <w:sz w:val="20"/>
                <w:szCs w:val="20"/>
                <w:color w:val="auto"/>
              </w:rPr>
            </w:pPr>
            <w:r>
              <w:rPr>
                <w:rFonts w:ascii="Times New Roman" w:cs="Times New Roman" w:eastAsia="Times New Roman" w:hAnsi="Times New Roman"/>
                <w:sz w:val="18"/>
                <w:szCs w:val="18"/>
                <w:color w:val="auto"/>
              </w:rPr>
              <w:t>5.68 to 6.25</w:t>
            </w:r>
          </w:p>
        </w:tc>
        <w:tc>
          <w:tcPr>
            <w:tcW w:w="100" w:type="dxa"/>
            <w:vAlign w:val="bottom"/>
          </w:tcPr>
          <w:p>
            <w:pPr>
              <w:spacing w:after="0"/>
              <w:rPr>
                <w:sz w:val="18"/>
                <w:szCs w:val="18"/>
                <w:color w:val="auto"/>
              </w:rPr>
            </w:pPr>
          </w:p>
        </w:tc>
        <w:tc>
          <w:tcPr>
            <w:tcW w:w="152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5.94 to 6.25</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5.94 to 6.25</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left="393"/>
              <w:spacing w:after="0"/>
              <w:rPr>
                <w:sz w:val="20"/>
                <w:szCs w:val="20"/>
                <w:color w:val="auto"/>
              </w:rPr>
            </w:pPr>
            <w:r>
              <w:rPr>
                <w:rFonts w:ascii="Times New Roman" w:cs="Times New Roman" w:eastAsia="Times New Roman" w:hAnsi="Times New Roman"/>
                <w:sz w:val="18"/>
                <w:szCs w:val="18"/>
                <w:color w:val="auto"/>
                <w:w w:val="95"/>
              </w:rPr>
              <w:t>6.25</w:t>
            </w: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 (b)</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648"/>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2.4% to 2.5%</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 to 2.5%</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0.4% to 0.5%</w:t>
            </w: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 (c)</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00" w:type="dxa"/>
            <w:vAlign w:val="bottom"/>
            <w:gridSpan w:val="2"/>
          </w:tcPr>
          <w:p>
            <w:pPr>
              <w:jc w:val="right"/>
              <w:ind w:right="648"/>
              <w:spacing w:after="0"/>
              <w:rPr>
                <w:sz w:val="20"/>
                <w:szCs w:val="20"/>
                <w:color w:val="auto"/>
              </w:rPr>
            </w:pPr>
            <w:r>
              <w:rPr>
                <w:rFonts w:ascii="Times New Roman" w:cs="Times New Roman" w:eastAsia="Times New Roman" w:hAnsi="Times New Roman"/>
                <w:sz w:val="18"/>
                <w:szCs w:val="18"/>
                <w:color w:val="auto"/>
                <w:w w:val="99"/>
              </w:rPr>
              <w:t>77.8% to 83.2%</w:t>
            </w:r>
          </w:p>
        </w:tc>
        <w:tc>
          <w:tcPr>
            <w:tcW w:w="100" w:type="dxa"/>
            <w:vAlign w:val="bottom"/>
          </w:tcPr>
          <w:p>
            <w:pPr>
              <w:spacing w:after="0"/>
              <w:rPr>
                <w:sz w:val="18"/>
                <w:szCs w:val="18"/>
                <w:color w:val="auto"/>
              </w:rPr>
            </w:pPr>
          </w:p>
        </w:tc>
        <w:tc>
          <w:tcPr>
            <w:tcW w:w="15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w w:val="98"/>
              </w:rPr>
              <w:t>82.5% to 89.4%</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8"/>
              </w:rPr>
              <w:t>82.5% to 89.4%</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8"/>
              </w:rPr>
              <w:t>70.9% to 71.2%</w:t>
            </w: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dividend yield (d)</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888"/>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center"/>
              <w:ind w:left="353"/>
              <w:spacing w:after="0"/>
              <w:rPr>
                <w:sz w:val="20"/>
                <w:szCs w:val="20"/>
                <w:color w:val="auto"/>
              </w:rPr>
            </w:pPr>
            <w:r>
              <w:rPr>
                <w:rFonts w:ascii="Times New Roman" w:cs="Times New Roman" w:eastAsia="Times New Roman" w:hAnsi="Times New Roman"/>
                <w:sz w:val="18"/>
                <w:szCs w:val="18"/>
                <w:color w:val="auto"/>
                <w:w w:val="99"/>
              </w:rPr>
              <w:t>—</w:t>
            </w:r>
          </w:p>
        </w:tc>
      </w:tr>
      <w:tr>
        <w:trPr>
          <w:trHeight w:val="198"/>
        </w:trPr>
        <w:tc>
          <w:tcPr>
            <w:tcW w:w="32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Weighted-average grant-date fair value</w:t>
            </w: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34"/>
        </w:trPr>
        <w:tc>
          <w:tcPr>
            <w:tcW w:w="3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per stock option</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gridSpan w:val="2"/>
          </w:tcPr>
          <w:p>
            <w:pPr>
              <w:jc w:val="right"/>
              <w:ind w:right="808"/>
              <w:spacing w:after="0"/>
              <w:rPr>
                <w:sz w:val="20"/>
                <w:szCs w:val="20"/>
                <w:color w:val="auto"/>
              </w:rPr>
            </w:pPr>
            <w:r>
              <w:rPr>
                <w:rFonts w:ascii="Times New Roman" w:cs="Times New Roman" w:eastAsia="Times New Roman" w:hAnsi="Times New Roman"/>
                <w:sz w:val="18"/>
                <w:szCs w:val="18"/>
                <w:color w:val="auto"/>
              </w:rPr>
              <w:t>0.05</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0.05</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0.05</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center"/>
              <w:ind w:left="393"/>
              <w:spacing w:after="0"/>
              <w:rPr>
                <w:sz w:val="20"/>
                <w:szCs w:val="20"/>
                <w:color w:val="auto"/>
              </w:rPr>
            </w:pPr>
            <w:r>
              <w:rPr>
                <w:rFonts w:ascii="Times New Roman" w:cs="Times New Roman" w:eastAsia="Times New Roman" w:hAnsi="Times New Roman"/>
                <w:sz w:val="18"/>
                <w:szCs w:val="18"/>
                <w:color w:val="auto"/>
                <w:w w:val="95"/>
              </w:rPr>
              <w:t>0.17</w:t>
            </w:r>
          </w:p>
        </w:tc>
      </w:tr>
    </w:tbl>
    <w:p>
      <w:pPr>
        <w:spacing w:after="0" w:line="218" w:lineRule="exact"/>
        <w:rPr>
          <w:sz w:val="20"/>
          <w:szCs w:val="20"/>
          <w:color w:val="auto"/>
        </w:rPr>
      </w:pPr>
    </w:p>
    <w:p>
      <w:pPr>
        <w:ind w:left="540" w:hanging="424"/>
        <w:spacing w:after="0"/>
        <w:tabs>
          <w:tab w:leader="none" w:pos="540" w:val="left"/>
        </w:tabs>
        <w:numPr>
          <w:ilvl w:val="0"/>
          <w:numId w:val="1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Determined using the “simplified method” under applicable GAAP (</w:t>
      </w:r>
      <w:r>
        <w:rPr>
          <w:rFonts w:ascii="Times New Roman" w:cs="Times New Roman" w:eastAsia="Times New Roman" w:hAnsi="Times New Roman"/>
          <w:sz w:val="14"/>
          <w:szCs w:val="14"/>
          <w:i w:val="1"/>
          <w:iCs w:val="1"/>
          <w:color w:val="auto"/>
        </w:rPr>
        <w:t>SAB 107);</w:t>
      </w:r>
      <w:r>
        <w:rPr>
          <w:rFonts w:ascii="Times New Roman" w:cs="Times New Roman" w:eastAsia="Times New Roman" w:hAnsi="Times New Roman"/>
          <w:sz w:val="14"/>
          <w:szCs w:val="14"/>
          <w:color w:val="auto"/>
        </w:rPr>
        <w:t xml:space="preserve"> the maximum contractual term of issued stock options is 10 years.</w:t>
      </w:r>
    </w:p>
    <w:p>
      <w:pPr>
        <w:spacing w:after="0" w:line="5" w:lineRule="exact"/>
        <w:rPr>
          <w:rFonts w:ascii="Times New Roman" w:cs="Times New Roman" w:eastAsia="Times New Roman" w:hAnsi="Times New Roman"/>
          <w:sz w:val="14"/>
          <w:szCs w:val="14"/>
          <w:color w:val="auto"/>
        </w:rPr>
      </w:pPr>
    </w:p>
    <w:p>
      <w:pPr>
        <w:ind w:left="540" w:hanging="424"/>
        <w:spacing w:after="0" w:line="221" w:lineRule="auto"/>
        <w:tabs>
          <w:tab w:leader="none" w:pos="540" w:val="left"/>
        </w:tabs>
        <w:numPr>
          <w:ilvl w:val="0"/>
          <w:numId w:val="1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upon the U.S. Treasury yields in effect during the period which the options were granted (for a period equaling the stock options’ expected term).</w:t>
      </w:r>
    </w:p>
    <w:p>
      <w:pPr>
        <w:ind w:left="540" w:hanging="424"/>
        <w:spacing w:after="0" w:line="221" w:lineRule="auto"/>
        <w:tabs>
          <w:tab w:leader="none" w:pos="540" w:val="left"/>
        </w:tabs>
        <w:numPr>
          <w:ilvl w:val="0"/>
          <w:numId w:val="1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Measured using the volatility of the stock price for the Company’s designated peer group of publicly-traded companies for a period equal to the expected option term.</w:t>
      </w:r>
    </w:p>
    <w:p>
      <w:pPr>
        <w:ind w:left="540" w:hanging="424"/>
        <w:spacing w:after="0"/>
        <w:tabs>
          <w:tab w:leader="none" w:pos="540" w:val="left"/>
        </w:tabs>
        <w:numPr>
          <w:ilvl w:val="0"/>
          <w:numId w:val="1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Tarsus does not expect to declare any cash dividends in the foreseeable future.</w:t>
      </w:r>
    </w:p>
    <w:p>
      <w:pPr>
        <w:spacing w:after="0" w:line="12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F-20</w:t>
      </w:r>
    </w:p>
    <w:p>
      <w:pPr>
        <w:sectPr>
          <w:pgSz w:w="11900" w:h="16838" w:orient="portrait"/>
          <w:cols w:equalWidth="0" w:num="1">
            <w:col w:w="11140"/>
          </w:cols>
          <w:pgMar w:left="320" w:top="455" w:right="439" w:bottom="1440" w:gutter="0" w:footer="0" w:header="0"/>
        </w:sectPr>
      </w:pPr>
    </w:p>
    <w:bookmarkStart w:id="232" w:name="page233"/>
    <w:bookmarkEnd w:id="23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TARSUS PHARMACEUTICALS, INC.</w:t>
      </w:r>
    </w:p>
    <w:p>
      <w:pPr>
        <w:spacing w:after="0" w:line="2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THE FINANCIAL STATEMENTS</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(Information as of June 30, 2020 and thereafter and for the six months ended June 30, 2019 and 2020 is unaudited; all tabular amounts</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presented in thousands, except share, per share, per unit, and number of years)</w:t>
      </w:r>
    </w:p>
    <w:p>
      <w:pPr>
        <w:spacing w:after="0" w:line="2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Stock Option Activity</w:t>
      </w:r>
    </w:p>
    <w:p>
      <w:pPr>
        <w:spacing w:after="0" w:line="229"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Stock option activity during the years ended December 31, 2018 and 2019 and for the six months ended June 30, 2020 was as follows:</w:t>
      </w:r>
    </w:p>
    <w:p>
      <w:pPr>
        <w:spacing w:after="0" w:line="233"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3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600" w:type="dxa"/>
            <w:vAlign w:val="bottom"/>
          </w:tcPr>
          <w:p>
            <w:pPr>
              <w:spacing w:after="0"/>
              <w:rPr>
                <w:sz w:val="13"/>
                <w:szCs w:val="13"/>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60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500" w:type="dxa"/>
            <w:vAlign w:val="bottom"/>
            <w:gridSpan w:val="4"/>
            <w:vMerge w:val="restart"/>
          </w:tcPr>
          <w:p>
            <w:pPr>
              <w:ind w:left="60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114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center"/>
              <w:ind w:right="12"/>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60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50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center"/>
              <w:ind w:right="32"/>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60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600" w:type="dxa"/>
            <w:vAlign w:val="bottom"/>
          </w:tcPr>
          <w:p>
            <w:pPr>
              <w:spacing w:after="0"/>
              <w:rPr>
                <w:sz w:val="12"/>
                <w:szCs w:val="12"/>
                <w:color w:val="auto"/>
              </w:rPr>
            </w:pPr>
          </w:p>
        </w:tc>
        <w:tc>
          <w:tcPr>
            <w:tcW w:w="900" w:type="dxa"/>
            <w:vAlign w:val="bottom"/>
            <w:gridSpan w:val="3"/>
          </w:tcPr>
          <w:p>
            <w:pPr>
              <w:jc w:val="right"/>
              <w:ind w:right="23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300" w:type="dxa"/>
            <w:vAlign w:val="bottom"/>
          </w:tcPr>
          <w:p>
            <w:pPr>
              <w:spacing w:after="0"/>
              <w:rPr>
                <w:sz w:val="15"/>
                <w:szCs w:val="15"/>
                <w:color w:val="auto"/>
              </w:rPr>
            </w:pPr>
          </w:p>
        </w:tc>
        <w:tc>
          <w:tcPr>
            <w:tcW w:w="114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40" w:type="dxa"/>
            <w:vAlign w:val="bottom"/>
            <w:gridSpan w:val="3"/>
          </w:tcPr>
          <w:p>
            <w:pPr>
              <w:jc w:val="center"/>
              <w:ind w:left="215"/>
              <w:spacing w:after="0"/>
              <w:rPr>
                <w:sz w:val="20"/>
                <w:szCs w:val="20"/>
                <w:color w:val="auto"/>
              </w:rPr>
            </w:pPr>
            <w:r>
              <w:rPr>
                <w:rFonts w:ascii="Times New Roman" w:cs="Times New Roman" w:eastAsia="Times New Roman" w:hAnsi="Times New Roman"/>
                <w:sz w:val="14"/>
                <w:szCs w:val="14"/>
                <w:b w:val="1"/>
                <w:bCs w:val="1"/>
                <w:color w:val="auto"/>
                <w:w w:val="99"/>
              </w:rPr>
              <w:t>Price/Share</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Term (Years)</w:t>
            </w: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gridSpan w:val="2"/>
          </w:tcPr>
          <w:p>
            <w:pPr>
              <w:jc w:val="right"/>
              <w:ind w:right="33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3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 December 31, 2017</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622,500</w:t>
            </w:r>
          </w:p>
        </w:tc>
        <w:tc>
          <w:tcPr>
            <w:tcW w:w="3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0.0001</w:t>
            </w:r>
          </w:p>
        </w:tc>
        <w:tc>
          <w:tcPr>
            <w:tcW w:w="6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9.91</w:t>
            </w:r>
          </w:p>
        </w:tc>
        <w:tc>
          <w:tcPr>
            <w:tcW w:w="6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Granted</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1,361,043</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6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Exercised</w:t>
            </w:r>
          </w:p>
        </w:tc>
        <w:tc>
          <w:tcPr>
            <w:tcW w:w="11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Forfeited</w:t>
            </w:r>
          </w:p>
        </w:tc>
        <w:tc>
          <w:tcPr>
            <w:tcW w:w="11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Expired</w:t>
            </w:r>
          </w:p>
        </w:tc>
        <w:tc>
          <w:tcPr>
            <w:tcW w:w="11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Outstanding — December 31, 2018</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1,983,543</w:t>
            </w: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9.51</w:t>
            </w:r>
          </w:p>
        </w:tc>
        <w:tc>
          <w:tcPr>
            <w:tcW w:w="72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Granted</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243,611</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6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Exercised</w:t>
            </w:r>
          </w:p>
        </w:tc>
        <w:tc>
          <w:tcPr>
            <w:tcW w:w="11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Forfeited</w:t>
            </w:r>
          </w:p>
        </w:tc>
        <w:tc>
          <w:tcPr>
            <w:tcW w:w="11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(14,167)</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6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Expired</w:t>
            </w:r>
          </w:p>
        </w:tc>
        <w:tc>
          <w:tcPr>
            <w:tcW w:w="11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(5,833)</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6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 December 31, 2019</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2,207,154</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w:t>
            </w:r>
          </w:p>
        </w:tc>
        <w:tc>
          <w:tcPr>
            <w:tcW w:w="7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Granted</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7,456,406</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0.27</w:t>
            </w:r>
          </w:p>
        </w:tc>
        <w:tc>
          <w:tcPr>
            <w:tcW w:w="6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Exercised</w:t>
            </w:r>
          </w:p>
        </w:tc>
        <w:tc>
          <w:tcPr>
            <w:tcW w:w="11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(508,000)</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0.27</w:t>
            </w:r>
          </w:p>
        </w:tc>
        <w:tc>
          <w:tcPr>
            <w:tcW w:w="6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Forfeited</w:t>
            </w:r>
          </w:p>
        </w:tc>
        <w:tc>
          <w:tcPr>
            <w:tcW w:w="11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(14,230)</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6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Expired</w:t>
            </w:r>
          </w:p>
        </w:tc>
        <w:tc>
          <w:tcPr>
            <w:tcW w:w="114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Outstanding — June 30, 2020</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9,141,330</w:t>
            </w:r>
          </w:p>
        </w:tc>
        <w:tc>
          <w:tcPr>
            <w:tcW w:w="36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r>
              <w:rPr>
                <w:rFonts w:ascii="Times New Roman" w:cs="Times New Roman" w:eastAsia="Times New Roman" w:hAnsi="Times New Roman"/>
                <w:sz w:val="18"/>
                <w:szCs w:val="18"/>
                <w:u w:val="single" w:color="auto"/>
                <w:color w:val="auto"/>
              </w:rPr>
              <w:t>22</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9.38</w:t>
            </w:r>
          </w:p>
        </w:tc>
        <w:tc>
          <w:tcPr>
            <w:tcW w:w="72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 — December 31, 2019</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935,207</w:t>
            </w:r>
          </w:p>
        </w:tc>
        <w:tc>
          <w:tcPr>
            <w:tcW w:w="3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w:t>
            </w:r>
          </w:p>
        </w:tc>
        <w:tc>
          <w:tcPr>
            <w:tcW w:w="7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0" w:type="dxa"/>
            <w:vAlign w:val="bottom"/>
          </w:tcPr>
          <w:p>
            <w:pPr>
              <w:spacing w:after="0"/>
              <w:rPr>
                <w:sz w:val="1"/>
                <w:szCs w:val="1"/>
                <w:color w:val="auto"/>
              </w:rPr>
            </w:pPr>
          </w:p>
        </w:tc>
      </w:tr>
      <w:tr>
        <w:trPr>
          <w:trHeight w:val="20"/>
        </w:trPr>
        <w:tc>
          <w:tcPr>
            <w:tcW w:w="43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Unvested — December 31, 2019</w:t>
            </w: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320" w:type="dxa"/>
            <w:vAlign w:val="bottom"/>
            <w:gridSpan w:val="2"/>
            <w:vMerge w:val="continue"/>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1,271,947</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6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8.76</w:t>
            </w:r>
          </w:p>
        </w:tc>
        <w:tc>
          <w:tcPr>
            <w:tcW w:w="60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 — June 30, 2020</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1,830,339</w:t>
            </w:r>
          </w:p>
        </w:tc>
        <w:tc>
          <w:tcPr>
            <w:tcW w:w="3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w:t>
            </w:r>
          </w:p>
        </w:tc>
        <w:tc>
          <w:tcPr>
            <w:tcW w:w="72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298(1)</w:t>
            </w:r>
          </w:p>
        </w:tc>
        <w:tc>
          <w:tcPr>
            <w:tcW w:w="0" w:type="dxa"/>
            <w:vAlign w:val="bottom"/>
          </w:tcPr>
          <w:p>
            <w:pPr>
              <w:spacing w:after="0"/>
              <w:rPr>
                <w:sz w:val="1"/>
                <w:szCs w:val="1"/>
                <w:color w:val="auto"/>
              </w:rPr>
            </w:pPr>
          </w:p>
        </w:tc>
      </w:tr>
      <w:tr>
        <w:trPr>
          <w:trHeight w:val="20"/>
        </w:trPr>
        <w:tc>
          <w:tcPr>
            <w:tcW w:w="43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Unvested — June 30, 2020</w:t>
            </w: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320" w:type="dxa"/>
            <w:vAlign w:val="bottom"/>
            <w:gridSpan w:val="2"/>
            <w:vMerge w:val="continue"/>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7,310,991</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600" w:type="dxa"/>
            <w:vAlign w:val="bottom"/>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9.61</w:t>
            </w:r>
          </w:p>
        </w:tc>
        <w:tc>
          <w:tcPr>
            <w:tcW w:w="60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5"/>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8" w:lineRule="exact"/>
        <w:rPr>
          <w:sz w:val="20"/>
          <w:szCs w:val="20"/>
          <w:color w:val="auto"/>
        </w:rPr>
      </w:pPr>
    </w:p>
    <w:p>
      <w:pPr>
        <w:ind w:left="540" w:hanging="424"/>
        <w:spacing w:after="0" w:line="243" w:lineRule="auto"/>
        <w:tabs>
          <w:tab w:leader="none" w:pos="540" w:val="left"/>
        </w:tabs>
        <w:numPr>
          <w:ilvl w:val="0"/>
          <w:numId w:val="1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Represents the total </w:t>
      </w:r>
      <w:r>
        <w:rPr>
          <w:rFonts w:ascii="Times New Roman" w:cs="Times New Roman" w:eastAsia="Times New Roman" w:hAnsi="Times New Roman"/>
          <w:sz w:val="14"/>
          <w:szCs w:val="14"/>
          <w:i w:val="1"/>
          <w:iCs w:val="1"/>
          <w:color w:val="auto"/>
        </w:rPr>
        <w:t>difference</w:t>
      </w:r>
      <w:r>
        <w:rPr>
          <w:rFonts w:ascii="Times New Roman" w:cs="Times New Roman" w:eastAsia="Times New Roman" w:hAnsi="Times New Roman"/>
          <w:sz w:val="14"/>
          <w:szCs w:val="14"/>
          <w:color w:val="auto"/>
        </w:rPr>
        <w:t xml:space="preserve"> between the estimated stock price fair value as of December 31, 2019 and June 30, 2020 and the stock option exercise price, </w:t>
      </w:r>
      <w:r>
        <w:rPr>
          <w:rFonts w:ascii="Times New Roman" w:cs="Times New Roman" w:eastAsia="Times New Roman" w:hAnsi="Times New Roman"/>
          <w:sz w:val="14"/>
          <w:szCs w:val="14"/>
          <w:i w:val="1"/>
          <w:iCs w:val="1"/>
          <w:color w:val="auto"/>
        </w:rPr>
        <w:t>multiplied by</w:t>
      </w:r>
      <w:r>
        <w:rPr>
          <w:rFonts w:ascii="Times New Roman" w:cs="Times New Roman" w:eastAsia="Times New Roman" w:hAnsi="Times New Roman"/>
          <w:sz w:val="14"/>
          <w:szCs w:val="14"/>
          <w:color w:val="auto"/>
        </w:rPr>
        <w:t xml:space="preserve"> the number of in-the-money options as of December 31, 2019 and June 30, 2020. The amount of any intrinsic value will change in relation to any increases or decreases in the then-determined fair value of the Company’s common stock.</w:t>
      </w:r>
    </w:p>
    <w:p>
      <w:pPr>
        <w:spacing w:after="0" w:line="179" w:lineRule="exact"/>
        <w:rPr>
          <w:sz w:val="20"/>
          <w:szCs w:val="20"/>
          <w:color w:val="auto"/>
        </w:rPr>
      </w:pPr>
    </w:p>
    <w:p>
      <w:pPr>
        <w:ind w:left="120" w:right="240" w:firstLine="881"/>
        <w:spacing w:after="0" w:line="266" w:lineRule="auto"/>
        <w:rPr>
          <w:sz w:val="20"/>
          <w:szCs w:val="20"/>
          <w:color w:val="auto"/>
        </w:rPr>
      </w:pPr>
      <w:r>
        <w:rPr>
          <w:rFonts w:ascii="Times New Roman" w:cs="Times New Roman" w:eastAsia="Times New Roman" w:hAnsi="Times New Roman"/>
          <w:sz w:val="18"/>
          <w:szCs w:val="18"/>
          <w:color w:val="auto"/>
        </w:rPr>
        <w:t>The total grant-date fair value of options that vested during the years ended December 31, 2018 and 2019 was $33 thousand in each year. The total grant-date fair value of options that vested during the six months ended June 30, 2019 and 2020 was $17 thousand and $86 thousand, respectively.</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F-21</w:t>
      </w:r>
    </w:p>
    <w:p>
      <w:pPr>
        <w:sectPr>
          <w:pgSz w:w="11900" w:h="16838" w:orient="portrait"/>
          <w:cols w:equalWidth="0" w:num="1">
            <w:col w:w="11100"/>
          </w:cols>
          <w:pgMar w:left="320" w:top="455" w:right="479" w:bottom="1440" w:gutter="0" w:footer="0" w:header="0"/>
        </w:sectPr>
      </w:pPr>
    </w:p>
    <w:bookmarkStart w:id="233" w:name="page234"/>
    <w:bookmarkEnd w:id="23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TARSUS PHARMACEUTICALS, INC.</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NOTES TO THE FINANCIAL STATEMENTS</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(Information as of June 30, 2020 and thereafter and for the six months ended June 30, 2019 and 2020 is unaudited; all tabular amounts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presented in thousands, except share, per share, per unit, and number of years)</w:t>
      </w:r>
    </w:p>
    <w:p>
      <w:pPr>
        <w:spacing w:after="0" w:line="234"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The following table summarizes information with respect to stock option grants as of December 31, 2019:</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4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040" w:type="dxa"/>
            <w:vAlign w:val="bottom"/>
            <w:tcBorders>
              <w:bottom w:val="single" w:sz="8" w:color="auto"/>
            </w:tcBorders>
            <w:gridSpan w:val="4"/>
          </w:tcPr>
          <w:p>
            <w:pPr>
              <w:ind w:left="240"/>
              <w:spacing w:after="0"/>
              <w:rPr>
                <w:sz w:val="20"/>
                <w:szCs w:val="20"/>
                <w:color w:val="auto"/>
              </w:rPr>
            </w:pPr>
            <w:r>
              <w:rPr>
                <w:rFonts w:ascii="Times New Roman" w:cs="Times New Roman" w:eastAsia="Times New Roman" w:hAnsi="Times New Roman"/>
                <w:sz w:val="14"/>
                <w:szCs w:val="14"/>
                <w:b w:val="1"/>
                <w:bCs w:val="1"/>
                <w:color w:val="auto"/>
              </w:rPr>
              <w:t>As of December 31, 2019</w:t>
            </w: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gridSpan w:val="3"/>
          </w:tcPr>
          <w:p>
            <w:pPr>
              <w:jc w:val="center"/>
              <w:ind w:right="220"/>
              <w:spacing w:after="0" w:line="142"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84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gridSpan w:val="3"/>
          </w:tcPr>
          <w:p>
            <w:pPr>
              <w:jc w:val="right"/>
              <w:ind w:right="260"/>
              <w:spacing w:after="0" w:line="142" w:lineRule="exact"/>
              <w:rPr>
                <w:sz w:val="20"/>
                <w:szCs w:val="20"/>
                <w:color w:val="auto"/>
              </w:rPr>
            </w:pPr>
            <w:r>
              <w:rPr>
                <w:rFonts w:ascii="Times New Roman" w:cs="Times New Roman" w:eastAsia="Times New Roman" w:hAnsi="Times New Roman"/>
                <w:sz w:val="14"/>
                <w:szCs w:val="14"/>
                <w:b w:val="1"/>
                <w:bCs w:val="1"/>
                <w:color w:val="auto"/>
              </w:rPr>
              <w:t>Exercisable</w:t>
            </w:r>
          </w:p>
        </w:tc>
        <w:tc>
          <w:tcPr>
            <w:tcW w:w="84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4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4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Granted</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4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280" w:type="dxa"/>
            <w:vAlign w:val="bottom"/>
          </w:tcPr>
          <w:p>
            <w:pPr>
              <w:spacing w:after="0"/>
              <w:rPr>
                <w:sz w:val="10"/>
                <w:szCs w:val="10"/>
                <w:color w:val="auto"/>
              </w:rPr>
            </w:pPr>
          </w:p>
        </w:tc>
        <w:tc>
          <w:tcPr>
            <w:tcW w:w="9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Granted</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4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3"/>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11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9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3"/>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9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9"/>
        </w:trPr>
        <w:tc>
          <w:tcPr>
            <w:tcW w:w="4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140" w:type="dxa"/>
            <w:vAlign w:val="bottom"/>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11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9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14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92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0" w:type="dxa"/>
            <w:vAlign w:val="bottom"/>
          </w:tcPr>
          <w:p>
            <w:pPr>
              <w:spacing w:after="0"/>
              <w:rPr>
                <w:sz w:val="1"/>
                <w:szCs w:val="1"/>
                <w:color w:val="auto"/>
              </w:rPr>
            </w:pPr>
          </w:p>
        </w:tc>
      </w:tr>
      <w:tr>
        <w:trPr>
          <w:trHeight w:val="148"/>
        </w:trPr>
        <w:tc>
          <w:tcPr>
            <w:tcW w:w="4820" w:type="dxa"/>
            <w:vAlign w:val="bottom"/>
            <w:gridSpan w:val="2"/>
            <w:vMerge w:val="restart"/>
          </w:tcPr>
          <w:p>
            <w:pPr>
              <w:ind w:left="186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9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11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9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92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0" w:type="dxa"/>
            <w:vAlign w:val="bottom"/>
          </w:tcPr>
          <w:p>
            <w:pPr>
              <w:spacing w:after="0"/>
              <w:rPr>
                <w:sz w:val="1"/>
                <w:szCs w:val="1"/>
                <w:color w:val="auto"/>
              </w:rPr>
            </w:pPr>
          </w:p>
        </w:tc>
      </w:tr>
      <w:tr>
        <w:trPr>
          <w:trHeight w:val="173"/>
        </w:trPr>
        <w:tc>
          <w:tcPr>
            <w:tcW w:w="4820" w:type="dxa"/>
            <w:vAlign w:val="bottom"/>
            <w:gridSpan w:val="2"/>
            <w:vMerge w:val="continue"/>
          </w:tcPr>
          <w:p>
            <w:pPr>
              <w:spacing w:after="0"/>
              <w:rPr>
                <w:sz w:val="15"/>
                <w:szCs w:val="15"/>
                <w:color w:val="auto"/>
              </w:rPr>
            </w:pPr>
          </w:p>
        </w:tc>
        <w:tc>
          <w:tcPr>
            <w:tcW w:w="9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1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Life (Years)</w:t>
            </w:r>
          </w:p>
        </w:tc>
        <w:tc>
          <w:tcPr>
            <w:tcW w:w="9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Exercisable</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9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Life (Years)</w:t>
            </w:r>
          </w:p>
        </w:tc>
        <w:tc>
          <w:tcPr>
            <w:tcW w:w="0" w:type="dxa"/>
            <w:vAlign w:val="bottom"/>
          </w:tcPr>
          <w:p>
            <w:pPr>
              <w:spacing w:after="0"/>
              <w:rPr>
                <w:sz w:val="1"/>
                <w:szCs w:val="1"/>
                <w:color w:val="auto"/>
              </w:rPr>
            </w:pPr>
          </w:p>
        </w:tc>
      </w:tr>
      <w:tr>
        <w:trPr>
          <w:trHeight w:val="210"/>
        </w:trPr>
        <w:tc>
          <w:tcPr>
            <w:tcW w:w="46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$0.0001</w:t>
            </w:r>
          </w:p>
        </w:tc>
        <w:tc>
          <w:tcPr>
            <w:tcW w:w="2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622,500</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6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w:t>
            </w:r>
          </w:p>
        </w:tc>
        <w:tc>
          <w:tcPr>
            <w:tcW w:w="2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622,500</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$0.06</w:t>
            </w:r>
          </w:p>
        </w:tc>
        <w:tc>
          <w:tcPr>
            <w:tcW w:w="2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1,584,654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8.87</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1,089,624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8.80</w:t>
            </w: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2,207,154</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37</w:t>
            </w:r>
          </w:p>
        </w:tc>
        <w:tc>
          <w:tcPr>
            <w:tcW w:w="11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8.60</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1,712,124</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37</w:t>
            </w: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8.48</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The following table summarizes information with respect to stock option grants as of June 30, 2020:</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4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120" w:type="dxa"/>
            <w:vAlign w:val="bottom"/>
            <w:tcBorders>
              <w:bottom w:val="single" w:sz="8" w:color="auto"/>
            </w:tcBorders>
            <w:gridSpan w:val="4"/>
          </w:tcPr>
          <w:p>
            <w:pPr>
              <w:ind w:left="440"/>
              <w:spacing w:after="0"/>
              <w:rPr>
                <w:sz w:val="20"/>
                <w:szCs w:val="20"/>
                <w:color w:val="auto"/>
              </w:rPr>
            </w:pPr>
            <w:r>
              <w:rPr>
                <w:rFonts w:ascii="Times New Roman" w:cs="Times New Roman" w:eastAsia="Times New Roman" w:hAnsi="Times New Roman"/>
                <w:sz w:val="14"/>
                <w:szCs w:val="14"/>
                <w:b w:val="1"/>
                <w:bCs w:val="1"/>
                <w:color w:val="auto"/>
              </w:rPr>
              <w:t>As of June 30, 2020</w:t>
            </w: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gridSpan w:val="3"/>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88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gridSpan w:val="3"/>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Exercisable</w:t>
            </w:r>
          </w:p>
        </w:tc>
        <w:tc>
          <w:tcPr>
            <w:tcW w:w="88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44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4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Granted</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8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280" w:type="dxa"/>
            <w:vAlign w:val="bottom"/>
          </w:tcPr>
          <w:p>
            <w:pPr>
              <w:spacing w:after="0"/>
              <w:rPr>
                <w:sz w:val="10"/>
                <w:szCs w:val="10"/>
                <w:color w:val="auto"/>
              </w:rPr>
            </w:pPr>
          </w:p>
        </w:tc>
        <w:tc>
          <w:tcPr>
            <w:tcW w:w="9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Granted</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8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Weighted-</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gridSpan w:val="3"/>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11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9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3"/>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9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4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gridSpan w:val="2"/>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240" w:type="dxa"/>
            <w:vAlign w:val="bottom"/>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11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96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140" w:type="dxa"/>
            <w:vAlign w:val="bottom"/>
          </w:tcPr>
          <w:p>
            <w:pPr>
              <w:spacing w:after="0"/>
              <w:rPr>
                <w:sz w:val="12"/>
                <w:szCs w:val="12"/>
                <w:color w:val="auto"/>
              </w:rPr>
            </w:pPr>
          </w:p>
        </w:tc>
        <w:tc>
          <w:tcPr>
            <w:tcW w:w="1060" w:type="dxa"/>
            <w:vAlign w:val="bottom"/>
            <w:gridSpan w:val="3"/>
            <w:vMerge w:val="continue"/>
          </w:tcPr>
          <w:p>
            <w:pPr>
              <w:spacing w:after="0"/>
              <w:rPr>
                <w:sz w:val="12"/>
                <w:szCs w:val="12"/>
                <w:color w:val="auto"/>
              </w:rPr>
            </w:pPr>
          </w:p>
        </w:tc>
        <w:tc>
          <w:tcPr>
            <w:tcW w:w="96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0" w:type="dxa"/>
            <w:vAlign w:val="bottom"/>
          </w:tcPr>
          <w:p>
            <w:pPr>
              <w:spacing w:after="0"/>
              <w:rPr>
                <w:sz w:val="1"/>
                <w:szCs w:val="1"/>
                <w:color w:val="auto"/>
              </w:rPr>
            </w:pPr>
          </w:p>
        </w:tc>
      </w:tr>
      <w:tr>
        <w:trPr>
          <w:trHeight w:val="148"/>
        </w:trPr>
        <w:tc>
          <w:tcPr>
            <w:tcW w:w="4620" w:type="dxa"/>
            <w:vAlign w:val="bottom"/>
            <w:gridSpan w:val="2"/>
            <w:vMerge w:val="restart"/>
          </w:tcPr>
          <w:p>
            <w:pPr>
              <w:ind w:left="176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84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11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96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96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0" w:type="dxa"/>
            <w:vAlign w:val="bottom"/>
          </w:tcPr>
          <w:p>
            <w:pPr>
              <w:spacing w:after="0"/>
              <w:rPr>
                <w:sz w:val="1"/>
                <w:szCs w:val="1"/>
                <w:color w:val="auto"/>
              </w:rPr>
            </w:pPr>
          </w:p>
        </w:tc>
      </w:tr>
      <w:tr>
        <w:trPr>
          <w:trHeight w:val="173"/>
        </w:trPr>
        <w:tc>
          <w:tcPr>
            <w:tcW w:w="4620" w:type="dxa"/>
            <w:vAlign w:val="bottom"/>
            <w:gridSpan w:val="2"/>
            <w:vMerge w:val="continue"/>
          </w:tcPr>
          <w:p>
            <w:pPr>
              <w:spacing w:after="0"/>
              <w:rPr>
                <w:sz w:val="15"/>
                <w:szCs w:val="15"/>
                <w:color w:val="auto"/>
              </w:rPr>
            </w:pPr>
          </w:p>
        </w:tc>
        <w:tc>
          <w:tcPr>
            <w:tcW w:w="84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1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Life (Years)</w:t>
            </w:r>
          </w:p>
        </w:tc>
        <w:tc>
          <w:tcPr>
            <w:tcW w:w="9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Exercisable</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9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Life (Years)</w:t>
            </w:r>
          </w:p>
        </w:tc>
        <w:tc>
          <w:tcPr>
            <w:tcW w:w="0" w:type="dxa"/>
            <w:vAlign w:val="bottom"/>
          </w:tcPr>
          <w:p>
            <w:pPr>
              <w:spacing w:after="0"/>
              <w:rPr>
                <w:sz w:val="1"/>
                <w:szCs w:val="1"/>
                <w:color w:val="auto"/>
              </w:rPr>
            </w:pPr>
          </w:p>
        </w:tc>
      </w:tr>
      <w:tr>
        <w:trPr>
          <w:trHeight w:val="209"/>
        </w:trPr>
        <w:tc>
          <w:tcPr>
            <w:tcW w:w="44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$0.0001</w:t>
            </w:r>
          </w:p>
        </w:tc>
        <w:tc>
          <w:tcPr>
            <w:tcW w:w="2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622,500</w:t>
            </w: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w w:val="96"/>
              </w:rPr>
              <w:t>168</w:t>
            </w:r>
          </w:p>
        </w:tc>
        <w:tc>
          <w:tcPr>
            <w:tcW w:w="26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w:t>
            </w:r>
          </w:p>
        </w:tc>
        <w:tc>
          <w:tcPr>
            <w:tcW w:w="2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622,500</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w w:val="88"/>
              </w:rPr>
              <w:t>168</w:t>
            </w:r>
          </w:p>
        </w:tc>
        <w:tc>
          <w:tcPr>
            <w:tcW w:w="28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$0.06</w:t>
            </w:r>
          </w:p>
        </w:tc>
        <w:tc>
          <w:tcPr>
            <w:tcW w:w="22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1,563,320</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328</w:t>
            </w: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8.33</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1,209,999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254</w:t>
            </w: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8.28</w:t>
            </w: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$0.27</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6,955,510</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9.79</w:t>
            </w: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6,431,639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9.79</w:t>
            </w:r>
          </w:p>
        </w:tc>
        <w:tc>
          <w:tcPr>
            <w:tcW w:w="0" w:type="dxa"/>
            <w:vAlign w:val="bottom"/>
          </w:tcPr>
          <w:p>
            <w:pPr>
              <w:spacing w:after="0"/>
              <w:rPr>
                <w:sz w:val="1"/>
                <w:szCs w:val="1"/>
                <w:color w:val="auto"/>
              </w:rPr>
            </w:pPr>
          </w:p>
        </w:tc>
      </w:tr>
      <w:tr>
        <w:trPr>
          <w:trHeight w:val="223"/>
        </w:trPr>
        <w:tc>
          <w:tcPr>
            <w:tcW w:w="4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9,141,330</w:t>
            </w:r>
          </w:p>
        </w:tc>
        <w:tc>
          <w:tcPr>
            <w:tcW w:w="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w w:val="96"/>
              </w:rPr>
              <w:t>496</w:t>
            </w:r>
          </w:p>
        </w:tc>
        <w:tc>
          <w:tcPr>
            <w:tcW w:w="26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9.38</w:t>
            </w:r>
          </w:p>
        </w:tc>
        <w:tc>
          <w:tcPr>
            <w:tcW w:w="28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8,264,138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w w:val="88"/>
              </w:rPr>
              <w:t>422</w:t>
            </w:r>
          </w:p>
        </w:tc>
        <w:tc>
          <w:tcPr>
            <w:tcW w:w="28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ind w:left="120" w:right="420" w:firstLine="881"/>
        <w:spacing w:after="0" w:line="266" w:lineRule="auto"/>
        <w:rPr>
          <w:sz w:val="20"/>
          <w:szCs w:val="20"/>
          <w:color w:val="auto"/>
        </w:rPr>
      </w:pPr>
      <w:r>
        <w:rPr>
          <w:rFonts w:ascii="Times New Roman" w:cs="Times New Roman" w:eastAsia="Times New Roman" w:hAnsi="Times New Roman"/>
          <w:sz w:val="18"/>
          <w:szCs w:val="18"/>
          <w:color w:val="auto"/>
        </w:rPr>
        <w:t>As of December 31, 2019, there was unrecognized compensation expense of $46 thousand related to unvested stock options, which the Company expects to recognize over a weighted average period of 2.1 years. As of June 30, 2020, there was unrecognized compensation expense of $1.2 million related to unvested stock options, which the Company expects to recognize over a weighted average period of 3.1 years.</w:t>
      </w:r>
    </w:p>
    <w:p>
      <w:pPr>
        <w:spacing w:after="0" w:line="1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Early Exercise Feature of Certain Stock Options</w:t>
      </w:r>
    </w:p>
    <w:p>
      <w:pPr>
        <w:spacing w:after="0" w:line="229" w:lineRule="exact"/>
        <w:rPr>
          <w:sz w:val="20"/>
          <w:szCs w:val="20"/>
          <w:color w:val="auto"/>
        </w:rPr>
      </w:pPr>
    </w:p>
    <w:p>
      <w:pPr>
        <w:ind w:left="120" w:right="120" w:firstLine="881"/>
        <w:spacing w:after="0" w:line="258" w:lineRule="auto"/>
        <w:rPr>
          <w:sz w:val="20"/>
          <w:szCs w:val="20"/>
          <w:color w:val="auto"/>
        </w:rPr>
      </w:pPr>
      <w:r>
        <w:rPr>
          <w:rFonts w:ascii="Times New Roman" w:cs="Times New Roman" w:eastAsia="Times New Roman" w:hAnsi="Times New Roman"/>
          <w:sz w:val="18"/>
          <w:szCs w:val="18"/>
          <w:color w:val="auto"/>
        </w:rPr>
        <w:t>The 2016 Plan permits certain option holders to exercise awarded options prior to vesting. Upon early exercise, the options become subject to a restricted stock agreement and remain subject to the same vesting provisions in the corresponding stock option award and unvested options are subject to repurchase by the Company upon termination at the same price exercised. These unvested shares are reported as issued, but not outstanding while subject to repurchase by the Company and are also excluded from the basic and diluted net loss per share calculation until the repurchase right lapses upon vesting.</w:t>
      </w:r>
    </w:p>
    <w:p>
      <w:pPr>
        <w:spacing w:after="0" w:line="183" w:lineRule="exact"/>
        <w:rPr>
          <w:sz w:val="20"/>
          <w:szCs w:val="20"/>
          <w:color w:val="auto"/>
        </w:rPr>
      </w:pPr>
    </w:p>
    <w:p>
      <w:pPr>
        <w:ind w:left="120" w:right="40" w:firstLine="881"/>
        <w:spacing w:after="0" w:line="266" w:lineRule="auto"/>
        <w:rPr>
          <w:sz w:val="20"/>
          <w:szCs w:val="20"/>
          <w:color w:val="auto"/>
        </w:rPr>
      </w:pPr>
      <w:r>
        <w:rPr>
          <w:rFonts w:ascii="Times New Roman" w:cs="Times New Roman" w:eastAsia="Times New Roman" w:hAnsi="Times New Roman"/>
          <w:sz w:val="18"/>
          <w:szCs w:val="18"/>
          <w:color w:val="auto"/>
        </w:rPr>
        <w:t>The Company initially records a liability for these early exercises that is subsequently reclassified into stockholders’ equity on a pro rata basis as vesting occurs. During the year ended December 31, 2019, the Company repurchased 200,000 of unvested common stock options from a former consultant in connection with termination of his consulting agreement; there were no such repurchases in 2018 or for the six months ended</w:t>
      </w:r>
    </w:p>
    <w:p>
      <w:pPr>
        <w:spacing w:after="0" w:line="10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F-22</w:t>
      </w:r>
    </w:p>
    <w:p>
      <w:pPr>
        <w:sectPr>
          <w:pgSz w:w="11900" w:h="16838" w:orient="portrait"/>
          <w:cols w:equalWidth="0" w:num="1">
            <w:col w:w="11140"/>
          </w:cols>
          <w:pgMar w:left="320" w:top="455" w:right="439" w:bottom="1440" w:gutter="0" w:footer="0" w:header="0"/>
        </w:sectPr>
      </w:pPr>
    </w:p>
    <w:bookmarkStart w:id="234" w:name="page235"/>
    <w:bookmarkEnd w:id="23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TARSUS PHARMACEUTICALS, INC.</w:t>
      </w:r>
    </w:p>
    <w:p>
      <w:pPr>
        <w:spacing w:after="0" w:line="2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THE FINANCIAL STATEMENTS</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(Information as of June 30, 2020 and thereafter and for the six months ended June 30, 2019 and 2020 is unaudited; all tabular amounts</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presented in thousands, except share, per share, per unit, and number of years)</w:t>
      </w:r>
    </w:p>
    <w:p>
      <w:pPr>
        <w:spacing w:after="0" w:line="234"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June 30, 2020. As of December 31, 2018 and 2019, all stock options with early exercise features were either vested or immaterial if early exercised and the Company reported no corresponding liability in the accompanying Balance Sheets. As of June 30, 2020, the Company has recorded the unvested portion of the exercise proceeds of $0.1 million as a liability from the early exercise in the accompanying Balance Sheets.</w:t>
      </w:r>
    </w:p>
    <w:p>
      <w:pPr>
        <w:spacing w:after="0" w:line="1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Issued to Founders</w:t>
      </w:r>
    </w:p>
    <w:p>
      <w:pPr>
        <w:spacing w:after="0" w:line="229" w:lineRule="exact"/>
        <w:rPr>
          <w:sz w:val="20"/>
          <w:szCs w:val="20"/>
          <w:color w:val="auto"/>
        </w:rPr>
      </w:pPr>
    </w:p>
    <w:p>
      <w:pPr>
        <w:ind w:left="120" w:firstLine="881"/>
        <w:spacing w:after="0" w:line="254" w:lineRule="auto"/>
        <w:rPr>
          <w:sz w:val="20"/>
          <w:szCs w:val="20"/>
          <w:color w:val="auto"/>
        </w:rPr>
      </w:pPr>
      <w:r>
        <w:rPr>
          <w:rFonts w:ascii="Times New Roman" w:cs="Times New Roman" w:eastAsia="Times New Roman" w:hAnsi="Times New Roman"/>
          <w:sz w:val="18"/>
          <w:szCs w:val="18"/>
          <w:color w:val="auto"/>
        </w:rPr>
        <w:t>In January 2017, the Company issued 18 million shares of restricted common stock to founders, all which vest under service conditions. The shares were issued under the terms of the respective Stock Purchase Agreement. Unvested shares are subject to repurchase by the Company at the original purchase price per share upon the holder’s termination of the relationship with the Company. The restricted shares are not deemed to be outstanding for accounting purposes until vested and are therefore excluded from reported shares outstanding and from the basic and diluted net loss per share calculation until the repurchase right lapses and are no longer subject to the repurchase feature. One-third of the 18 million shares of restricted common stock were vested on the issuance date and the remaining 12 million shares vest monthly thereafter. During the years ended December 31, 2018 and 2019, 4.0 million and 3.7 million shares of restricted common stock, vested, respectively. As of December 31, 2019 and June 30, 2020, no shares of this restricted stock issuance remain unvested.</w:t>
      </w:r>
    </w:p>
    <w:p>
      <w:pPr>
        <w:spacing w:after="0" w:line="1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6. NET LOSS PER SHARE</w:t>
      </w:r>
    </w:p>
    <w:p>
      <w:pPr>
        <w:spacing w:after="0" w:line="229" w:lineRule="exact"/>
        <w:rPr>
          <w:sz w:val="20"/>
          <w:szCs w:val="20"/>
          <w:color w:val="auto"/>
        </w:rPr>
      </w:pPr>
    </w:p>
    <w:p>
      <w:pPr>
        <w:ind w:left="120" w:right="340" w:firstLine="881"/>
        <w:spacing w:after="0" w:line="282" w:lineRule="auto"/>
        <w:rPr>
          <w:sz w:val="20"/>
          <w:szCs w:val="20"/>
          <w:color w:val="auto"/>
        </w:rPr>
      </w:pPr>
      <w:r>
        <w:rPr>
          <w:rFonts w:ascii="Times New Roman" w:cs="Times New Roman" w:eastAsia="Times New Roman" w:hAnsi="Times New Roman"/>
          <w:sz w:val="18"/>
          <w:szCs w:val="18"/>
          <w:color w:val="auto"/>
        </w:rPr>
        <w:t>Net loss per share attributable to common stockholders was computed by dividing net loss by the weighted-average number of common shares outstanding for the years ended December 31, 2018 and 2019 and the six months ended June 30, 2019 and 2020:</w:t>
      </w:r>
    </w:p>
    <w:p>
      <w:pPr>
        <w:spacing w:after="0" w:line="182" w:lineRule="exact"/>
        <w:rPr>
          <w:sz w:val="20"/>
          <w:szCs w:val="20"/>
          <w:color w:val="auto"/>
        </w:rPr>
      </w:pPr>
    </w:p>
    <w:tbl>
      <w:tblPr>
        <w:tblLayout w:type="fixed"/>
        <w:tblInd w:w="920" w:type="dxa"/>
        <w:tblCellMar>
          <w:top w:w="0" w:type="dxa"/>
          <w:left w:w="0" w:type="dxa"/>
          <w:bottom w:w="0" w:type="dxa"/>
          <w:right w:w="0" w:type="dxa"/>
        </w:tblCellMar>
      </w:tblPr>
      <w:tr>
        <w:trPr>
          <w:trHeight w:val="173"/>
        </w:trPr>
        <w:tc>
          <w:tcPr>
            <w:tcW w:w="30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80" w:type="dxa"/>
            <w:vAlign w:val="bottom"/>
            <w:gridSpan w:val="6"/>
          </w:tcPr>
          <w:p>
            <w:pPr>
              <w:jc w:val="right"/>
              <w:ind w:right="8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0" w:type="dxa"/>
            <w:vAlign w:val="bottom"/>
            <w:gridSpan w:val="6"/>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42"/>
        </w:trPr>
        <w:tc>
          <w:tcPr>
            <w:tcW w:w="3040" w:type="dxa"/>
            <w:vAlign w:val="bottom"/>
            <w:tcBorders>
              <w:bottom w:val="single" w:sz="8" w:color="CCEEFF"/>
            </w:tcBorders>
          </w:tcPr>
          <w:p>
            <w:pPr>
              <w:spacing w:after="0"/>
              <w:rPr>
                <w:sz w:val="12"/>
                <w:szCs w:val="12"/>
                <w:color w:val="auto"/>
              </w:rPr>
            </w:pPr>
          </w:p>
        </w:tc>
        <w:tc>
          <w:tcPr>
            <w:tcW w:w="38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17"/>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140" w:type="dxa"/>
            <w:vAlign w:val="bottom"/>
            <w:tcBorders>
              <w:top w:val="single" w:sz="8" w:color="auto"/>
              <w:bottom w:val="single" w:sz="8" w:color="CCEEFF"/>
            </w:tcBorders>
          </w:tcPr>
          <w:p>
            <w:pPr>
              <w:spacing w:after="0"/>
              <w:rPr>
                <w:sz w:val="12"/>
                <w:szCs w:val="12"/>
                <w:color w:val="auto"/>
              </w:rPr>
            </w:pPr>
          </w:p>
        </w:tc>
        <w:tc>
          <w:tcPr>
            <w:tcW w:w="62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15"/>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400" w:type="dxa"/>
            <w:vAlign w:val="bottom"/>
            <w:tcBorders>
              <w:bottom w:val="single" w:sz="8" w:color="CCEEFF"/>
            </w:tcBorders>
          </w:tcPr>
          <w:p>
            <w:pPr>
              <w:spacing w:after="0"/>
              <w:rPr>
                <w:sz w:val="12"/>
                <w:szCs w:val="12"/>
                <w:color w:val="auto"/>
              </w:rPr>
            </w:pPr>
          </w:p>
        </w:tc>
        <w:tc>
          <w:tcPr>
            <w:tcW w:w="36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17"/>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400" w:type="dxa"/>
            <w:vAlign w:val="bottom"/>
            <w:tcBorders>
              <w:top w:val="single" w:sz="8" w:color="auto"/>
              <w:bottom w:val="single" w:sz="8" w:color="CCEEFF"/>
            </w:tcBorders>
          </w:tcPr>
          <w:p>
            <w:pPr>
              <w:spacing w:after="0"/>
              <w:rPr>
                <w:sz w:val="12"/>
                <w:szCs w:val="12"/>
                <w:color w:val="auto"/>
              </w:rPr>
            </w:pPr>
          </w:p>
        </w:tc>
        <w:tc>
          <w:tcPr>
            <w:tcW w:w="36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15"/>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bottom w:val="single" w:sz="8" w:color="CCEEFF"/>
            </w:tcBorders>
          </w:tcPr>
          <w:p>
            <w:pPr>
              <w:spacing w:after="0"/>
              <w:rPr>
                <w:sz w:val="12"/>
                <w:szCs w:val="12"/>
                <w:color w:val="auto"/>
              </w:rPr>
            </w:pPr>
          </w:p>
        </w:tc>
      </w:tr>
      <w:tr>
        <w:trPr>
          <w:trHeight w:val="209"/>
        </w:trPr>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(1,319)</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(4,670)</w:t>
            </w: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(2,576)</w:t>
            </w: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(5,207)</w:t>
            </w:r>
          </w:p>
        </w:tc>
        <w:tc>
          <w:tcPr>
            <w:tcW w:w="120" w:type="dxa"/>
            <w:vAlign w:val="bottom"/>
            <w:shd w:val="clear" w:color="auto" w:fill="CCEEFF"/>
          </w:tcPr>
          <w:p>
            <w:pPr>
              <w:spacing w:after="0"/>
              <w:rPr>
                <w:sz w:val="18"/>
                <w:szCs w:val="18"/>
                <w:color w:val="auto"/>
              </w:rPr>
            </w:pPr>
          </w:p>
        </w:tc>
      </w:tr>
      <w:tr>
        <w:trPr>
          <w:trHeight w:val="198"/>
        </w:trPr>
        <w:tc>
          <w:tcPr>
            <w:tcW w:w="30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Weighted-average shares—basic and</w:t>
            </w: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4"/>
        </w:trPr>
        <w:tc>
          <w:tcPr>
            <w:tcW w:w="3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13,068,854</w:t>
            </w: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17,728,991</w:t>
            </w:r>
          </w:p>
        </w:tc>
        <w:tc>
          <w:tcPr>
            <w:tcW w:w="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16,580,269</w:t>
            </w:r>
          </w:p>
        </w:tc>
        <w:tc>
          <w:tcPr>
            <w:tcW w:w="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19,689,426</w:t>
            </w:r>
          </w:p>
        </w:tc>
        <w:tc>
          <w:tcPr>
            <w:tcW w:w="120" w:type="dxa"/>
            <w:vAlign w:val="bottom"/>
          </w:tcPr>
          <w:p>
            <w:pPr>
              <w:spacing w:after="0"/>
              <w:rPr>
                <w:sz w:val="20"/>
                <w:szCs w:val="20"/>
                <w:color w:val="auto"/>
              </w:rPr>
            </w:pPr>
          </w:p>
        </w:tc>
      </w:tr>
      <w:tr>
        <w:trPr>
          <w:trHeight w:val="198"/>
        </w:trPr>
        <w:tc>
          <w:tcPr>
            <w:tcW w:w="30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Net loss per share attributable to</w:t>
            </w: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3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common stockholders—basic and</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34"/>
        </w:trPr>
        <w:tc>
          <w:tcPr>
            <w:tcW w:w="3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(0.10)</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(0.26)</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(0.16)</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(0.26)</w:t>
            </w:r>
          </w:p>
        </w:tc>
      </w:tr>
      <w:tr>
        <w:trPr>
          <w:trHeight w:val="365"/>
        </w:trPr>
        <w:tc>
          <w:tcPr>
            <w:tcW w:w="30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gridSpan w:val="2"/>
          </w:tcPr>
          <w:p>
            <w:pPr>
              <w:jc w:val="right"/>
              <w:ind w:right="196"/>
              <w:spacing w:after="0"/>
              <w:rPr>
                <w:sz w:val="20"/>
                <w:szCs w:val="20"/>
                <w:color w:val="auto"/>
              </w:rPr>
            </w:pPr>
            <w:r>
              <w:rPr>
                <w:rFonts w:ascii="Times New Roman" w:cs="Times New Roman" w:eastAsia="Times New Roman" w:hAnsi="Times New Roman"/>
                <w:sz w:val="18"/>
                <w:szCs w:val="18"/>
                <w:color w:val="auto"/>
              </w:rPr>
              <w:t>F-23</w:t>
            </w: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120"/>
          </w:cols>
          <w:pgMar w:left="320" w:top="455" w:right="459" w:bottom="1440" w:gutter="0" w:footer="0" w:header="0"/>
        </w:sectPr>
      </w:pPr>
    </w:p>
    <w:bookmarkStart w:id="235" w:name="page236"/>
    <w:bookmarkEnd w:id="23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TARSUS PHARMACEUTICALS, INC.</w:t>
      </w:r>
    </w:p>
    <w:p>
      <w:pPr>
        <w:spacing w:after="0" w:line="225"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NOTES TO THE FINANCIAL STATEMENTS</w:t>
      </w:r>
    </w:p>
    <w:p>
      <w:pPr>
        <w:spacing w:after="0" w:line="31"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(Information as of June 30, 2020 and thereafter and for the six months ended June 30, 2019 and 2020 is unaudited; all tabular amounts</w:t>
      </w:r>
    </w:p>
    <w:p>
      <w:pPr>
        <w:spacing w:after="0" w:line="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presented in thousands, except share, per share, per unit, and number of years)</w:t>
      </w:r>
    </w:p>
    <w:p>
      <w:pPr>
        <w:spacing w:after="0" w:line="234" w:lineRule="exact"/>
        <w:rPr>
          <w:sz w:val="20"/>
          <w:szCs w:val="20"/>
          <w:color w:val="auto"/>
        </w:rPr>
      </w:pPr>
    </w:p>
    <w:p>
      <w:pPr>
        <w:ind w:left="120" w:firstLine="881"/>
        <w:spacing w:after="0" w:line="266" w:lineRule="auto"/>
        <w:rPr>
          <w:sz w:val="20"/>
          <w:szCs w:val="20"/>
          <w:color w:val="auto"/>
        </w:rPr>
      </w:pPr>
      <w:r>
        <w:rPr>
          <w:rFonts w:ascii="Times New Roman" w:cs="Times New Roman" w:eastAsia="Times New Roman" w:hAnsi="Times New Roman"/>
          <w:sz w:val="18"/>
          <w:szCs w:val="18"/>
          <w:color w:val="auto"/>
        </w:rPr>
        <w:t>The following outstanding potentially dilutive securities were excluded from the calculation of diluted net loss per share attributable to common stockholders because their impact under the “treasury stock method” and “if-converted method” would have been anti-dilutive for the periods presented:</w:t>
      </w:r>
    </w:p>
    <w:p>
      <w:pPr>
        <w:spacing w:after="0" w:line="196" w:lineRule="exact"/>
        <w:rPr>
          <w:sz w:val="20"/>
          <w:szCs w:val="20"/>
          <w:color w:val="auto"/>
        </w:rPr>
      </w:pPr>
    </w:p>
    <w:tbl>
      <w:tblPr>
        <w:tblLayout w:type="fixed"/>
        <w:tblInd w:w="920" w:type="dxa"/>
        <w:tblCellMar>
          <w:top w:w="0" w:type="dxa"/>
          <w:left w:w="0" w:type="dxa"/>
          <w:bottom w:w="0" w:type="dxa"/>
          <w:right w:w="0" w:type="dxa"/>
        </w:tblCellMar>
      </w:tblPr>
      <w:tr>
        <w:trPr>
          <w:trHeight w:val="173"/>
        </w:trPr>
        <w:tc>
          <w:tcPr>
            <w:tcW w:w="4320" w:type="dxa"/>
            <w:vAlign w:val="bottom"/>
          </w:tcPr>
          <w:p>
            <w:pPr>
              <w:spacing w:after="0"/>
              <w:rPr>
                <w:sz w:val="15"/>
                <w:szCs w:val="15"/>
                <w:color w:val="auto"/>
              </w:rPr>
            </w:pPr>
          </w:p>
        </w:tc>
        <w:tc>
          <w:tcPr>
            <w:tcW w:w="2380" w:type="dxa"/>
            <w:vAlign w:val="bottom"/>
            <w:gridSpan w:val="3"/>
          </w:tcPr>
          <w:p>
            <w:pPr>
              <w:jc w:val="right"/>
              <w:ind w:right="31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40" w:type="dxa"/>
            <w:vAlign w:val="bottom"/>
          </w:tcPr>
          <w:p>
            <w:pPr>
              <w:spacing w:after="0"/>
              <w:rPr>
                <w:sz w:val="15"/>
                <w:szCs w:val="15"/>
                <w:color w:val="auto"/>
              </w:rPr>
            </w:pPr>
          </w:p>
        </w:tc>
        <w:tc>
          <w:tcPr>
            <w:tcW w:w="2480" w:type="dxa"/>
            <w:vAlign w:val="bottom"/>
            <w:gridSpan w:val="4"/>
          </w:tcPr>
          <w:p>
            <w:pPr>
              <w:ind w:left="36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42"/>
        </w:trPr>
        <w:tc>
          <w:tcPr>
            <w:tcW w:w="4320" w:type="dxa"/>
            <w:vAlign w:val="bottom"/>
          </w:tcPr>
          <w:p>
            <w:pPr>
              <w:spacing w:after="0"/>
              <w:rPr>
                <w:sz w:val="12"/>
                <w:szCs w:val="12"/>
                <w:color w:val="auto"/>
              </w:rPr>
            </w:pPr>
          </w:p>
        </w:tc>
        <w:tc>
          <w:tcPr>
            <w:tcW w:w="1060" w:type="dxa"/>
            <w:vAlign w:val="bottom"/>
            <w:tcBorders>
              <w:top w:val="single" w:sz="8" w:color="auto"/>
            </w:tcBorders>
          </w:tcPr>
          <w:p>
            <w:pPr>
              <w:jc w:val="right"/>
              <w:ind w:right="315"/>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1320" w:type="dxa"/>
            <w:vAlign w:val="bottom"/>
            <w:tcBorders>
              <w:top w:val="single" w:sz="8" w:color="auto"/>
            </w:tcBorders>
            <w:gridSpan w:val="2"/>
          </w:tcPr>
          <w:p>
            <w:pPr>
              <w:jc w:val="right"/>
              <w:ind w:right="310"/>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240" w:type="dxa"/>
            <w:vAlign w:val="bottom"/>
          </w:tcPr>
          <w:p>
            <w:pPr>
              <w:spacing w:after="0"/>
              <w:rPr>
                <w:sz w:val="12"/>
                <w:szCs w:val="12"/>
                <w:color w:val="auto"/>
              </w:rPr>
            </w:pPr>
          </w:p>
        </w:tc>
        <w:tc>
          <w:tcPr>
            <w:tcW w:w="1080" w:type="dxa"/>
            <w:vAlign w:val="bottom"/>
            <w:tcBorders>
              <w:top w:val="single" w:sz="8" w:color="auto"/>
            </w:tcBorders>
          </w:tcPr>
          <w:p>
            <w:pPr>
              <w:jc w:val="right"/>
              <w:ind w:right="319"/>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320" w:type="dxa"/>
            <w:vAlign w:val="bottom"/>
            <w:tcBorders>
              <w:top w:val="single" w:sz="8" w:color="auto"/>
            </w:tcBorders>
            <w:gridSpan w:val="2"/>
          </w:tcPr>
          <w:p>
            <w:pPr>
              <w:jc w:val="right"/>
              <w:ind w:right="310"/>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80" w:type="dxa"/>
            <w:vAlign w:val="bottom"/>
          </w:tcPr>
          <w:p>
            <w:pPr>
              <w:spacing w:after="0"/>
              <w:rPr>
                <w:sz w:val="12"/>
                <w:szCs w:val="12"/>
                <w:color w:val="auto"/>
              </w:rPr>
            </w:pPr>
          </w:p>
        </w:tc>
      </w:tr>
      <w:tr>
        <w:trPr>
          <w:trHeight w:val="210"/>
        </w:trPr>
        <w:tc>
          <w:tcPr>
            <w:tcW w:w="4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options, unexercised—vested and unvested</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1,983,543</w:t>
            </w:r>
          </w:p>
        </w:tc>
        <w:tc>
          <w:tcPr>
            <w:tcW w:w="24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2,207,154</w:t>
            </w:r>
          </w:p>
        </w:tc>
        <w:tc>
          <w:tcPr>
            <w:tcW w:w="24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2,212,987</w:t>
            </w:r>
          </w:p>
        </w:tc>
        <w:tc>
          <w:tcPr>
            <w:tcW w:w="24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9,141,330</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Series A and Series B Preferred Stock, outstanding</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8,974,357</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14,279,521</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11,698,716</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61,277,339</w:t>
            </w:r>
          </w:p>
        </w:tc>
        <w:tc>
          <w:tcPr>
            <w:tcW w:w="80" w:type="dxa"/>
            <w:vAlign w:val="bottom"/>
          </w:tcPr>
          <w:p>
            <w:pPr>
              <w:spacing w:after="0"/>
              <w:rPr>
                <w:sz w:val="18"/>
                <w:szCs w:val="18"/>
                <w:color w:val="auto"/>
              </w:rPr>
            </w:pPr>
          </w:p>
        </w:tc>
      </w:tr>
      <w:tr>
        <w:trPr>
          <w:trHeight w:val="216"/>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subject to repurchase from its founders</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3,666,667</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1,666,667</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Stock options early-exercised and unvested</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781,946</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31,945</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406,945</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80" w:type="dxa"/>
            <w:vAlign w:val="bottom"/>
          </w:tcPr>
          <w:p>
            <w:pPr>
              <w:spacing w:after="0"/>
              <w:rPr>
                <w:sz w:val="18"/>
                <w:szCs w:val="18"/>
                <w:color w:val="auto"/>
              </w:rPr>
            </w:pPr>
          </w:p>
        </w:tc>
      </w:tr>
      <w:tr>
        <w:trPr>
          <w:trHeight w:val="216"/>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promissory notes</w:t>
            </w:r>
          </w:p>
        </w:tc>
        <w:tc>
          <w:tcPr>
            <w:tcW w:w="106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693,902</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155,515</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15,406,513</w:t>
            </w:r>
          </w:p>
        </w:tc>
        <w:tc>
          <w:tcPr>
            <w:tcW w:w="240" w:type="dxa"/>
            <w:vAlign w:val="bottom"/>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17,212,522</w:t>
            </w:r>
          </w:p>
        </w:tc>
        <w:tc>
          <w:tcPr>
            <w:tcW w:w="240" w:type="dxa"/>
            <w:vAlign w:val="bottom"/>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16,140,830</w:t>
            </w:r>
          </w:p>
        </w:tc>
        <w:tc>
          <w:tcPr>
            <w:tcW w:w="240" w:type="dxa"/>
            <w:vAlign w:val="bottom"/>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70,918,669</w:t>
            </w:r>
          </w:p>
        </w:tc>
        <w:tc>
          <w:tcPr>
            <w:tcW w:w="80" w:type="dxa"/>
            <w:vAlign w:val="bottom"/>
          </w:tcPr>
          <w:p>
            <w:pPr>
              <w:spacing w:after="0"/>
              <w:rPr>
                <w:sz w:val="19"/>
                <w:szCs w:val="19"/>
                <w:color w:val="auto"/>
              </w:rPr>
            </w:pPr>
          </w:p>
        </w:tc>
      </w:tr>
      <w:tr>
        <w:trPr>
          <w:trHeight w:val="20"/>
        </w:trPr>
        <w:tc>
          <w:tcPr>
            <w:tcW w:w="43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7. UNAUDITED PRO FORMA NET LOSS PER SHARE</w:t>
      </w:r>
    </w:p>
    <w:p>
      <w:pPr>
        <w:spacing w:after="0" w:line="229" w:lineRule="exact"/>
        <w:rPr>
          <w:sz w:val="20"/>
          <w:szCs w:val="20"/>
          <w:color w:val="auto"/>
        </w:rPr>
      </w:pPr>
    </w:p>
    <w:p>
      <w:pPr>
        <w:jc w:val="both"/>
        <w:ind w:left="120" w:right="680" w:firstLine="881"/>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computation of unaudited pro forma basic and diluted net loss per share attributable to common stockholders for the year ended December 31, 2019 and the six months ended June 30, 2020:</w:t>
      </w:r>
    </w:p>
    <w:p>
      <w:pPr>
        <w:spacing w:after="0" w:line="170"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2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gridSpan w:val="2"/>
            <w:vMerge w:val="restart"/>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Six Months</w:t>
            </w:r>
          </w:p>
        </w:tc>
        <w:tc>
          <w:tcPr>
            <w:tcW w:w="0" w:type="dxa"/>
            <w:vAlign w:val="bottom"/>
          </w:tcPr>
          <w:p>
            <w:pPr>
              <w:spacing w:after="0"/>
              <w:rPr>
                <w:sz w:val="1"/>
                <w:szCs w:val="1"/>
                <w:color w:val="auto"/>
              </w:rPr>
            </w:pPr>
          </w:p>
        </w:tc>
      </w:tr>
      <w:tr>
        <w:trPr>
          <w:trHeight w:val="149"/>
        </w:trPr>
        <w:tc>
          <w:tcPr>
            <w:tcW w:w="62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0" w:type="dxa"/>
            <w:vAlign w:val="bottom"/>
          </w:tcPr>
          <w:p>
            <w:pPr>
              <w:spacing w:after="0"/>
              <w:rPr>
                <w:sz w:val="1"/>
                <w:szCs w:val="1"/>
                <w:color w:val="auto"/>
              </w:rPr>
            </w:pPr>
          </w:p>
        </w:tc>
      </w:tr>
      <w:tr>
        <w:trPr>
          <w:trHeight w:val="149"/>
        </w:trPr>
        <w:tc>
          <w:tcPr>
            <w:tcW w:w="62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340" w:type="dxa"/>
            <w:vAlign w:val="bottom"/>
            <w:gridSpan w:val="3"/>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June 30,</w:t>
            </w:r>
          </w:p>
        </w:tc>
        <w:tc>
          <w:tcPr>
            <w:tcW w:w="0" w:type="dxa"/>
            <w:vAlign w:val="bottom"/>
          </w:tcPr>
          <w:p>
            <w:pPr>
              <w:spacing w:after="0"/>
              <w:rPr>
                <w:sz w:val="1"/>
                <w:szCs w:val="1"/>
                <w:color w:val="auto"/>
              </w:rPr>
            </w:pPr>
          </w:p>
        </w:tc>
      </w:tr>
      <w:tr>
        <w:trPr>
          <w:trHeight w:val="173"/>
        </w:trPr>
        <w:tc>
          <w:tcPr>
            <w:tcW w:w="6280" w:type="dxa"/>
            <w:vAlign w:val="bottom"/>
            <w:tcBorders>
              <w:bottom w:val="single" w:sz="8" w:color="CCEEFF"/>
            </w:tcBorders>
          </w:tcPr>
          <w:p>
            <w:pPr>
              <w:spacing w:after="0"/>
              <w:rPr>
                <w:sz w:val="15"/>
                <w:szCs w:val="15"/>
                <w:color w:val="auto"/>
              </w:rPr>
            </w:pPr>
          </w:p>
        </w:tc>
        <w:tc>
          <w:tcPr>
            <w:tcW w:w="4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4"/>
                <w:szCs w:val="14"/>
                <w:b w:val="1"/>
                <w:bCs w:val="1"/>
                <w:color w:val="auto"/>
                <w:w w:val="99"/>
              </w:rPr>
              <w:t>2019</w:t>
            </w:r>
          </w:p>
        </w:tc>
        <w:tc>
          <w:tcPr>
            <w:tcW w:w="420" w:type="dxa"/>
            <w:vAlign w:val="bottom"/>
            <w:tcBorders>
              <w:bottom w:val="single" w:sz="8" w:color="CCEEFF"/>
            </w:tcBorders>
          </w:tcPr>
          <w:p>
            <w:pPr>
              <w:spacing w:after="0"/>
              <w:rPr>
                <w:sz w:val="15"/>
                <w:szCs w:val="15"/>
                <w:color w:val="auto"/>
              </w:rPr>
            </w:pPr>
          </w:p>
        </w:tc>
        <w:tc>
          <w:tcPr>
            <w:tcW w:w="38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2"/>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62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Numerator</w:t>
            </w: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loss</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(4,670)</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(5,207)</w:t>
            </w: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28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Weighted-average shares of common stock used in computing net loss per</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2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share attributable to common stockholders</w:t>
            </w: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17,728,991</w:t>
            </w:r>
          </w:p>
        </w:tc>
        <w:tc>
          <w:tcPr>
            <w:tcW w:w="4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19,689,426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628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Pro forma adjustment to reflect assumed conversion of convertible preferred</w:t>
            </w: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2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stock (Note 4)</w:t>
            </w:r>
          </w:p>
        </w:tc>
        <w:tc>
          <w:tcPr>
            <w:tcW w:w="40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6280" w:type="dxa"/>
            <w:vAlign w:val="bottom"/>
          </w:tcPr>
          <w:p>
            <w:pPr>
              <w:ind w:left="360"/>
              <w:spacing w:after="0" w:line="205" w:lineRule="exact"/>
              <w:rPr>
                <w:sz w:val="20"/>
                <w:szCs w:val="20"/>
                <w:color w:val="auto"/>
              </w:rPr>
            </w:pPr>
            <w:r>
              <w:rPr>
                <w:rFonts w:ascii="Times New Roman" w:cs="Times New Roman" w:eastAsia="Times New Roman" w:hAnsi="Times New Roman"/>
                <w:sz w:val="18"/>
                <w:szCs w:val="18"/>
                <w:color w:val="auto"/>
              </w:rPr>
              <w:t>Weighted-average shares of common stock used in computing pro forma net</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2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loss per share attributable to common stockholders, basic and diluted</w:t>
            </w:r>
          </w:p>
        </w:tc>
        <w:tc>
          <w:tcPr>
            <w:tcW w:w="4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4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6280" w:type="dxa"/>
            <w:vAlign w:val="bottom"/>
            <w:shd w:val="clear" w:color="auto" w:fill="CCEEFF"/>
          </w:tcPr>
          <w:p>
            <w:pPr>
              <w:spacing w:after="0" w:line="192" w:lineRule="exact"/>
              <w:rPr>
                <w:sz w:val="20"/>
                <w:szCs w:val="20"/>
                <w:color w:val="auto"/>
              </w:rPr>
            </w:pPr>
            <w:r>
              <w:rPr>
                <w:rFonts w:ascii="Times New Roman" w:cs="Times New Roman" w:eastAsia="Times New Roman" w:hAnsi="Times New Roman"/>
                <w:sz w:val="18"/>
                <w:szCs w:val="18"/>
                <w:color w:val="auto"/>
              </w:rPr>
              <w:t>Pro forma net loss per share attributable to common stockholders, basic and</w:t>
            </w:r>
          </w:p>
        </w:tc>
        <w:tc>
          <w:tcPr>
            <w:tcW w:w="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ind w:left="4540"/>
              <w:spacing w:after="0"/>
              <w:rPr>
                <w:sz w:val="20"/>
                <w:szCs w:val="20"/>
                <w:color w:val="auto"/>
              </w:rPr>
            </w:pPr>
            <w:r>
              <w:rPr>
                <w:rFonts w:ascii="Times New Roman" w:cs="Times New Roman" w:eastAsia="Times New Roman" w:hAnsi="Times New Roman"/>
                <w:sz w:val="18"/>
                <w:szCs w:val="18"/>
                <w:color w:val="auto"/>
              </w:rPr>
              <w:t>F-24</w:t>
            </w: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628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00"/>
          </w:cols>
          <w:pgMar w:left="320" w:top="455" w:right="579" w:bottom="1440" w:gutter="0" w:footer="0" w:header="0"/>
        </w:sectPr>
      </w:pPr>
    </w:p>
    <w:bookmarkStart w:id="236" w:name="page237"/>
    <w:bookmarkEnd w:id="23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TARSUS PHARMACEUTICALS, INC.</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NOTES TO THE FINANCIAL STATEMENTS</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(Information as of June 30, 2020 and thereafter and for the six months ended June 30, 2019 and 2020 is unaudited; all tabular amounts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presented in thousands, except share, per share, per unit, and number of years)</w:t>
      </w:r>
    </w:p>
    <w:p>
      <w:pPr>
        <w:spacing w:after="0" w:line="2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8. FAIR VALUE MEASUREMENTS</w:t>
      </w:r>
    </w:p>
    <w:p>
      <w:pPr>
        <w:spacing w:after="0" w:line="229" w:lineRule="exact"/>
        <w:rPr>
          <w:sz w:val="20"/>
          <w:szCs w:val="20"/>
          <w:color w:val="auto"/>
        </w:rPr>
      </w:pPr>
    </w:p>
    <w:p>
      <w:pPr>
        <w:ind w:left="120" w:right="120" w:firstLine="881"/>
        <w:spacing w:after="0" w:line="282" w:lineRule="auto"/>
        <w:rPr>
          <w:sz w:val="20"/>
          <w:szCs w:val="20"/>
          <w:color w:val="auto"/>
        </w:rPr>
      </w:pPr>
      <w:r>
        <w:rPr>
          <w:rFonts w:ascii="Times New Roman" w:cs="Times New Roman" w:eastAsia="Times New Roman" w:hAnsi="Times New Roman"/>
          <w:sz w:val="18"/>
          <w:szCs w:val="18"/>
          <w:color w:val="auto"/>
        </w:rPr>
        <w:t xml:space="preserve">The table below summarizes certain financial instruments measured at fair value that are included within the accompanying balance sheets, and their designation among the three fair value measurement categories (see </w:t>
      </w:r>
      <w:r>
        <w:rPr>
          <w:rFonts w:ascii="Times New Roman" w:cs="Times New Roman" w:eastAsia="Times New Roman" w:hAnsi="Times New Roman"/>
          <w:sz w:val="18"/>
          <w:szCs w:val="18"/>
          <w:i w:val="1"/>
          <w:iCs w:val="1"/>
          <w:color w:val="auto"/>
        </w:rPr>
        <w:t>Note 2(xi)</w:t>
      </w:r>
      <w:r>
        <w:rPr>
          <w:rFonts w:ascii="Times New Roman" w:cs="Times New Roman" w:eastAsia="Times New Roman" w:hAnsi="Times New Roman"/>
          <w:sz w:val="18"/>
          <w:szCs w:val="18"/>
          <w:color w:val="auto"/>
        </w:rPr>
        <w:t>):</w:t>
      </w:r>
    </w:p>
    <w:p>
      <w:pPr>
        <w:spacing w:after="0" w:line="17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2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 2018</w:t>
            </w: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73"/>
        </w:trPr>
        <w:tc>
          <w:tcPr>
            <w:tcW w:w="77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202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Fair Value Measurements</w:t>
            </w:r>
          </w:p>
        </w:tc>
        <w:tc>
          <w:tcPr>
            <w:tcW w:w="1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42"/>
        </w:trPr>
        <w:tc>
          <w:tcPr>
            <w:tcW w:w="7740" w:type="dxa"/>
            <w:vAlign w:val="bottom"/>
          </w:tcPr>
          <w:p>
            <w:pPr>
              <w:spacing w:after="0"/>
              <w:rPr>
                <w:sz w:val="12"/>
                <w:szCs w:val="12"/>
                <w:color w:val="auto"/>
              </w:rPr>
            </w:pPr>
          </w:p>
        </w:tc>
        <w:tc>
          <w:tcPr>
            <w:tcW w:w="60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380" w:type="dxa"/>
            <w:vAlign w:val="bottom"/>
          </w:tcPr>
          <w:p>
            <w:pPr>
              <w:spacing w:after="0"/>
              <w:rPr>
                <w:sz w:val="12"/>
                <w:szCs w:val="12"/>
                <w:color w:val="auto"/>
              </w:rPr>
            </w:pPr>
          </w:p>
        </w:tc>
        <w:tc>
          <w:tcPr>
            <w:tcW w:w="44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97"/>
              </w:rPr>
              <w:t>Level 2</w:t>
            </w:r>
          </w:p>
        </w:tc>
        <w:tc>
          <w:tcPr>
            <w:tcW w:w="380" w:type="dxa"/>
            <w:vAlign w:val="bottom"/>
          </w:tcPr>
          <w:p>
            <w:pPr>
              <w:spacing w:after="0"/>
              <w:rPr>
                <w:sz w:val="12"/>
                <w:szCs w:val="12"/>
                <w:color w:val="auto"/>
              </w:rPr>
            </w:pPr>
          </w:p>
        </w:tc>
        <w:tc>
          <w:tcPr>
            <w:tcW w:w="82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Pr>
          <w:p>
            <w:pPr>
              <w:spacing w:after="0"/>
              <w:rPr>
                <w:sz w:val="12"/>
                <w:szCs w:val="12"/>
                <w:color w:val="auto"/>
              </w:rPr>
            </w:pPr>
          </w:p>
        </w:tc>
        <w:tc>
          <w:tcPr>
            <w:tcW w:w="500" w:type="dxa"/>
            <w:vAlign w:val="bottom"/>
          </w:tcPr>
          <w:p>
            <w:pPr>
              <w:jc w:val="right"/>
              <w:ind w:right="56"/>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60" w:type="dxa"/>
            <w:vAlign w:val="bottom"/>
          </w:tcPr>
          <w:p>
            <w:pPr>
              <w:spacing w:after="0"/>
              <w:rPr>
                <w:sz w:val="12"/>
                <w:szCs w:val="12"/>
                <w:color w:val="auto"/>
              </w:rPr>
            </w:pPr>
          </w:p>
        </w:tc>
      </w:tr>
      <w:tr>
        <w:trPr>
          <w:trHeight w:val="196"/>
        </w:trPr>
        <w:tc>
          <w:tcPr>
            <w:tcW w:w="77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23"/>
        </w:trPr>
        <w:tc>
          <w:tcPr>
            <w:tcW w:w="7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Money market funds</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2,355</w:t>
            </w:r>
          </w:p>
        </w:tc>
        <w:tc>
          <w:tcPr>
            <w:tcW w:w="380" w:type="dxa"/>
            <w:vAlign w:val="bottom"/>
          </w:tcPr>
          <w:p>
            <w:pPr>
              <w:spacing w:after="0"/>
              <w:rPr>
                <w:sz w:val="19"/>
                <w:szCs w:val="19"/>
                <w:color w:val="auto"/>
              </w:rPr>
            </w:pPr>
          </w:p>
        </w:tc>
        <w:tc>
          <w:tcPr>
            <w:tcW w:w="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tcPr>
          <w:p>
            <w:pPr>
              <w:spacing w:after="0"/>
              <w:rPr>
                <w:sz w:val="19"/>
                <w:szCs w:val="19"/>
                <w:color w:val="auto"/>
              </w:rPr>
            </w:pPr>
          </w:p>
        </w:tc>
        <w:tc>
          <w:tcPr>
            <w:tcW w:w="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2,355</w:t>
            </w:r>
          </w:p>
        </w:tc>
        <w:tc>
          <w:tcPr>
            <w:tcW w:w="60" w:type="dxa"/>
            <w:vAlign w:val="bottom"/>
          </w:tcPr>
          <w:p>
            <w:pPr>
              <w:spacing w:after="0"/>
              <w:rPr>
                <w:sz w:val="19"/>
                <w:szCs w:val="19"/>
                <w:color w:val="auto"/>
              </w:rPr>
            </w:pPr>
          </w:p>
        </w:tc>
      </w:tr>
      <w:tr>
        <w:trPr>
          <w:trHeight w:val="216"/>
        </w:trPr>
        <w:tc>
          <w:tcPr>
            <w:tcW w:w="77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assets measured at fair value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2,355</w:t>
            </w:r>
          </w:p>
        </w:tc>
        <w:tc>
          <w:tcPr>
            <w:tcW w:w="38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2,355</w:t>
            </w:r>
          </w:p>
        </w:tc>
        <w:tc>
          <w:tcPr>
            <w:tcW w:w="60" w:type="dxa"/>
            <w:vAlign w:val="bottom"/>
            <w:shd w:val="clear" w:color="auto" w:fill="CCEEFF"/>
          </w:tcPr>
          <w:p>
            <w:pPr>
              <w:spacing w:after="0"/>
              <w:rPr>
                <w:sz w:val="18"/>
                <w:szCs w:val="18"/>
                <w:color w:val="auto"/>
              </w:rPr>
            </w:pPr>
          </w:p>
        </w:tc>
      </w:tr>
      <w:tr>
        <w:trPr>
          <w:trHeight w:val="20"/>
        </w:trPr>
        <w:tc>
          <w:tcPr>
            <w:tcW w:w="77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34"/>
        </w:trPr>
        <w:tc>
          <w:tcPr>
            <w:tcW w:w="7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2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 2019</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73"/>
        </w:trPr>
        <w:tc>
          <w:tcPr>
            <w:tcW w:w="77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202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Fair Value Measurements</w:t>
            </w:r>
          </w:p>
        </w:tc>
        <w:tc>
          <w:tcPr>
            <w:tcW w:w="1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42"/>
        </w:trPr>
        <w:tc>
          <w:tcPr>
            <w:tcW w:w="7740" w:type="dxa"/>
            <w:vAlign w:val="bottom"/>
          </w:tcPr>
          <w:p>
            <w:pPr>
              <w:spacing w:after="0"/>
              <w:rPr>
                <w:sz w:val="12"/>
                <w:szCs w:val="12"/>
                <w:color w:val="auto"/>
              </w:rPr>
            </w:pPr>
          </w:p>
        </w:tc>
        <w:tc>
          <w:tcPr>
            <w:tcW w:w="60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380" w:type="dxa"/>
            <w:vAlign w:val="bottom"/>
          </w:tcPr>
          <w:p>
            <w:pPr>
              <w:spacing w:after="0"/>
              <w:rPr>
                <w:sz w:val="12"/>
                <w:szCs w:val="12"/>
                <w:color w:val="auto"/>
              </w:rPr>
            </w:pPr>
          </w:p>
        </w:tc>
        <w:tc>
          <w:tcPr>
            <w:tcW w:w="44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97"/>
              </w:rPr>
              <w:t>Level 2</w:t>
            </w:r>
          </w:p>
        </w:tc>
        <w:tc>
          <w:tcPr>
            <w:tcW w:w="380" w:type="dxa"/>
            <w:vAlign w:val="bottom"/>
          </w:tcPr>
          <w:p>
            <w:pPr>
              <w:spacing w:after="0"/>
              <w:rPr>
                <w:sz w:val="12"/>
                <w:szCs w:val="12"/>
                <w:color w:val="auto"/>
              </w:rPr>
            </w:pPr>
          </w:p>
        </w:tc>
        <w:tc>
          <w:tcPr>
            <w:tcW w:w="82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Pr>
          <w:p>
            <w:pPr>
              <w:spacing w:after="0"/>
              <w:rPr>
                <w:sz w:val="12"/>
                <w:szCs w:val="12"/>
                <w:color w:val="auto"/>
              </w:rPr>
            </w:pPr>
          </w:p>
        </w:tc>
        <w:tc>
          <w:tcPr>
            <w:tcW w:w="500" w:type="dxa"/>
            <w:vAlign w:val="bottom"/>
          </w:tcPr>
          <w:p>
            <w:pPr>
              <w:jc w:val="right"/>
              <w:ind w:right="56"/>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60" w:type="dxa"/>
            <w:vAlign w:val="bottom"/>
          </w:tcPr>
          <w:p>
            <w:pPr>
              <w:spacing w:after="0"/>
              <w:rPr>
                <w:sz w:val="12"/>
                <w:szCs w:val="12"/>
                <w:color w:val="auto"/>
              </w:rPr>
            </w:pPr>
          </w:p>
        </w:tc>
      </w:tr>
      <w:tr>
        <w:trPr>
          <w:trHeight w:val="196"/>
        </w:trPr>
        <w:tc>
          <w:tcPr>
            <w:tcW w:w="77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23"/>
        </w:trPr>
        <w:tc>
          <w:tcPr>
            <w:tcW w:w="7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Money market funds</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57,952</w:t>
            </w:r>
          </w:p>
        </w:tc>
        <w:tc>
          <w:tcPr>
            <w:tcW w:w="380" w:type="dxa"/>
            <w:vAlign w:val="bottom"/>
          </w:tcPr>
          <w:p>
            <w:pPr>
              <w:spacing w:after="0"/>
              <w:rPr>
                <w:sz w:val="19"/>
                <w:szCs w:val="19"/>
                <w:color w:val="auto"/>
              </w:rPr>
            </w:pPr>
          </w:p>
        </w:tc>
        <w:tc>
          <w:tcPr>
            <w:tcW w:w="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tcPr>
          <w:p>
            <w:pPr>
              <w:spacing w:after="0"/>
              <w:rPr>
                <w:sz w:val="19"/>
                <w:szCs w:val="19"/>
                <w:color w:val="auto"/>
              </w:rPr>
            </w:pPr>
          </w:p>
        </w:tc>
        <w:tc>
          <w:tcPr>
            <w:tcW w:w="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57,952</w:t>
            </w:r>
          </w:p>
        </w:tc>
        <w:tc>
          <w:tcPr>
            <w:tcW w:w="60" w:type="dxa"/>
            <w:vAlign w:val="bottom"/>
          </w:tcPr>
          <w:p>
            <w:pPr>
              <w:spacing w:after="0"/>
              <w:rPr>
                <w:sz w:val="19"/>
                <w:szCs w:val="19"/>
                <w:color w:val="auto"/>
              </w:rPr>
            </w:pPr>
          </w:p>
        </w:tc>
      </w:tr>
      <w:tr>
        <w:trPr>
          <w:trHeight w:val="216"/>
        </w:trPr>
        <w:tc>
          <w:tcPr>
            <w:tcW w:w="77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assets measured at fair value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57,952</w:t>
            </w:r>
          </w:p>
        </w:tc>
        <w:tc>
          <w:tcPr>
            <w:tcW w:w="38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57,952</w:t>
            </w:r>
          </w:p>
        </w:tc>
        <w:tc>
          <w:tcPr>
            <w:tcW w:w="60" w:type="dxa"/>
            <w:vAlign w:val="bottom"/>
            <w:shd w:val="clear" w:color="auto" w:fill="CCEEFF"/>
          </w:tcPr>
          <w:p>
            <w:pPr>
              <w:spacing w:after="0"/>
              <w:rPr>
                <w:sz w:val="18"/>
                <w:szCs w:val="18"/>
                <w:color w:val="auto"/>
              </w:rPr>
            </w:pPr>
          </w:p>
        </w:tc>
      </w:tr>
      <w:tr>
        <w:trPr>
          <w:trHeight w:val="20"/>
        </w:trPr>
        <w:tc>
          <w:tcPr>
            <w:tcW w:w="77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34"/>
        </w:trPr>
        <w:tc>
          <w:tcPr>
            <w:tcW w:w="7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2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Six Months Ended June 30, 2020</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73"/>
        </w:trPr>
        <w:tc>
          <w:tcPr>
            <w:tcW w:w="77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202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Fair Value Measurements</w:t>
            </w:r>
          </w:p>
        </w:tc>
        <w:tc>
          <w:tcPr>
            <w:tcW w:w="1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42"/>
        </w:trPr>
        <w:tc>
          <w:tcPr>
            <w:tcW w:w="7740" w:type="dxa"/>
            <w:vAlign w:val="bottom"/>
          </w:tcPr>
          <w:p>
            <w:pPr>
              <w:spacing w:after="0"/>
              <w:rPr>
                <w:sz w:val="12"/>
                <w:szCs w:val="12"/>
                <w:color w:val="auto"/>
              </w:rPr>
            </w:pPr>
          </w:p>
        </w:tc>
        <w:tc>
          <w:tcPr>
            <w:tcW w:w="60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380" w:type="dxa"/>
            <w:vAlign w:val="bottom"/>
          </w:tcPr>
          <w:p>
            <w:pPr>
              <w:spacing w:after="0"/>
              <w:rPr>
                <w:sz w:val="12"/>
                <w:szCs w:val="12"/>
                <w:color w:val="auto"/>
              </w:rPr>
            </w:pPr>
          </w:p>
        </w:tc>
        <w:tc>
          <w:tcPr>
            <w:tcW w:w="44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97"/>
              </w:rPr>
              <w:t>Level 2</w:t>
            </w:r>
          </w:p>
        </w:tc>
        <w:tc>
          <w:tcPr>
            <w:tcW w:w="380" w:type="dxa"/>
            <w:vAlign w:val="bottom"/>
          </w:tcPr>
          <w:p>
            <w:pPr>
              <w:spacing w:after="0"/>
              <w:rPr>
                <w:sz w:val="12"/>
                <w:szCs w:val="12"/>
                <w:color w:val="auto"/>
              </w:rPr>
            </w:pPr>
          </w:p>
        </w:tc>
        <w:tc>
          <w:tcPr>
            <w:tcW w:w="82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Pr>
          <w:p>
            <w:pPr>
              <w:spacing w:after="0"/>
              <w:rPr>
                <w:sz w:val="12"/>
                <w:szCs w:val="12"/>
                <w:color w:val="auto"/>
              </w:rPr>
            </w:pPr>
          </w:p>
        </w:tc>
        <w:tc>
          <w:tcPr>
            <w:tcW w:w="500" w:type="dxa"/>
            <w:vAlign w:val="bottom"/>
          </w:tcPr>
          <w:p>
            <w:pPr>
              <w:jc w:val="right"/>
              <w:ind w:right="56"/>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60" w:type="dxa"/>
            <w:vAlign w:val="bottom"/>
          </w:tcPr>
          <w:p>
            <w:pPr>
              <w:spacing w:after="0"/>
              <w:rPr>
                <w:sz w:val="12"/>
                <w:szCs w:val="12"/>
                <w:color w:val="auto"/>
              </w:rPr>
            </w:pPr>
          </w:p>
        </w:tc>
      </w:tr>
      <w:tr>
        <w:trPr>
          <w:trHeight w:val="196"/>
        </w:trPr>
        <w:tc>
          <w:tcPr>
            <w:tcW w:w="77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23"/>
        </w:trPr>
        <w:tc>
          <w:tcPr>
            <w:tcW w:w="7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Money market funds</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53,135</w:t>
            </w:r>
          </w:p>
        </w:tc>
        <w:tc>
          <w:tcPr>
            <w:tcW w:w="380" w:type="dxa"/>
            <w:vAlign w:val="bottom"/>
          </w:tcPr>
          <w:p>
            <w:pPr>
              <w:spacing w:after="0"/>
              <w:rPr>
                <w:sz w:val="19"/>
                <w:szCs w:val="19"/>
                <w:color w:val="auto"/>
              </w:rPr>
            </w:pPr>
          </w:p>
        </w:tc>
        <w:tc>
          <w:tcPr>
            <w:tcW w:w="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tcPr>
          <w:p>
            <w:pPr>
              <w:spacing w:after="0"/>
              <w:rPr>
                <w:sz w:val="19"/>
                <w:szCs w:val="19"/>
                <w:color w:val="auto"/>
              </w:rPr>
            </w:pPr>
          </w:p>
        </w:tc>
        <w:tc>
          <w:tcPr>
            <w:tcW w:w="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53,135</w:t>
            </w:r>
          </w:p>
        </w:tc>
        <w:tc>
          <w:tcPr>
            <w:tcW w:w="60" w:type="dxa"/>
            <w:vAlign w:val="bottom"/>
          </w:tcPr>
          <w:p>
            <w:pPr>
              <w:spacing w:after="0"/>
              <w:rPr>
                <w:sz w:val="19"/>
                <w:szCs w:val="19"/>
                <w:color w:val="auto"/>
              </w:rPr>
            </w:pPr>
          </w:p>
        </w:tc>
      </w:tr>
      <w:tr>
        <w:trPr>
          <w:trHeight w:val="216"/>
        </w:trPr>
        <w:tc>
          <w:tcPr>
            <w:tcW w:w="77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assets measured at fair value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53,135</w:t>
            </w:r>
          </w:p>
        </w:tc>
        <w:tc>
          <w:tcPr>
            <w:tcW w:w="3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1200" w:type="dxa"/>
            <w:vAlign w:val="bottom"/>
            <w:gridSpan w:val="3"/>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6"/>
              </w:rPr>
              <w:t>53,135</w:t>
            </w:r>
          </w:p>
        </w:tc>
      </w:tr>
      <w:tr>
        <w:trPr>
          <w:trHeight w:val="20"/>
        </w:trPr>
        <w:tc>
          <w:tcPr>
            <w:tcW w:w="7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Money Market Funds</w:t>
      </w:r>
    </w:p>
    <w:p>
      <w:pPr>
        <w:spacing w:after="0" w:line="229" w:lineRule="exact"/>
        <w:rPr>
          <w:sz w:val="20"/>
          <w:szCs w:val="20"/>
          <w:color w:val="auto"/>
        </w:rPr>
      </w:pPr>
    </w:p>
    <w:p>
      <w:pPr>
        <w:ind w:left="120" w:right="140" w:firstLine="881"/>
        <w:spacing w:after="0" w:line="261" w:lineRule="auto"/>
        <w:rPr>
          <w:sz w:val="20"/>
          <w:szCs w:val="20"/>
          <w:color w:val="auto"/>
        </w:rPr>
      </w:pPr>
      <w:r>
        <w:rPr>
          <w:rFonts w:ascii="Times New Roman" w:cs="Times New Roman" w:eastAsia="Times New Roman" w:hAnsi="Times New Roman"/>
          <w:sz w:val="18"/>
          <w:szCs w:val="18"/>
          <w:color w:val="auto"/>
        </w:rPr>
        <w:t xml:space="preserve">Money market fund holdings are included in cash and cash equivalents on the accompanying balance sheets and are classified within </w:t>
      </w:r>
      <w:r>
        <w:rPr>
          <w:rFonts w:ascii="Times New Roman" w:cs="Times New Roman" w:eastAsia="Times New Roman" w:hAnsi="Times New Roman"/>
          <w:sz w:val="18"/>
          <w:szCs w:val="18"/>
          <w:i w:val="1"/>
          <w:iCs w:val="1"/>
          <w:color w:val="auto"/>
        </w:rPr>
        <w:t xml:space="preserve">Level 1 </w:t>
      </w:r>
      <w:r>
        <w:rPr>
          <w:rFonts w:ascii="Times New Roman" w:cs="Times New Roman" w:eastAsia="Times New Roman" w:hAnsi="Times New Roman"/>
          <w:sz w:val="18"/>
          <w:szCs w:val="18"/>
          <w:color w:val="auto"/>
        </w:rPr>
        <w:t>of the fair value hierarchy because of its readily-available market prices in active markets that are publicly accessible at the measurement date.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These money market funds are invested in U.S. Treasury, bills, notes, and other obligations issued or guaranteed as to principal and interest by the U.S. Government or its agencies.</w:t>
      </w:r>
    </w:p>
    <w:p>
      <w:pPr>
        <w:spacing w:after="0" w:line="11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F-25</w:t>
      </w:r>
    </w:p>
    <w:p>
      <w:pPr>
        <w:sectPr>
          <w:pgSz w:w="11900" w:h="16838" w:orient="portrait"/>
          <w:cols w:equalWidth="0" w:num="1">
            <w:col w:w="11140"/>
          </w:cols>
          <w:pgMar w:left="320" w:top="455" w:right="439" w:bottom="1440" w:gutter="0" w:footer="0" w:header="0"/>
        </w:sectPr>
      </w:pPr>
    </w:p>
    <w:bookmarkStart w:id="237" w:name="page238"/>
    <w:bookmarkEnd w:id="23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TARSUS PHARMACEUTICALS, INC.</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THE FINANCIAL STATEMENTS</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(Information as of June 30, 2020 and thereafter and for the six months ended June 30, 2019 and 2020 is unaudited; all tabular amounts</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presented in thousands, except share, per share, per unit, and number of years)</w:t>
      </w:r>
    </w:p>
    <w:p>
      <w:pPr>
        <w:spacing w:after="0" w:line="2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Convertible Promissory Notes – Derivative Liabilities</w:t>
      </w:r>
    </w:p>
    <w:p>
      <w:pPr>
        <w:spacing w:after="0" w:line="229" w:lineRule="exact"/>
        <w:rPr>
          <w:sz w:val="20"/>
          <w:szCs w:val="20"/>
          <w:color w:val="auto"/>
        </w:rPr>
      </w:pPr>
    </w:p>
    <w:p>
      <w:pPr>
        <w:ind w:left="120" w:right="80" w:firstLine="881"/>
        <w:spacing w:after="0" w:line="266" w:lineRule="auto"/>
        <w:rPr>
          <w:sz w:val="20"/>
          <w:szCs w:val="20"/>
          <w:color w:val="auto"/>
        </w:rPr>
      </w:pPr>
      <w:r>
        <w:rPr>
          <w:rFonts w:ascii="Times New Roman" w:cs="Times New Roman" w:eastAsia="Times New Roman" w:hAnsi="Times New Roman"/>
          <w:sz w:val="18"/>
          <w:szCs w:val="18"/>
          <w:color w:val="auto"/>
        </w:rPr>
        <w:t xml:space="preserve">The following table sets forth a summary of the changes in fair value of the bifurcated derivative liability associated with the convertible promissory notes issued and settled during 2019 to certain related parties (see </w:t>
      </w:r>
      <w:r>
        <w:rPr>
          <w:rFonts w:ascii="Times New Roman" w:cs="Times New Roman" w:eastAsia="Times New Roman" w:hAnsi="Times New Roman"/>
          <w:sz w:val="18"/>
          <w:szCs w:val="18"/>
          <w:i w:val="1"/>
          <w:iCs w:val="1"/>
          <w:color w:val="auto"/>
        </w:rPr>
        <w:t>Note 9</w:t>
      </w:r>
      <w:r>
        <w:rPr>
          <w:rFonts w:ascii="Times New Roman" w:cs="Times New Roman" w:eastAsia="Times New Roman" w:hAnsi="Times New Roman"/>
          <w:sz w:val="18"/>
          <w:szCs w:val="18"/>
          <w:color w:val="auto"/>
        </w:rPr>
        <w:t xml:space="preserve">). The measurement of the derivative liabilities represents a </w:t>
      </w:r>
      <w:r>
        <w:rPr>
          <w:rFonts w:ascii="Times New Roman" w:cs="Times New Roman" w:eastAsia="Times New Roman" w:hAnsi="Times New Roman"/>
          <w:sz w:val="18"/>
          <w:szCs w:val="18"/>
          <w:i w:val="1"/>
          <w:iCs w:val="1"/>
          <w:color w:val="auto"/>
        </w:rPr>
        <w:t>Level 3</w:t>
      </w:r>
      <w:r>
        <w:rPr>
          <w:rFonts w:ascii="Times New Roman" w:cs="Times New Roman" w:eastAsia="Times New Roman" w:hAnsi="Times New Roman"/>
          <w:sz w:val="18"/>
          <w:szCs w:val="18"/>
          <w:color w:val="auto"/>
        </w:rPr>
        <w:t xml:space="preserve"> financial instrument:</w:t>
      </w:r>
    </w:p>
    <w:p>
      <w:pPr>
        <w:spacing w:after="0" w:line="184" w:lineRule="exact"/>
        <w:rPr>
          <w:sz w:val="20"/>
          <w:szCs w:val="20"/>
          <w:color w:val="auto"/>
        </w:rPr>
      </w:pPr>
    </w:p>
    <w:tbl>
      <w:tblPr>
        <w:tblLayout w:type="fixed"/>
        <w:tblInd w:w="16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160" w:type="dxa"/>
            <w:vAlign w:val="bottom"/>
          </w:tcPr>
          <w:p>
            <w:pPr>
              <w:spacing w:after="0"/>
              <w:rPr>
                <w:sz w:val="13"/>
                <w:szCs w:val="13"/>
                <w:color w:val="auto"/>
              </w:rPr>
            </w:pPr>
          </w:p>
        </w:tc>
        <w:tc>
          <w:tcPr>
            <w:tcW w:w="76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Derivative</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Fair value as of December 31, 2018</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tcPr>
          <w:p>
            <w:pPr>
              <w:spacing w:after="0"/>
              <w:rPr>
                <w:sz w:val="20"/>
                <w:szCs w:val="20"/>
                <w:color w:val="auto"/>
              </w:rPr>
            </w:pPr>
            <w:r>
              <w:rPr>
                <w:rFonts w:ascii="Times New Roman" w:cs="Times New Roman" w:eastAsia="Times New Roman" w:hAnsi="Times New Roman"/>
                <w:sz w:val="18"/>
                <w:szCs w:val="18"/>
                <w:color w:val="auto"/>
              </w:rPr>
              <w:t>Initial fair value of derivative liability upon issuance of May 2019 Notes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Initial fair value of derivative liability upon issuance of August 2019 Notes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tcPr>
          <w:p>
            <w:pPr>
              <w:spacing w:after="0"/>
              <w:rPr>
                <w:sz w:val="20"/>
                <w:szCs w:val="20"/>
                <w:color w:val="auto"/>
              </w:rPr>
            </w:pPr>
            <w:r>
              <w:rPr>
                <w:rFonts w:ascii="Times New Roman" w:cs="Times New Roman" w:eastAsia="Times New Roman" w:hAnsi="Times New Roman"/>
                <w:sz w:val="18"/>
                <w:szCs w:val="18"/>
                <w:color w:val="auto"/>
              </w:rPr>
              <w:t>Initial fair value of derivative liability upon issuance of October 2019 Notes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1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Revaluation of derivative liabilities included in other income (expense), net within the</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1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Statement of Operations for the year ended December 31, 2019</w:t>
            </w: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tcPr>
          <w:p>
            <w:pPr>
              <w:spacing w:after="0"/>
              <w:rPr>
                <w:sz w:val="20"/>
                <w:szCs w:val="20"/>
                <w:color w:val="auto"/>
              </w:rPr>
            </w:pPr>
            <w:r>
              <w:rPr>
                <w:rFonts w:ascii="Times New Roman" w:cs="Times New Roman" w:eastAsia="Times New Roman" w:hAnsi="Times New Roman"/>
                <w:sz w:val="18"/>
                <w:szCs w:val="18"/>
                <w:color w:val="auto"/>
              </w:rPr>
              <w:t>Settlement of derivative liabilities through conversion of all Notes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(363)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Fair value as of December 31, 2019</w:t>
            </w:r>
          </w:p>
        </w:tc>
        <w:tc>
          <w:tcPr>
            <w:tcW w:w="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71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Fair value as of June 30, 2020</w:t>
            </w: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180" w:type="dxa"/>
            <w:vAlign w:val="bottom"/>
            <w:gridSpan w:val="2"/>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400" w:firstLine="881"/>
        <w:spacing w:after="0" w:line="261" w:lineRule="auto"/>
        <w:rPr>
          <w:sz w:val="20"/>
          <w:szCs w:val="20"/>
          <w:color w:val="auto"/>
        </w:rPr>
      </w:pPr>
      <w:r>
        <w:rPr>
          <w:rFonts w:ascii="Times New Roman" w:cs="Times New Roman" w:eastAsia="Times New Roman" w:hAnsi="Times New Roman"/>
          <w:sz w:val="18"/>
          <w:szCs w:val="18"/>
          <w:color w:val="auto"/>
        </w:rPr>
        <w:t>The fair values of the derivative liabilities presented above were estimated at the date of issuance and at subsequent balance sheet dates using a two-step approach to valuation. Management utilized a probability-weighted valuation method and then compared the instrument’s</w:t>
      </w: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 xml:space="preserve">value with-and-without the derivative features in order to estimate their combined fair value, using unobservable inputs, which are classified as </w:t>
      </w:r>
      <w:r>
        <w:rPr>
          <w:rFonts w:ascii="Times New Roman" w:cs="Times New Roman" w:eastAsia="Times New Roman" w:hAnsi="Times New Roman"/>
          <w:sz w:val="18"/>
          <w:szCs w:val="18"/>
          <w:i w:val="1"/>
          <w:iCs w:val="1"/>
          <w:color w:val="auto"/>
        </w:rPr>
        <w:t>Level 3</w:t>
      </w:r>
      <w:r>
        <w:rPr>
          <w:rFonts w:ascii="Times New Roman" w:cs="Times New Roman" w:eastAsia="Times New Roman" w:hAnsi="Times New Roman"/>
          <w:sz w:val="18"/>
          <w:szCs w:val="18"/>
          <w:color w:val="auto"/>
        </w:rPr>
        <w:t xml:space="preserve"> within the fair value hierarchy. The significant inputs not included in the market and thus represents a </w:t>
      </w:r>
      <w:r>
        <w:rPr>
          <w:rFonts w:ascii="Times New Roman" w:cs="Times New Roman" w:eastAsia="Times New Roman" w:hAnsi="Times New Roman"/>
          <w:sz w:val="18"/>
          <w:szCs w:val="18"/>
          <w:i w:val="1"/>
          <w:iCs w:val="1"/>
          <w:color w:val="auto"/>
        </w:rPr>
        <w:t>Level 3</w:t>
      </w:r>
      <w:r>
        <w:rPr>
          <w:rFonts w:ascii="Times New Roman" w:cs="Times New Roman" w:eastAsia="Times New Roman" w:hAnsi="Times New Roman"/>
          <w:sz w:val="18"/>
          <w:szCs w:val="18"/>
          <w:color w:val="auto"/>
        </w:rPr>
        <w:t xml:space="preserve"> measurement in the valuation approach included the probability of achieving a settlement that provides the note holders the rights or the obligations to receive cash or a variable number of shares upon the completion of a then-future capital transaction. The convertible notes were issued and settled in full during the year ended December 31, 2019 (see </w:t>
      </w:r>
      <w:r>
        <w:rPr>
          <w:rFonts w:ascii="Times New Roman" w:cs="Times New Roman" w:eastAsia="Times New Roman" w:hAnsi="Times New Roman"/>
          <w:sz w:val="18"/>
          <w:szCs w:val="18"/>
          <w:i w:val="1"/>
          <w:iCs w:val="1"/>
          <w:color w:val="auto"/>
        </w:rPr>
        <w:t>Note 9</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9. CONVERTIBLE PROMISSORY NOTES PAYABLE</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Overview of Notes and Conversion in December 2019</w:t>
      </w:r>
    </w:p>
    <w:p>
      <w:pPr>
        <w:spacing w:after="0" w:line="229" w:lineRule="exact"/>
        <w:rPr>
          <w:sz w:val="20"/>
          <w:szCs w:val="20"/>
          <w:color w:val="auto"/>
        </w:rPr>
      </w:pPr>
    </w:p>
    <w:p>
      <w:pPr>
        <w:ind w:left="120" w:firstLine="881"/>
        <w:spacing w:after="0" w:line="256" w:lineRule="auto"/>
        <w:rPr>
          <w:sz w:val="20"/>
          <w:szCs w:val="20"/>
          <w:color w:val="auto"/>
        </w:rPr>
      </w:pPr>
      <w:r>
        <w:rPr>
          <w:rFonts w:ascii="Times New Roman" w:cs="Times New Roman" w:eastAsia="Times New Roman" w:hAnsi="Times New Roman"/>
          <w:sz w:val="18"/>
          <w:szCs w:val="18"/>
          <w:color w:val="auto"/>
        </w:rPr>
        <w:t>In May 2019, the Company entered into a Note Purchase Agreement (the “May 2019 Purchase Agreement”) with its co-founders and certain other related parties (the “Note Holders”). Under the terms of the May 2019 Purchase Agreement, the Company received cash proceeds of $0.5 million and issued $0.5 million of convertible promissory notes (the “May 2019 Notes”) with a stated maturity of December 2020. These notes bore interest at a rate of 8.0% per annum, compounded annually, and payable at maturity. In the event of a qualified equity financing, the outstanding principal of the May 2019 Notes plus all accrued and previously unpaid interest would, at the option of the holder, either (i) automatically convert into shares of stock issued in the qualified</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F-26</w:t>
      </w:r>
    </w:p>
    <w:p>
      <w:pPr>
        <w:sectPr>
          <w:pgSz w:w="11900" w:h="16838" w:orient="portrait"/>
          <w:cols w:equalWidth="0" w:num="1">
            <w:col w:w="11140"/>
          </w:cols>
          <w:pgMar w:left="320" w:top="455" w:right="439" w:bottom="1440" w:gutter="0" w:footer="0" w:header="0"/>
        </w:sectPr>
      </w:pPr>
    </w:p>
    <w:bookmarkStart w:id="238" w:name="page239"/>
    <w:bookmarkEnd w:id="23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TARSUS PHARMACEUTICALS, INC.</w:t>
      </w:r>
    </w:p>
    <w:p>
      <w:pPr>
        <w:spacing w:after="0" w:line="2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THE FINANCIAL STATEMENTS</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(Information as of June 30, 2020 and thereafter and for the six months ended June 30, 2019 and 2020 is unaudited; all tabular amounts</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presented in thousands, except share, per share, per unit, and number of years)</w:t>
      </w:r>
    </w:p>
    <w:p>
      <w:pPr>
        <w:spacing w:after="0" w:line="23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equity financing based on a conversion price equal to 90% of the issuance price paid by these new investors, or (ii) be repaid in full.</w:t>
      </w:r>
    </w:p>
    <w:p>
      <w:pPr>
        <w:spacing w:after="0" w:line="225" w:lineRule="exact"/>
        <w:rPr>
          <w:sz w:val="20"/>
          <w:szCs w:val="20"/>
          <w:color w:val="auto"/>
        </w:rPr>
      </w:pPr>
    </w:p>
    <w:p>
      <w:pPr>
        <w:jc w:val="both"/>
        <w:ind w:left="120" w:right="140" w:firstLine="881"/>
        <w:spacing w:after="0" w:line="312" w:lineRule="auto"/>
        <w:rPr>
          <w:sz w:val="20"/>
          <w:szCs w:val="20"/>
          <w:color w:val="auto"/>
        </w:rPr>
      </w:pPr>
      <w:r>
        <w:rPr>
          <w:rFonts w:ascii="Times New Roman" w:cs="Times New Roman" w:eastAsia="Times New Roman" w:hAnsi="Times New Roman"/>
          <w:sz w:val="17"/>
          <w:szCs w:val="17"/>
          <w:color w:val="auto"/>
        </w:rPr>
        <w:t>In August 2019, the Company amended and restated the May 2019 Purchase Agreement with the Note Holders and received an additional $0.5 million of proceeds and issued new $0.5 million convertible promissory notes to the same parties (the “August 2019 Notes”) with identical terms.</w:t>
      </w:r>
    </w:p>
    <w:p>
      <w:pPr>
        <w:spacing w:after="0" w:line="140" w:lineRule="exact"/>
        <w:rPr>
          <w:sz w:val="20"/>
          <w:szCs w:val="20"/>
          <w:color w:val="auto"/>
        </w:rPr>
      </w:pPr>
    </w:p>
    <w:p>
      <w:pPr>
        <w:ind w:left="120" w:right="420" w:firstLine="881"/>
        <w:spacing w:after="0" w:line="261" w:lineRule="auto"/>
        <w:rPr>
          <w:sz w:val="20"/>
          <w:szCs w:val="20"/>
          <w:color w:val="auto"/>
        </w:rPr>
      </w:pPr>
      <w:r>
        <w:rPr>
          <w:rFonts w:ascii="Times New Roman" w:cs="Times New Roman" w:eastAsia="Times New Roman" w:hAnsi="Times New Roman"/>
          <w:sz w:val="18"/>
          <w:szCs w:val="18"/>
          <w:color w:val="auto"/>
        </w:rPr>
        <w:t>In October 2019, the Company entered into a new Note Purchase Agreement (the “October 2019 Purchase Agreement”) with the Note Holders. Under the terms of the October 2019 Purchase Agreement, the Company received proceeds of $1.0 million and issued $1.0 million of convertible promissory notes (the “October 2019 Notes,” collectively with the May 2019 Notes and the August 2019 Notes, the “Notes”) with a conversion price equal to 80% of the issuance price in a qualified equity financing.</w:t>
      </w:r>
    </w:p>
    <w:p>
      <w:pPr>
        <w:spacing w:after="0" w:line="178" w:lineRule="exact"/>
        <w:rPr>
          <w:sz w:val="20"/>
          <w:szCs w:val="20"/>
          <w:color w:val="auto"/>
        </w:rPr>
      </w:pPr>
    </w:p>
    <w:p>
      <w:pPr>
        <w:ind w:left="120" w:right="240" w:firstLine="881"/>
        <w:spacing w:after="0" w:line="261" w:lineRule="auto"/>
        <w:rPr>
          <w:sz w:val="20"/>
          <w:szCs w:val="20"/>
          <w:color w:val="auto"/>
        </w:rPr>
      </w:pPr>
      <w:r>
        <w:rPr>
          <w:rFonts w:ascii="Times New Roman" w:cs="Times New Roman" w:eastAsia="Times New Roman" w:hAnsi="Times New Roman"/>
          <w:sz w:val="18"/>
          <w:szCs w:val="18"/>
          <w:color w:val="auto"/>
        </w:rPr>
        <w:t xml:space="preserve">In December 2019, the Company completed an issuance of Series B Preferred Stock (see </w:t>
      </w:r>
      <w:r>
        <w:rPr>
          <w:rFonts w:ascii="Times New Roman" w:cs="Times New Roman" w:eastAsia="Times New Roman" w:hAnsi="Times New Roman"/>
          <w:sz w:val="18"/>
          <w:szCs w:val="18"/>
          <w:i w:val="1"/>
          <w:iCs w:val="1"/>
          <w:color w:val="auto"/>
        </w:rPr>
        <w:t>Note 5</w:t>
      </w:r>
      <w:r>
        <w:rPr>
          <w:rFonts w:ascii="Times New Roman" w:cs="Times New Roman" w:eastAsia="Times New Roman" w:hAnsi="Times New Roman"/>
          <w:sz w:val="18"/>
          <w:szCs w:val="18"/>
          <w:color w:val="auto"/>
        </w:rPr>
        <w:t>). Upon this issuance, the $2.0 million of Note principal value, along with accrued interest, were converted into 2.0 million shares of Series B Preferred Stock under its contractual terms. The Company recorded “loss on extinguishment of convertible notes” (non-cash) of $0.3 million within “other income (expense)” in the accompanying Statements of Operations and Comprehensive Loss for the year ended December 31, 2019.</w:t>
      </w:r>
    </w:p>
    <w:p>
      <w:pPr>
        <w:spacing w:after="0" w:line="17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Embedded Derivative and its Accounting</w:t>
      </w:r>
    </w:p>
    <w:p>
      <w:pPr>
        <w:spacing w:after="0" w:line="229" w:lineRule="exact"/>
        <w:rPr>
          <w:sz w:val="20"/>
          <w:szCs w:val="20"/>
          <w:color w:val="auto"/>
        </w:rPr>
      </w:pPr>
    </w:p>
    <w:p>
      <w:pPr>
        <w:ind w:left="120" w:right="40" w:firstLine="881"/>
        <w:spacing w:after="0" w:line="256" w:lineRule="auto"/>
        <w:rPr>
          <w:sz w:val="20"/>
          <w:szCs w:val="20"/>
          <w:color w:val="auto"/>
        </w:rPr>
      </w:pPr>
      <w:r>
        <w:rPr>
          <w:rFonts w:ascii="Times New Roman" w:cs="Times New Roman" w:eastAsia="Times New Roman" w:hAnsi="Times New Roman"/>
          <w:sz w:val="18"/>
          <w:szCs w:val="18"/>
          <w:color w:val="auto"/>
        </w:rPr>
        <w:t>The Notes allowed for redemption upon a qualified equity financing that was determined to be a contingent redemption feature that was not closely related to the Notes and was thus was required to be bifurcated as a derivative liability on the balance sheet. Based on the features of this derivative, the Company accounted for it as an implied discount in presenting the carrying value of these Notes. This discount was accreted over the term to maturity of the Notes using the effective interest method, resulting in aggregate interest expense recognition (non-cash) of $6 thousand and $0.1 million for the six months ended June 30, 2019 and year ended December 31, 2019. As the Notes were converted in December 2019, no interest expense was recorded for the six months ended June 30, 2020.</w:t>
      </w:r>
    </w:p>
    <w:p>
      <w:pPr>
        <w:spacing w:after="0" w:line="187" w:lineRule="exact"/>
        <w:rPr>
          <w:sz w:val="20"/>
          <w:szCs w:val="20"/>
          <w:color w:val="auto"/>
        </w:rPr>
      </w:pPr>
    </w:p>
    <w:p>
      <w:pPr>
        <w:ind w:left="120" w:firstLine="881"/>
        <w:spacing w:after="0" w:line="261" w:lineRule="auto"/>
        <w:rPr>
          <w:sz w:val="20"/>
          <w:szCs w:val="20"/>
          <w:color w:val="auto"/>
        </w:rPr>
      </w:pPr>
      <w:r>
        <w:rPr>
          <w:rFonts w:ascii="Times New Roman" w:cs="Times New Roman" w:eastAsia="Times New Roman" w:hAnsi="Times New Roman"/>
          <w:sz w:val="18"/>
          <w:szCs w:val="18"/>
          <w:color w:val="auto"/>
        </w:rPr>
        <w:t>Changes in the embedded derivatives’ fair value at each reporting period were recognized in the accompanying statements of operations and comprehensive loss within “changes in fair value of derivative liabilities,” resulting in incremental “other expense” recognition (non-cash) of</w:t>
      </w:r>
    </w:p>
    <w:p>
      <w:pPr>
        <w:ind w:left="120" w:right="80"/>
        <w:spacing w:after="0" w:line="255" w:lineRule="auto"/>
        <w:rPr>
          <w:sz w:val="20"/>
          <w:szCs w:val="20"/>
          <w:color w:val="auto"/>
        </w:rPr>
      </w:pPr>
      <w:r>
        <w:rPr>
          <w:rFonts w:ascii="Times New Roman" w:cs="Times New Roman" w:eastAsia="Times New Roman" w:hAnsi="Times New Roman"/>
          <w:sz w:val="18"/>
          <w:szCs w:val="18"/>
          <w:color w:val="auto"/>
        </w:rPr>
        <w:t>$0.1 million for the year ended December 31, 2019. We did not recognize any changes in fair value of derivative liabilities during the six months ended June 30, 2019. As the Notes were converted in December 2019, no other expense related to changes in fair value of derivative liabilities was recorded for the six months ended June 30, 2020.</w:t>
      </w:r>
    </w:p>
    <w:p>
      <w:pPr>
        <w:spacing w:after="0" w:line="182" w:lineRule="exact"/>
        <w:rPr>
          <w:sz w:val="20"/>
          <w:szCs w:val="20"/>
          <w:color w:val="auto"/>
        </w:rPr>
      </w:pPr>
    </w:p>
    <w:p>
      <w:pPr>
        <w:ind w:left="380" w:hanging="264"/>
        <w:spacing w:after="0"/>
        <w:tabs>
          <w:tab w:leader="none" w:pos="380" w:val="left"/>
        </w:tabs>
        <w:numPr>
          <w:ilvl w:val="0"/>
          <w:numId w:val="1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&amp; CONTINGENCIES</w:t>
      </w:r>
    </w:p>
    <w:p>
      <w:pPr>
        <w:spacing w:after="0" w:line="225" w:lineRule="exact"/>
        <w:rPr>
          <w:rFonts w:ascii="Times New Roman" w:cs="Times New Roman" w:eastAsia="Times New Roman" w:hAnsi="Times New Roman"/>
          <w:sz w:val="18"/>
          <w:szCs w:val="18"/>
          <w:b w:val="1"/>
          <w:bCs w:val="1"/>
          <w:color w:val="auto"/>
        </w:rPr>
      </w:pPr>
    </w:p>
    <w:p>
      <w:pPr>
        <w:ind w:left="1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 Facility Leases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229" w:lineRule="exact"/>
        <w:rPr>
          <w:sz w:val="20"/>
          <w:szCs w:val="20"/>
          <w:color w:val="auto"/>
        </w:rPr>
      </w:pPr>
    </w:p>
    <w:p>
      <w:pPr>
        <w:ind w:left="120" w:right="560" w:firstLine="881"/>
        <w:spacing w:after="0" w:line="282" w:lineRule="auto"/>
        <w:rPr>
          <w:sz w:val="20"/>
          <w:szCs w:val="20"/>
          <w:color w:val="auto"/>
        </w:rPr>
      </w:pPr>
      <w:r>
        <w:rPr>
          <w:rFonts w:ascii="Times New Roman" w:cs="Times New Roman" w:eastAsia="Times New Roman" w:hAnsi="Times New Roman"/>
          <w:sz w:val="18"/>
          <w:szCs w:val="18"/>
          <w:color w:val="auto"/>
        </w:rPr>
        <w:t>In the ordinary course of business, the Company enters lease agreements with unaffiliated parties for the use of office and laboratory facilities and office equipment. As of December 31, 2019, the Company had one</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F-27</w:t>
      </w:r>
    </w:p>
    <w:p>
      <w:pPr>
        <w:sectPr>
          <w:pgSz w:w="11900" w:h="16838" w:orient="portrait"/>
          <w:cols w:equalWidth="0" w:num="1">
            <w:col w:w="11100"/>
          </w:cols>
          <w:pgMar w:left="320" w:top="455" w:right="479" w:bottom="1440" w:gutter="0" w:footer="0" w:header="0"/>
        </w:sectPr>
      </w:pPr>
    </w:p>
    <w:bookmarkStart w:id="239" w:name="page240"/>
    <w:bookmarkEnd w:id="23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TARSUS PHARMACEUTICALS, INC.</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THE FINANCIAL STATEMENTS</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(Information as of June 30, 2020 and thereafter and for the six months ended June 30, 2019 and 2020 is unaudited; all tabular amounts</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presented in thousands, except share, per share, per unit, and number of years)</w:t>
      </w:r>
    </w:p>
    <w:p>
      <w:pPr>
        <w:spacing w:after="0" w:line="232"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 xml:space="preserve">active facility lease in Irvine, California, that commenced on March 1, 2019 and expires April 30, 2022 (see </w:t>
      </w:r>
      <w:r>
        <w:rPr>
          <w:rFonts w:ascii="Times New Roman" w:cs="Times New Roman" w:eastAsia="Times New Roman" w:hAnsi="Times New Roman"/>
          <w:sz w:val="18"/>
          <w:szCs w:val="18"/>
          <w:i w:val="1"/>
          <w:iCs w:val="1"/>
          <w:color w:val="auto"/>
        </w:rPr>
        <w:t>Note 12</w:t>
      </w:r>
      <w:r>
        <w:rPr>
          <w:rFonts w:ascii="Times New Roman" w:cs="Times New Roman" w:eastAsia="Times New Roman" w:hAnsi="Times New Roman"/>
          <w:sz w:val="18"/>
          <w:szCs w:val="18"/>
          <w:color w:val="auto"/>
        </w:rPr>
        <w:t>). This lease has a renewal option at the end of term, for which the Company was not reasonably certain to exercise at the lease commencement. As such, the renewal option was not included in the lease term used to calculate the right-of-use lease asset and lease liability. Prior to March 1, 2019, the Company did not have any material lease arrangements.</w:t>
      </w:r>
    </w:p>
    <w:p>
      <w:pPr>
        <w:spacing w:after="0" w:line="182" w:lineRule="exact"/>
        <w:rPr>
          <w:sz w:val="20"/>
          <w:szCs w:val="20"/>
          <w:color w:val="auto"/>
        </w:rPr>
      </w:pPr>
    </w:p>
    <w:p>
      <w:pPr>
        <w:ind w:left="120" w:right="180" w:firstLine="881"/>
        <w:spacing w:after="0" w:line="258" w:lineRule="auto"/>
        <w:rPr>
          <w:sz w:val="20"/>
          <w:szCs w:val="20"/>
          <w:color w:val="auto"/>
        </w:rPr>
      </w:pPr>
      <w:r>
        <w:rPr>
          <w:rFonts w:ascii="Times New Roman" w:cs="Times New Roman" w:eastAsia="Times New Roman" w:hAnsi="Times New Roman"/>
          <w:sz w:val="18"/>
          <w:szCs w:val="18"/>
          <w:color w:val="auto"/>
        </w:rPr>
        <w:t>The Company entered into two additional facility leases that commenced on June 1, 2020 for adjacent administrative and laboratory suites in Irvine, California. These leases expire on January 31, 2024. One of these leases included a renewal option at the end of its term, for which the Company was not reasonably certain to exercise at the lease commencement. As such, the renewal option was not included in the lease term used to calculate the right-of-use lease asset and lease liability. In connection with these two leases the Company capitalized right-of-use assets along with an accompanying lease liability of $0.7 million.</w:t>
      </w:r>
    </w:p>
    <w:p>
      <w:pPr>
        <w:spacing w:after="0" w:line="183" w:lineRule="exact"/>
        <w:rPr>
          <w:sz w:val="20"/>
          <w:szCs w:val="20"/>
          <w:color w:val="auto"/>
        </w:rPr>
      </w:pPr>
    </w:p>
    <w:p>
      <w:pPr>
        <w:ind w:left="120" w:right="120" w:firstLine="881"/>
        <w:spacing w:after="0" w:line="258" w:lineRule="auto"/>
        <w:rPr>
          <w:sz w:val="20"/>
          <w:szCs w:val="20"/>
          <w:color w:val="auto"/>
        </w:rPr>
      </w:pPr>
      <w:r>
        <w:rPr>
          <w:rFonts w:ascii="Times New Roman" w:cs="Times New Roman" w:eastAsia="Times New Roman" w:hAnsi="Times New Roman"/>
          <w:sz w:val="18"/>
          <w:szCs w:val="18"/>
          <w:color w:val="auto"/>
        </w:rPr>
        <w:t>All of the Company’s facility leases have minimum annual rent, payable monthly, and carry fixed annual rent increases. Under the arrangements, real estate taxes, certain operating expenses, and common area maintenance are reimbursable to the lessor. These amounts are expensed as incurred, as they are variable in nature and therefore excluded from the measurement of the reported right-of-use asset and liability discussed below. During the years ended December 31, 2018 and 2019 and during the six months ended June 30, 2020, the Company had no sublease arrangements with it as lessor.</w:t>
      </w:r>
    </w:p>
    <w:p>
      <w:pPr>
        <w:spacing w:after="0" w:line="1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Adoption of New Lease Standard, Topic 842</w:t>
      </w:r>
    </w:p>
    <w:p>
      <w:pPr>
        <w:spacing w:after="0" w:line="227" w:lineRule="exact"/>
        <w:rPr>
          <w:sz w:val="20"/>
          <w:szCs w:val="20"/>
          <w:color w:val="auto"/>
        </w:rPr>
      </w:pPr>
    </w:p>
    <w:p>
      <w:pPr>
        <w:ind w:left="120" w:right="20" w:firstLine="881"/>
        <w:spacing w:after="0" w:line="271" w:lineRule="auto"/>
        <w:rPr>
          <w:sz w:val="20"/>
          <w:szCs w:val="20"/>
          <w:color w:val="auto"/>
        </w:rPr>
      </w:pPr>
      <w:r>
        <w:rPr>
          <w:rFonts w:ascii="Times New Roman" w:cs="Times New Roman" w:eastAsia="Times New Roman" w:hAnsi="Times New Roman"/>
          <w:sz w:val="17"/>
          <w:szCs w:val="17"/>
          <w:color w:val="auto"/>
        </w:rPr>
        <w:t>Beginning January 1, 2019, the Company adopted ASU 2016-02</w:t>
      </w:r>
      <w:r>
        <w:rPr>
          <w:rFonts w:ascii="Times New Roman" w:cs="Times New Roman" w:eastAsia="Times New Roman" w:hAnsi="Times New Roman"/>
          <w:sz w:val="17"/>
          <w:szCs w:val="17"/>
          <w:i w:val="1"/>
          <w:iCs w:val="1"/>
          <w:color w:val="auto"/>
        </w:rPr>
        <w:t>, Leases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Topic 842</w:t>
      </w:r>
      <w:r>
        <w:rPr>
          <w:rFonts w:ascii="Times New Roman" w:cs="Times New Roman" w:eastAsia="Times New Roman" w:hAnsi="Times New Roman"/>
          <w:sz w:val="17"/>
          <w:szCs w:val="17"/>
          <w:color w:val="auto"/>
        </w:rPr>
        <w:t>”). Under this new lease accounting standard, the Company recognized a right-of-use asset and lease liability on the accompanying Balance Sheets for all material leases. Management elected the “modified retrospective approach” with an effective transition date of January 1, 2018 upon adoption and the available practical expedients. The Company also elected to (1) not separate “lease components” from “non-lease components” in the measurement of minimum payments for its leases and</w:t>
      </w:r>
    </w:p>
    <w:p>
      <w:pPr>
        <w:spacing w:after="0" w:line="1" w:lineRule="exact"/>
        <w:rPr>
          <w:sz w:val="20"/>
          <w:szCs w:val="20"/>
          <w:color w:val="auto"/>
        </w:rPr>
      </w:pPr>
    </w:p>
    <w:p>
      <w:pPr>
        <w:ind w:left="120" w:right="20" w:hanging="4"/>
        <w:spacing w:after="0" w:line="260" w:lineRule="auto"/>
        <w:tabs>
          <w:tab w:leader="none" w:pos="375"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recognize a lease asset and liability for a term of 12 months or less. Lease expense is recognized on a straight-line basis over the expected term of the lease. In March 2019, the Company capitalized a right-of-use asset of $0.2 million along with an accompanying $0.2 million lease liability.</w:t>
      </w:r>
    </w:p>
    <w:p>
      <w:pPr>
        <w:spacing w:after="0" w:line="179" w:lineRule="exact"/>
        <w:rPr>
          <w:sz w:val="20"/>
          <w:szCs w:val="20"/>
          <w:color w:val="auto"/>
        </w:rPr>
      </w:pPr>
    </w:p>
    <w:p>
      <w:pPr>
        <w:ind w:left="120" w:right="60" w:firstLine="881"/>
        <w:spacing w:after="0" w:line="255" w:lineRule="auto"/>
        <w:rPr>
          <w:sz w:val="20"/>
          <w:szCs w:val="20"/>
          <w:color w:val="auto"/>
        </w:rPr>
      </w:pPr>
      <w:r>
        <w:rPr>
          <w:rFonts w:ascii="Times New Roman" w:cs="Times New Roman" w:eastAsia="Times New Roman" w:hAnsi="Times New Roman"/>
          <w:sz w:val="18"/>
          <w:szCs w:val="18"/>
          <w:color w:val="auto"/>
        </w:rPr>
        <w:t xml:space="preserve">As part of applying </w:t>
      </w:r>
      <w:r>
        <w:rPr>
          <w:rFonts w:ascii="Times New Roman" w:cs="Times New Roman" w:eastAsia="Times New Roman" w:hAnsi="Times New Roman"/>
          <w:sz w:val="18"/>
          <w:szCs w:val="18"/>
          <w:i w:val="1"/>
          <w:iCs w:val="1"/>
          <w:color w:val="auto"/>
        </w:rPr>
        <w:t>Topic 842</w:t>
      </w:r>
      <w:r>
        <w:rPr>
          <w:rFonts w:ascii="Times New Roman" w:cs="Times New Roman" w:eastAsia="Times New Roman" w:hAnsi="Times New Roman"/>
          <w:sz w:val="18"/>
          <w:szCs w:val="18"/>
          <w:color w:val="auto"/>
        </w:rPr>
        <w:t>, the Company determines if an arrangement is or contains a lease and the classification of that lease at contract execution. The classification of leases as “operating” or “finance” leases along with the initial measurement and recognition of the associated right-of-use assets and lease liabilities is performed at the lease commencement date. The measurement of lease liabilities is based on the present value of future lease payments over the lease term. Since an implicit rate for the operating lease for the Company’s Irvine facility was not determinable and was not implicit in the lease, the Company calculated an estimated incremental borrowing rate based upon what it would have to pay to borrow on a collateralized bases over a similar term and amount equal to the lease payments in a similar economic environment. The right-of-use lease asset is based on the corresponding lease liability and adjusted for (i) applicable payments made at or before the commencement date, (ii) initial direct costs incurred, and (iii) tenant incentives provided by the lessor.</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Components of Lease Expense</w:t>
      </w:r>
    </w:p>
    <w:p>
      <w:pPr>
        <w:spacing w:after="0" w:line="229" w:lineRule="exact"/>
        <w:rPr>
          <w:sz w:val="20"/>
          <w:szCs w:val="20"/>
          <w:color w:val="auto"/>
        </w:rPr>
      </w:pPr>
    </w:p>
    <w:p>
      <w:pPr>
        <w:ind w:left="120" w:right="140" w:firstLine="881"/>
        <w:spacing w:after="0" w:line="282" w:lineRule="auto"/>
        <w:rPr>
          <w:sz w:val="20"/>
          <w:szCs w:val="20"/>
          <w:color w:val="auto"/>
        </w:rPr>
      </w:pPr>
      <w:r>
        <w:rPr>
          <w:rFonts w:ascii="Times New Roman" w:cs="Times New Roman" w:eastAsia="Times New Roman" w:hAnsi="Times New Roman"/>
          <w:sz w:val="18"/>
          <w:szCs w:val="18"/>
          <w:color w:val="auto"/>
        </w:rPr>
        <w:t>The liability associated with each lease is amortized over the respective lease term using the effective interest rate method. The Company’s right-of-use asset is amortized over the lease term on a straight-line basis to</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F-28</w:t>
      </w:r>
    </w:p>
    <w:p>
      <w:pPr>
        <w:sectPr>
          <w:pgSz w:w="11900" w:h="16838" w:orient="portrait"/>
          <w:cols w:equalWidth="0" w:num="1">
            <w:col w:w="11140"/>
          </w:cols>
          <w:pgMar w:left="320" w:top="455" w:right="439" w:bottom="1440" w:gutter="0" w:footer="0" w:header="0"/>
        </w:sectPr>
      </w:pPr>
    </w:p>
    <w:bookmarkStart w:id="240" w:name="page241"/>
    <w:bookmarkEnd w:id="24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TARSUS PHARMACEUTICALS, INC.</w:t>
      </w:r>
    </w:p>
    <w:p>
      <w:pPr>
        <w:spacing w:after="0" w:line="2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THE FINANCIAL STATEMENTS</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(Information as of June 30, 2020 and thereafter and for the six months ended June 30, 2019 and 2020 is unaudited; all tabular amounts</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presented in thousands, except share, per share, per unit, and number of years)</w:t>
      </w:r>
    </w:p>
    <w:p>
      <w:pPr>
        <w:spacing w:after="0" w:line="234"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lease expense, as reported on an allocated basis within “research and development” and “general and administrative” expenses on the accompanying Statements of Operations and Comprehensive Loss. For the six months ended June 30, 2019, year ended December 31, 2019, and the six months ended June 30, 2020, the Company recognized $21 thousand, $0.1 million, and $0.1 million for lease expense, respectively. There were no variable lease payments, including non-lease components such as common area maintenance fees, recognized as lease expense for the year ended December 31, 2019 or for the six months ended June 30, 2020.</w:t>
      </w:r>
    </w:p>
    <w:p>
      <w:pPr>
        <w:spacing w:after="0" w:line="1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Weighted-Average Remaining Lease Term and Applied Discount Rate</w:t>
      </w:r>
    </w:p>
    <w:p>
      <w:pPr>
        <w:spacing w:after="0" w:line="229" w:lineRule="exact"/>
        <w:rPr>
          <w:sz w:val="20"/>
          <w:szCs w:val="20"/>
          <w:color w:val="auto"/>
        </w:rPr>
      </w:pPr>
    </w:p>
    <w:p>
      <w:pPr>
        <w:ind w:left="120" w:right="120" w:firstLine="881"/>
        <w:spacing w:after="0" w:line="258" w:lineRule="auto"/>
        <w:rPr>
          <w:sz w:val="20"/>
          <w:szCs w:val="20"/>
          <w:color w:val="auto"/>
        </w:rPr>
      </w:pPr>
      <w:r>
        <w:rPr>
          <w:rFonts w:ascii="Times New Roman" w:cs="Times New Roman" w:eastAsia="Times New Roman" w:hAnsi="Times New Roman"/>
          <w:sz w:val="18"/>
          <w:szCs w:val="18"/>
          <w:color w:val="auto"/>
        </w:rPr>
        <w:t>The Company had one active lease for its Irvine office and laboratory facility, with a remaining lease term of two years and four months as of December 31, 2019 and a remaining lease term of one year and 10 months as of June 30, 2020. The Company had two additional facility leases commence on June 1, 2020, with remaining lease terms of 43 months as of June 30, 2020. The estimated incremental borrowing rate of 10% is utilized to present value future minimum lease payments since an implicit interest rate is not readily determinable each lease. The weighted average remaining lease term for the Company’s leases as of June 30, 2020 is 40 months.</w:t>
      </w:r>
    </w:p>
    <w:p>
      <w:pPr>
        <w:spacing w:after="0" w:line="1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Future Contractual Lease Payments as of December 31, 2019 and June 30, 2020</w:t>
      </w:r>
    </w:p>
    <w:p>
      <w:pPr>
        <w:spacing w:after="0" w:line="229" w:lineRule="exact"/>
        <w:rPr>
          <w:sz w:val="20"/>
          <w:szCs w:val="20"/>
          <w:color w:val="auto"/>
        </w:rPr>
      </w:pPr>
    </w:p>
    <w:p>
      <w:pPr>
        <w:ind w:left="120" w:firstLine="881"/>
        <w:spacing w:after="0" w:line="282" w:lineRule="auto"/>
        <w:rPr>
          <w:sz w:val="20"/>
          <w:szCs w:val="20"/>
          <w:color w:val="auto"/>
        </w:rPr>
      </w:pPr>
      <w:r>
        <w:rPr>
          <w:rFonts w:ascii="Times New Roman" w:cs="Times New Roman" w:eastAsia="Times New Roman" w:hAnsi="Times New Roman"/>
          <w:sz w:val="18"/>
          <w:szCs w:val="18"/>
          <w:color w:val="auto"/>
        </w:rPr>
        <w:t>The below table summarizes the (i) minimum lease payments over the next five years and thereafter, (ii) lease arrangement imputed interest, and (iii) present value of future lease payments:</w:t>
      </w:r>
    </w:p>
    <w:p>
      <w:pPr>
        <w:spacing w:after="0" w:line="170" w:lineRule="exact"/>
        <w:rPr>
          <w:sz w:val="20"/>
          <w:szCs w:val="20"/>
          <w:color w:val="auto"/>
        </w:rPr>
      </w:pPr>
    </w:p>
    <w:tbl>
      <w:tblPr>
        <w:tblLayout w:type="fixed"/>
        <w:tblInd w:w="1660" w:type="dxa"/>
        <w:tblCellMar>
          <w:top w:w="0" w:type="dxa"/>
          <w:left w:w="0" w:type="dxa"/>
          <w:bottom w:w="0" w:type="dxa"/>
          <w:right w:w="0" w:type="dxa"/>
        </w:tblCellMar>
      </w:tblPr>
      <w:tr>
        <w:trPr>
          <w:trHeight w:val="161"/>
        </w:trPr>
        <w:tc>
          <w:tcPr>
            <w:tcW w:w="34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Operating Leases - future payments</w:t>
            </w:r>
          </w:p>
        </w:tc>
        <w:tc>
          <w:tcPr>
            <w:tcW w:w="3500" w:type="dxa"/>
            <w:vAlign w:val="bottom"/>
          </w:tcPr>
          <w:p>
            <w:pPr>
              <w:spacing w:after="0"/>
              <w:rPr>
                <w:sz w:val="13"/>
                <w:szCs w:val="13"/>
                <w:color w:val="auto"/>
              </w:rPr>
            </w:pP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80"/>
        </w:trPr>
        <w:tc>
          <w:tcPr>
            <w:tcW w:w="3420" w:type="dxa"/>
            <w:vAlign w:val="bottom"/>
            <w:gridSpan w:val="2"/>
            <w:vMerge w:val="continue"/>
          </w:tcPr>
          <w:p>
            <w:pPr>
              <w:spacing w:after="0"/>
              <w:rPr>
                <w:sz w:val="15"/>
                <w:szCs w:val="15"/>
                <w:color w:val="auto"/>
              </w:rPr>
            </w:pPr>
          </w:p>
        </w:tc>
        <w:tc>
          <w:tcPr>
            <w:tcW w:w="3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ind w:right="193"/>
              <w:spacing w:after="0" w:line="160" w:lineRule="exact"/>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22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2020</w:t>
            </w:r>
          </w:p>
        </w:tc>
        <w:tc>
          <w:tcPr>
            <w:tcW w:w="1200" w:type="dxa"/>
            <w:vAlign w:val="bottom"/>
            <w:tcBorders>
              <w:top w:val="single" w:sz="8" w:color="CCEEFF"/>
            </w:tcBorders>
            <w:shd w:val="clear" w:color="auto" w:fill="CCEEFF"/>
          </w:tcPr>
          <w:p>
            <w:pPr>
              <w:spacing w:after="0"/>
              <w:rPr>
                <w:sz w:val="17"/>
                <w:szCs w:val="17"/>
                <w:color w:val="auto"/>
              </w:rPr>
            </w:pPr>
          </w:p>
        </w:tc>
        <w:tc>
          <w:tcPr>
            <w:tcW w:w="350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77</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2021</w:t>
            </w:r>
          </w:p>
        </w:tc>
        <w:tc>
          <w:tcPr>
            <w:tcW w:w="120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2022</w:t>
            </w:r>
          </w:p>
        </w:tc>
        <w:tc>
          <w:tcPr>
            <w:tcW w:w="1200" w:type="dxa"/>
            <w:vAlign w:val="bottom"/>
            <w:shd w:val="clear" w:color="auto" w:fill="CCEEFF"/>
          </w:tcPr>
          <w:p>
            <w:pPr>
              <w:spacing w:after="0"/>
              <w:rPr>
                <w:sz w:val="18"/>
                <w:szCs w:val="18"/>
                <w:color w:val="auto"/>
              </w:rPr>
            </w:pPr>
          </w:p>
        </w:tc>
        <w:tc>
          <w:tcPr>
            <w:tcW w:w="3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120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1200" w:type="dxa"/>
            <w:vAlign w:val="bottom"/>
            <w:shd w:val="clear" w:color="auto" w:fill="CCEEFF"/>
          </w:tcPr>
          <w:p>
            <w:pPr>
              <w:spacing w:after="0"/>
              <w:rPr>
                <w:sz w:val="18"/>
                <w:szCs w:val="18"/>
                <w:color w:val="auto"/>
              </w:rPr>
            </w:pPr>
          </w:p>
        </w:tc>
        <w:tc>
          <w:tcPr>
            <w:tcW w:w="3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future lease payments, undiscounted</w:t>
            </w:r>
          </w:p>
        </w:tc>
        <w:tc>
          <w:tcPr>
            <w:tcW w:w="3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3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23"/>
        </w:trPr>
        <w:tc>
          <w:tcPr>
            <w:tcW w:w="3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Present value of operating lease payments</w:t>
            </w:r>
          </w:p>
        </w:tc>
        <w:tc>
          <w:tcPr>
            <w:tcW w:w="3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1"/>
        </w:trPr>
        <w:tc>
          <w:tcPr>
            <w:tcW w:w="22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Operating Leases - future payments</w:t>
            </w:r>
          </w:p>
        </w:tc>
        <w:tc>
          <w:tcPr>
            <w:tcW w:w="1200" w:type="dxa"/>
            <w:vAlign w:val="bottom"/>
            <w:vMerge w:val="restart"/>
          </w:tcPr>
          <w:p>
            <w:pPr>
              <w:spacing w:after="0"/>
              <w:rPr>
                <w:sz w:val="24"/>
                <w:szCs w:val="24"/>
                <w:color w:val="auto"/>
              </w:rPr>
            </w:pPr>
          </w:p>
        </w:tc>
        <w:tc>
          <w:tcPr>
            <w:tcW w:w="3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0" w:type="dxa"/>
            <w:vAlign w:val="bottom"/>
          </w:tcPr>
          <w:p>
            <w:pPr>
              <w:spacing w:after="0"/>
              <w:rPr>
                <w:sz w:val="1"/>
                <w:szCs w:val="1"/>
                <w:color w:val="auto"/>
              </w:rPr>
            </w:pPr>
          </w:p>
        </w:tc>
      </w:tr>
      <w:tr>
        <w:trPr>
          <w:trHeight w:val="180"/>
        </w:trPr>
        <w:tc>
          <w:tcPr>
            <w:tcW w:w="2220" w:type="dxa"/>
            <w:vAlign w:val="bottom"/>
            <w:tcBorders>
              <w:bottom w:val="single" w:sz="8" w:color="auto"/>
            </w:tcBorders>
            <w:vMerge w:val="continue"/>
          </w:tcPr>
          <w:p>
            <w:pPr>
              <w:spacing w:after="0"/>
              <w:rPr>
                <w:sz w:val="15"/>
                <w:szCs w:val="15"/>
                <w:color w:val="auto"/>
              </w:rPr>
            </w:pPr>
          </w:p>
        </w:tc>
        <w:tc>
          <w:tcPr>
            <w:tcW w:w="1200" w:type="dxa"/>
            <w:vAlign w:val="bottom"/>
            <w:vMerge w:val="continue"/>
          </w:tcPr>
          <w:p>
            <w:pPr>
              <w:spacing w:after="0"/>
              <w:rPr>
                <w:sz w:val="15"/>
                <w:szCs w:val="15"/>
                <w:color w:val="auto"/>
              </w:rPr>
            </w:pPr>
          </w:p>
        </w:tc>
        <w:tc>
          <w:tcPr>
            <w:tcW w:w="3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ind w:right="233"/>
              <w:spacing w:after="0" w:line="160" w:lineRule="exact"/>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42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2020 (remaining six months)</w:t>
            </w:r>
          </w:p>
        </w:tc>
        <w:tc>
          <w:tcPr>
            <w:tcW w:w="35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24</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2021</w:t>
            </w:r>
          </w:p>
        </w:tc>
        <w:tc>
          <w:tcPr>
            <w:tcW w:w="120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2022</w:t>
            </w:r>
          </w:p>
        </w:tc>
        <w:tc>
          <w:tcPr>
            <w:tcW w:w="1200" w:type="dxa"/>
            <w:vAlign w:val="bottom"/>
            <w:shd w:val="clear" w:color="auto" w:fill="CCEEFF"/>
          </w:tcPr>
          <w:p>
            <w:pPr>
              <w:spacing w:after="0"/>
              <w:rPr>
                <w:sz w:val="18"/>
                <w:szCs w:val="18"/>
                <w:color w:val="auto"/>
              </w:rPr>
            </w:pPr>
          </w:p>
        </w:tc>
        <w:tc>
          <w:tcPr>
            <w:tcW w:w="3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120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1200" w:type="dxa"/>
            <w:vAlign w:val="bottom"/>
            <w:shd w:val="clear" w:color="auto" w:fill="CCEEFF"/>
          </w:tcPr>
          <w:p>
            <w:pPr>
              <w:spacing w:after="0"/>
              <w:rPr>
                <w:sz w:val="18"/>
                <w:szCs w:val="18"/>
                <w:color w:val="auto"/>
              </w:rPr>
            </w:pPr>
          </w:p>
        </w:tc>
        <w:tc>
          <w:tcPr>
            <w:tcW w:w="350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future lease payments, undiscounted</w:t>
            </w:r>
          </w:p>
        </w:tc>
        <w:tc>
          <w:tcPr>
            <w:tcW w:w="3500" w:type="dxa"/>
            <w:vAlign w:val="bottom"/>
          </w:tcPr>
          <w:p>
            <w:pPr>
              <w:spacing w:after="0"/>
              <w:rPr>
                <w:sz w:val="19"/>
                <w:szCs w:val="19"/>
                <w:color w:val="auto"/>
              </w:rPr>
            </w:pPr>
          </w:p>
        </w:tc>
        <w:tc>
          <w:tcPr>
            <w:tcW w:w="180" w:type="dxa"/>
            <w:vAlign w:val="bottom"/>
            <w:gridSpan w:val="2"/>
          </w:tcPr>
          <w:p>
            <w:pPr>
              <w:jc w:val="right"/>
              <w:ind w:right="10"/>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3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(183)</w:t>
            </w:r>
          </w:p>
        </w:tc>
        <w:tc>
          <w:tcPr>
            <w:tcW w:w="0" w:type="dxa"/>
            <w:vAlign w:val="bottom"/>
          </w:tcPr>
          <w:p>
            <w:pPr>
              <w:spacing w:after="0"/>
              <w:rPr>
                <w:sz w:val="1"/>
                <w:szCs w:val="1"/>
                <w:color w:val="auto"/>
              </w:rPr>
            </w:pPr>
          </w:p>
        </w:tc>
      </w:tr>
      <w:tr>
        <w:trPr>
          <w:trHeight w:val="223"/>
        </w:trPr>
        <w:tc>
          <w:tcPr>
            <w:tcW w:w="3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Present value of operating lease payments</w:t>
            </w:r>
          </w:p>
        </w:tc>
        <w:tc>
          <w:tcPr>
            <w:tcW w:w="3500" w:type="dxa"/>
            <w:vAlign w:val="bottom"/>
          </w:tcPr>
          <w:p>
            <w:pPr>
              <w:spacing w:after="0"/>
              <w:rPr>
                <w:sz w:val="19"/>
                <w:szCs w:val="19"/>
                <w:color w:val="auto"/>
              </w:rPr>
            </w:pPr>
          </w:p>
        </w:tc>
        <w:tc>
          <w:tcPr>
            <w:tcW w:w="180" w:type="dxa"/>
            <w:vAlign w:val="bottom"/>
            <w:tcBorders>
              <w:top w:val="single" w:sz="8" w:color="auto"/>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180" w:type="dxa"/>
            <w:vAlign w:val="bottom"/>
            <w:tcBorders>
              <w:bottom w:val="single" w:sz="8" w:color="auto"/>
            </w:tcBorders>
            <w:gridSpan w:val="2"/>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680" w:type="dxa"/>
            <w:vAlign w:val="bottom"/>
            <w:gridSpan w:val="3"/>
          </w:tcPr>
          <w:p>
            <w:pPr>
              <w:jc w:val="right"/>
              <w:ind w:right="2870"/>
              <w:spacing w:after="0"/>
              <w:rPr>
                <w:sz w:val="20"/>
                <w:szCs w:val="20"/>
                <w:color w:val="auto"/>
              </w:rPr>
            </w:pPr>
            <w:r>
              <w:rPr>
                <w:rFonts w:ascii="Times New Roman" w:cs="Times New Roman" w:eastAsia="Times New Roman" w:hAnsi="Times New Roman"/>
                <w:sz w:val="18"/>
                <w:szCs w:val="18"/>
                <w:color w:val="auto"/>
              </w:rPr>
              <w:t>F-29</w:t>
            </w: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00"/>
          </w:cols>
          <w:pgMar w:left="320" w:top="455" w:right="479" w:bottom="1440" w:gutter="0" w:footer="0" w:header="0"/>
        </w:sectPr>
      </w:pPr>
    </w:p>
    <w:bookmarkStart w:id="241" w:name="page242"/>
    <w:bookmarkEnd w:id="24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TARSUS PHARMACEUTICALS, INC.</w:t>
      </w:r>
    </w:p>
    <w:p>
      <w:pPr>
        <w:spacing w:after="0" w:line="22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NOTES TO THE FINANCIAL STATEMENTS</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(Information as of June 30, 2020 and thereafter and for the six months ended June 30, 2019 and 2020 is unaudited; all tabular amounts</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presented in thousands, except share, per share, per unit, and number of years)</w:t>
      </w:r>
    </w:p>
    <w:p>
      <w:pPr>
        <w:spacing w:after="0" w:line="2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 In-License Agreement for Lotilaner</w:t>
      </w:r>
    </w:p>
    <w:p>
      <w:pPr>
        <w:spacing w:after="0" w:line="229" w:lineRule="exact"/>
        <w:rPr>
          <w:sz w:val="20"/>
          <w:szCs w:val="20"/>
          <w:color w:val="auto"/>
        </w:rPr>
      </w:pPr>
    </w:p>
    <w:p>
      <w:pPr>
        <w:ind w:left="120" w:right="320" w:firstLine="881"/>
        <w:spacing w:after="0" w:line="261" w:lineRule="auto"/>
        <w:rPr>
          <w:sz w:val="20"/>
          <w:szCs w:val="20"/>
          <w:color w:val="auto"/>
        </w:rPr>
      </w:pPr>
      <w:r>
        <w:rPr>
          <w:rFonts w:ascii="Times New Roman" w:cs="Times New Roman" w:eastAsia="Times New Roman" w:hAnsi="Times New Roman"/>
          <w:sz w:val="18"/>
          <w:szCs w:val="18"/>
          <w:color w:val="auto"/>
        </w:rPr>
        <w:t xml:space="preserve">In January 2019, the Company entered into a license agreement with Elanco Tiergesundheit AG (“Elanco”), granting the Company a worldwide, sublicensable license for the development and marketing of lotilaner for the treatment or cure of any eye or skin disease or condition in humans (see </w:t>
      </w:r>
      <w:r>
        <w:rPr>
          <w:rFonts w:ascii="Times New Roman" w:cs="Times New Roman" w:eastAsia="Times New Roman" w:hAnsi="Times New Roman"/>
          <w:sz w:val="18"/>
          <w:szCs w:val="18"/>
          <w:i w:val="1"/>
          <w:iCs w:val="1"/>
          <w:color w:val="auto"/>
        </w:rPr>
        <w:t>Note 12</w:t>
      </w:r>
      <w:r>
        <w:rPr>
          <w:rFonts w:ascii="Times New Roman" w:cs="Times New Roman" w:eastAsia="Times New Roman" w:hAnsi="Times New Roman"/>
          <w:sz w:val="18"/>
          <w:szCs w:val="18"/>
          <w:color w:val="auto"/>
        </w:rPr>
        <w:t>) (the “Field”). Under this agreement, the Company has sole responsibility for development, regulatory, and commercialization activities for lotilaner in the Field.</w:t>
      </w:r>
    </w:p>
    <w:p>
      <w:pPr>
        <w:spacing w:after="0" w:line="180" w:lineRule="exact"/>
        <w:rPr>
          <w:sz w:val="20"/>
          <w:szCs w:val="20"/>
          <w:color w:val="auto"/>
        </w:rPr>
      </w:pPr>
    </w:p>
    <w:p>
      <w:pPr>
        <w:jc w:val="both"/>
        <w:ind w:left="120" w:right="260" w:firstLine="881"/>
        <w:spacing w:after="0" w:line="257" w:lineRule="auto"/>
        <w:rPr>
          <w:sz w:val="20"/>
          <w:szCs w:val="20"/>
          <w:color w:val="auto"/>
        </w:rPr>
      </w:pPr>
      <w:r>
        <w:rPr>
          <w:rFonts w:ascii="Times New Roman" w:cs="Times New Roman" w:eastAsia="Times New Roman" w:hAnsi="Times New Roman"/>
          <w:sz w:val="18"/>
          <w:szCs w:val="18"/>
          <w:color w:val="auto"/>
        </w:rPr>
        <w:t>The Company made a $1.0 million upfront payment at contract execution which is reported within “research and development” expense within the accompanying statements of operations and comprehensive loss for the six months ended June 30, 2019 and the year ended December 31, 2019. The Company agreed to make further payments to Elanco upon achievement of various clinical milestones for an aggregate maximum of</w:t>
      </w:r>
    </w:p>
    <w:p>
      <w:pPr>
        <w:spacing w:after="0" w:line="1" w:lineRule="exact"/>
        <w:rPr>
          <w:sz w:val="20"/>
          <w:szCs w:val="20"/>
          <w:color w:val="auto"/>
        </w:rPr>
      </w:pPr>
    </w:p>
    <w:p>
      <w:pPr>
        <w:ind w:left="120" w:right="80"/>
        <w:spacing w:after="0" w:line="253" w:lineRule="auto"/>
        <w:rPr>
          <w:sz w:val="20"/>
          <w:szCs w:val="20"/>
          <w:color w:val="auto"/>
        </w:rPr>
      </w:pPr>
      <w:r>
        <w:rPr>
          <w:rFonts w:ascii="Times New Roman" w:cs="Times New Roman" w:eastAsia="Times New Roman" w:hAnsi="Times New Roman"/>
          <w:sz w:val="18"/>
          <w:szCs w:val="18"/>
          <w:color w:val="auto"/>
        </w:rPr>
        <w:t>$6.0 million and various commercial and sales threshold milestones for an aggregate maximum of $79.0 million. In addition, the Company is obligated to pay contractual royalties to Elanco in the single digits of its future net sales. If the Company receives payments from future sublicensees, it is obligated to pay Elanco a variable percentage in the low to mid double-digits of such proceeds, except for territories in which the Company achieved regulatory approval prior to sublicense execution.</w:t>
      </w:r>
    </w:p>
    <w:p>
      <w:pPr>
        <w:spacing w:after="0" w:line="1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 Employment Agreements</w:t>
      </w:r>
    </w:p>
    <w:p>
      <w:pPr>
        <w:spacing w:after="0" w:line="229" w:lineRule="exact"/>
        <w:rPr>
          <w:sz w:val="20"/>
          <w:szCs w:val="20"/>
          <w:color w:val="auto"/>
        </w:rPr>
      </w:pPr>
    </w:p>
    <w:p>
      <w:pPr>
        <w:ind w:left="120" w:firstLine="881"/>
        <w:spacing w:after="0" w:line="266" w:lineRule="auto"/>
        <w:rPr>
          <w:sz w:val="20"/>
          <w:szCs w:val="20"/>
          <w:color w:val="auto"/>
        </w:rPr>
      </w:pPr>
      <w:r>
        <w:rPr>
          <w:rFonts w:ascii="Times New Roman" w:cs="Times New Roman" w:eastAsia="Times New Roman" w:hAnsi="Times New Roman"/>
          <w:sz w:val="18"/>
          <w:szCs w:val="18"/>
          <w:color w:val="auto"/>
        </w:rPr>
        <w:t>The Company has entered into employment agreements with four of its named executive officers. These agreements provide for the payment of certain benefits upon separation of employment under specified circumstances, such as in connection with a change in control event or other significant transaction.</w:t>
      </w:r>
    </w:p>
    <w:p>
      <w:pPr>
        <w:spacing w:after="0" w:line="1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 Contingencies</w:t>
      </w:r>
    </w:p>
    <w:p>
      <w:pPr>
        <w:spacing w:after="0" w:line="229" w:lineRule="exact"/>
        <w:rPr>
          <w:sz w:val="20"/>
          <w:szCs w:val="20"/>
          <w:color w:val="auto"/>
        </w:rPr>
      </w:pPr>
    </w:p>
    <w:p>
      <w:pPr>
        <w:ind w:left="120" w:right="120" w:firstLine="881"/>
        <w:spacing w:after="0" w:line="266" w:lineRule="auto"/>
        <w:rPr>
          <w:sz w:val="20"/>
          <w:szCs w:val="20"/>
          <w:color w:val="auto"/>
        </w:rPr>
      </w:pPr>
      <w:r>
        <w:rPr>
          <w:rFonts w:ascii="Times New Roman" w:cs="Times New Roman" w:eastAsia="Times New Roman" w:hAnsi="Times New Roman"/>
          <w:sz w:val="18"/>
          <w:szCs w:val="18"/>
          <w:color w:val="auto"/>
        </w:rPr>
        <w:t>From time to time, the Company may be subject to various litigation and related matters arising in the ordinary course of business. The Company is currently not aware of any such matters where there is at least a reasonable probability that a material loss has been or will be incurred for financial statement recognition.</w:t>
      </w:r>
    </w:p>
    <w:p>
      <w:pPr>
        <w:spacing w:after="0" w:line="1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 Indemnities and Guarantees</w:t>
      </w:r>
    </w:p>
    <w:p>
      <w:pPr>
        <w:spacing w:after="0" w:line="229" w:lineRule="exact"/>
        <w:rPr>
          <w:sz w:val="20"/>
          <w:szCs w:val="20"/>
          <w:color w:val="auto"/>
        </w:rPr>
      </w:pPr>
    </w:p>
    <w:p>
      <w:pPr>
        <w:ind w:left="120" w:firstLine="881"/>
        <w:spacing w:after="0" w:line="261" w:lineRule="auto"/>
        <w:rPr>
          <w:sz w:val="20"/>
          <w:szCs w:val="20"/>
          <w:color w:val="auto"/>
        </w:rPr>
      </w:pPr>
      <w:r>
        <w:rPr>
          <w:rFonts w:ascii="Times New Roman" w:cs="Times New Roman" w:eastAsia="Times New Roman" w:hAnsi="Times New Roman"/>
          <w:sz w:val="18"/>
          <w:szCs w:val="18"/>
          <w:color w:val="auto"/>
        </w:rPr>
        <w:t>The Company has certain indemnity commitments, under which it may be required to make payments to its officers and directors in relation to certain transactions to the maximum extent permitted under applicable laws. The duration of these indemnities varies, and in certain cases, is indefinite and does not provide for any limitation of maximum payments. The Company has not been obligated to make any such payments to date and no liabilities have been recorded for this contingency in the accompanying balance sheets.</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F-30</w:t>
      </w:r>
    </w:p>
    <w:p>
      <w:pPr>
        <w:sectPr>
          <w:pgSz w:w="11900" w:h="16838" w:orient="portrait"/>
          <w:cols w:equalWidth="0" w:num="1">
            <w:col w:w="11080"/>
          </w:cols>
          <w:pgMar w:left="320" w:top="455" w:right="499" w:bottom="1440" w:gutter="0" w:footer="0" w:header="0"/>
        </w:sectPr>
      </w:pPr>
    </w:p>
    <w:bookmarkStart w:id="242" w:name="page243"/>
    <w:bookmarkEnd w:id="24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TARSUS PHARMACEUTICALS, INC.</w:t>
      </w:r>
    </w:p>
    <w:p>
      <w:pPr>
        <w:spacing w:after="0" w:line="22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NOTES TO THE FINANCIAL STATEMENTS</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(Information as of June 30, 2020 and thereafter and for the six months ended June 30, 2019 and 2020 is unaudited; all tabular amounts</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presented in thousands, except share, per share, per unit, and number of years)</w:t>
      </w:r>
    </w:p>
    <w:p>
      <w:pPr>
        <w:spacing w:after="0" w:line="2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11. INCOME TAXES</w:t>
      </w:r>
    </w:p>
    <w:p>
      <w:pPr>
        <w:spacing w:after="0" w:line="229" w:lineRule="exact"/>
        <w:rPr>
          <w:sz w:val="20"/>
          <w:szCs w:val="20"/>
          <w:color w:val="auto"/>
        </w:rPr>
      </w:pPr>
    </w:p>
    <w:p>
      <w:pPr>
        <w:ind w:left="120" w:right="280" w:firstLine="881"/>
        <w:spacing w:after="0" w:line="282" w:lineRule="auto"/>
        <w:rPr>
          <w:sz w:val="20"/>
          <w:szCs w:val="20"/>
          <w:color w:val="auto"/>
        </w:rPr>
      </w:pPr>
      <w:r>
        <w:rPr>
          <w:rFonts w:ascii="Times New Roman" w:cs="Times New Roman" w:eastAsia="Times New Roman" w:hAnsi="Times New Roman"/>
          <w:sz w:val="18"/>
          <w:szCs w:val="18"/>
          <w:color w:val="auto"/>
        </w:rPr>
        <w:t>A reconciliation of income taxes was computed by applying the statutory federal income tax rate in each period to the pretax loss for the years ended December 31, 2018 and 2019, and as adjusted for certain classes of transactions, as summarized below:</w:t>
      </w:r>
    </w:p>
    <w:p>
      <w:pPr>
        <w:spacing w:after="0" w:line="182" w:lineRule="exact"/>
        <w:rPr>
          <w:sz w:val="20"/>
          <w:szCs w:val="20"/>
          <w:color w:val="auto"/>
        </w:rPr>
      </w:pPr>
    </w:p>
    <w:p>
      <w:pPr>
        <w:jc w:val="center"/>
        <w:ind w:left="6280"/>
        <w:spacing w:after="0"/>
        <w:rPr>
          <w:sz w:val="20"/>
          <w:szCs w:val="20"/>
          <w:color w:val="auto"/>
        </w:rPr>
      </w:pPr>
      <w:r>
        <w:rPr>
          <w:rFonts w:ascii="Times New Roman" w:cs="Times New Roman" w:eastAsia="Times New Roman" w:hAnsi="Times New Roman"/>
          <w:sz w:val="14"/>
          <w:szCs w:val="14"/>
          <w:b w:val="1"/>
          <w:bCs w:val="1"/>
          <w:color w:val="auto"/>
        </w:rPr>
        <w:t>Year Ended</w:t>
      </w:r>
    </w:p>
    <w:p>
      <w:pPr>
        <w:jc w:val="center"/>
        <w:ind w:left="628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166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42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3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Pr>
          <w:p>
            <w:pPr>
              <w:spacing w:after="0"/>
              <w:rPr>
                <w:sz w:val="12"/>
                <w:szCs w:val="12"/>
                <w:color w:val="auto"/>
              </w:rPr>
            </w:pPr>
          </w:p>
        </w:tc>
      </w:tr>
      <w:tr>
        <w:trPr>
          <w:trHeight w:val="209"/>
        </w:trPr>
        <w:tc>
          <w:tcPr>
            <w:tcW w:w="20" w:type="dxa"/>
            <w:vAlign w:val="bottom"/>
          </w:tcPr>
          <w:p>
            <w:pPr>
              <w:spacing w:after="0"/>
              <w:rPr>
                <w:sz w:val="18"/>
                <w:szCs w:val="18"/>
                <w:color w:val="auto"/>
              </w:rPr>
            </w:pPr>
          </w:p>
        </w:tc>
        <w:tc>
          <w:tcPr>
            <w:tcW w:w="47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tax benefit at statutory rate</w:t>
            </w:r>
          </w:p>
        </w:tc>
        <w:tc>
          <w:tcPr>
            <w:tcW w:w="16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1"/>
              </w:rPr>
              <w:t>(277)</w:t>
            </w:r>
          </w:p>
        </w:tc>
        <w:tc>
          <w:tcPr>
            <w:tcW w:w="3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1"/>
              </w:rPr>
              <w:t>(981)</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State income tax, net of federal benefit</w:t>
            </w:r>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(89)</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Permanent items</w:t>
            </w:r>
          </w:p>
        </w:tc>
        <w:tc>
          <w:tcPr>
            <w:tcW w:w="1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credits</w:t>
            </w:r>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(56)</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extinguishment of convertible notes</w:t>
            </w:r>
          </w:p>
        </w:tc>
        <w:tc>
          <w:tcPr>
            <w:tcW w:w="1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Non-deductible interest</w:t>
            </w:r>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16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915</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1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1"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Significant components of the deferred tax assets and liabilities at December 31, 2018 and 2019, are presented below:</w:t>
      </w:r>
    </w:p>
    <w:p>
      <w:pPr>
        <w:spacing w:after="0" w:line="233" w:lineRule="exact"/>
        <w:rPr>
          <w:sz w:val="20"/>
          <w:szCs w:val="20"/>
          <w:color w:val="auto"/>
        </w:rPr>
      </w:pPr>
    </w:p>
    <w:tbl>
      <w:tblPr>
        <w:tblLayout w:type="fixed"/>
        <w:tblInd w:w="16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9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9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800" w:type="dxa"/>
            <w:vAlign w:val="bottom"/>
            <w:gridSpan w:val="5"/>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20" w:type="dxa"/>
            <w:vAlign w:val="bottom"/>
            <w:tcBorders>
              <w:bottom w:val="single" w:sz="8" w:color="CCEEFF"/>
            </w:tcBorders>
          </w:tcPr>
          <w:p>
            <w:pPr>
              <w:spacing w:after="0"/>
              <w:rPr>
                <w:sz w:val="12"/>
                <w:szCs w:val="12"/>
                <w:color w:val="auto"/>
              </w:rPr>
            </w:pPr>
          </w:p>
        </w:tc>
        <w:tc>
          <w:tcPr>
            <w:tcW w:w="1200" w:type="dxa"/>
            <w:vAlign w:val="bottom"/>
            <w:tcBorders>
              <w:bottom w:val="single" w:sz="8" w:color="CCEEFF"/>
            </w:tcBorders>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70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52"/>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9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Deferred tax assets:</w:t>
            </w:r>
          </w:p>
        </w:tc>
        <w:tc>
          <w:tcPr>
            <w:tcW w:w="12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Net operating loss carry forwards</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$ 348</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credit carryforwards</w:t>
            </w:r>
          </w:p>
        </w:tc>
        <w:tc>
          <w:tcPr>
            <w:tcW w:w="1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net</w:t>
            </w:r>
          </w:p>
        </w:tc>
        <w:tc>
          <w:tcPr>
            <w:tcW w:w="1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deferred tax assets before valuation allowance</w:t>
            </w:r>
          </w:p>
        </w:tc>
        <w:tc>
          <w:tcPr>
            <w:tcW w:w="1200" w:type="dxa"/>
            <w:vAlign w:val="bottom"/>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7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valuation allowance</w:t>
            </w:r>
          </w:p>
        </w:tc>
        <w:tc>
          <w:tcPr>
            <w:tcW w:w="2320" w:type="dxa"/>
            <w:vAlign w:val="bottom"/>
            <w:gridSpan w:val="3"/>
            <w:shd w:val="clear" w:color="auto" w:fill="CCEEFF"/>
          </w:tcPr>
          <w:p>
            <w:pPr>
              <w:jc w:val="right"/>
              <w:ind w:right="556"/>
              <w:spacing w:after="0"/>
              <w:rPr>
                <w:sz w:val="20"/>
                <w:szCs w:val="20"/>
                <w:color w:val="auto"/>
              </w:rPr>
            </w:pPr>
            <w:r>
              <w:rPr>
                <w:rFonts w:ascii="Times New Roman" w:cs="Times New Roman" w:eastAsia="Times New Roman" w:hAnsi="Times New Roman"/>
                <w:sz w:val="18"/>
                <w:szCs w:val="18"/>
                <w:color w:val="auto"/>
              </w:rPr>
              <w:t>(424)</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8"/>
              </w:rPr>
              <w:t>(1,338)</w:t>
            </w:r>
          </w:p>
        </w:tc>
        <w:tc>
          <w:tcPr>
            <w:tcW w:w="0" w:type="dxa"/>
            <w:vAlign w:val="bottom"/>
          </w:tcPr>
          <w:p>
            <w:pPr>
              <w:spacing w:after="0"/>
              <w:rPr>
                <w:sz w:val="1"/>
                <w:szCs w:val="1"/>
                <w:color w:val="auto"/>
              </w:rPr>
            </w:pPr>
          </w:p>
        </w:tc>
      </w:tr>
      <w:tr>
        <w:trPr>
          <w:trHeight w:val="223"/>
        </w:trPr>
        <w:tc>
          <w:tcPr>
            <w:tcW w:w="4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deferred tax assets</w:t>
            </w:r>
          </w:p>
        </w:tc>
        <w:tc>
          <w:tcPr>
            <w:tcW w:w="120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liabilities, net:</w:t>
            </w:r>
          </w:p>
        </w:tc>
        <w:tc>
          <w:tcPr>
            <w:tcW w:w="1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right-of-use asset</w:t>
            </w:r>
          </w:p>
        </w:tc>
        <w:tc>
          <w:tcPr>
            <w:tcW w:w="1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deferred tax asset</w:t>
            </w:r>
          </w:p>
        </w:tc>
        <w:tc>
          <w:tcPr>
            <w:tcW w:w="1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firstLine="881"/>
        <w:spacing w:after="0" w:line="256" w:lineRule="auto"/>
        <w:rPr>
          <w:sz w:val="20"/>
          <w:szCs w:val="20"/>
          <w:color w:val="auto"/>
        </w:rPr>
      </w:pPr>
      <w:r>
        <w:rPr>
          <w:rFonts w:ascii="Times New Roman" w:cs="Times New Roman" w:eastAsia="Times New Roman" w:hAnsi="Times New Roman"/>
          <w:sz w:val="18"/>
          <w:szCs w:val="18"/>
          <w:color w:val="auto"/>
        </w:rPr>
        <w:t>Deferred income taxes reflect the net tax effects of temporary differences between the carrying amount of assets and liabilities for financial reporting purposes and the amounts used for income tax purposes. The Company maintains a full valuation allowance against its net deferred tax assets due to the uncertainty that such assets will be realized and evaluates the recoverability of its deferred tax assets on at least an annual basis. The Company has determined that its deferred tax assets, with the exception of amounts supported by the reversal of taxable temporary differences, are not realizable. Consequently, the Company has recorded a valuation allowance on deferred tax assets of $0.4 million and $1.3 million at December 31, 2018 and 2019, respectively</w:t>
      </w:r>
    </w:p>
    <w:p>
      <w:pPr>
        <w:spacing w:after="0" w:line="1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F-31</w:t>
      </w:r>
    </w:p>
    <w:p>
      <w:pPr>
        <w:sectPr>
          <w:pgSz w:w="11900" w:h="16838" w:orient="portrait"/>
          <w:cols w:equalWidth="0" w:num="1">
            <w:col w:w="11100"/>
          </w:cols>
          <w:pgMar w:left="320" w:top="455" w:right="479" w:bottom="1440" w:gutter="0" w:footer="0" w:header="0"/>
        </w:sectPr>
      </w:pPr>
    </w:p>
    <w:bookmarkStart w:id="243" w:name="page244"/>
    <w:bookmarkEnd w:id="24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TARSUS PHARMACEUTICALS, INC.</w:t>
      </w:r>
    </w:p>
    <w:p>
      <w:pPr>
        <w:spacing w:after="0" w:line="22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THE FINANCIAL STATEMENTS</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(Information as of June 30, 2020 and thereafter and for the six months ended June 30, 2019 and 2020 is unaudited; all tabular amounts</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presented in thousands, except share, per share, per unit, and number of years)</w:t>
      </w:r>
    </w:p>
    <w:p>
      <w:pPr>
        <w:spacing w:after="0" w:line="234"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At December 31, 2019, the Company has federal and California net operating loss carryforwards of approximately $4.2 million and</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$1.3 million, respectively. As a result of the Tax Cuts and Jobs Act of 2017 (the Tax Act), for U.S. income tax purposes, net operating losses generated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prior to December 31, 2017 can be carried forward for up to 20 years, while net operating losses generated after December 31, 2017 can be carried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forward indefinitely, but are limited to 80% utilization against taxable income. The Company’s total federal net operating loss of $4.2 million includes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$45 thousand that will begin to expire in 2037 and $4.1 million that will not expire but will only be able to be offset 80% of future taxable income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within each year. The California net operating losses will begin to expire in 2037. At December 31, 2019, the Company had federal and California</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research and development tax credits of $0.1 million each. The federal research and development tax credits begin to expire in 2037 unless previously</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utilized, and the California credit carryforwards are available indefinitely.</w:t>
      </w:r>
    </w:p>
    <w:p>
      <w:pPr>
        <w:spacing w:after="0" w:line="207" w:lineRule="exact"/>
        <w:rPr>
          <w:sz w:val="20"/>
          <w:szCs w:val="20"/>
          <w:color w:val="auto"/>
        </w:rPr>
      </w:pPr>
    </w:p>
    <w:p>
      <w:pPr>
        <w:ind w:left="120" w:right="40" w:firstLine="881"/>
        <w:spacing w:after="0" w:line="256" w:lineRule="auto"/>
        <w:rPr>
          <w:sz w:val="20"/>
          <w:szCs w:val="20"/>
          <w:color w:val="auto"/>
        </w:rPr>
      </w:pPr>
      <w:r>
        <w:rPr>
          <w:rFonts w:ascii="Times New Roman" w:cs="Times New Roman" w:eastAsia="Times New Roman" w:hAnsi="Times New Roman"/>
          <w:sz w:val="18"/>
          <w:szCs w:val="18"/>
          <w:color w:val="auto"/>
        </w:rPr>
        <w:t>The Internal Revenue Code (IRC) Sections 382 and 383 limit annual use of NOL and research and development credit carryforwards in the event a cumulative change in ownership of more than 50% occurs within a three-year period. The Company has not yet completed an ownership change analysis. If a requisite ownership change occurs, the amount of remaining tax attribute carryforwards available to offset taxable income and income tax expense in future years may be restricted or eliminated. If eliminated, the related asset would be removed from deferred tax assets with a corresponding reduction in the valuation allowance. Due to the existence of the valuation allowance, limitations created by future ownership changes, if any, will not impact the Company’s effective tax rate.</w:t>
      </w:r>
    </w:p>
    <w:p>
      <w:pPr>
        <w:spacing w:after="0" w:line="187" w:lineRule="exact"/>
        <w:rPr>
          <w:sz w:val="20"/>
          <w:szCs w:val="20"/>
          <w:color w:val="auto"/>
        </w:rPr>
      </w:pPr>
    </w:p>
    <w:p>
      <w:pPr>
        <w:ind w:left="120" w:firstLine="881"/>
        <w:spacing w:after="0" w:line="261" w:lineRule="auto"/>
        <w:rPr>
          <w:sz w:val="20"/>
          <w:szCs w:val="20"/>
          <w:color w:val="auto"/>
        </w:rPr>
      </w:pPr>
      <w:r>
        <w:rPr>
          <w:rFonts w:ascii="Times New Roman" w:cs="Times New Roman" w:eastAsia="Times New Roman" w:hAnsi="Times New Roman"/>
          <w:sz w:val="18"/>
          <w:szCs w:val="18"/>
          <w:color w:val="auto"/>
        </w:rPr>
        <w:t>Uncertain tax positions are evaluated based upon the facts and circumstances that exist at each reporting period. Subsequent changes in judgement based upon new information may lead to changes in recognition, derecognition, and measurement. Adjustment may result, for example, upon resolution of an issue with the taxing authorities or expiration of a statute of limitations barring an assessment for an issue. The Company recognizes a tax benefit from an uncertain tax position when it is more-likely-than-not that it will be sustained upon examination by tax authorities.</w:t>
      </w:r>
    </w:p>
    <w:p>
      <w:pPr>
        <w:spacing w:after="0" w:line="180"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The following table summarizes the changes to the gross unrecognized tax benefits for the years ended December 31, 2018 and 2019:</w:t>
      </w:r>
    </w:p>
    <w:p>
      <w:pPr>
        <w:spacing w:after="0" w:line="246" w:lineRule="exact"/>
        <w:rPr>
          <w:sz w:val="20"/>
          <w:szCs w:val="20"/>
          <w:color w:val="auto"/>
        </w:rPr>
      </w:pPr>
    </w:p>
    <w:p>
      <w:pPr>
        <w:jc w:val="center"/>
        <w:ind w:left="6600"/>
        <w:spacing w:after="0"/>
        <w:rPr>
          <w:sz w:val="20"/>
          <w:szCs w:val="20"/>
          <w:color w:val="auto"/>
        </w:rPr>
      </w:pPr>
      <w:r>
        <w:rPr>
          <w:rFonts w:ascii="Times New Roman" w:cs="Times New Roman" w:eastAsia="Times New Roman" w:hAnsi="Times New Roman"/>
          <w:sz w:val="14"/>
          <w:szCs w:val="14"/>
          <w:b w:val="1"/>
          <w:bCs w:val="1"/>
          <w:color w:val="auto"/>
        </w:rPr>
        <w:t>Year Ended</w:t>
      </w:r>
    </w:p>
    <w:p>
      <w:pPr>
        <w:jc w:val="center"/>
        <w:ind w:left="660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166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36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84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2019</w:t>
            </w:r>
          </w:p>
        </w:tc>
        <w:tc>
          <w:tcPr>
            <w:tcW w:w="60" w:type="dxa"/>
            <w:vAlign w:val="bottom"/>
          </w:tcPr>
          <w:p>
            <w:pPr>
              <w:spacing w:after="0"/>
              <w:rPr>
                <w:sz w:val="12"/>
                <w:szCs w:val="12"/>
                <w:color w:val="auto"/>
              </w:rPr>
            </w:pPr>
          </w:p>
        </w:tc>
      </w:tr>
      <w:tr>
        <w:trPr>
          <w:trHeight w:val="209"/>
        </w:trPr>
        <w:tc>
          <w:tcPr>
            <w:tcW w:w="20" w:type="dxa"/>
            <w:vAlign w:val="bottom"/>
          </w:tcPr>
          <w:p>
            <w:pPr>
              <w:spacing w:after="0"/>
              <w:rPr>
                <w:sz w:val="18"/>
                <w:szCs w:val="18"/>
                <w:color w:val="auto"/>
              </w:rPr>
            </w:pPr>
          </w:p>
        </w:tc>
        <w:tc>
          <w:tcPr>
            <w:tcW w:w="48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18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80" w:type="dxa"/>
            <w:vAlign w:val="bottom"/>
            <w:tcBorders>
              <w:top w:val="single" w:sz="8" w:color="auto"/>
            </w:tcBorders>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9"/>
              </w:rPr>
              <w:t>—</w:t>
            </w:r>
          </w:p>
        </w:tc>
        <w:tc>
          <w:tcPr>
            <w:tcW w:w="5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$ 20</w:t>
            </w:r>
          </w:p>
        </w:tc>
        <w:tc>
          <w:tcPr>
            <w:tcW w:w="60" w:type="dxa"/>
            <w:vAlign w:val="bottom"/>
            <w:tcBorders>
              <w:top w:val="single" w:sz="8" w:color="CCEEFF"/>
            </w:tcBorders>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Additions related to current year positions</w:t>
            </w:r>
          </w:p>
        </w:tc>
        <w:tc>
          <w:tcPr>
            <w:tcW w:w="18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520" w:type="dxa"/>
            <w:vAlign w:val="bottom"/>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end of year</w:t>
            </w:r>
          </w:p>
        </w:tc>
        <w:tc>
          <w:tcPr>
            <w:tcW w:w="1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$ 33</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100" w:firstLine="881"/>
        <w:spacing w:after="0" w:line="261" w:lineRule="auto"/>
        <w:rPr>
          <w:sz w:val="20"/>
          <w:szCs w:val="20"/>
          <w:color w:val="auto"/>
        </w:rPr>
      </w:pPr>
      <w:r>
        <w:rPr>
          <w:rFonts w:ascii="Times New Roman" w:cs="Times New Roman" w:eastAsia="Times New Roman" w:hAnsi="Times New Roman"/>
          <w:sz w:val="18"/>
          <w:szCs w:val="18"/>
          <w:color w:val="auto"/>
        </w:rPr>
        <w:t>The Company is subject to taxation in the United States and California. All tax years from inception are subject to examination by federal and state tax authorities. The Company’s practice is to recognize interest and penalties related to income tax matters in income tax expense. No interest or penalties related to income tax matters have been incurred at December 31, 2018 and 2019 and the years then ended. Further, the Company is not currently under examination by any federal, state, or local tax authority.</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F-32</w:t>
      </w:r>
    </w:p>
    <w:p>
      <w:pPr>
        <w:sectPr>
          <w:pgSz w:w="11900" w:h="16838" w:orient="portrait"/>
          <w:cols w:equalWidth="0" w:num="1">
            <w:col w:w="11100"/>
          </w:cols>
          <w:pgMar w:left="320" w:top="455" w:right="479" w:bottom="1440" w:gutter="0" w:footer="0" w:header="0"/>
        </w:sectPr>
      </w:pPr>
    </w:p>
    <w:bookmarkStart w:id="244" w:name="page245"/>
    <w:bookmarkEnd w:id="24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TARSUS PHARMACEUTICALS, INC.</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THE FINANCIAL STATEMENTS</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(Information as of June 30, 2020 and thereafter and for the six months ended June 30, 2019 and 2020 is unaudited; all tabular amounts</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presented in thousands, except share, per share, per unit, and number of years)</w:t>
      </w:r>
    </w:p>
    <w:p>
      <w:pPr>
        <w:spacing w:after="0" w:line="2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12. SUBSEQUENT EVENTS</w:t>
      </w:r>
    </w:p>
    <w:p>
      <w:pPr>
        <w:spacing w:after="0" w:line="229" w:lineRule="exact"/>
        <w:rPr>
          <w:sz w:val="20"/>
          <w:szCs w:val="20"/>
          <w:color w:val="auto"/>
        </w:rPr>
      </w:pPr>
    </w:p>
    <w:p>
      <w:pPr>
        <w:ind w:left="120" w:right="540" w:firstLine="881"/>
        <w:spacing w:after="0" w:line="282" w:lineRule="auto"/>
        <w:rPr>
          <w:sz w:val="20"/>
          <w:szCs w:val="20"/>
          <w:color w:val="auto"/>
        </w:rPr>
      </w:pPr>
      <w:r>
        <w:rPr>
          <w:rFonts w:ascii="Times New Roman" w:cs="Times New Roman" w:eastAsia="Times New Roman" w:hAnsi="Times New Roman"/>
          <w:sz w:val="18"/>
          <w:szCs w:val="18"/>
          <w:color w:val="auto"/>
        </w:rPr>
        <w:t>Subsequent events have been evaluated for recognition and measurement purposes through August 7, 2020, which is the date that the financial statements were available to be issued.</w:t>
      </w:r>
    </w:p>
    <w:p>
      <w:pPr>
        <w:spacing w:after="0" w:line="162" w:lineRule="exact"/>
        <w:rPr>
          <w:sz w:val="20"/>
          <w:szCs w:val="20"/>
          <w:color w:val="auto"/>
        </w:rPr>
      </w:pPr>
    </w:p>
    <w:p>
      <w:pPr>
        <w:ind w:left="120" w:firstLine="881"/>
        <w:spacing w:after="0" w:line="266" w:lineRule="auto"/>
        <w:rPr>
          <w:sz w:val="20"/>
          <w:szCs w:val="20"/>
          <w:color w:val="auto"/>
        </w:rPr>
      </w:pPr>
      <w:r>
        <w:rPr>
          <w:rFonts w:ascii="Times New Roman" w:cs="Times New Roman" w:eastAsia="Times New Roman" w:hAnsi="Times New Roman"/>
          <w:sz w:val="18"/>
          <w:szCs w:val="18"/>
          <w:color w:val="auto"/>
        </w:rPr>
        <w:t>In preparing the interim financial statements as of June 30, 2020 and for the six months ended June 30, 2019 and 2020, the Company has evaluated subsequent events through September 25, 2020, which is the date that the financial statements were available to be issued. Except as described below, the Company has concluded that no events or transactions have occurred that require disclosure.</w:t>
      </w:r>
    </w:p>
    <w:p>
      <w:pPr>
        <w:spacing w:after="0" w:line="1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Expansion of the In-license for Lotilaner</w:t>
      </w:r>
    </w:p>
    <w:p>
      <w:pPr>
        <w:spacing w:after="0" w:line="229" w:lineRule="exact"/>
        <w:rPr>
          <w:sz w:val="20"/>
          <w:szCs w:val="20"/>
          <w:color w:val="auto"/>
        </w:rPr>
      </w:pPr>
    </w:p>
    <w:p>
      <w:pPr>
        <w:ind w:left="120" w:right="140" w:firstLine="881"/>
        <w:spacing w:after="0" w:line="266" w:lineRule="auto"/>
        <w:rPr>
          <w:sz w:val="20"/>
          <w:szCs w:val="20"/>
          <w:color w:val="auto"/>
        </w:rPr>
      </w:pPr>
      <w:r>
        <w:rPr>
          <w:rFonts w:ascii="Times New Roman" w:cs="Times New Roman" w:eastAsia="Times New Roman" w:hAnsi="Times New Roman"/>
          <w:sz w:val="18"/>
          <w:szCs w:val="18"/>
          <w:color w:val="auto"/>
        </w:rPr>
        <w:t xml:space="preserve">On September 3, 2020, the Company executed a new exclusive license agreement with Elanco, granting the Company an exclusive, worldwide, sublicensable license to certain intellectual property for the development, marketing, and commercialization of lotilaner for all applications in humans beyond the treatment, palliation, prevention or cure of any eye or skin disease or condition (see </w:t>
      </w:r>
      <w:r>
        <w:rPr>
          <w:rFonts w:ascii="Times New Roman" w:cs="Times New Roman" w:eastAsia="Times New Roman" w:hAnsi="Times New Roman"/>
          <w:sz w:val="18"/>
          <w:szCs w:val="18"/>
          <w:i w:val="1"/>
          <w:iCs w:val="1"/>
          <w:color w:val="auto"/>
        </w:rPr>
        <w:t>Note 10(b)</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left="120" w:right="60" w:firstLine="881"/>
        <w:spacing w:after="0" w:line="266" w:lineRule="auto"/>
        <w:rPr>
          <w:sz w:val="20"/>
          <w:szCs w:val="20"/>
          <w:color w:val="auto"/>
        </w:rPr>
      </w:pPr>
      <w:r>
        <w:rPr>
          <w:rFonts w:ascii="Times New Roman" w:cs="Times New Roman" w:eastAsia="Times New Roman" w:hAnsi="Times New Roman"/>
          <w:sz w:val="18"/>
          <w:szCs w:val="18"/>
          <w:color w:val="auto"/>
        </w:rPr>
        <w:t>The Company issued Elanco 1.7 million shares of its common stock pursuant to the terms of the agreement. In addition, upon the 18-month anniversary of contract execution, if not terminated by the Company, it is obligated to grant Elanco additional shares that aggregate $3.0 million, valued as of the Company’s initial public offering on a per share basis, in accordance with the terms of this agreement.</w:t>
      </w:r>
    </w:p>
    <w:p>
      <w:pPr>
        <w:spacing w:after="0" w:line="1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Clinical Milestone Achievement and Payment Due to Licensor</w:t>
      </w:r>
    </w:p>
    <w:p>
      <w:pPr>
        <w:spacing w:after="0" w:line="229" w:lineRule="exact"/>
        <w:rPr>
          <w:sz w:val="20"/>
          <w:szCs w:val="20"/>
          <w:color w:val="auto"/>
        </w:rPr>
      </w:pPr>
    </w:p>
    <w:p>
      <w:pPr>
        <w:ind w:left="120" w:right="160" w:firstLine="881"/>
        <w:spacing w:after="0" w:line="266" w:lineRule="auto"/>
        <w:rPr>
          <w:sz w:val="20"/>
          <w:szCs w:val="20"/>
          <w:color w:val="auto"/>
        </w:rPr>
      </w:pPr>
      <w:r>
        <w:rPr>
          <w:rFonts w:ascii="Times New Roman" w:cs="Times New Roman" w:eastAsia="Times New Roman" w:hAnsi="Times New Roman"/>
          <w:sz w:val="18"/>
          <w:szCs w:val="18"/>
          <w:color w:val="auto"/>
        </w:rPr>
        <w:t xml:space="preserve">On September 9, 2020, patient enrollment commenced in the Company’s Phase 2b/3 clinical trial for the treatment of Demodex blepharitis. The Company has made its required $1.0 million payment in the third quarter of 2020 relating to the achievement of this clinical milestone under the terms of its in-license agreement for lotilaner (see </w:t>
      </w:r>
      <w:r>
        <w:rPr>
          <w:rFonts w:ascii="Times New Roman" w:cs="Times New Roman" w:eastAsia="Times New Roman" w:hAnsi="Times New Roman"/>
          <w:sz w:val="18"/>
          <w:szCs w:val="18"/>
          <w:i w:val="1"/>
          <w:iCs w:val="1"/>
          <w:color w:val="auto"/>
        </w:rPr>
        <w:t>Note 10(b)</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Series C Preferred Stock Issuance</w:t>
      </w:r>
    </w:p>
    <w:p>
      <w:pPr>
        <w:spacing w:after="0" w:line="229" w:lineRule="exact"/>
        <w:rPr>
          <w:sz w:val="20"/>
          <w:szCs w:val="20"/>
          <w:color w:val="auto"/>
        </w:rPr>
      </w:pPr>
    </w:p>
    <w:p>
      <w:pPr>
        <w:ind w:left="120" w:right="120" w:firstLine="881"/>
        <w:spacing w:after="0" w:line="255" w:lineRule="auto"/>
        <w:rPr>
          <w:sz w:val="20"/>
          <w:szCs w:val="20"/>
          <w:color w:val="auto"/>
        </w:rPr>
      </w:pPr>
      <w:r>
        <w:rPr>
          <w:rFonts w:ascii="Times New Roman" w:cs="Times New Roman" w:eastAsia="Times New Roman" w:hAnsi="Times New Roman"/>
          <w:sz w:val="18"/>
          <w:szCs w:val="18"/>
          <w:color w:val="auto"/>
        </w:rPr>
        <w:t>In September 2020, as part of the Series C Preferred Stock Purchase Agreement, the Company issued an aggregate of 21,221,280 shares of its Series C Preferred Stock at a purchase price of $1.8849 per share for aggregate gross proceeds of approximately $40.0 million from certain new and existing investors. Each share of Series C Preferred Stock will automatically convert into one share of the Company’s common stock upon the completion of this offering. The rights and preferences of the Series C Preferred Stock are similar to those of the Series B Preferred Stock, except that</w:t>
      </w:r>
    </w:p>
    <w:p>
      <w:pPr>
        <w:spacing w:after="0" w:line="3" w:lineRule="exact"/>
        <w:rPr>
          <w:sz w:val="20"/>
          <w:szCs w:val="20"/>
          <w:color w:val="auto"/>
        </w:rPr>
      </w:pPr>
    </w:p>
    <w:p>
      <w:pPr>
        <w:ind w:left="120" w:hanging="4"/>
        <w:spacing w:after="0" w:line="253" w:lineRule="auto"/>
        <w:tabs>
          <w:tab w:leader="none" w:pos="335"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Original Issue Price for Series C Preferred Stock is $1.8849 per share and (ii) the holders of a majority of the Series B Preferred Stock and the Series C Preferred Stock, voting together as a single class, are entitled to elect two members to the Company’s Board of Directors. Also, the defined “qualified public offering” within the Company’s Amended and Restated Certificate of Incorporation, requiring the conversion of all preferred stock into common stock, was increased to be net proceeds of not less than $75 million. The Company also entered into an Amended and Restated Investors’ Rights Agreement, Voting Agreement and Right of First Refusal and Co-Sale Agreement.</w:t>
      </w:r>
    </w:p>
    <w:p>
      <w:pPr>
        <w:spacing w:after="0" w:line="1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F-33</w:t>
      </w:r>
    </w:p>
    <w:p>
      <w:pPr>
        <w:sectPr>
          <w:pgSz w:w="11900" w:h="16838" w:orient="portrait"/>
          <w:cols w:equalWidth="0" w:num="1">
            <w:col w:w="11120"/>
          </w:cols>
          <w:pgMar w:left="320" w:top="455" w:right="459" w:bottom="1440" w:gutter="0" w:footer="0" w:header="0"/>
        </w:sectPr>
      </w:pPr>
    </w:p>
    <w:bookmarkStart w:id="245" w:name="page246"/>
    <w:bookmarkEnd w:id="24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TARSUS PHARMACEUTICALS, INC.</w:t>
      </w:r>
    </w:p>
    <w:p>
      <w:pPr>
        <w:spacing w:after="0" w:line="22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NOTES TO THE FINANCIAL STATEMENTS</w:t>
      </w:r>
    </w:p>
    <w:p>
      <w:pPr>
        <w:spacing w:after="0" w:line="3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(Information as of June 30, 2020 and thereafter and for the six months ended June 30, 2019 and 2020 is unaudited; all tabular amounts</w:t>
      </w:r>
    </w:p>
    <w:p>
      <w:pPr>
        <w:spacing w:after="0" w:line="9"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presented in thousands, except share, per share, per unit, and number of years)</w:t>
      </w:r>
    </w:p>
    <w:p>
      <w:pPr>
        <w:spacing w:after="0" w:line="2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Increase in Authorized Shares of Common Stock and Preferred Stock</w:t>
      </w:r>
    </w:p>
    <w:p>
      <w:pPr>
        <w:spacing w:after="0" w:line="229" w:lineRule="exact"/>
        <w:rPr>
          <w:sz w:val="20"/>
          <w:szCs w:val="20"/>
          <w:color w:val="auto"/>
        </w:rPr>
      </w:pPr>
    </w:p>
    <w:p>
      <w:pPr>
        <w:ind w:left="120" w:firstLine="881"/>
        <w:spacing w:after="0" w:line="266" w:lineRule="auto"/>
        <w:rPr>
          <w:sz w:val="20"/>
          <w:szCs w:val="20"/>
          <w:color w:val="auto"/>
        </w:rPr>
      </w:pPr>
      <w:r>
        <w:rPr>
          <w:rFonts w:ascii="Times New Roman" w:cs="Times New Roman" w:eastAsia="Times New Roman" w:hAnsi="Times New Roman"/>
          <w:sz w:val="18"/>
          <w:szCs w:val="18"/>
          <w:color w:val="auto"/>
        </w:rPr>
        <w:t>In September 2020, the Company effected an increase in the number of authorized shares of its common stock from 103,000,000 shares to 130,000,000 shares and an increase in the number of authorized shares of its preferred stock from 61,698,716 shares to 82,498,619 shares, of which 21,221,280 shares were designated as Series C Preferred Stock.</w:t>
      </w:r>
    </w:p>
    <w:p>
      <w:pPr>
        <w:spacing w:after="0" w:line="108"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F-34</w:t>
      </w:r>
    </w:p>
    <w:p>
      <w:pPr>
        <w:sectPr>
          <w:pgSz w:w="11900" w:h="16838" w:orient="portrait"/>
          <w:cols w:equalWidth="0" w:num="1">
            <w:col w:w="10960"/>
          </w:cols>
          <w:pgMar w:left="320" w:top="455" w:right="619" w:bottom="1440" w:gutter="0" w:footer="0" w:header="0"/>
        </w:sectPr>
      </w:pPr>
    </w:p>
    <w:bookmarkStart w:id="246" w:name="page247"/>
    <w:bookmarkEnd w:id="24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225425</wp:posOffset>
            </wp:positionV>
            <wp:extent cx="6995160"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267970</wp:posOffset>
            </wp:positionV>
            <wp:extent cx="6995160"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120" w:firstLine="881"/>
        <w:spacing w:after="0" w:line="266" w:lineRule="auto"/>
        <w:rPr>
          <w:sz w:val="20"/>
          <w:szCs w:val="20"/>
          <w:color w:val="auto"/>
        </w:rPr>
      </w:pPr>
      <w:r>
        <w:rPr>
          <w:rFonts w:ascii="Times New Roman" w:cs="Times New Roman" w:eastAsia="Times New Roman" w:hAnsi="Times New Roman"/>
          <w:sz w:val="18"/>
          <w:szCs w:val="18"/>
          <w:color w:val="auto"/>
        </w:rPr>
        <w:t>Through and including , 2020, (the 25th day after the date of this prospectus), all dealers effecting transactions in the Common Stock, whether or not participating in this offering, may be required to deliver a prospectus. This delivery requirement is in addition to a dealer’s obligation to deliver a prospectus when acting as an underwriter and with respect to an unsold allotment or subscription.</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29"/>
          <w:szCs w:val="29"/>
          <w:b w:val="1"/>
          <w:b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2790825</wp:posOffset>
            </wp:positionH>
            <wp:positionV relativeFrom="paragraph">
              <wp:posOffset>361315</wp:posOffset>
            </wp:positionV>
            <wp:extent cx="1568450" cy="130302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1568450" cy="1303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25"/>
          <w:szCs w:val="25"/>
          <w:b w:val="1"/>
          <w:bCs w:val="1"/>
          <w:color w:val="auto"/>
        </w:rPr>
        <w:t>Tarsus Pharmaceuticals, Inc.</w:t>
      </w:r>
    </w:p>
    <w:p>
      <w:pPr>
        <w:spacing w:after="0" w:line="226"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25"/>
          <w:szCs w:val="25"/>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624205</wp:posOffset>
            </wp:positionV>
            <wp:extent cx="1405890"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140589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88265</wp:posOffset>
            </wp:positionV>
            <wp:extent cx="1405890"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140589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29"/>
          <w:szCs w:val="29"/>
          <w:b w:val="1"/>
          <w:bCs w:val="1"/>
          <w:color w:val="auto"/>
        </w:rPr>
        <w:t>BofA Securities</w:t>
      </w:r>
    </w:p>
    <w:p>
      <w:pPr>
        <w:spacing w:after="0" w:line="301"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29"/>
          <w:szCs w:val="29"/>
          <w:b w:val="1"/>
          <w:bCs w:val="1"/>
          <w:color w:val="auto"/>
        </w:rPr>
        <w:t>Jefferies</w:t>
      </w:r>
    </w:p>
    <w:p>
      <w:pPr>
        <w:spacing w:after="0" w:line="315"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29"/>
          <w:szCs w:val="29"/>
          <w:b w:val="1"/>
          <w:bCs w:val="1"/>
          <w:color w:val="auto"/>
        </w:rPr>
        <w:t>Raymond James</w:t>
      </w:r>
    </w:p>
    <w:p>
      <w:pPr>
        <w:spacing w:after="0" w:line="321"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22"/>
          <w:szCs w:val="22"/>
          <w:b w:val="1"/>
          <w:bCs w:val="1"/>
          <w:color w:val="auto"/>
        </w:rPr>
        <w:t>LifeSci Capital</w:t>
      </w:r>
    </w:p>
    <w:p>
      <w:pPr>
        <w:spacing w:after="0" w:line="287"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22"/>
          <w:szCs w:val="22"/>
          <w:b w:val="1"/>
          <w:bCs w:val="1"/>
          <w:color w:val="auto"/>
        </w:rPr>
        <w:t>Ladenburg Thalmann</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b w:val="1"/>
          <w:bCs w:val="1"/>
          <w:color w:val="auto"/>
        </w:rPr>
        <w:t>,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182880</wp:posOffset>
            </wp:positionV>
            <wp:extent cx="6995160"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225425</wp:posOffset>
            </wp:positionV>
            <wp:extent cx="6995160"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0"/>
          </w:cols>
          <w:pgMar w:left="320" w:top="455" w:right="559" w:bottom="1440" w:gutter="0" w:footer="0" w:header="0"/>
        </w:sectPr>
      </w:pPr>
    </w:p>
    <w:bookmarkStart w:id="247" w:name="page248"/>
    <w:bookmarkEnd w:id="24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13. Other Expenses of Issuance and Distribution</w:t>
      </w:r>
    </w:p>
    <w:p>
      <w:pPr>
        <w:spacing w:after="0" w:line="229" w:lineRule="exact"/>
        <w:rPr>
          <w:sz w:val="20"/>
          <w:szCs w:val="20"/>
          <w:color w:val="auto"/>
        </w:rPr>
      </w:pPr>
    </w:p>
    <w:p>
      <w:pPr>
        <w:ind w:left="120" w:right="220" w:firstLine="881"/>
        <w:spacing w:after="0" w:line="266" w:lineRule="auto"/>
        <w:rPr>
          <w:sz w:val="20"/>
          <w:szCs w:val="20"/>
          <w:color w:val="auto"/>
        </w:rPr>
      </w:pPr>
      <w:r>
        <w:rPr>
          <w:rFonts w:ascii="Times New Roman" w:cs="Times New Roman" w:eastAsia="Times New Roman" w:hAnsi="Times New Roman"/>
          <w:sz w:val="18"/>
          <w:szCs w:val="18"/>
          <w:color w:val="auto"/>
        </w:rPr>
        <w:t>The following table presents the costs and expenses, other than underwriting discounts and commissions, payable in connection with this offering. All amounts are estimates except the SEC registration fee, the Financial Industry Regulatory Authority, Inc., or FINRA, filing fee and the Nasdaq Global Market listing fee. Except as otherwise noted, all the expenses below will be paid by us.</w:t>
      </w:r>
    </w:p>
    <w:p>
      <w:pPr>
        <w:spacing w:after="0" w:line="221"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 registration fee</w:t>
            </w:r>
          </w:p>
        </w:tc>
        <w:tc>
          <w:tcPr>
            <w:tcW w:w="2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r>
      <w:tr>
        <w:trPr>
          <w:trHeight w:val="216"/>
        </w:trPr>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FINRA filing fee</w:t>
            </w:r>
          </w:p>
        </w:tc>
        <w:tc>
          <w:tcPr>
            <w:tcW w:w="2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r>
      <w:tr>
        <w:trPr>
          <w:trHeight w:val="216"/>
        </w:trPr>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Nasdaq Global Market listing fee</w:t>
            </w:r>
          </w:p>
        </w:tc>
        <w:tc>
          <w:tcPr>
            <w:tcW w:w="2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r>
      <w:tr>
        <w:trPr>
          <w:trHeight w:val="216"/>
        </w:trPr>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Printing and engraving expenses</w:t>
            </w:r>
          </w:p>
        </w:tc>
        <w:tc>
          <w:tcPr>
            <w:tcW w:w="2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r>
      <w:tr>
        <w:trPr>
          <w:trHeight w:val="216"/>
        </w:trPr>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Legal fees and expenses</w:t>
            </w:r>
          </w:p>
        </w:tc>
        <w:tc>
          <w:tcPr>
            <w:tcW w:w="2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r>
      <w:tr>
        <w:trPr>
          <w:trHeight w:val="216"/>
        </w:trPr>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Accounting fees and expenses</w:t>
            </w:r>
          </w:p>
        </w:tc>
        <w:tc>
          <w:tcPr>
            <w:tcW w:w="2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r>
      <w:tr>
        <w:trPr>
          <w:trHeight w:val="216"/>
        </w:trPr>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Transfer agent and registrar fees</w:t>
            </w:r>
          </w:p>
        </w:tc>
        <w:tc>
          <w:tcPr>
            <w:tcW w:w="2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r>
      <w:tr>
        <w:trPr>
          <w:trHeight w:val="223"/>
        </w:trPr>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Miscellaneous fees and expenses</w:t>
            </w:r>
          </w:p>
        </w:tc>
        <w:tc>
          <w:tcPr>
            <w:tcW w:w="24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r>
      <w:tr>
        <w:trPr>
          <w:trHeight w:val="216"/>
        </w:trPr>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r>
      <w:tr>
        <w:trPr>
          <w:trHeight w:val="20"/>
        </w:trPr>
        <w:tc>
          <w:tcPr>
            <w:tcW w:w="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180" w:type="dxa"/>
            <w:vAlign w:val="bottom"/>
            <w:gridSpan w:val="2"/>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29"/>
        </w:trPr>
        <w:tc>
          <w:tcPr>
            <w:tcW w:w="26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5180" w:type="dxa"/>
            <w:vAlign w:val="bottom"/>
            <w:gridSpan w:val="2"/>
          </w:tcPr>
          <w:p>
            <w:pPr>
              <w:spacing w:after="0"/>
              <w:rPr>
                <w:sz w:val="11"/>
                <w:szCs w:val="11"/>
                <w:color w:val="auto"/>
              </w:rPr>
            </w:pPr>
          </w:p>
        </w:tc>
        <w:tc>
          <w:tcPr>
            <w:tcW w:w="2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250"/>
        </w:trPr>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614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To be completed by amendment.</w:t>
            </w:r>
          </w:p>
        </w:tc>
        <w:tc>
          <w:tcPr>
            <w:tcW w:w="24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 w:type="dxa"/>
            <w:vAlign w:val="bottom"/>
          </w:tcPr>
          <w:p>
            <w:pPr>
              <w:spacing w:after="0"/>
              <w:rPr>
                <w:sz w:val="21"/>
                <w:szCs w:val="21"/>
                <w:color w:val="auto"/>
              </w:rPr>
            </w:pPr>
          </w:p>
        </w:tc>
      </w:tr>
    </w:tbl>
    <w:p>
      <w:pPr>
        <w:spacing w:after="0" w:line="1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14. Indemnification of Directors and Officers</w:t>
      </w:r>
    </w:p>
    <w:p>
      <w:pPr>
        <w:spacing w:after="0" w:line="229" w:lineRule="exact"/>
        <w:rPr>
          <w:sz w:val="20"/>
          <w:szCs w:val="20"/>
          <w:color w:val="auto"/>
        </w:rPr>
      </w:pPr>
    </w:p>
    <w:p>
      <w:pPr>
        <w:ind w:left="120" w:right="40" w:firstLine="881"/>
        <w:spacing w:after="0" w:line="261" w:lineRule="auto"/>
        <w:rPr>
          <w:sz w:val="20"/>
          <w:szCs w:val="20"/>
          <w:color w:val="auto"/>
        </w:rPr>
      </w:pPr>
      <w:r>
        <w:rPr>
          <w:rFonts w:ascii="Times New Roman" w:cs="Times New Roman" w:eastAsia="Times New Roman" w:hAnsi="Times New Roman"/>
          <w:sz w:val="18"/>
          <w:szCs w:val="18"/>
          <w:color w:val="auto"/>
        </w:rPr>
        <w:t>Section 145 of the Delaware General Corporation Law authorizes a court to award, or a corporation’s board of directors to grant, indemnity to directors and officers under certain circumstances and subject to certain limitations. The terms of Section 145 of the Delaware General Corporation Law are sufficiently broad to permit indemnification under certain circumstances for liabilities, including reimbursement of expenses incurred, arising under the Securities Act of 1933, as amended (the “Securities Act”).</w:t>
      </w:r>
    </w:p>
    <w:p>
      <w:pPr>
        <w:spacing w:after="0" w:line="180" w:lineRule="exact"/>
        <w:rPr>
          <w:sz w:val="20"/>
          <w:szCs w:val="20"/>
          <w:color w:val="auto"/>
        </w:rPr>
      </w:pPr>
    </w:p>
    <w:p>
      <w:pPr>
        <w:ind w:left="120" w:firstLine="881"/>
        <w:spacing w:after="0" w:line="261" w:lineRule="auto"/>
        <w:rPr>
          <w:sz w:val="20"/>
          <w:szCs w:val="20"/>
          <w:color w:val="auto"/>
        </w:rPr>
      </w:pPr>
      <w:r>
        <w:rPr>
          <w:rFonts w:ascii="Times New Roman" w:cs="Times New Roman" w:eastAsia="Times New Roman" w:hAnsi="Times New Roman"/>
          <w:sz w:val="18"/>
          <w:szCs w:val="18"/>
          <w:color w:val="auto"/>
        </w:rPr>
        <w:t>As permitted by the Delaware General Corporation Law, our amended and restated certificate of incorporation and amended and restated bylaws contain provisions relating to the limitation of liability and indemnification of directors and officers. The amended and restated certificate of incorporation provides that our directors will not be personally liable to us or our stockholders for monetary damages for any breach of fiduciary duty as a director, except for liability:</w:t>
      </w:r>
    </w:p>
    <w:p>
      <w:pPr>
        <w:spacing w:after="0" w:line="207" w:lineRule="exact"/>
        <w:rPr>
          <w:sz w:val="20"/>
          <w:szCs w:val="20"/>
          <w:color w:val="auto"/>
        </w:rPr>
      </w:pPr>
    </w:p>
    <w:p>
      <w:pPr>
        <w:ind w:left="1420" w:hanging="319"/>
        <w:spacing w:after="0"/>
        <w:tabs>
          <w:tab w:leader="none" w:pos="142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breach of the director’s duty of loyalty to us or our stockholders;</w:t>
      </w:r>
    </w:p>
    <w:p>
      <w:pPr>
        <w:spacing w:after="0" w:line="252"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acts or omissions not in good faith or that involve intentional misconduct or a knowing violation of law;</w:t>
      </w:r>
    </w:p>
    <w:p>
      <w:pPr>
        <w:spacing w:after="0" w:line="252" w:lineRule="exact"/>
        <w:rPr>
          <w:rFonts w:ascii="Times New Roman" w:cs="Times New Roman" w:eastAsia="Times New Roman" w:hAnsi="Times New Roman"/>
          <w:sz w:val="18"/>
          <w:szCs w:val="18"/>
          <w:color w:val="auto"/>
        </w:rPr>
      </w:pPr>
    </w:p>
    <w:p>
      <w:pPr>
        <w:ind w:left="1420" w:right="660" w:hanging="319"/>
        <w:spacing w:after="0" w:line="282" w:lineRule="auto"/>
        <w:tabs>
          <w:tab w:leader="none" w:pos="142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respect of unlawful payments of dividends or unlawful stock repurchases or redemptions as provided in Section 174 of the Delaware General Corporation Law; or</w:t>
      </w:r>
    </w:p>
    <w:p>
      <w:pPr>
        <w:spacing w:after="0" w:line="188" w:lineRule="exact"/>
        <w:rPr>
          <w:rFonts w:ascii="Times New Roman" w:cs="Times New Roman" w:eastAsia="Times New Roman" w:hAnsi="Times New Roman"/>
          <w:sz w:val="18"/>
          <w:szCs w:val="18"/>
          <w:color w:val="auto"/>
        </w:rPr>
      </w:pPr>
    </w:p>
    <w:p>
      <w:pPr>
        <w:ind w:left="1420" w:hanging="319"/>
        <w:spacing w:after="0"/>
        <w:tabs>
          <w:tab w:leader="none" w:pos="142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transaction from which the director derives any improper personal benefit.</w:t>
      </w:r>
    </w:p>
    <w:p>
      <w:pPr>
        <w:spacing w:after="0" w:line="225" w:lineRule="exact"/>
        <w:rPr>
          <w:sz w:val="20"/>
          <w:szCs w:val="20"/>
          <w:color w:val="auto"/>
        </w:rPr>
      </w:pPr>
    </w:p>
    <w:p>
      <w:pPr>
        <w:jc w:val="both"/>
        <w:ind w:left="120" w:right="80" w:firstLine="881"/>
        <w:spacing w:after="0" w:line="266" w:lineRule="auto"/>
        <w:rPr>
          <w:sz w:val="20"/>
          <w:szCs w:val="20"/>
          <w:color w:val="auto"/>
        </w:rPr>
      </w:pPr>
      <w:r>
        <w:rPr>
          <w:rFonts w:ascii="Times New Roman" w:cs="Times New Roman" w:eastAsia="Times New Roman" w:hAnsi="Times New Roman"/>
          <w:sz w:val="18"/>
          <w:szCs w:val="18"/>
          <w:color w:val="auto"/>
        </w:rPr>
        <w:t>Our amended and restated certificate of incorporation also provides that if Delaware law is amended after the approval by our stockholders of the certificate of incorporation to authorize corporate action further eliminating or limiting the personal liability of directors, then the liability of our directors will be eliminated or limited to the fullest extent permitted by Delaware law.</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II-1</w:t>
      </w:r>
    </w:p>
    <w:p>
      <w:pPr>
        <w:sectPr>
          <w:pgSz w:w="11900" w:h="16838" w:orient="portrait"/>
          <w:cols w:equalWidth="0" w:num="1">
            <w:col w:w="11080"/>
          </w:cols>
          <w:pgMar w:left="320" w:top="455" w:right="499" w:bottom="1440" w:gutter="0" w:footer="0" w:header="0"/>
        </w:sectPr>
      </w:pPr>
    </w:p>
    <w:bookmarkStart w:id="248" w:name="page249"/>
    <w:bookmarkEnd w:id="24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881"/>
        <w:spacing w:after="0" w:line="258" w:lineRule="auto"/>
        <w:rPr>
          <w:sz w:val="20"/>
          <w:szCs w:val="20"/>
          <w:color w:val="auto"/>
        </w:rPr>
      </w:pPr>
      <w:r>
        <w:rPr>
          <w:rFonts w:ascii="Times New Roman" w:cs="Times New Roman" w:eastAsia="Times New Roman" w:hAnsi="Times New Roman"/>
          <w:sz w:val="18"/>
          <w:szCs w:val="18"/>
          <w:color w:val="auto"/>
        </w:rPr>
        <w:t>Our amended and restated bylaws provide that we will indemnify our directors and officers to the fullest extent permitted by Delaware law, as it now exists or may in the future be amended, against all expenses and liabilities reasonably incurred in connection with their service for or on our behalf. Our amended and restated bylaws provide that we shall advance the expenses incurred by a director or officer in advance of the final disposition of an action or proceeding, and permit us to secure insurance on behalf of any director, officer, employee, or other enterprise agent for any liability arising out of his or her action in that capacity, whether or not Delaware law would otherwise permit indemnification.</w:t>
      </w:r>
    </w:p>
    <w:p>
      <w:pPr>
        <w:spacing w:after="0" w:line="183" w:lineRule="exact"/>
        <w:rPr>
          <w:sz w:val="20"/>
          <w:szCs w:val="20"/>
          <w:color w:val="auto"/>
        </w:rPr>
      </w:pPr>
    </w:p>
    <w:p>
      <w:pPr>
        <w:ind w:left="120" w:right="20" w:firstLine="881"/>
        <w:spacing w:after="0" w:line="256" w:lineRule="auto"/>
        <w:rPr>
          <w:sz w:val="20"/>
          <w:szCs w:val="20"/>
          <w:color w:val="auto"/>
        </w:rPr>
      </w:pPr>
      <w:r>
        <w:rPr>
          <w:rFonts w:ascii="Times New Roman" w:cs="Times New Roman" w:eastAsia="Times New Roman" w:hAnsi="Times New Roman"/>
          <w:sz w:val="18"/>
          <w:szCs w:val="18"/>
          <w:color w:val="auto"/>
        </w:rPr>
        <w:t>We intend to enter into indemnification agreements with each of our directors and executive officers and certain other key employees, a form of which is attached as Exhibit 10.1. The form of agreement provides that we will indemnify each of our directors, executive officers and such other key employees against any and all expenses incurred by that director, executive officer, or other key employee because of his or her status as one of our directors, executive officers, or other key employees, to the fullest extent permitted by Delaware law, our restated certificate of incorporation and our amended and restated bylaws. In addition, the form agreement provides that, to the fullest extent permitted by Delaware law, we will advance all expenses incurred by our directors, executive officers and other key employees in connection with a legal proceeding.</w:t>
      </w:r>
    </w:p>
    <w:p>
      <w:pPr>
        <w:spacing w:after="0" w:line="187" w:lineRule="exact"/>
        <w:rPr>
          <w:sz w:val="20"/>
          <w:szCs w:val="20"/>
          <w:color w:val="auto"/>
        </w:rPr>
      </w:pPr>
    </w:p>
    <w:p>
      <w:pPr>
        <w:ind w:left="120" w:right="80" w:firstLine="881"/>
        <w:spacing w:after="0" w:line="266" w:lineRule="auto"/>
        <w:rPr>
          <w:sz w:val="20"/>
          <w:szCs w:val="20"/>
          <w:color w:val="auto"/>
        </w:rPr>
      </w:pPr>
      <w:r>
        <w:rPr>
          <w:rFonts w:ascii="Times New Roman" w:cs="Times New Roman" w:eastAsia="Times New Roman" w:hAnsi="Times New Roman"/>
          <w:sz w:val="18"/>
          <w:szCs w:val="18"/>
          <w:color w:val="auto"/>
        </w:rPr>
        <w:t>Reference is made to the underwriting agreement contained in Exhibit 1.1 to this registration statement, indemnifying our directors and officers against limited liabilities. In addition, Section 2.8 of our amended and restated investors’ rights agreement, or the IRA contained in Exhibit 4.2 to this registration statement provides for indemnification of certain of our stockholders against liabilities described in our IRA.</w:t>
      </w:r>
    </w:p>
    <w:p>
      <w:pPr>
        <w:spacing w:after="0" w:line="176"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We currently carry and intend to continue to carry liability insurance for our directors and officers.</w:t>
      </w:r>
    </w:p>
    <w:p>
      <w:pPr>
        <w:spacing w:after="0" w:line="2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15. Recent Sales of Unregistered Securities</w:t>
      </w:r>
    </w:p>
    <w:p>
      <w:pPr>
        <w:spacing w:after="0" w:line="229" w:lineRule="exact"/>
        <w:rPr>
          <w:sz w:val="20"/>
          <w:szCs w:val="20"/>
          <w:color w:val="auto"/>
        </w:rPr>
      </w:pPr>
    </w:p>
    <w:p>
      <w:pPr>
        <w:ind w:left="120" w:right="520" w:firstLine="881"/>
        <w:spacing w:after="0" w:line="266" w:lineRule="auto"/>
        <w:rPr>
          <w:sz w:val="20"/>
          <w:szCs w:val="20"/>
          <w:color w:val="auto"/>
        </w:rPr>
      </w:pPr>
      <w:r>
        <w:rPr>
          <w:rFonts w:ascii="Times New Roman" w:cs="Times New Roman" w:eastAsia="Times New Roman" w:hAnsi="Times New Roman"/>
          <w:sz w:val="18"/>
          <w:szCs w:val="18"/>
          <w:color w:val="auto"/>
        </w:rPr>
        <w:t>The following list sets forth information regarding all unregistered securities sold by us since January 1, 2017. No underwriters were involved in the sales and the certificates representing the securities sold and issued contain legends restricting transfer of the securities without registration under the Securities Act or an applicable exemption from registration.</w:t>
      </w:r>
    </w:p>
    <w:p>
      <w:pPr>
        <w:spacing w:after="0" w:line="176" w:lineRule="exact"/>
        <w:rPr>
          <w:sz w:val="20"/>
          <w:szCs w:val="20"/>
          <w:color w:val="auto"/>
        </w:rPr>
      </w:pPr>
    </w:p>
    <w:p>
      <w:pPr>
        <w:jc w:val="both"/>
        <w:ind w:left="1000" w:right="240" w:firstLine="808"/>
        <w:spacing w:after="0" w:line="266" w:lineRule="auto"/>
        <w:tabs>
          <w:tab w:leader="none" w:pos="219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January 2017 through March 2018, we issued and sold to our directors, officers, employees, consultants and other service providers an aggregate of 19,890,000 shares of Common Stock at a price per share of $0.0001 for an aggregate purchase price of $1,989.</w:t>
      </w:r>
    </w:p>
    <w:p>
      <w:pPr>
        <w:spacing w:after="0" w:line="175" w:lineRule="exact"/>
        <w:rPr>
          <w:rFonts w:ascii="Times New Roman" w:cs="Times New Roman" w:eastAsia="Times New Roman" w:hAnsi="Times New Roman"/>
          <w:sz w:val="18"/>
          <w:szCs w:val="18"/>
          <w:color w:val="auto"/>
        </w:rPr>
      </w:pPr>
    </w:p>
    <w:p>
      <w:pPr>
        <w:ind w:left="1000" w:right="40" w:firstLine="808"/>
        <w:spacing w:after="0" w:line="266" w:lineRule="auto"/>
        <w:tabs>
          <w:tab w:leader="none" w:pos="220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January 2017 through April 2020, we granted to our directors, officers, employees, consultants and other service providers stock options to purchase an aggregate of 8,727,355 shares of common stock upon the exercise of options under our 2016 Plan at exercise prices per share ranging from $0.0001 to $0.27, for an aggregate exercise price of approximately $1.4 million.</w:t>
      </w:r>
    </w:p>
    <w:p>
      <w:pPr>
        <w:spacing w:after="0" w:line="175" w:lineRule="exact"/>
        <w:rPr>
          <w:rFonts w:ascii="Times New Roman" w:cs="Times New Roman" w:eastAsia="Times New Roman" w:hAnsi="Times New Roman"/>
          <w:sz w:val="18"/>
          <w:szCs w:val="18"/>
          <w:color w:val="auto"/>
        </w:rPr>
      </w:pPr>
    </w:p>
    <w:p>
      <w:pPr>
        <w:ind w:left="1000" w:right="160" w:firstLine="808"/>
        <w:spacing w:after="0" w:line="282" w:lineRule="auto"/>
        <w:tabs>
          <w:tab w:leader="none" w:pos="219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March 2018 and May 2018, we issued and sold an aggregate of 11,698,716 shares of our Series A Preferred Stock at a purchase price of $0.312 per share for aggregate proceeds of approximately $3.6 million.</w:t>
      </w:r>
    </w:p>
    <w:p>
      <w:pPr>
        <w:spacing w:after="0" w:line="161" w:lineRule="exact"/>
        <w:rPr>
          <w:rFonts w:ascii="Times New Roman" w:cs="Times New Roman" w:eastAsia="Times New Roman" w:hAnsi="Times New Roman"/>
          <w:sz w:val="18"/>
          <w:szCs w:val="18"/>
          <w:color w:val="auto"/>
        </w:rPr>
      </w:pPr>
    </w:p>
    <w:p>
      <w:pPr>
        <w:ind w:left="1000" w:firstLine="808"/>
        <w:spacing w:after="0" w:line="282" w:lineRule="auto"/>
        <w:tabs>
          <w:tab w:leader="none" w:pos="220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May 2019, August 2019 and November 2019, we issued and sold convertible promissory notes in an aggregate principal amount of approximately $2.0 million at face value (the “Notes”).</w:t>
      </w:r>
    </w:p>
    <w:p>
      <w:pPr>
        <w:spacing w:after="0" w:line="161" w:lineRule="exact"/>
        <w:rPr>
          <w:rFonts w:ascii="Times New Roman" w:cs="Times New Roman" w:eastAsia="Times New Roman" w:hAnsi="Times New Roman"/>
          <w:sz w:val="18"/>
          <w:szCs w:val="18"/>
          <w:color w:val="auto"/>
        </w:rPr>
      </w:pPr>
    </w:p>
    <w:p>
      <w:pPr>
        <w:ind w:left="1000" w:right="300" w:firstLine="808"/>
        <w:spacing w:after="0" w:line="266" w:lineRule="auto"/>
        <w:tabs>
          <w:tab w:leader="none" w:pos="219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December 2019, we issued and sold an aggregate of 49,578,623 shares of our Series B Preferred Stock at a purchase price of $1.2104 per share for aggregate proceeds of approximately $59.6 million (of which approximately $57.6 million was cash and approximately $2.0 million was cancellation of outstanding indebtedness in connection with the conversion of the Notes).</w:t>
      </w:r>
    </w:p>
    <w:p>
      <w:pPr>
        <w:spacing w:after="0" w:line="10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II-2</w:t>
      </w:r>
    </w:p>
    <w:p>
      <w:pPr>
        <w:sectPr>
          <w:pgSz w:w="11900" w:h="16838" w:orient="portrait"/>
          <w:cols w:equalWidth="0" w:num="1">
            <w:col w:w="11060"/>
          </w:cols>
          <w:pgMar w:left="320" w:top="455" w:right="519" w:bottom="1440" w:gutter="0" w:footer="0" w:header="0"/>
        </w:sectPr>
      </w:pPr>
    </w:p>
    <w:bookmarkStart w:id="249" w:name="page250"/>
    <w:bookmarkEnd w:id="24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000" w:firstLine="808"/>
        <w:spacing w:after="0" w:line="266" w:lineRule="auto"/>
        <w:tabs>
          <w:tab w:leader="none" w:pos="235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July 2020 we granted certain of our employees stock options to purchase an aggregate of 2,383,003 shares of common stock upon the exercise of options under our 2016 Plan at an exercise price per share of $0.27, for an aggregate exercise price of approximately $0.6 million.</w:t>
      </w:r>
    </w:p>
    <w:p>
      <w:pPr>
        <w:spacing w:after="0" w:line="175" w:lineRule="exact"/>
        <w:rPr>
          <w:rFonts w:ascii="Times New Roman" w:cs="Times New Roman" w:eastAsia="Times New Roman" w:hAnsi="Times New Roman"/>
          <w:sz w:val="18"/>
          <w:szCs w:val="18"/>
          <w:color w:val="auto"/>
        </w:rPr>
      </w:pPr>
    </w:p>
    <w:p>
      <w:pPr>
        <w:jc w:val="both"/>
        <w:ind w:left="1000" w:right="100" w:firstLine="808"/>
        <w:spacing w:after="0" w:line="266" w:lineRule="auto"/>
        <w:tabs>
          <w:tab w:leader="none" w:pos="220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terms of that certain License Agreement between the Company and Elanco Tiergesundheit AG, or Elanco, dated September 3, 2020, or the All Human Uses Elanco Agreement, in September 2020 we issued 1,652,346 shares of our common stock to Elanco as consideration for licenses included in the All Human Uses Elanco Agreement.</w:t>
      </w:r>
    </w:p>
    <w:p>
      <w:pPr>
        <w:spacing w:after="0" w:line="175" w:lineRule="exact"/>
        <w:rPr>
          <w:rFonts w:ascii="Times New Roman" w:cs="Times New Roman" w:eastAsia="Times New Roman" w:hAnsi="Times New Roman"/>
          <w:sz w:val="18"/>
          <w:szCs w:val="18"/>
          <w:color w:val="auto"/>
        </w:rPr>
      </w:pPr>
    </w:p>
    <w:p>
      <w:pPr>
        <w:ind w:left="1000" w:right="540" w:firstLine="808"/>
        <w:spacing w:after="0" w:line="282" w:lineRule="auto"/>
        <w:tabs>
          <w:tab w:leader="none" w:pos="220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September 2020, we issued and sold to 11 accredited investors an aggregate of 21,221,280 shares of our Series C preferred stock at a purchase price of $1.8849 per share, for aggregate consideration of approximately $40.0 million.</w:t>
      </w:r>
    </w:p>
    <w:p>
      <w:pPr>
        <w:spacing w:after="0" w:line="162" w:lineRule="exact"/>
        <w:rPr>
          <w:sz w:val="20"/>
          <w:szCs w:val="20"/>
          <w:color w:val="auto"/>
        </w:rPr>
      </w:pPr>
    </w:p>
    <w:p>
      <w:pPr>
        <w:ind w:left="120" w:firstLine="881"/>
        <w:spacing w:after="0" w:line="255" w:lineRule="auto"/>
        <w:rPr>
          <w:sz w:val="20"/>
          <w:szCs w:val="20"/>
          <w:color w:val="auto"/>
        </w:rPr>
      </w:pPr>
      <w:r>
        <w:rPr>
          <w:rFonts w:ascii="Times New Roman" w:cs="Times New Roman" w:eastAsia="Times New Roman" w:hAnsi="Times New Roman"/>
          <w:sz w:val="18"/>
          <w:szCs w:val="18"/>
          <w:color w:val="auto"/>
        </w:rPr>
        <w:t>The offers, sales and issuances of the securities described in Items (a), (b) and (f) above were exempt from registration under the Securities Act under either (1) Rule 701 in that the transactions were under compensatory benefit plans and contracts relating to compensation as provided under Rule 701 or (2) Section 4(a)(2) of the Securities Act or Regulation D promulgated thereunder as transactions by an issuer not involving any public offering. The recipients of such securities were the registrant’s directors, officers, employees, consultants or other service providers and received the securities under our 2016 Plan. The recipients of securities in each of these transactions represented their intention to acquire the securities for investment only and not with view to or for sale in connection with any distribution thereof and appropriate legends were affixed to the securities issued in these transactions.</w:t>
      </w:r>
    </w:p>
    <w:p>
      <w:pPr>
        <w:spacing w:after="0" w:line="189" w:lineRule="exact"/>
        <w:rPr>
          <w:sz w:val="20"/>
          <w:szCs w:val="20"/>
          <w:color w:val="auto"/>
        </w:rPr>
      </w:pPr>
    </w:p>
    <w:p>
      <w:pPr>
        <w:ind w:left="120" w:right="120" w:firstLine="881"/>
        <w:spacing w:after="0" w:line="256" w:lineRule="auto"/>
        <w:rPr>
          <w:sz w:val="20"/>
          <w:szCs w:val="20"/>
          <w:color w:val="auto"/>
        </w:rPr>
      </w:pPr>
      <w:r>
        <w:rPr>
          <w:rFonts w:ascii="Times New Roman" w:cs="Times New Roman" w:eastAsia="Times New Roman" w:hAnsi="Times New Roman"/>
          <w:sz w:val="18"/>
          <w:szCs w:val="18"/>
          <w:color w:val="auto"/>
        </w:rPr>
        <w:t>The offers, sales and issuances of the securities described in Items (c), (d), (e), (g) and (h) above were exempt from registration under the Securities Act under Section 4(a)(2) of the Securities Act or Regulation D promulgated thereunder as transactions by an issuer not involving a public offering. The recipients of securities in each of these transactions acquired the securities for investment only and not with a view to or for sale in connection with any distribution thereof and appropriate legends were affixed to the securities issued in these transactions. Each of the recipients of securities in these transactions was an accredited person and had adequate access, through employment, business or other relationships, to information about the registrant.</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16. Exhibits and Financial Statement Schedules</w:t>
      </w:r>
    </w:p>
    <w:p>
      <w:pPr>
        <w:spacing w:after="0" w:line="227" w:lineRule="exact"/>
        <w:rPr>
          <w:sz w:val="20"/>
          <w:szCs w:val="20"/>
          <w:color w:val="auto"/>
        </w:rPr>
      </w:pPr>
    </w:p>
    <w:p>
      <w:pPr>
        <w:ind w:left="1260" w:hanging="263"/>
        <w:spacing w:after="0"/>
        <w:tabs>
          <w:tab w:leader="none" w:pos="1260" w:val="left"/>
        </w:tabs>
        <w:numPr>
          <w:ilvl w:val="0"/>
          <w:numId w:val="17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Exhibits. </w:t>
      </w:r>
      <w:r>
        <w:rPr>
          <w:rFonts w:ascii="Times New Roman" w:cs="Times New Roman" w:eastAsia="Times New Roman" w:hAnsi="Times New Roman"/>
          <w:sz w:val="18"/>
          <w:szCs w:val="18"/>
          <w:color w:val="auto"/>
        </w:rPr>
        <w:t>The following exhibits are included herein or incorporated herein by reference:</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5220" w:type="dxa"/>
            <w:vAlign w:val="bottom"/>
          </w:tcPr>
          <w:p>
            <w:pPr>
              <w:spacing w:after="0"/>
              <w:rPr>
                <w:sz w:val="13"/>
                <w:szCs w:val="13"/>
                <w:color w:val="auto"/>
              </w:rPr>
            </w:pPr>
          </w:p>
        </w:tc>
        <w:tc>
          <w:tcPr>
            <w:tcW w:w="7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410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6"/>
              </w:rPr>
              <w:t>Number</w:t>
            </w:r>
          </w:p>
        </w:tc>
        <w:tc>
          <w:tcPr>
            <w:tcW w:w="5220" w:type="dxa"/>
            <w:vAlign w:val="bottom"/>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4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18"/>
        </w:trPr>
        <w:tc>
          <w:tcPr>
            <w:tcW w:w="5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1.1*</w:t>
            </w:r>
          </w:p>
        </w:tc>
        <w:tc>
          <w:tcPr>
            <w:tcW w:w="10040" w:type="dxa"/>
            <w:vAlign w:val="bottom"/>
            <w:gridSpan w:val="3"/>
          </w:tcPr>
          <w:p>
            <w:pPr>
              <w:ind w:left="640"/>
              <w:spacing w:after="0"/>
              <w:rPr>
                <w:sz w:val="20"/>
                <w:szCs w:val="20"/>
                <w:color w:val="auto"/>
              </w:rPr>
            </w:pPr>
            <w:r>
              <w:rPr>
                <w:rFonts w:ascii="Times New Roman" w:cs="Times New Roman" w:eastAsia="Times New Roman" w:hAnsi="Times New Roman"/>
                <w:sz w:val="18"/>
                <w:szCs w:val="18"/>
                <w:color w:val="auto"/>
              </w:rPr>
              <w:t>Form of Underwriting Agreement.</w:t>
            </w:r>
          </w:p>
        </w:tc>
        <w:tc>
          <w:tcPr>
            <w:tcW w:w="0" w:type="dxa"/>
            <w:vAlign w:val="bottom"/>
          </w:tcPr>
          <w:p>
            <w:pPr>
              <w:spacing w:after="0"/>
              <w:rPr>
                <w:sz w:val="1"/>
                <w:szCs w:val="1"/>
                <w:color w:val="auto"/>
              </w:rPr>
            </w:pPr>
          </w:p>
        </w:tc>
      </w:tr>
      <w:tr>
        <w:trPr>
          <w:trHeight w:val="324"/>
        </w:trPr>
        <w:tc>
          <w:tcPr>
            <w:tcW w:w="5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3.1*</w:t>
            </w:r>
          </w:p>
        </w:tc>
        <w:tc>
          <w:tcPr>
            <w:tcW w:w="10040" w:type="dxa"/>
            <w:vAlign w:val="bottom"/>
            <w:gridSpan w:val="3"/>
          </w:tcPr>
          <w:p>
            <w:pPr>
              <w:ind w:left="640"/>
              <w:spacing w:after="0"/>
              <w:rPr>
                <w:sz w:val="20"/>
                <w:szCs w:val="20"/>
                <w:color w:val="auto"/>
              </w:rPr>
            </w:pPr>
            <w:r>
              <w:rPr>
                <w:rFonts w:ascii="Times New Roman" w:cs="Times New Roman" w:eastAsia="Times New Roman" w:hAnsi="Times New Roman"/>
                <w:sz w:val="18"/>
                <w:szCs w:val="18"/>
                <w:color w:val="auto"/>
              </w:rPr>
              <w:t>Amended and Restated Certificate of Incorporation of Registrant, as currently in effect.</w:t>
            </w:r>
          </w:p>
        </w:tc>
        <w:tc>
          <w:tcPr>
            <w:tcW w:w="0" w:type="dxa"/>
            <w:vAlign w:val="bottom"/>
          </w:tcPr>
          <w:p>
            <w:pPr>
              <w:spacing w:after="0"/>
              <w:rPr>
                <w:sz w:val="1"/>
                <w:szCs w:val="1"/>
                <w:color w:val="auto"/>
              </w:rPr>
            </w:pPr>
          </w:p>
        </w:tc>
      </w:tr>
      <w:tr>
        <w:trPr>
          <w:trHeight w:val="324"/>
        </w:trPr>
        <w:tc>
          <w:tcPr>
            <w:tcW w:w="5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3.2*</w:t>
            </w:r>
          </w:p>
        </w:tc>
        <w:tc>
          <w:tcPr>
            <w:tcW w:w="10040" w:type="dxa"/>
            <w:vAlign w:val="bottom"/>
            <w:gridSpan w:val="3"/>
          </w:tcPr>
          <w:p>
            <w:pPr>
              <w:ind w:left="640"/>
              <w:spacing w:after="0"/>
              <w:rPr>
                <w:sz w:val="20"/>
                <w:szCs w:val="20"/>
                <w:color w:val="auto"/>
              </w:rPr>
            </w:pPr>
            <w:r>
              <w:rPr>
                <w:rFonts w:ascii="Times New Roman" w:cs="Times New Roman" w:eastAsia="Times New Roman" w:hAnsi="Times New Roman"/>
                <w:sz w:val="18"/>
                <w:szCs w:val="18"/>
                <w:color w:val="auto"/>
              </w:rPr>
              <w:t>Form of Amended and Restated Certificate of Incorporation of Registrant, to be effective upon completion of this offering.</w:t>
            </w:r>
          </w:p>
        </w:tc>
        <w:tc>
          <w:tcPr>
            <w:tcW w:w="0" w:type="dxa"/>
            <w:vAlign w:val="bottom"/>
          </w:tcPr>
          <w:p>
            <w:pPr>
              <w:spacing w:after="0"/>
              <w:rPr>
                <w:sz w:val="1"/>
                <w:szCs w:val="1"/>
                <w:color w:val="auto"/>
              </w:rPr>
            </w:pPr>
          </w:p>
        </w:tc>
      </w:tr>
      <w:tr>
        <w:trPr>
          <w:trHeight w:val="324"/>
        </w:trPr>
        <w:tc>
          <w:tcPr>
            <w:tcW w:w="5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3.3*</w:t>
            </w:r>
          </w:p>
        </w:tc>
        <w:tc>
          <w:tcPr>
            <w:tcW w:w="10040" w:type="dxa"/>
            <w:vAlign w:val="bottom"/>
            <w:gridSpan w:val="3"/>
          </w:tcPr>
          <w:p>
            <w:pPr>
              <w:ind w:left="640"/>
              <w:spacing w:after="0"/>
              <w:rPr>
                <w:sz w:val="20"/>
                <w:szCs w:val="20"/>
                <w:color w:val="auto"/>
              </w:rPr>
            </w:pPr>
            <w:r>
              <w:rPr>
                <w:rFonts w:ascii="Times New Roman" w:cs="Times New Roman" w:eastAsia="Times New Roman" w:hAnsi="Times New Roman"/>
                <w:sz w:val="18"/>
                <w:szCs w:val="18"/>
                <w:color w:val="auto"/>
              </w:rPr>
              <w:t>Bylaws of Registrant, as currently in effect.</w:t>
            </w:r>
          </w:p>
        </w:tc>
        <w:tc>
          <w:tcPr>
            <w:tcW w:w="0" w:type="dxa"/>
            <w:vAlign w:val="bottom"/>
          </w:tcPr>
          <w:p>
            <w:pPr>
              <w:spacing w:after="0"/>
              <w:rPr>
                <w:sz w:val="1"/>
                <w:szCs w:val="1"/>
                <w:color w:val="auto"/>
              </w:rPr>
            </w:pPr>
          </w:p>
        </w:tc>
      </w:tr>
      <w:tr>
        <w:trPr>
          <w:trHeight w:val="324"/>
        </w:trPr>
        <w:tc>
          <w:tcPr>
            <w:tcW w:w="5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3.4*</w:t>
            </w:r>
          </w:p>
        </w:tc>
        <w:tc>
          <w:tcPr>
            <w:tcW w:w="10040" w:type="dxa"/>
            <w:vAlign w:val="bottom"/>
            <w:gridSpan w:val="3"/>
          </w:tcPr>
          <w:p>
            <w:pPr>
              <w:ind w:left="640"/>
              <w:spacing w:after="0"/>
              <w:rPr>
                <w:sz w:val="20"/>
                <w:szCs w:val="20"/>
                <w:color w:val="auto"/>
              </w:rPr>
            </w:pPr>
            <w:r>
              <w:rPr>
                <w:rFonts w:ascii="Times New Roman" w:cs="Times New Roman" w:eastAsia="Times New Roman" w:hAnsi="Times New Roman"/>
                <w:sz w:val="18"/>
                <w:szCs w:val="18"/>
                <w:color w:val="auto"/>
              </w:rPr>
              <w:t>Form of Amended and Restated Bylaws of Registrant, to be effective upon completion of this offering.</w:t>
            </w:r>
          </w:p>
        </w:tc>
        <w:tc>
          <w:tcPr>
            <w:tcW w:w="0" w:type="dxa"/>
            <w:vAlign w:val="bottom"/>
          </w:tcPr>
          <w:p>
            <w:pPr>
              <w:spacing w:after="0"/>
              <w:rPr>
                <w:sz w:val="1"/>
                <w:szCs w:val="1"/>
                <w:color w:val="auto"/>
              </w:rPr>
            </w:pPr>
          </w:p>
        </w:tc>
      </w:tr>
      <w:tr>
        <w:trPr>
          <w:trHeight w:val="324"/>
        </w:trPr>
        <w:tc>
          <w:tcPr>
            <w:tcW w:w="5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4.1*</w:t>
            </w:r>
          </w:p>
        </w:tc>
        <w:tc>
          <w:tcPr>
            <w:tcW w:w="10040" w:type="dxa"/>
            <w:vAlign w:val="bottom"/>
            <w:gridSpan w:val="3"/>
          </w:tcPr>
          <w:p>
            <w:pPr>
              <w:ind w:left="640"/>
              <w:spacing w:after="0"/>
              <w:rPr>
                <w:sz w:val="20"/>
                <w:szCs w:val="20"/>
                <w:color w:val="auto"/>
              </w:rPr>
            </w:pPr>
            <w:r>
              <w:rPr>
                <w:rFonts w:ascii="Times New Roman" w:cs="Times New Roman" w:eastAsia="Times New Roman" w:hAnsi="Times New Roman"/>
                <w:sz w:val="18"/>
                <w:szCs w:val="18"/>
                <w:color w:val="auto"/>
              </w:rPr>
              <w:t>Form of Registrant’s common stock certificate.</w:t>
            </w:r>
          </w:p>
        </w:tc>
        <w:tc>
          <w:tcPr>
            <w:tcW w:w="0" w:type="dxa"/>
            <w:vAlign w:val="bottom"/>
          </w:tcPr>
          <w:p>
            <w:pPr>
              <w:spacing w:after="0"/>
              <w:rPr>
                <w:sz w:val="1"/>
                <w:szCs w:val="1"/>
                <w:color w:val="auto"/>
              </w:rPr>
            </w:pPr>
          </w:p>
        </w:tc>
      </w:tr>
      <w:tr>
        <w:trPr>
          <w:trHeight w:val="306"/>
        </w:trPr>
        <w:tc>
          <w:tcPr>
            <w:tcW w:w="5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4.2*</w:t>
            </w:r>
          </w:p>
        </w:tc>
        <w:tc>
          <w:tcPr>
            <w:tcW w:w="10040" w:type="dxa"/>
            <w:vAlign w:val="bottom"/>
            <w:gridSpan w:val="3"/>
          </w:tcPr>
          <w:p>
            <w:pPr>
              <w:ind w:left="640"/>
              <w:spacing w:after="0"/>
              <w:rPr>
                <w:sz w:val="20"/>
                <w:szCs w:val="20"/>
                <w:color w:val="auto"/>
              </w:rPr>
            </w:pPr>
            <w:r>
              <w:rPr>
                <w:rFonts w:ascii="Times New Roman" w:cs="Times New Roman" w:eastAsia="Times New Roman" w:hAnsi="Times New Roman"/>
                <w:sz w:val="18"/>
                <w:szCs w:val="18"/>
                <w:color w:val="auto"/>
                <w:w w:val="99"/>
              </w:rPr>
              <w:t>Amended and Restated Investors’ Rights Agreement, dated December 13, 2019, by and among the Registrant and the other parties</w:t>
            </w:r>
          </w:p>
        </w:tc>
        <w:tc>
          <w:tcPr>
            <w:tcW w:w="0" w:type="dxa"/>
            <w:vAlign w:val="bottom"/>
          </w:tcPr>
          <w:p>
            <w:pPr>
              <w:spacing w:after="0"/>
              <w:rPr>
                <w:sz w:val="1"/>
                <w:szCs w:val="1"/>
                <w:color w:val="auto"/>
              </w:rPr>
            </w:pPr>
          </w:p>
        </w:tc>
      </w:tr>
      <w:tr>
        <w:trPr>
          <w:trHeight w:val="234"/>
        </w:trPr>
        <w:tc>
          <w:tcPr>
            <w:tcW w:w="500" w:type="dxa"/>
            <w:vAlign w:val="bottom"/>
          </w:tcPr>
          <w:p>
            <w:pPr>
              <w:spacing w:after="0"/>
              <w:rPr>
                <w:sz w:val="20"/>
                <w:szCs w:val="20"/>
                <w:color w:val="auto"/>
              </w:rPr>
            </w:pPr>
          </w:p>
        </w:tc>
        <w:tc>
          <w:tcPr>
            <w:tcW w:w="10040" w:type="dxa"/>
            <w:vAlign w:val="bottom"/>
            <w:gridSpan w:val="3"/>
          </w:tcPr>
          <w:p>
            <w:pPr>
              <w:ind w:left="640"/>
              <w:spacing w:after="0"/>
              <w:rPr>
                <w:sz w:val="20"/>
                <w:szCs w:val="20"/>
                <w:color w:val="auto"/>
              </w:rPr>
            </w:pPr>
            <w:r>
              <w:rPr>
                <w:rFonts w:ascii="Times New Roman" w:cs="Times New Roman" w:eastAsia="Times New Roman" w:hAnsi="Times New Roman"/>
                <w:sz w:val="18"/>
                <w:szCs w:val="18"/>
                <w:color w:val="auto"/>
              </w:rPr>
              <w:t>thereto.</w:t>
            </w:r>
          </w:p>
        </w:tc>
        <w:tc>
          <w:tcPr>
            <w:tcW w:w="0" w:type="dxa"/>
            <w:vAlign w:val="bottom"/>
          </w:tcPr>
          <w:p>
            <w:pPr>
              <w:spacing w:after="0"/>
              <w:rPr>
                <w:sz w:val="1"/>
                <w:szCs w:val="1"/>
                <w:color w:val="auto"/>
              </w:rPr>
            </w:pPr>
          </w:p>
        </w:tc>
      </w:tr>
      <w:tr>
        <w:trPr>
          <w:trHeight w:val="324"/>
        </w:trPr>
        <w:tc>
          <w:tcPr>
            <w:tcW w:w="5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5.1*</w:t>
            </w:r>
          </w:p>
        </w:tc>
        <w:tc>
          <w:tcPr>
            <w:tcW w:w="10040" w:type="dxa"/>
            <w:vAlign w:val="bottom"/>
            <w:gridSpan w:val="3"/>
          </w:tcPr>
          <w:p>
            <w:pPr>
              <w:ind w:left="640"/>
              <w:spacing w:after="0"/>
              <w:rPr>
                <w:sz w:val="20"/>
                <w:szCs w:val="20"/>
                <w:color w:val="auto"/>
              </w:rPr>
            </w:pPr>
            <w:r>
              <w:rPr>
                <w:rFonts w:ascii="Times New Roman" w:cs="Times New Roman" w:eastAsia="Times New Roman" w:hAnsi="Times New Roman"/>
                <w:sz w:val="18"/>
                <w:szCs w:val="18"/>
                <w:color w:val="auto"/>
              </w:rPr>
              <w:t>Opinion of Gunderson Dettmer Stough Villeneuve Franklin &amp; Hachigian, LLP.</w:t>
            </w:r>
          </w:p>
        </w:tc>
        <w:tc>
          <w:tcPr>
            <w:tcW w:w="0" w:type="dxa"/>
            <w:vAlign w:val="bottom"/>
          </w:tcPr>
          <w:p>
            <w:pPr>
              <w:spacing w:after="0"/>
              <w:rPr>
                <w:sz w:val="1"/>
                <w:szCs w:val="1"/>
                <w:color w:val="auto"/>
              </w:rPr>
            </w:pPr>
          </w:p>
        </w:tc>
      </w:tr>
      <w:tr>
        <w:trPr>
          <w:trHeight w:val="324"/>
        </w:trPr>
        <w:tc>
          <w:tcPr>
            <w:tcW w:w="5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w w:val="93"/>
              </w:rPr>
              <w:t>10.1*</w:t>
            </w:r>
          </w:p>
        </w:tc>
        <w:tc>
          <w:tcPr>
            <w:tcW w:w="10040" w:type="dxa"/>
            <w:vAlign w:val="bottom"/>
            <w:gridSpan w:val="3"/>
          </w:tcPr>
          <w:p>
            <w:pPr>
              <w:ind w:left="640"/>
              <w:spacing w:after="0"/>
              <w:rPr>
                <w:sz w:val="20"/>
                <w:szCs w:val="20"/>
                <w:color w:val="auto"/>
              </w:rPr>
            </w:pPr>
            <w:r>
              <w:rPr>
                <w:rFonts w:ascii="Times New Roman" w:cs="Times New Roman" w:eastAsia="Times New Roman" w:hAnsi="Times New Roman"/>
                <w:sz w:val="18"/>
                <w:szCs w:val="18"/>
                <w:color w:val="auto"/>
              </w:rPr>
              <w:t>Form of Indemnification Agreement between the Registrant and each of its directors and executive officers.</w:t>
            </w:r>
          </w:p>
        </w:tc>
        <w:tc>
          <w:tcPr>
            <w:tcW w:w="0" w:type="dxa"/>
            <w:vAlign w:val="bottom"/>
          </w:tcPr>
          <w:p>
            <w:pPr>
              <w:spacing w:after="0"/>
              <w:rPr>
                <w:sz w:val="1"/>
                <w:szCs w:val="1"/>
                <w:color w:val="auto"/>
              </w:rPr>
            </w:pPr>
          </w:p>
        </w:tc>
      </w:tr>
      <w:tr>
        <w:trPr>
          <w:trHeight w:val="365"/>
        </w:trPr>
        <w:tc>
          <w:tcPr>
            <w:tcW w:w="500" w:type="dxa"/>
            <w:vAlign w:val="bottom"/>
          </w:tcPr>
          <w:p>
            <w:pPr>
              <w:spacing w:after="0"/>
              <w:rPr>
                <w:sz w:val="24"/>
                <w:szCs w:val="24"/>
                <w:color w:val="auto"/>
              </w:rPr>
            </w:pPr>
          </w:p>
        </w:tc>
        <w:tc>
          <w:tcPr>
            <w:tcW w:w="10040" w:type="dxa"/>
            <w:vAlign w:val="bottom"/>
            <w:gridSpan w:val="3"/>
          </w:tcPr>
          <w:p>
            <w:pPr>
              <w:ind w:left="4860"/>
              <w:spacing w:after="0"/>
              <w:rPr>
                <w:sz w:val="20"/>
                <w:szCs w:val="20"/>
                <w:color w:val="auto"/>
              </w:rPr>
            </w:pPr>
            <w:r>
              <w:rPr>
                <w:rFonts w:ascii="Times New Roman" w:cs="Times New Roman" w:eastAsia="Times New Roman" w:hAnsi="Times New Roman"/>
                <w:sz w:val="18"/>
                <w:szCs w:val="18"/>
                <w:color w:val="auto"/>
              </w:rPr>
              <w:t>II-3</w:t>
            </w:r>
          </w:p>
        </w:tc>
        <w:tc>
          <w:tcPr>
            <w:tcW w:w="0" w:type="dxa"/>
            <w:vAlign w:val="bottom"/>
          </w:tcPr>
          <w:p>
            <w:pPr>
              <w:spacing w:after="0"/>
              <w:rPr>
                <w:sz w:val="1"/>
                <w:szCs w:val="1"/>
                <w:color w:val="auto"/>
              </w:rPr>
            </w:pPr>
          </w:p>
        </w:tc>
      </w:tr>
    </w:tbl>
    <w:p>
      <w:pPr>
        <w:sectPr>
          <w:pgSz w:w="11900" w:h="16838" w:orient="portrait"/>
          <w:cols w:equalWidth="0" w:num="1">
            <w:col w:w="11060"/>
          </w:cols>
          <w:pgMar w:left="320" w:top="455" w:right="519" w:bottom="1440" w:gutter="0" w:footer="0" w:header="0"/>
        </w:sectPr>
      </w:pPr>
    </w:p>
    <w:bookmarkStart w:id="250" w:name="page251"/>
    <w:bookmarkEnd w:id="25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1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9240" w:type="dxa"/>
            <w:vAlign w:val="bottom"/>
            <w:gridSpan w:val="4"/>
            <w:vMerge w:val="restart"/>
          </w:tcPr>
          <w:p>
            <w:pPr>
              <w:ind w:left="460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11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9240" w:type="dxa"/>
            <w:vAlign w:val="bottom"/>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600" w:type="dxa"/>
            <w:vAlign w:val="bottom"/>
          </w:tcPr>
          <w:p>
            <w:pPr>
              <w:spacing w:after="0"/>
              <w:rPr>
                <w:sz w:val="24"/>
                <w:szCs w:val="24"/>
                <w:color w:val="auto"/>
              </w:rPr>
            </w:pPr>
          </w:p>
        </w:tc>
        <w:tc>
          <w:tcPr>
            <w:tcW w:w="9240" w:type="dxa"/>
            <w:vAlign w:val="bottom"/>
            <w:gridSpan w:val="4"/>
          </w:tcPr>
          <w:p>
            <w:pPr>
              <w:spacing w:after="0"/>
              <w:rPr>
                <w:rFonts w:ascii="Times New Roman" w:cs="Times New Roman" w:eastAsia="Times New Roman" w:hAnsi="Times New Roman"/>
                <w:sz w:val="18"/>
                <w:szCs w:val="18"/>
                <w:u w:val="single" w:color="auto"/>
                <w:color w:val="0000EE"/>
              </w:rPr>
            </w:pPr>
            <w:hyperlink w:anchor="page254">
              <w:r>
                <w:rPr>
                  <w:rFonts w:ascii="Times New Roman" w:cs="Times New Roman" w:eastAsia="Times New Roman" w:hAnsi="Times New Roman"/>
                  <w:sz w:val="18"/>
                  <w:szCs w:val="18"/>
                  <w:u w:val="single" w:color="auto"/>
                  <w:color w:val="0000EE"/>
                </w:rPr>
                <w:t>Tarsus Pharmaceuticals, Inc. 2016 Stock Plan, as amended, and forms of agreements thereunder.</w:t>
              </w:r>
            </w:hyperlink>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10.3*</w:t>
            </w:r>
          </w:p>
        </w:tc>
        <w:tc>
          <w:tcPr>
            <w:tcW w:w="600" w:type="dxa"/>
            <w:vAlign w:val="bottom"/>
          </w:tcPr>
          <w:p>
            <w:pPr>
              <w:spacing w:after="0"/>
              <w:rPr>
                <w:sz w:val="24"/>
                <w:szCs w:val="24"/>
                <w:color w:val="auto"/>
              </w:rPr>
            </w:pPr>
          </w:p>
        </w:tc>
        <w:tc>
          <w:tcPr>
            <w:tcW w:w="92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Tarsus Pharmaceuticals, Inc. 2020 Equity Incentive Plan and form of agreements thereunder.</w:t>
            </w:r>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600" w:type="dxa"/>
            <w:vAlign w:val="bottom"/>
          </w:tcPr>
          <w:p>
            <w:pPr>
              <w:spacing w:after="0"/>
              <w:rPr>
                <w:sz w:val="24"/>
                <w:szCs w:val="24"/>
                <w:color w:val="auto"/>
              </w:rPr>
            </w:pPr>
          </w:p>
        </w:tc>
        <w:tc>
          <w:tcPr>
            <w:tcW w:w="92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Tarsus Pharmaceuticals, Inc. 2020 Employee Stock Purchase Plan.</w:t>
            </w:r>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10.5*</w:t>
            </w:r>
          </w:p>
        </w:tc>
        <w:tc>
          <w:tcPr>
            <w:tcW w:w="600" w:type="dxa"/>
            <w:vAlign w:val="bottom"/>
          </w:tcPr>
          <w:p>
            <w:pPr>
              <w:spacing w:after="0"/>
              <w:rPr>
                <w:sz w:val="24"/>
                <w:szCs w:val="24"/>
                <w:color w:val="auto"/>
              </w:rPr>
            </w:pPr>
          </w:p>
        </w:tc>
        <w:tc>
          <w:tcPr>
            <w:tcW w:w="92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Offer Letter, dated September 14, 2018, between the Registrant and Bobak Azamian, M.D., Ph.D.</w:t>
            </w:r>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10.6</w:t>
            </w:r>
          </w:p>
        </w:tc>
        <w:tc>
          <w:tcPr>
            <w:tcW w:w="600" w:type="dxa"/>
            <w:vAlign w:val="bottom"/>
          </w:tcPr>
          <w:p>
            <w:pPr>
              <w:spacing w:after="0"/>
              <w:rPr>
                <w:sz w:val="24"/>
                <w:szCs w:val="24"/>
                <w:color w:val="auto"/>
              </w:rPr>
            </w:pPr>
          </w:p>
        </w:tc>
        <w:tc>
          <w:tcPr>
            <w:tcW w:w="9240" w:type="dxa"/>
            <w:vAlign w:val="bottom"/>
            <w:gridSpan w:val="4"/>
          </w:tcPr>
          <w:p>
            <w:pPr>
              <w:spacing w:after="0"/>
              <w:rPr>
                <w:rFonts w:ascii="Times New Roman" w:cs="Times New Roman" w:eastAsia="Times New Roman" w:hAnsi="Times New Roman"/>
                <w:sz w:val="18"/>
                <w:szCs w:val="18"/>
                <w:u w:val="single" w:color="auto"/>
                <w:color w:val="0000EE"/>
              </w:rPr>
            </w:pPr>
            <w:hyperlink w:anchor="page330">
              <w:r>
                <w:rPr>
                  <w:rFonts w:ascii="Times New Roman" w:cs="Times New Roman" w:eastAsia="Times New Roman" w:hAnsi="Times New Roman"/>
                  <w:sz w:val="18"/>
                  <w:szCs w:val="18"/>
                  <w:u w:val="single" w:color="auto"/>
                  <w:color w:val="0000EE"/>
                </w:rPr>
                <w:t>Offer Letter, dated March 15, 2020, between the Registrant and Leo M. Greenstein.</w:t>
              </w:r>
            </w:hyperlink>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10.7</w:t>
            </w:r>
          </w:p>
        </w:tc>
        <w:tc>
          <w:tcPr>
            <w:tcW w:w="600" w:type="dxa"/>
            <w:vAlign w:val="bottom"/>
          </w:tcPr>
          <w:p>
            <w:pPr>
              <w:spacing w:after="0"/>
              <w:rPr>
                <w:sz w:val="24"/>
                <w:szCs w:val="24"/>
                <w:color w:val="auto"/>
              </w:rPr>
            </w:pPr>
          </w:p>
        </w:tc>
        <w:tc>
          <w:tcPr>
            <w:tcW w:w="9240" w:type="dxa"/>
            <w:vAlign w:val="bottom"/>
            <w:gridSpan w:val="4"/>
          </w:tcPr>
          <w:p>
            <w:pPr>
              <w:spacing w:after="0"/>
              <w:rPr>
                <w:rFonts w:ascii="Times New Roman" w:cs="Times New Roman" w:eastAsia="Times New Roman" w:hAnsi="Times New Roman"/>
                <w:sz w:val="18"/>
                <w:szCs w:val="18"/>
                <w:u w:val="single" w:color="auto"/>
                <w:color w:val="0000EE"/>
              </w:rPr>
            </w:pPr>
            <w:hyperlink w:anchor="page336">
              <w:r>
                <w:rPr>
                  <w:rFonts w:ascii="Times New Roman" w:cs="Times New Roman" w:eastAsia="Times New Roman" w:hAnsi="Times New Roman"/>
                  <w:sz w:val="18"/>
                  <w:szCs w:val="18"/>
                  <w:u w:val="single" w:color="auto"/>
                  <w:color w:val="0000EE"/>
                </w:rPr>
                <w:t>Offer Letter, dated June 4, 2020, between the Registrant and Seshadri Neervannan, Ph.D.</w:t>
              </w:r>
            </w:hyperlink>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10.8</w:t>
            </w:r>
          </w:p>
        </w:tc>
        <w:tc>
          <w:tcPr>
            <w:tcW w:w="600" w:type="dxa"/>
            <w:vAlign w:val="bottom"/>
          </w:tcPr>
          <w:p>
            <w:pPr>
              <w:spacing w:after="0"/>
              <w:rPr>
                <w:sz w:val="24"/>
                <w:szCs w:val="24"/>
                <w:color w:val="auto"/>
              </w:rPr>
            </w:pPr>
          </w:p>
        </w:tc>
        <w:tc>
          <w:tcPr>
            <w:tcW w:w="9240" w:type="dxa"/>
            <w:vAlign w:val="bottom"/>
            <w:gridSpan w:val="4"/>
          </w:tcPr>
          <w:p>
            <w:pPr>
              <w:spacing w:after="0"/>
              <w:rPr>
                <w:rFonts w:ascii="Times New Roman" w:cs="Times New Roman" w:eastAsia="Times New Roman" w:hAnsi="Times New Roman"/>
                <w:sz w:val="18"/>
                <w:szCs w:val="18"/>
                <w:u w:val="single" w:color="auto"/>
                <w:color w:val="0000EE"/>
              </w:rPr>
            </w:pPr>
            <w:hyperlink w:anchor="page342">
              <w:r>
                <w:rPr>
                  <w:rFonts w:ascii="Times New Roman" w:cs="Times New Roman" w:eastAsia="Times New Roman" w:hAnsi="Times New Roman"/>
                  <w:sz w:val="18"/>
                  <w:szCs w:val="18"/>
                  <w:u w:val="single" w:color="auto"/>
                  <w:color w:val="0000EE"/>
                </w:rPr>
                <w:t>Offer Letter, dated October 29, 2018, between the Registrant and Mark Holdbrook.</w:t>
              </w:r>
            </w:hyperlink>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10.9</w:t>
            </w:r>
          </w:p>
        </w:tc>
        <w:tc>
          <w:tcPr>
            <w:tcW w:w="600" w:type="dxa"/>
            <w:vAlign w:val="bottom"/>
          </w:tcPr>
          <w:p>
            <w:pPr>
              <w:spacing w:after="0"/>
              <w:rPr>
                <w:sz w:val="24"/>
                <w:szCs w:val="24"/>
                <w:color w:val="auto"/>
              </w:rPr>
            </w:pPr>
          </w:p>
        </w:tc>
        <w:tc>
          <w:tcPr>
            <w:tcW w:w="9240" w:type="dxa"/>
            <w:vAlign w:val="bottom"/>
            <w:gridSpan w:val="4"/>
          </w:tcPr>
          <w:p>
            <w:pPr>
              <w:spacing w:after="0"/>
              <w:rPr>
                <w:rFonts w:ascii="Times New Roman" w:cs="Times New Roman" w:eastAsia="Times New Roman" w:hAnsi="Times New Roman"/>
                <w:sz w:val="18"/>
                <w:szCs w:val="18"/>
                <w:u w:val="single" w:color="auto"/>
                <w:color w:val="0000EE"/>
              </w:rPr>
            </w:pPr>
            <w:hyperlink w:anchor="page345">
              <w:r>
                <w:rPr>
                  <w:rFonts w:ascii="Times New Roman" w:cs="Times New Roman" w:eastAsia="Times New Roman" w:hAnsi="Times New Roman"/>
                  <w:sz w:val="18"/>
                  <w:szCs w:val="18"/>
                  <w:u w:val="single" w:color="auto"/>
                  <w:color w:val="0000EE"/>
                </w:rPr>
                <w:t>Offer Letter, dated June 22, 2020, between the Registrant and Aziz Mottiwala.</w:t>
              </w:r>
            </w:hyperlink>
          </w:p>
        </w:tc>
        <w:tc>
          <w:tcPr>
            <w:tcW w:w="0" w:type="dxa"/>
            <w:vAlign w:val="bottom"/>
          </w:tcPr>
          <w:p>
            <w:pPr>
              <w:spacing w:after="0"/>
              <w:rPr>
                <w:sz w:val="1"/>
                <w:szCs w:val="1"/>
                <w:color w:val="auto"/>
              </w:rPr>
            </w:pPr>
          </w:p>
        </w:tc>
      </w:tr>
      <w:tr>
        <w:trPr>
          <w:trHeight w:val="324"/>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10.10†*</w:t>
            </w:r>
          </w:p>
        </w:tc>
        <w:tc>
          <w:tcPr>
            <w:tcW w:w="92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License Agreement, dated January 31, 2019, between the Registrant and Elanco Tiergesundheit AG.</w:t>
            </w:r>
          </w:p>
        </w:tc>
        <w:tc>
          <w:tcPr>
            <w:tcW w:w="0" w:type="dxa"/>
            <w:vAlign w:val="bottom"/>
          </w:tcPr>
          <w:p>
            <w:pPr>
              <w:spacing w:after="0"/>
              <w:rPr>
                <w:sz w:val="1"/>
                <w:szCs w:val="1"/>
                <w:color w:val="auto"/>
              </w:rPr>
            </w:pPr>
          </w:p>
        </w:tc>
      </w:tr>
      <w:tr>
        <w:trPr>
          <w:trHeight w:val="324"/>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10.11†*</w:t>
            </w:r>
          </w:p>
        </w:tc>
        <w:tc>
          <w:tcPr>
            <w:tcW w:w="92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Amendment to License Agreement, dated September 3, 2020, between the Registrant and Elanco Tiergesundheit AG.</w:t>
            </w:r>
          </w:p>
        </w:tc>
        <w:tc>
          <w:tcPr>
            <w:tcW w:w="0" w:type="dxa"/>
            <w:vAlign w:val="bottom"/>
          </w:tcPr>
          <w:p>
            <w:pPr>
              <w:spacing w:after="0"/>
              <w:rPr>
                <w:sz w:val="1"/>
                <w:szCs w:val="1"/>
                <w:color w:val="auto"/>
              </w:rPr>
            </w:pPr>
          </w:p>
        </w:tc>
      </w:tr>
      <w:tr>
        <w:trPr>
          <w:trHeight w:val="324"/>
        </w:trPr>
        <w:tc>
          <w:tcPr>
            <w:tcW w:w="1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10.12†^*</w:t>
            </w:r>
          </w:p>
        </w:tc>
        <w:tc>
          <w:tcPr>
            <w:tcW w:w="92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License Agreement, dated September 3, 2020, between the Registrant and Elanco Tiergesundheit AG.</w:t>
            </w:r>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w w:val="97"/>
              </w:rPr>
              <w:t>10.13^</w:t>
            </w:r>
          </w:p>
        </w:tc>
        <w:tc>
          <w:tcPr>
            <w:tcW w:w="600" w:type="dxa"/>
            <w:vAlign w:val="bottom"/>
          </w:tcPr>
          <w:p>
            <w:pPr>
              <w:spacing w:after="0"/>
              <w:rPr>
                <w:sz w:val="24"/>
                <w:szCs w:val="24"/>
                <w:color w:val="auto"/>
              </w:rPr>
            </w:pPr>
          </w:p>
        </w:tc>
        <w:tc>
          <w:tcPr>
            <w:tcW w:w="9240" w:type="dxa"/>
            <w:vAlign w:val="bottom"/>
            <w:gridSpan w:val="4"/>
          </w:tcPr>
          <w:p>
            <w:pPr>
              <w:spacing w:after="0"/>
              <w:rPr>
                <w:rFonts w:ascii="Times New Roman" w:cs="Times New Roman" w:eastAsia="Times New Roman" w:hAnsi="Times New Roman"/>
                <w:sz w:val="18"/>
                <w:szCs w:val="18"/>
                <w:color w:val="0000EE"/>
              </w:rPr>
            </w:pPr>
            <w:hyperlink w:anchor="page351">
              <w:r>
                <w:rPr>
                  <w:rFonts w:ascii="Times New Roman" w:cs="Times New Roman" w:eastAsia="Times New Roman" w:hAnsi="Times New Roman"/>
                  <w:sz w:val="18"/>
                  <w:szCs w:val="18"/>
                  <w:u w:val="single" w:color="auto"/>
                  <w:color w:val="0000EE"/>
                </w:rPr>
                <w:t>Office Lease, dated May 28, 2020, between the Registrant and Discovery Business Center LLC</w:t>
              </w:r>
              <w:r>
                <w:rPr>
                  <w:rFonts w:ascii="Times New Roman" w:cs="Times New Roman" w:eastAsia="Times New Roman" w:hAnsi="Times New Roman"/>
                  <w:sz w:val="18"/>
                  <w:szCs w:val="18"/>
                  <w:color w:val="0000EE"/>
                </w:rPr>
                <w:t>.</w:t>
              </w:r>
            </w:hyperlink>
          </w:p>
        </w:tc>
        <w:tc>
          <w:tcPr>
            <w:tcW w:w="0" w:type="dxa"/>
            <w:vAlign w:val="bottom"/>
          </w:tcPr>
          <w:p>
            <w:pPr>
              <w:spacing w:after="0"/>
              <w:rPr>
                <w:sz w:val="1"/>
                <w:szCs w:val="1"/>
                <w:color w:val="auto"/>
              </w:rPr>
            </w:pPr>
          </w:p>
        </w:tc>
      </w:tr>
      <w:tr>
        <w:trPr>
          <w:trHeight w:val="283"/>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w w:val="97"/>
              </w:rPr>
              <w:t>10.14^</w:t>
            </w:r>
          </w:p>
        </w:tc>
        <w:tc>
          <w:tcPr>
            <w:tcW w:w="600" w:type="dxa"/>
            <w:vAlign w:val="bottom"/>
          </w:tcPr>
          <w:p>
            <w:pPr>
              <w:spacing w:after="0"/>
              <w:rPr>
                <w:sz w:val="24"/>
                <w:szCs w:val="24"/>
                <w:color w:val="auto"/>
              </w:rPr>
            </w:pPr>
          </w:p>
        </w:tc>
        <w:tc>
          <w:tcPr>
            <w:tcW w:w="9240" w:type="dxa"/>
            <w:vAlign w:val="bottom"/>
            <w:tcBorders>
              <w:bottom w:val="single" w:sz="8" w:color="0000EE"/>
            </w:tcBorders>
            <w:gridSpan w:val="4"/>
          </w:tcPr>
          <w:p>
            <w:pPr>
              <w:spacing w:after="0"/>
              <w:rPr>
                <w:rFonts w:ascii="Times New Roman" w:cs="Times New Roman" w:eastAsia="Times New Roman" w:hAnsi="Times New Roman"/>
                <w:sz w:val="18"/>
                <w:szCs w:val="18"/>
                <w:color w:val="0000EE"/>
                <w:w w:val="99"/>
              </w:rPr>
            </w:pPr>
            <w:hyperlink w:anchor="page372">
              <w:r>
                <w:rPr>
                  <w:rFonts w:ascii="Times New Roman" w:cs="Times New Roman" w:eastAsia="Times New Roman" w:hAnsi="Times New Roman"/>
                  <w:sz w:val="18"/>
                  <w:szCs w:val="18"/>
                  <w:color w:val="0000EE"/>
                  <w:w w:val="99"/>
                </w:rPr>
                <w:t>Sublease Agreement, dated May 29, 2020, between the Registrant and Avent, Inc., as amended by First Amendment to Sublease</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240" w:type="dxa"/>
            <w:vAlign w:val="bottom"/>
            <w:gridSpan w:val="4"/>
          </w:tcPr>
          <w:p>
            <w:pPr>
              <w:spacing w:after="0" w:line="196" w:lineRule="exact"/>
              <w:rPr>
                <w:rFonts w:ascii="Times New Roman" w:cs="Times New Roman" w:eastAsia="Times New Roman" w:hAnsi="Times New Roman"/>
                <w:sz w:val="18"/>
                <w:szCs w:val="18"/>
                <w:color w:val="0000EE"/>
              </w:rPr>
            </w:pPr>
            <w:hyperlink w:anchor="page372">
              <w:r>
                <w:rPr>
                  <w:rFonts w:ascii="Times New Roman" w:cs="Times New Roman" w:eastAsia="Times New Roman" w:hAnsi="Times New Roman"/>
                  <w:sz w:val="18"/>
                  <w:szCs w:val="18"/>
                  <w:color w:val="0000EE"/>
                </w:rPr>
                <w:t>Agreement, dated July 30, 2020, between the Registrant and Avent, Inc.</w:t>
              </w:r>
            </w:hyperlink>
          </w:p>
        </w:tc>
        <w:tc>
          <w:tcPr>
            <w:tcW w:w="0" w:type="dxa"/>
            <w:vAlign w:val="bottom"/>
          </w:tcPr>
          <w:p>
            <w:pPr>
              <w:spacing w:after="0"/>
              <w:rPr>
                <w:sz w:val="1"/>
                <w:szCs w:val="1"/>
                <w:color w:val="auto"/>
              </w:rPr>
            </w:pPr>
          </w:p>
        </w:tc>
      </w:tr>
      <w:tr>
        <w:trPr>
          <w:trHeight w:val="345"/>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600" w:type="dxa"/>
            <w:vAlign w:val="bottom"/>
          </w:tcPr>
          <w:p>
            <w:pPr>
              <w:spacing w:after="0"/>
              <w:rPr>
                <w:sz w:val="24"/>
                <w:szCs w:val="24"/>
                <w:color w:val="auto"/>
              </w:rPr>
            </w:pPr>
          </w:p>
        </w:tc>
        <w:tc>
          <w:tcPr>
            <w:tcW w:w="5220" w:type="dxa"/>
            <w:vAlign w:val="bottom"/>
            <w:tcBorders>
              <w:top w:val="single" w:sz="8" w:color="0000EE"/>
            </w:tcBorders>
            <w:gridSpan w:val="2"/>
          </w:tcPr>
          <w:p>
            <w:pPr>
              <w:spacing w:after="0"/>
              <w:rPr>
                <w:rFonts w:ascii="Times New Roman" w:cs="Times New Roman" w:eastAsia="Times New Roman" w:hAnsi="Times New Roman"/>
                <w:sz w:val="18"/>
                <w:szCs w:val="18"/>
                <w:u w:val="single" w:color="auto"/>
                <w:color w:val="0000EE"/>
              </w:rPr>
            </w:pPr>
            <w:hyperlink w:anchor="page386">
              <w:r>
                <w:rPr>
                  <w:rFonts w:ascii="Times New Roman" w:cs="Times New Roman" w:eastAsia="Times New Roman" w:hAnsi="Times New Roman"/>
                  <w:sz w:val="18"/>
                  <w:szCs w:val="18"/>
                  <w:u w:val="single" w:color="auto"/>
                  <w:color w:val="0000EE"/>
                </w:rPr>
                <w:t>Consent of Independent Registered Public Accounting Firm.</w:t>
              </w:r>
            </w:hyperlink>
          </w:p>
        </w:tc>
        <w:tc>
          <w:tcPr>
            <w:tcW w:w="40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23.2*</w:t>
            </w:r>
          </w:p>
        </w:tc>
        <w:tc>
          <w:tcPr>
            <w:tcW w:w="600" w:type="dxa"/>
            <w:vAlign w:val="bottom"/>
          </w:tcPr>
          <w:p>
            <w:pPr>
              <w:spacing w:after="0"/>
              <w:rPr>
                <w:sz w:val="24"/>
                <w:szCs w:val="24"/>
                <w:color w:val="auto"/>
              </w:rPr>
            </w:pPr>
          </w:p>
        </w:tc>
        <w:tc>
          <w:tcPr>
            <w:tcW w:w="92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Consent of Gunderson Dettmer Stough Villeneuve Franklin &amp; Hachigian, LLP (contained in Exhibit 5.1).</w:t>
            </w:r>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24.1</w:t>
            </w:r>
          </w:p>
        </w:tc>
        <w:tc>
          <w:tcPr>
            <w:tcW w:w="600" w:type="dxa"/>
            <w:vAlign w:val="bottom"/>
          </w:tcPr>
          <w:p>
            <w:pPr>
              <w:spacing w:after="0"/>
              <w:rPr>
                <w:sz w:val="24"/>
                <w:szCs w:val="24"/>
                <w:color w:val="auto"/>
              </w:rPr>
            </w:pPr>
          </w:p>
        </w:tc>
        <w:tc>
          <w:tcPr>
            <w:tcW w:w="9240" w:type="dxa"/>
            <w:vAlign w:val="bottom"/>
            <w:gridSpan w:val="4"/>
          </w:tcPr>
          <w:p>
            <w:pPr>
              <w:spacing w:after="0"/>
              <w:rPr>
                <w:rFonts w:ascii="Times New Roman" w:cs="Times New Roman" w:eastAsia="Times New Roman" w:hAnsi="Times New Roman"/>
                <w:sz w:val="18"/>
                <w:szCs w:val="18"/>
                <w:u w:val="single" w:color="auto"/>
                <w:color w:val="0000EE"/>
              </w:rPr>
            </w:pPr>
            <w:hyperlink w:anchor="page253">
              <w:r>
                <w:rPr>
                  <w:rFonts w:ascii="Times New Roman" w:cs="Times New Roman" w:eastAsia="Times New Roman" w:hAnsi="Times New Roman"/>
                  <w:sz w:val="18"/>
                  <w:szCs w:val="18"/>
                  <w:u w:val="single" w:color="auto"/>
                  <w:color w:val="0000EE"/>
                </w:rPr>
                <w:t>Power of Attorney (included on signature page).</w:t>
              </w:r>
            </w:hyperlink>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1" w:lineRule="exact"/>
        <w:rPr>
          <w:sz w:val="20"/>
          <w:szCs w:val="20"/>
          <w:color w:val="auto"/>
        </w:rPr>
      </w:pPr>
    </w:p>
    <w:p>
      <w:pPr>
        <w:ind w:left="540" w:hanging="424"/>
        <w:spacing w:after="0"/>
        <w:tabs>
          <w:tab w:leader="none" w:pos="540"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be filed by amendment.</w:t>
      </w:r>
    </w:p>
    <w:p>
      <w:pPr>
        <w:spacing w:after="0" w:line="27" w:lineRule="exact"/>
        <w:rPr>
          <w:sz w:val="20"/>
          <w:szCs w:val="20"/>
          <w:color w:val="auto"/>
        </w:rPr>
      </w:pPr>
    </w:p>
    <w:p>
      <w:pPr>
        <w:ind w:left="540" w:hanging="424"/>
        <w:spacing w:after="0"/>
        <w:tabs>
          <w:tab w:leader="none" w:pos="54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Item 601(a)(5) of Regulation S-K, certain exhibits and schedules have been omitted. The Company hereby undertakes to furnish</w:t>
      </w:r>
    </w:p>
    <w:p>
      <w:pPr>
        <w:spacing w:after="0" w:line="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supplementally a copy of any omitted exhibit or schedule upon request by the SEC.</w:t>
      </w:r>
    </w:p>
    <w:p>
      <w:pPr>
        <w:spacing w:after="0" w:line="9" w:lineRule="exact"/>
        <w:rPr>
          <w:sz w:val="20"/>
          <w:szCs w:val="20"/>
          <w:color w:val="auto"/>
        </w:rPr>
      </w:pPr>
    </w:p>
    <w:p>
      <w:pPr>
        <w:ind w:left="540" w:hanging="424"/>
        <w:spacing w:after="0" w:line="255" w:lineRule="auto"/>
        <w:tabs>
          <w:tab w:leader="none" w:pos="54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Item 601(b)(10) of Regulation S-K, certain confidential portions of this exhibit have been omitted by means of marking such portions with asterisks as the identified confidential portions (i) are not material and (ii) would likely cause competitive harm to the registrant if publicly disclosed.</w:t>
      </w:r>
    </w:p>
    <w:p>
      <w:pPr>
        <w:spacing w:after="0" w:line="183" w:lineRule="exact"/>
        <w:rPr>
          <w:rFonts w:ascii="Times New Roman" w:cs="Times New Roman" w:eastAsia="Times New Roman" w:hAnsi="Times New Roman"/>
          <w:sz w:val="18"/>
          <w:szCs w:val="18"/>
          <w:color w:val="auto"/>
        </w:rPr>
      </w:pPr>
    </w:p>
    <w:p>
      <w:pPr>
        <w:ind w:left="120" w:right="420" w:firstLine="877"/>
        <w:spacing w:after="0" w:line="284" w:lineRule="auto"/>
        <w:tabs>
          <w:tab w:leader="none" w:pos="1391" w:val="left"/>
        </w:tabs>
        <w:numPr>
          <w:ilvl w:val="1"/>
          <w:numId w:val="17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Financial Statement Schedules. </w:t>
      </w:r>
      <w:r>
        <w:rPr>
          <w:rFonts w:ascii="Times New Roman" w:cs="Times New Roman" w:eastAsia="Times New Roman" w:hAnsi="Times New Roman"/>
          <w:sz w:val="18"/>
          <w:szCs w:val="18"/>
          <w:color w:val="auto"/>
        </w:rPr>
        <w:t>All schedules have been omitted because the information required to be presented in them is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applicable or is shown in the financial statements or related notes.</w:t>
      </w:r>
    </w:p>
    <w:p>
      <w:pPr>
        <w:spacing w:after="0" w:line="15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17. Undertakings</w:t>
      </w:r>
    </w:p>
    <w:p>
      <w:pPr>
        <w:spacing w:after="0" w:line="229" w:lineRule="exact"/>
        <w:rPr>
          <w:sz w:val="20"/>
          <w:szCs w:val="20"/>
          <w:color w:val="auto"/>
        </w:rPr>
      </w:pPr>
    </w:p>
    <w:p>
      <w:pPr>
        <w:ind w:left="120" w:right="660" w:firstLine="881"/>
        <w:spacing w:after="0" w:line="312" w:lineRule="auto"/>
        <w:rPr>
          <w:sz w:val="20"/>
          <w:szCs w:val="20"/>
          <w:color w:val="auto"/>
        </w:rPr>
      </w:pPr>
      <w:r>
        <w:rPr>
          <w:rFonts w:ascii="Times New Roman" w:cs="Times New Roman" w:eastAsia="Times New Roman" w:hAnsi="Times New Roman"/>
          <w:sz w:val="17"/>
          <w:szCs w:val="17"/>
          <w:color w:val="auto"/>
        </w:rPr>
        <w:t>The undersigned registrant hereby undertakes to provide to the underwriter at the closing specified in the underwriting agreements certificates in such denominations and registered in such names as required by the underwriter to permit prompt delivery to each purchaser.</w:t>
      </w:r>
    </w:p>
    <w:p>
      <w:pPr>
        <w:spacing w:after="0" w:line="140" w:lineRule="exact"/>
        <w:rPr>
          <w:sz w:val="20"/>
          <w:szCs w:val="20"/>
          <w:color w:val="auto"/>
        </w:rPr>
      </w:pPr>
    </w:p>
    <w:p>
      <w:pPr>
        <w:jc w:val="both"/>
        <w:ind w:left="120" w:right="180" w:firstLine="881"/>
        <w:spacing w:after="0" w:line="289" w:lineRule="auto"/>
        <w:rPr>
          <w:sz w:val="20"/>
          <w:szCs w:val="20"/>
          <w:color w:val="auto"/>
        </w:rPr>
      </w:pPr>
      <w:r>
        <w:rPr>
          <w:rFonts w:ascii="Times New Roman" w:cs="Times New Roman" w:eastAsia="Times New Roman" w:hAnsi="Times New Roman"/>
          <w:sz w:val="17"/>
          <w:szCs w:val="17"/>
          <w:color w:val="auto"/>
        </w:rPr>
        <w:t>Insofar as indemnification for liabilities arising under the Securities Act of 1933, as amended, may be permitted to directors, officers and controlling persons of the registrant pursuant to the foregoing provisions, or otherwise, the registrant has been advised that in the opinion of the SEC such indemnification is against public policy as expressed in the Act and is, therefore, unenforceable. In the event that a claim for indemnification</w:t>
      </w:r>
    </w:p>
    <w:p>
      <w:pPr>
        <w:spacing w:after="0" w:line="9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II-4</w:t>
      </w:r>
    </w:p>
    <w:p>
      <w:pPr>
        <w:sectPr>
          <w:pgSz w:w="11900" w:h="16838" w:orient="portrait"/>
          <w:cols w:equalWidth="0" w:num="1">
            <w:col w:w="11040"/>
          </w:cols>
          <w:pgMar w:left="320" w:top="455" w:right="539" w:bottom="1440" w:gutter="0" w:footer="0" w:header="0"/>
        </w:sectPr>
      </w:pPr>
    </w:p>
    <w:bookmarkStart w:id="251" w:name="page252"/>
    <w:bookmarkEnd w:id="25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183"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8"/>
          <w:szCs w:val="18"/>
          <w:color w:val="auto"/>
        </w:rPr>
        <w:t>The undersigned registrant hereby undertakes that:</w:t>
      </w:r>
    </w:p>
    <w:p>
      <w:pPr>
        <w:spacing w:after="0" w:line="252" w:lineRule="exact"/>
        <w:rPr>
          <w:sz w:val="20"/>
          <w:szCs w:val="20"/>
          <w:color w:val="auto"/>
        </w:rPr>
      </w:pPr>
    </w:p>
    <w:p>
      <w:pPr>
        <w:ind w:left="1420" w:right="80" w:hanging="427"/>
        <w:spacing w:after="0" w:line="261" w:lineRule="auto"/>
        <w:tabs>
          <w:tab w:leader="none" w:pos="1420"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determining any liability under the Securities Act of 1933, as amended, the information omitted from the form of prospectus filed as part of this registration statement in reliance upon Rule 430A and contained in a form of prospectus filed by the registrant pursuant to Rule 424(b)(1) or (4) or 497(h) under the Securities Act of 1933, as amended, shall be deemed to be part of this registration statement as of the time it was declared effective.</w:t>
      </w:r>
    </w:p>
    <w:p>
      <w:pPr>
        <w:spacing w:after="0" w:line="206" w:lineRule="exact"/>
        <w:rPr>
          <w:rFonts w:ascii="Times New Roman" w:cs="Times New Roman" w:eastAsia="Times New Roman" w:hAnsi="Times New Roman"/>
          <w:sz w:val="18"/>
          <w:szCs w:val="18"/>
          <w:color w:val="auto"/>
        </w:rPr>
      </w:pPr>
    </w:p>
    <w:p>
      <w:pPr>
        <w:ind w:left="1420" w:right="380" w:hanging="427"/>
        <w:spacing w:after="0" w:line="266" w:lineRule="auto"/>
        <w:tabs>
          <w:tab w:leader="none" w:pos="1420"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 of determining any liability under the Securities Act of 1933, as amended,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II-5</w:t>
      </w:r>
    </w:p>
    <w:p>
      <w:pPr>
        <w:sectPr>
          <w:pgSz w:w="11900" w:h="16838" w:orient="portrait"/>
          <w:cols w:equalWidth="0" w:num="1">
            <w:col w:w="11100"/>
          </w:cols>
          <w:pgMar w:left="320" w:top="455" w:right="479" w:bottom="1440" w:gutter="0" w:footer="0" w:header="0"/>
        </w:sectPr>
      </w:pPr>
    </w:p>
    <w:bookmarkStart w:id="252" w:name="page253"/>
    <w:bookmarkEnd w:id="25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120" w:right="400" w:firstLine="881"/>
        <w:spacing w:after="0" w:line="312" w:lineRule="auto"/>
        <w:rPr>
          <w:sz w:val="20"/>
          <w:szCs w:val="20"/>
          <w:color w:val="auto"/>
        </w:rPr>
      </w:pPr>
      <w:r>
        <w:rPr>
          <w:rFonts w:ascii="Times New Roman" w:cs="Times New Roman" w:eastAsia="Times New Roman" w:hAnsi="Times New Roman"/>
          <w:sz w:val="17"/>
          <w:szCs w:val="17"/>
          <w:color w:val="auto"/>
        </w:rPr>
        <w:t>Pursuant to the requirements of the Securities Act of 1933, as amended, the registrant has duly caused this Registration Statement to be signed on its behalf by the undersigned, thereunto duly authorized, in the City of Irvine, State of California, on this 25</w:t>
      </w:r>
      <w:r>
        <w:rPr>
          <w:rFonts w:ascii="Times New Roman" w:cs="Times New Roman" w:eastAsia="Times New Roman" w:hAnsi="Times New Roman"/>
          <w:sz w:val="14"/>
          <w:szCs w:val="14"/>
          <w:color w:val="auto"/>
        </w:rPr>
        <w:t>th</w:t>
      </w:r>
      <w:r>
        <w:rPr>
          <w:rFonts w:ascii="Times New Roman" w:cs="Times New Roman" w:eastAsia="Times New Roman" w:hAnsi="Times New Roman"/>
          <w:sz w:val="17"/>
          <w:szCs w:val="17"/>
          <w:color w:val="auto"/>
        </w:rPr>
        <w:t xml:space="preserve"> day of September, 2020.</w:t>
      </w:r>
    </w:p>
    <w:p>
      <w:pPr>
        <w:spacing w:after="0" w:line="163"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b w:val="1"/>
          <w:bCs w:val="1"/>
          <w:color w:val="auto"/>
        </w:rPr>
        <w:t>Tarsus Pharmaceuticals, Inc.</w:t>
      </w:r>
    </w:p>
    <w:p>
      <w:pPr>
        <w:spacing w:after="0" w:line="229"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/s/ Bobak Azamian, M.D.,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17145</wp:posOffset>
            </wp:positionV>
            <wp:extent cx="2794635"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Bobak Azamian, M.D., Ph.D.</w:t>
      </w:r>
    </w:p>
    <w:p>
      <w:pPr>
        <w:spacing w:after="0" w:line="2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ind w:left="120" w:firstLine="881"/>
        <w:spacing w:after="0" w:line="254"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hereby constitutes and appoints Bobak Azamian and Leo M. Greenstein, and each of them, as his or her true and lawful attorney-in-fact and agent with full power of substitution, for him or her in any and all capacities, to sign any and all amendments to this registration statement (including post-effective amendments) and any registration statement related thereto filed pursuant to Rule 462(b) increasing the number of securities for which registration is sought, and to file the same, with all exhibits thereto and other documents in connection therewith, with the SEC, granting unto said attorney-in-fact and agent full power and authority to do and perform each and every act and thing requisite and necessary to be done in connection therewith, as fully for all intents and purposes as he or she might or could do in person, hereby ratifying and confirming all that said attorney-in-fact and agent, or his or her substitute, may lawfully do or cause to be done by virtue hereof.</w:t>
      </w:r>
    </w:p>
    <w:p>
      <w:pPr>
        <w:spacing w:after="0" w:line="192" w:lineRule="exact"/>
        <w:rPr>
          <w:sz w:val="20"/>
          <w:szCs w:val="20"/>
          <w:color w:val="auto"/>
        </w:rPr>
      </w:pPr>
    </w:p>
    <w:p>
      <w:pPr>
        <w:ind w:left="120" w:right="540" w:firstLine="881"/>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this Registration Statement has been signed by the following persons in the capacities and on the dates indicated.</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1640" w:type="dxa"/>
            <w:vAlign w:val="bottom"/>
          </w:tcPr>
          <w:p>
            <w:pPr>
              <w:spacing w:after="0"/>
              <w:rPr>
                <w:sz w:val="15"/>
                <w:szCs w:val="15"/>
                <w:color w:val="auto"/>
              </w:rPr>
            </w:pP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162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9"/>
              </w:rPr>
              <w:t>Title</w:t>
            </w:r>
          </w:p>
        </w:tc>
        <w:tc>
          <w:tcPr>
            <w:tcW w:w="23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Date</w:t>
            </w:r>
          </w:p>
        </w:tc>
        <w:tc>
          <w:tcPr>
            <w:tcW w:w="560" w:type="dxa"/>
            <w:vAlign w:val="bottom"/>
          </w:tcPr>
          <w:p>
            <w:pPr>
              <w:spacing w:after="0"/>
              <w:rPr>
                <w:sz w:val="15"/>
                <w:szCs w:val="15"/>
                <w:color w:val="auto"/>
              </w:rPr>
            </w:pPr>
          </w:p>
        </w:tc>
      </w:tr>
      <w:tr>
        <w:trPr>
          <w:trHeight w:val="425"/>
        </w:trPr>
        <w:tc>
          <w:tcPr>
            <w:tcW w:w="38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rPr>
              <w:t>/s/ Bobak Azamian, M.D., Ph.D.</w:t>
            </w:r>
          </w:p>
        </w:tc>
        <w:tc>
          <w:tcPr>
            <w:tcW w:w="50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Chief Executive Officer, President and Director</w:t>
            </w:r>
          </w:p>
        </w:tc>
        <w:tc>
          <w:tcPr>
            <w:tcW w:w="1800" w:type="dxa"/>
            <w:vAlign w:val="bottom"/>
            <w:gridSpan w:val="3"/>
          </w:tcPr>
          <w:p>
            <w:pPr>
              <w:jc w:val="center"/>
              <w:ind w:left="270"/>
              <w:spacing w:after="0"/>
              <w:rPr>
                <w:sz w:val="20"/>
                <w:szCs w:val="20"/>
                <w:color w:val="auto"/>
              </w:rPr>
            </w:pPr>
            <w:r>
              <w:rPr>
                <w:rFonts w:ascii="Times New Roman" w:cs="Times New Roman" w:eastAsia="Times New Roman" w:hAnsi="Times New Roman"/>
                <w:sz w:val="18"/>
                <w:szCs w:val="18"/>
                <w:color w:val="auto"/>
                <w:w w:val="99"/>
              </w:rPr>
              <w:t>September 25, 2020</w:t>
            </w:r>
          </w:p>
        </w:tc>
      </w:tr>
      <w:tr>
        <w:trPr>
          <w:trHeight w:val="228"/>
        </w:trPr>
        <w:tc>
          <w:tcPr>
            <w:tcW w:w="38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Bobak Azamian, M.D., Ph.D.</w:t>
            </w:r>
          </w:p>
        </w:tc>
        <w:tc>
          <w:tcPr>
            <w:tcW w:w="5040" w:type="dxa"/>
            <w:vAlign w:val="bottom"/>
            <w:gridSpan w:val="3"/>
          </w:tcPr>
          <w:p>
            <w:pPr>
              <w:ind w:left="1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c>
          <w:tcPr>
            <w:tcW w:w="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427"/>
        </w:trPr>
        <w:tc>
          <w:tcPr>
            <w:tcW w:w="38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 Leo M. Greenstein</w:t>
            </w:r>
          </w:p>
        </w:tc>
        <w:tc>
          <w:tcPr>
            <w:tcW w:w="50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Chief Financial Officer</w:t>
            </w:r>
          </w:p>
        </w:tc>
        <w:tc>
          <w:tcPr>
            <w:tcW w:w="1800" w:type="dxa"/>
            <w:vAlign w:val="bottom"/>
            <w:gridSpan w:val="3"/>
          </w:tcPr>
          <w:p>
            <w:pPr>
              <w:jc w:val="center"/>
              <w:ind w:left="270"/>
              <w:spacing w:after="0"/>
              <w:rPr>
                <w:sz w:val="20"/>
                <w:szCs w:val="20"/>
                <w:color w:val="auto"/>
              </w:rPr>
            </w:pPr>
            <w:r>
              <w:rPr>
                <w:rFonts w:ascii="Times New Roman" w:cs="Times New Roman" w:eastAsia="Times New Roman" w:hAnsi="Times New Roman"/>
                <w:sz w:val="18"/>
                <w:szCs w:val="18"/>
                <w:color w:val="auto"/>
                <w:w w:val="99"/>
              </w:rPr>
              <w:t>September 25, 2020</w:t>
            </w:r>
          </w:p>
        </w:tc>
      </w:tr>
      <w:tr>
        <w:trPr>
          <w:trHeight w:val="228"/>
        </w:trPr>
        <w:tc>
          <w:tcPr>
            <w:tcW w:w="38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Leo M. Greenstein</w:t>
            </w:r>
          </w:p>
        </w:tc>
        <w:tc>
          <w:tcPr>
            <w:tcW w:w="5040" w:type="dxa"/>
            <w:vAlign w:val="bottom"/>
            <w:gridSpan w:val="3"/>
          </w:tcPr>
          <w:p>
            <w:pPr>
              <w:ind w:left="120"/>
              <w:spacing w:after="0"/>
              <w:rPr>
                <w:sz w:val="20"/>
                <w:szCs w:val="20"/>
                <w:color w:val="auto"/>
              </w:rPr>
            </w:pPr>
            <w:r>
              <w:rPr>
                <w:rFonts w:ascii="Times New Roman" w:cs="Times New Roman" w:eastAsia="Times New Roman" w:hAnsi="Times New Roman"/>
                <w:sz w:val="18"/>
                <w:szCs w:val="18"/>
                <w:i w:val="1"/>
                <w:iCs w:val="1"/>
                <w:color w:val="auto"/>
              </w:rPr>
              <w:t>(Principal Financial Officer and Principal Accounting Officer)</w:t>
            </w:r>
          </w:p>
        </w:tc>
        <w:tc>
          <w:tcPr>
            <w:tcW w:w="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427"/>
        </w:trPr>
        <w:tc>
          <w:tcPr>
            <w:tcW w:w="38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rPr>
              <w:t>/s/ Michael Ackermann, Ph.D.</w:t>
            </w:r>
          </w:p>
        </w:tc>
        <w:tc>
          <w:tcPr>
            <w:tcW w:w="50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Chairman</w:t>
            </w:r>
          </w:p>
        </w:tc>
        <w:tc>
          <w:tcPr>
            <w:tcW w:w="1800" w:type="dxa"/>
            <w:vAlign w:val="bottom"/>
            <w:gridSpan w:val="3"/>
          </w:tcPr>
          <w:p>
            <w:pPr>
              <w:jc w:val="center"/>
              <w:ind w:left="270"/>
              <w:spacing w:after="0"/>
              <w:rPr>
                <w:sz w:val="20"/>
                <w:szCs w:val="20"/>
                <w:color w:val="auto"/>
              </w:rPr>
            </w:pPr>
            <w:r>
              <w:rPr>
                <w:rFonts w:ascii="Times New Roman" w:cs="Times New Roman" w:eastAsia="Times New Roman" w:hAnsi="Times New Roman"/>
                <w:sz w:val="18"/>
                <w:szCs w:val="18"/>
                <w:color w:val="auto"/>
                <w:w w:val="99"/>
              </w:rPr>
              <w:t>September 25, 2020</w:t>
            </w:r>
          </w:p>
        </w:tc>
      </w:tr>
      <w:tr>
        <w:trPr>
          <w:trHeight w:val="228"/>
        </w:trPr>
        <w:tc>
          <w:tcPr>
            <w:tcW w:w="38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Michael Ackermann, Ph.D.</w:t>
            </w:r>
          </w:p>
        </w:tc>
        <w:tc>
          <w:tcPr>
            <w:tcW w:w="2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427"/>
        </w:trPr>
        <w:tc>
          <w:tcPr>
            <w:tcW w:w="38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rPr>
              <w:t>/s/ Bhaskar Chaudhuri, Ph.D.</w:t>
            </w:r>
          </w:p>
        </w:tc>
        <w:tc>
          <w:tcPr>
            <w:tcW w:w="50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1800" w:type="dxa"/>
            <w:vAlign w:val="bottom"/>
            <w:gridSpan w:val="3"/>
          </w:tcPr>
          <w:p>
            <w:pPr>
              <w:jc w:val="center"/>
              <w:ind w:left="270"/>
              <w:spacing w:after="0"/>
              <w:rPr>
                <w:sz w:val="20"/>
                <w:szCs w:val="20"/>
                <w:color w:val="auto"/>
              </w:rPr>
            </w:pPr>
            <w:r>
              <w:rPr>
                <w:rFonts w:ascii="Times New Roman" w:cs="Times New Roman" w:eastAsia="Times New Roman" w:hAnsi="Times New Roman"/>
                <w:sz w:val="18"/>
                <w:szCs w:val="18"/>
                <w:color w:val="auto"/>
                <w:w w:val="99"/>
              </w:rPr>
              <w:t>September 25, 2020</w:t>
            </w:r>
          </w:p>
        </w:tc>
      </w:tr>
      <w:tr>
        <w:trPr>
          <w:trHeight w:val="228"/>
        </w:trPr>
        <w:tc>
          <w:tcPr>
            <w:tcW w:w="38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Bhaskar Chaudhuri, Ph.D.</w:t>
            </w:r>
          </w:p>
        </w:tc>
        <w:tc>
          <w:tcPr>
            <w:tcW w:w="2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427"/>
        </w:trPr>
        <w:tc>
          <w:tcPr>
            <w:tcW w:w="38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rPr>
              <w:t>/s/ Andrew Goldberg, M.D.</w:t>
            </w:r>
          </w:p>
        </w:tc>
        <w:tc>
          <w:tcPr>
            <w:tcW w:w="50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1800" w:type="dxa"/>
            <w:vAlign w:val="bottom"/>
            <w:gridSpan w:val="3"/>
          </w:tcPr>
          <w:p>
            <w:pPr>
              <w:jc w:val="center"/>
              <w:ind w:left="270"/>
              <w:spacing w:after="0"/>
              <w:rPr>
                <w:sz w:val="20"/>
                <w:szCs w:val="20"/>
                <w:color w:val="auto"/>
              </w:rPr>
            </w:pPr>
            <w:r>
              <w:rPr>
                <w:rFonts w:ascii="Times New Roman" w:cs="Times New Roman" w:eastAsia="Times New Roman" w:hAnsi="Times New Roman"/>
                <w:sz w:val="18"/>
                <w:szCs w:val="18"/>
                <w:color w:val="auto"/>
                <w:w w:val="99"/>
              </w:rPr>
              <w:t>September 25, 2020</w:t>
            </w:r>
          </w:p>
        </w:tc>
      </w:tr>
      <w:tr>
        <w:trPr>
          <w:trHeight w:val="228"/>
        </w:trPr>
        <w:tc>
          <w:tcPr>
            <w:tcW w:w="38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Andrew Goldberg, M.D.</w:t>
            </w:r>
          </w:p>
        </w:tc>
        <w:tc>
          <w:tcPr>
            <w:tcW w:w="2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427"/>
        </w:trPr>
        <w:tc>
          <w:tcPr>
            <w:tcW w:w="38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 William J. Link, Ph.D.</w:t>
            </w:r>
          </w:p>
        </w:tc>
        <w:tc>
          <w:tcPr>
            <w:tcW w:w="50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1800" w:type="dxa"/>
            <w:vAlign w:val="bottom"/>
            <w:gridSpan w:val="3"/>
          </w:tcPr>
          <w:p>
            <w:pPr>
              <w:jc w:val="center"/>
              <w:ind w:left="270"/>
              <w:spacing w:after="0"/>
              <w:rPr>
                <w:sz w:val="20"/>
                <w:szCs w:val="20"/>
                <w:color w:val="auto"/>
              </w:rPr>
            </w:pPr>
            <w:r>
              <w:rPr>
                <w:rFonts w:ascii="Times New Roman" w:cs="Times New Roman" w:eastAsia="Times New Roman" w:hAnsi="Times New Roman"/>
                <w:sz w:val="18"/>
                <w:szCs w:val="18"/>
                <w:color w:val="auto"/>
                <w:w w:val="99"/>
              </w:rPr>
              <w:t>September 25, 2020</w:t>
            </w:r>
          </w:p>
        </w:tc>
      </w:tr>
      <w:tr>
        <w:trPr>
          <w:trHeight w:val="228"/>
        </w:trPr>
        <w:tc>
          <w:tcPr>
            <w:tcW w:w="38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William J. Link, Ph.D.</w:t>
            </w:r>
          </w:p>
        </w:tc>
        <w:tc>
          <w:tcPr>
            <w:tcW w:w="2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427"/>
        </w:trPr>
        <w:tc>
          <w:tcPr>
            <w:tcW w:w="38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7"/>
              </w:rPr>
              <w:t>/s/ Jason Tester</w:t>
            </w:r>
          </w:p>
        </w:tc>
        <w:tc>
          <w:tcPr>
            <w:tcW w:w="50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1800" w:type="dxa"/>
            <w:vAlign w:val="bottom"/>
            <w:gridSpan w:val="3"/>
          </w:tcPr>
          <w:p>
            <w:pPr>
              <w:jc w:val="center"/>
              <w:ind w:left="270"/>
              <w:spacing w:after="0"/>
              <w:rPr>
                <w:sz w:val="20"/>
                <w:szCs w:val="20"/>
                <w:color w:val="auto"/>
              </w:rPr>
            </w:pPr>
            <w:r>
              <w:rPr>
                <w:rFonts w:ascii="Times New Roman" w:cs="Times New Roman" w:eastAsia="Times New Roman" w:hAnsi="Times New Roman"/>
                <w:sz w:val="18"/>
                <w:szCs w:val="18"/>
                <w:color w:val="auto"/>
                <w:w w:val="99"/>
              </w:rPr>
              <w:t>September 25, 2020</w:t>
            </w:r>
          </w:p>
        </w:tc>
      </w:tr>
      <w:tr>
        <w:trPr>
          <w:trHeight w:val="228"/>
        </w:trPr>
        <w:tc>
          <w:tcPr>
            <w:tcW w:w="38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Jason Tester</w:t>
            </w:r>
          </w:p>
        </w:tc>
        <w:tc>
          <w:tcPr>
            <w:tcW w:w="2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360"/>
        </w:trPr>
        <w:tc>
          <w:tcPr>
            <w:tcW w:w="1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5040" w:type="dxa"/>
            <w:vAlign w:val="bottom"/>
            <w:gridSpan w:val="3"/>
          </w:tcPr>
          <w:p>
            <w:pPr>
              <w:ind w:left="1480"/>
              <w:spacing w:after="0"/>
              <w:rPr>
                <w:sz w:val="20"/>
                <w:szCs w:val="20"/>
                <w:color w:val="auto"/>
              </w:rPr>
            </w:pPr>
            <w:r>
              <w:rPr>
                <w:rFonts w:ascii="Times New Roman" w:cs="Times New Roman" w:eastAsia="Times New Roman" w:hAnsi="Times New Roman"/>
                <w:sz w:val="18"/>
                <w:szCs w:val="18"/>
                <w:color w:val="auto"/>
              </w:rPr>
              <w:t>II-6</w:t>
            </w: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r>
    </w:tbl>
    <w:p>
      <w:pPr>
        <w:sectPr>
          <w:pgSz w:w="11900" w:h="16838" w:orient="portrait"/>
          <w:cols w:equalWidth="0" w:num="1">
            <w:col w:w="11120"/>
          </w:cols>
          <w:pgMar w:left="320" w:top="455" w:right="459" w:bottom="1440" w:gutter="0" w:footer="0" w:header="0"/>
        </w:sectPr>
      </w:pPr>
    </w:p>
    <w:bookmarkStart w:id="253" w:name="page254"/>
    <w:bookmarkEnd w:id="253"/>
    <w:p>
      <w:pPr>
        <w:jc w:val="right"/>
        <w:spacing w:after="0"/>
        <w:rPr>
          <w:sz w:val="20"/>
          <w:szCs w:val="20"/>
          <w:color w:val="auto"/>
        </w:rPr>
      </w:pPr>
      <w:r>
        <w:rPr>
          <w:rFonts w:ascii="Times New Roman" w:cs="Times New Roman" w:eastAsia="Times New Roman" w:hAnsi="Times New Roman"/>
          <w:sz w:val="20"/>
          <w:szCs w:val="20"/>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20"/>
          <w:szCs w:val="20"/>
          <w:b w:val="1"/>
          <w:bCs w:val="1"/>
          <w:color w:val="auto"/>
        </w:rPr>
        <w:t>T</w:t>
      </w:r>
      <w:r>
        <w:rPr>
          <w:rFonts w:ascii="Times New Roman" w:cs="Times New Roman" w:eastAsia="Times New Roman" w:hAnsi="Times New Roman"/>
          <w:sz w:val="16"/>
          <w:szCs w:val="16"/>
          <w:b w:val="1"/>
          <w:bCs w:val="1"/>
          <w:color w:val="auto"/>
        </w:rPr>
        <w:t>ARSUS</w:t>
      </w:r>
      <w:r>
        <w:rPr>
          <w:rFonts w:ascii="Times New Roman" w:cs="Times New Roman" w:eastAsia="Times New Roman" w:hAnsi="Times New Roman"/>
          <w:sz w:val="20"/>
          <w:szCs w:val="20"/>
          <w:b w:val="1"/>
          <w:bCs w:val="1"/>
          <w:color w:val="auto"/>
        </w:rPr>
        <w:t xml:space="preserve"> P</w:t>
      </w:r>
      <w:r>
        <w:rPr>
          <w:rFonts w:ascii="Times New Roman" w:cs="Times New Roman" w:eastAsia="Times New Roman" w:hAnsi="Times New Roman"/>
          <w:sz w:val="16"/>
          <w:szCs w:val="16"/>
          <w:b w:val="1"/>
          <w:bCs w:val="1"/>
          <w:color w:val="auto"/>
        </w:rPr>
        <w:t>HARMACEUTICALS</w:t>
      </w:r>
      <w:r>
        <w:rPr>
          <w:rFonts w:ascii="Times New Roman" w:cs="Times New Roman" w:eastAsia="Times New Roman" w:hAnsi="Times New Roman"/>
          <w:sz w:val="20"/>
          <w:szCs w:val="20"/>
          <w:b w:val="1"/>
          <w:bCs w:val="1"/>
          <w:color w:val="auto"/>
        </w:rPr>
        <w:t>, I</w:t>
      </w:r>
      <w:r>
        <w:rPr>
          <w:rFonts w:ascii="Times New Roman" w:cs="Times New Roman" w:eastAsia="Times New Roman" w:hAnsi="Times New Roman"/>
          <w:sz w:val="16"/>
          <w:szCs w:val="16"/>
          <w:b w:val="1"/>
          <w:bCs w:val="1"/>
          <w:color w:val="auto"/>
        </w:rPr>
        <w:t>NC</w:t>
      </w:r>
      <w:r>
        <w:rPr>
          <w:rFonts w:ascii="Times New Roman" w:cs="Times New Roman" w:eastAsia="Times New Roman" w:hAnsi="Times New Roman"/>
          <w:sz w:val="20"/>
          <w:szCs w:val="20"/>
          <w:b w:val="1"/>
          <w:bCs w:val="1"/>
          <w:color w:val="auto"/>
        </w:rPr>
        <w:t>.</w:t>
      </w:r>
    </w:p>
    <w:p>
      <w:pPr>
        <w:spacing w:after="0" w:line="324"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20"/>
          <w:szCs w:val="20"/>
          <w:b w:val="1"/>
          <w:bCs w:val="1"/>
          <w:color w:val="auto"/>
        </w:rPr>
        <w:t>2016 S</w:t>
      </w:r>
      <w:r>
        <w:rPr>
          <w:rFonts w:ascii="Times New Roman" w:cs="Times New Roman" w:eastAsia="Times New Roman" w:hAnsi="Times New Roman"/>
          <w:sz w:val="16"/>
          <w:szCs w:val="16"/>
          <w:b w:val="1"/>
          <w:bCs w:val="1"/>
          <w:color w:val="auto"/>
        </w:rPr>
        <w:t>TOCK</w:t>
      </w:r>
      <w:r>
        <w:rPr>
          <w:rFonts w:ascii="Times New Roman" w:cs="Times New Roman" w:eastAsia="Times New Roman" w:hAnsi="Times New Roman"/>
          <w:sz w:val="20"/>
          <w:szCs w:val="20"/>
          <w:b w:val="1"/>
          <w:bCs w:val="1"/>
          <w:color w:val="auto"/>
        </w:rPr>
        <w:t xml:space="preserve"> P</w:t>
      </w:r>
      <w:r>
        <w:rPr>
          <w:rFonts w:ascii="Times New Roman" w:cs="Times New Roman" w:eastAsia="Times New Roman" w:hAnsi="Times New Roman"/>
          <w:sz w:val="16"/>
          <w:szCs w:val="16"/>
          <w:b w:val="1"/>
          <w:bCs w:val="1"/>
          <w:color w:val="auto"/>
        </w:rPr>
        <w:t>LAN</w:t>
      </w:r>
    </w:p>
    <w:p>
      <w:pPr>
        <w:spacing w:after="0" w:line="324"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20"/>
          <w:szCs w:val="20"/>
          <w:b w:val="1"/>
          <w:bCs w:val="1"/>
          <w:color w:val="auto"/>
        </w:rPr>
        <w:t>A</w:t>
      </w:r>
      <w:r>
        <w:rPr>
          <w:rFonts w:ascii="Times New Roman" w:cs="Times New Roman" w:eastAsia="Times New Roman" w:hAnsi="Times New Roman"/>
          <w:sz w:val="16"/>
          <w:szCs w:val="16"/>
          <w:b w:val="1"/>
          <w:bCs w:val="1"/>
          <w:color w:val="auto"/>
        </w:rPr>
        <w:t>DOPTED ON</w:t>
      </w:r>
      <w:r>
        <w:rPr>
          <w:rFonts w:ascii="Times New Roman" w:cs="Times New Roman" w:eastAsia="Times New Roman" w:hAnsi="Times New Roman"/>
          <w:sz w:val="20"/>
          <w:szCs w:val="20"/>
          <w:b w:val="1"/>
          <w:bCs w:val="1"/>
          <w:color w:val="auto"/>
        </w:rPr>
        <w:t xml:space="preserve"> D</w:t>
      </w:r>
      <w:r>
        <w:rPr>
          <w:rFonts w:ascii="Times New Roman" w:cs="Times New Roman" w:eastAsia="Times New Roman" w:hAnsi="Times New Roman"/>
          <w:sz w:val="16"/>
          <w:szCs w:val="16"/>
          <w:b w:val="1"/>
          <w:bCs w:val="1"/>
          <w:color w:val="auto"/>
        </w:rPr>
        <w:t>ECEMBER</w:t>
      </w:r>
      <w:r>
        <w:rPr>
          <w:rFonts w:ascii="Times New Roman" w:cs="Times New Roman" w:eastAsia="Times New Roman" w:hAnsi="Times New Roman"/>
          <w:sz w:val="20"/>
          <w:szCs w:val="20"/>
          <w:b w:val="1"/>
          <w:bCs w:val="1"/>
          <w:color w:val="auto"/>
        </w:rPr>
        <w:t xml:space="preserve"> 14, 2016</w:t>
      </w:r>
    </w:p>
    <w:p>
      <w:pPr>
        <w:sectPr>
          <w:pgSz w:w="11900" w:h="16838" w:orient="portrait"/>
          <w:cols w:equalWidth="0" w:num="1">
            <w:col w:w="10120"/>
          </w:cols>
          <w:pgMar w:left="1440" w:top="114" w:right="339" w:bottom="1440" w:gutter="0" w:footer="0" w:header="0"/>
        </w:sectPr>
      </w:pPr>
    </w:p>
    <w:bookmarkStart w:id="254" w:name="page255"/>
    <w:bookmarkEnd w:id="254"/>
    <w:tbl>
      <w:tblPr>
        <w:tblLayout w:type="fixed"/>
        <w:tblInd w:w="0" w:type="dxa"/>
        <w:tblCellMar>
          <w:top w:w="0" w:type="dxa"/>
          <w:left w:w="0" w:type="dxa"/>
          <w:bottom w:w="0" w:type="dxa"/>
          <w:right w:w="0" w:type="dxa"/>
        </w:tblCellMar>
      </w:tblPr>
      <w:tr>
        <w:trPr>
          <w:trHeight w:val="262"/>
        </w:trPr>
        <w:tc>
          <w:tcPr>
            <w:tcW w:w="1180" w:type="dxa"/>
            <w:vAlign w:val="bottom"/>
          </w:tcPr>
          <w:p>
            <w:pPr>
              <w:spacing w:after="0"/>
              <w:rPr>
                <w:sz w:val="22"/>
                <w:szCs w:val="22"/>
                <w:color w:val="auto"/>
              </w:rPr>
            </w:pPr>
          </w:p>
        </w:tc>
        <w:tc>
          <w:tcPr>
            <w:tcW w:w="7500" w:type="dxa"/>
            <w:vAlign w:val="bottom"/>
          </w:tcPr>
          <w:p>
            <w:pPr>
              <w:ind w:left="3380"/>
              <w:spacing w:after="0"/>
              <w:rPr>
                <w:sz w:val="20"/>
                <w:szCs w:val="20"/>
                <w:color w:val="auto"/>
              </w:rPr>
            </w:pPr>
            <w:r>
              <w:rPr>
                <w:rFonts w:ascii="Times New Roman" w:cs="Times New Roman" w:eastAsia="Times New Roman" w:hAnsi="Times New Roman"/>
                <w:sz w:val="20"/>
                <w:szCs w:val="20"/>
                <w:b w:val="1"/>
                <w:bCs w:val="1"/>
                <w:color w:val="auto"/>
              </w:rPr>
              <w:t>TABLE OF CONTENTS</w:t>
            </w:r>
          </w:p>
        </w:tc>
        <w:tc>
          <w:tcPr>
            <w:tcW w:w="2400" w:type="dxa"/>
            <w:vAlign w:val="bottom"/>
          </w:tcPr>
          <w:p>
            <w:pPr>
              <w:spacing w:after="0"/>
              <w:rPr>
                <w:sz w:val="22"/>
                <w:szCs w:val="22"/>
                <w:color w:val="auto"/>
              </w:rPr>
            </w:pPr>
          </w:p>
        </w:tc>
      </w:tr>
      <w:tr>
        <w:trPr>
          <w:trHeight w:val="444"/>
        </w:trPr>
        <w:tc>
          <w:tcPr>
            <w:tcW w:w="1180" w:type="dxa"/>
            <w:vAlign w:val="bottom"/>
          </w:tcPr>
          <w:p>
            <w:pPr>
              <w:spacing w:after="0"/>
              <w:rPr>
                <w:sz w:val="24"/>
                <w:szCs w:val="24"/>
                <w:color w:val="auto"/>
              </w:rPr>
            </w:pPr>
          </w:p>
        </w:tc>
        <w:tc>
          <w:tcPr>
            <w:tcW w:w="7500" w:type="dxa"/>
            <w:vAlign w:val="bottom"/>
          </w:tcPr>
          <w:p>
            <w:pPr>
              <w:spacing w:after="0"/>
              <w:rPr>
                <w:sz w:val="24"/>
                <w:szCs w:val="24"/>
                <w:color w:val="auto"/>
              </w:rPr>
            </w:pPr>
          </w:p>
        </w:tc>
        <w:tc>
          <w:tcPr>
            <w:tcW w:w="2400" w:type="dxa"/>
            <w:vAlign w:val="bottom"/>
          </w:tcPr>
          <w:p>
            <w:pPr>
              <w:jc w:val="center"/>
              <w:ind w:left="1901"/>
              <w:spacing w:after="0"/>
              <w:rPr>
                <w:sz w:val="20"/>
                <w:szCs w:val="20"/>
                <w:color w:val="auto"/>
              </w:rPr>
            </w:pPr>
            <w:r>
              <w:rPr>
                <w:rFonts w:ascii="Times New Roman" w:cs="Times New Roman" w:eastAsia="Times New Roman" w:hAnsi="Times New Roman"/>
                <w:sz w:val="20"/>
                <w:szCs w:val="20"/>
                <w:color w:val="auto"/>
              </w:rPr>
              <w:t>Page</w:t>
            </w:r>
          </w:p>
        </w:tc>
      </w:tr>
      <w:tr>
        <w:trPr>
          <w:trHeight w:val="258"/>
        </w:trPr>
        <w:tc>
          <w:tcPr>
            <w:tcW w:w="1180" w:type="dxa"/>
            <w:vAlign w:val="bottom"/>
          </w:tcPr>
          <w:p>
            <w:pPr>
              <w:spacing w:after="0"/>
              <w:rPr>
                <w:sz w:val="20"/>
                <w:szCs w:val="20"/>
                <w:color w:val="auto"/>
              </w:rPr>
            </w:pPr>
            <w:r>
              <w:rPr>
                <w:rFonts w:ascii="Times New Roman" w:cs="Times New Roman" w:eastAsia="Times New Roman" w:hAnsi="Times New Roman"/>
                <w:sz w:val="20"/>
                <w:szCs w:val="20"/>
                <w:color w:val="auto"/>
              </w:rPr>
              <w:t>SECTION 1.</w:t>
            </w:r>
          </w:p>
        </w:tc>
        <w:tc>
          <w:tcPr>
            <w:tcW w:w="750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ESTABLISHMENT AND PURPOSE</w:t>
            </w:r>
          </w:p>
        </w:tc>
        <w:tc>
          <w:tcPr>
            <w:tcW w:w="2400" w:type="dxa"/>
            <w:vAlign w:val="bottom"/>
          </w:tcPr>
          <w:p>
            <w:pPr>
              <w:jc w:val="center"/>
              <w:ind w:left="1921"/>
              <w:spacing w:after="0"/>
              <w:rPr>
                <w:sz w:val="20"/>
                <w:szCs w:val="20"/>
                <w:color w:val="auto"/>
              </w:rPr>
            </w:pPr>
            <w:r>
              <w:rPr>
                <w:rFonts w:ascii="Times New Roman" w:cs="Times New Roman" w:eastAsia="Times New Roman" w:hAnsi="Times New Roman"/>
                <w:sz w:val="20"/>
                <w:szCs w:val="20"/>
                <w:color w:val="auto"/>
                <w:w w:val="99"/>
              </w:rPr>
              <w:t>1</w:t>
            </w:r>
          </w:p>
        </w:tc>
      </w:tr>
      <w:tr>
        <w:trPr>
          <w:trHeight w:val="309"/>
        </w:trPr>
        <w:tc>
          <w:tcPr>
            <w:tcW w:w="1180" w:type="dxa"/>
            <w:vAlign w:val="bottom"/>
          </w:tcPr>
          <w:p>
            <w:pPr>
              <w:spacing w:after="0"/>
              <w:rPr>
                <w:sz w:val="20"/>
                <w:szCs w:val="20"/>
                <w:color w:val="auto"/>
              </w:rPr>
            </w:pPr>
            <w:r>
              <w:rPr>
                <w:rFonts w:ascii="Times New Roman" w:cs="Times New Roman" w:eastAsia="Times New Roman" w:hAnsi="Times New Roman"/>
                <w:sz w:val="20"/>
                <w:szCs w:val="20"/>
                <w:color w:val="auto"/>
              </w:rPr>
              <w:t>SECTION 2.</w:t>
            </w:r>
          </w:p>
        </w:tc>
        <w:tc>
          <w:tcPr>
            <w:tcW w:w="750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ADMINISTRATION</w:t>
            </w:r>
          </w:p>
        </w:tc>
        <w:tc>
          <w:tcPr>
            <w:tcW w:w="2400" w:type="dxa"/>
            <w:vAlign w:val="bottom"/>
          </w:tcPr>
          <w:p>
            <w:pPr>
              <w:jc w:val="center"/>
              <w:ind w:left="1921"/>
              <w:spacing w:after="0"/>
              <w:rPr>
                <w:sz w:val="20"/>
                <w:szCs w:val="20"/>
                <w:color w:val="auto"/>
              </w:rPr>
            </w:pPr>
            <w:r>
              <w:rPr>
                <w:rFonts w:ascii="Times New Roman" w:cs="Times New Roman" w:eastAsia="Times New Roman" w:hAnsi="Times New Roman"/>
                <w:sz w:val="20"/>
                <w:szCs w:val="20"/>
                <w:color w:val="auto"/>
                <w:w w:val="99"/>
              </w:rPr>
              <w:t>1</w:t>
            </w:r>
          </w:p>
        </w:tc>
      </w:tr>
      <w:tr>
        <w:trPr>
          <w:trHeight w:val="229"/>
        </w:trPr>
        <w:tc>
          <w:tcPr>
            <w:tcW w:w="1180" w:type="dxa"/>
            <w:vAlign w:val="bottom"/>
          </w:tcPr>
          <w:p>
            <w:pPr>
              <w:ind w:left="800"/>
              <w:spacing w:after="0"/>
              <w:rPr>
                <w:sz w:val="20"/>
                <w:szCs w:val="20"/>
                <w:color w:val="auto"/>
              </w:rPr>
            </w:pPr>
            <w:r>
              <w:rPr>
                <w:rFonts w:ascii="Times New Roman" w:cs="Times New Roman" w:eastAsia="Times New Roman" w:hAnsi="Times New Roman"/>
                <w:sz w:val="20"/>
                <w:szCs w:val="20"/>
                <w:color w:val="auto"/>
              </w:rPr>
              <w:t>(a)</w:t>
            </w:r>
          </w:p>
        </w:tc>
        <w:tc>
          <w:tcPr>
            <w:tcW w:w="750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Committees of the Board of Directors</w:t>
            </w:r>
          </w:p>
        </w:tc>
        <w:tc>
          <w:tcPr>
            <w:tcW w:w="2400" w:type="dxa"/>
            <w:vAlign w:val="bottom"/>
          </w:tcPr>
          <w:p>
            <w:pPr>
              <w:jc w:val="center"/>
              <w:ind w:left="1921"/>
              <w:spacing w:after="0"/>
              <w:rPr>
                <w:sz w:val="20"/>
                <w:szCs w:val="20"/>
                <w:color w:val="auto"/>
              </w:rPr>
            </w:pPr>
            <w:r>
              <w:rPr>
                <w:rFonts w:ascii="Times New Roman" w:cs="Times New Roman" w:eastAsia="Times New Roman" w:hAnsi="Times New Roman"/>
                <w:sz w:val="20"/>
                <w:szCs w:val="20"/>
                <w:color w:val="auto"/>
                <w:w w:val="99"/>
              </w:rPr>
              <w:t>1</w:t>
            </w:r>
          </w:p>
        </w:tc>
      </w:tr>
      <w:tr>
        <w:trPr>
          <w:trHeight w:val="258"/>
        </w:trPr>
        <w:tc>
          <w:tcPr>
            <w:tcW w:w="1180" w:type="dxa"/>
            <w:vAlign w:val="bottom"/>
          </w:tcPr>
          <w:p>
            <w:pPr>
              <w:ind w:left="800"/>
              <w:spacing w:after="0"/>
              <w:rPr>
                <w:sz w:val="20"/>
                <w:szCs w:val="20"/>
                <w:color w:val="auto"/>
              </w:rPr>
            </w:pPr>
            <w:r>
              <w:rPr>
                <w:rFonts w:ascii="Times New Roman" w:cs="Times New Roman" w:eastAsia="Times New Roman" w:hAnsi="Times New Roman"/>
                <w:sz w:val="20"/>
                <w:szCs w:val="20"/>
                <w:color w:val="auto"/>
              </w:rPr>
              <w:t>(b)</w:t>
            </w:r>
          </w:p>
        </w:tc>
        <w:tc>
          <w:tcPr>
            <w:tcW w:w="750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Authority of the Board of Directors</w:t>
            </w:r>
          </w:p>
        </w:tc>
        <w:tc>
          <w:tcPr>
            <w:tcW w:w="2400" w:type="dxa"/>
            <w:vAlign w:val="bottom"/>
          </w:tcPr>
          <w:p>
            <w:pPr>
              <w:jc w:val="center"/>
              <w:ind w:left="1921"/>
              <w:spacing w:after="0"/>
              <w:rPr>
                <w:sz w:val="20"/>
                <w:szCs w:val="20"/>
                <w:color w:val="auto"/>
              </w:rPr>
            </w:pPr>
            <w:r>
              <w:rPr>
                <w:rFonts w:ascii="Times New Roman" w:cs="Times New Roman" w:eastAsia="Times New Roman" w:hAnsi="Times New Roman"/>
                <w:sz w:val="20"/>
                <w:szCs w:val="20"/>
                <w:color w:val="auto"/>
                <w:w w:val="99"/>
              </w:rPr>
              <w:t>1</w:t>
            </w:r>
          </w:p>
        </w:tc>
      </w:tr>
      <w:tr>
        <w:trPr>
          <w:trHeight w:val="309"/>
        </w:trPr>
        <w:tc>
          <w:tcPr>
            <w:tcW w:w="1180" w:type="dxa"/>
            <w:vAlign w:val="bottom"/>
          </w:tcPr>
          <w:p>
            <w:pPr>
              <w:spacing w:after="0"/>
              <w:rPr>
                <w:sz w:val="20"/>
                <w:szCs w:val="20"/>
                <w:color w:val="auto"/>
              </w:rPr>
            </w:pPr>
            <w:r>
              <w:rPr>
                <w:rFonts w:ascii="Times New Roman" w:cs="Times New Roman" w:eastAsia="Times New Roman" w:hAnsi="Times New Roman"/>
                <w:sz w:val="20"/>
                <w:szCs w:val="20"/>
                <w:color w:val="auto"/>
              </w:rPr>
              <w:t>SECTION 3.</w:t>
            </w:r>
          </w:p>
        </w:tc>
        <w:tc>
          <w:tcPr>
            <w:tcW w:w="750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ELIGIBILITY</w:t>
            </w:r>
          </w:p>
        </w:tc>
        <w:tc>
          <w:tcPr>
            <w:tcW w:w="2400" w:type="dxa"/>
            <w:vAlign w:val="bottom"/>
          </w:tcPr>
          <w:p>
            <w:pPr>
              <w:jc w:val="center"/>
              <w:ind w:left="1921"/>
              <w:spacing w:after="0"/>
              <w:rPr>
                <w:sz w:val="20"/>
                <w:szCs w:val="20"/>
                <w:color w:val="auto"/>
              </w:rPr>
            </w:pPr>
            <w:r>
              <w:rPr>
                <w:rFonts w:ascii="Times New Roman" w:cs="Times New Roman" w:eastAsia="Times New Roman" w:hAnsi="Times New Roman"/>
                <w:sz w:val="20"/>
                <w:szCs w:val="20"/>
                <w:color w:val="auto"/>
                <w:w w:val="99"/>
              </w:rPr>
              <w:t>1</w:t>
            </w:r>
          </w:p>
        </w:tc>
      </w:tr>
      <w:tr>
        <w:trPr>
          <w:trHeight w:val="229"/>
        </w:trPr>
        <w:tc>
          <w:tcPr>
            <w:tcW w:w="1180" w:type="dxa"/>
            <w:vAlign w:val="bottom"/>
          </w:tcPr>
          <w:p>
            <w:pPr>
              <w:ind w:left="800"/>
              <w:spacing w:after="0"/>
              <w:rPr>
                <w:sz w:val="20"/>
                <w:szCs w:val="20"/>
                <w:color w:val="auto"/>
              </w:rPr>
            </w:pPr>
            <w:r>
              <w:rPr>
                <w:rFonts w:ascii="Times New Roman" w:cs="Times New Roman" w:eastAsia="Times New Roman" w:hAnsi="Times New Roman"/>
                <w:sz w:val="20"/>
                <w:szCs w:val="20"/>
                <w:color w:val="auto"/>
              </w:rPr>
              <w:t>(a)</w:t>
            </w:r>
          </w:p>
        </w:tc>
        <w:tc>
          <w:tcPr>
            <w:tcW w:w="750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General Rule</w:t>
            </w:r>
          </w:p>
        </w:tc>
        <w:tc>
          <w:tcPr>
            <w:tcW w:w="2400" w:type="dxa"/>
            <w:vAlign w:val="bottom"/>
          </w:tcPr>
          <w:p>
            <w:pPr>
              <w:jc w:val="center"/>
              <w:ind w:left="1921"/>
              <w:spacing w:after="0"/>
              <w:rPr>
                <w:sz w:val="20"/>
                <w:szCs w:val="20"/>
                <w:color w:val="auto"/>
              </w:rPr>
            </w:pPr>
            <w:r>
              <w:rPr>
                <w:rFonts w:ascii="Times New Roman" w:cs="Times New Roman" w:eastAsia="Times New Roman" w:hAnsi="Times New Roman"/>
                <w:sz w:val="20"/>
                <w:szCs w:val="20"/>
                <w:color w:val="auto"/>
                <w:w w:val="99"/>
              </w:rPr>
              <w:t>1</w:t>
            </w:r>
          </w:p>
        </w:tc>
      </w:tr>
      <w:tr>
        <w:trPr>
          <w:trHeight w:val="258"/>
        </w:trPr>
        <w:tc>
          <w:tcPr>
            <w:tcW w:w="1180" w:type="dxa"/>
            <w:vAlign w:val="bottom"/>
          </w:tcPr>
          <w:p>
            <w:pPr>
              <w:ind w:left="800"/>
              <w:spacing w:after="0"/>
              <w:rPr>
                <w:sz w:val="20"/>
                <w:szCs w:val="20"/>
                <w:color w:val="auto"/>
              </w:rPr>
            </w:pPr>
            <w:r>
              <w:rPr>
                <w:rFonts w:ascii="Times New Roman" w:cs="Times New Roman" w:eastAsia="Times New Roman" w:hAnsi="Times New Roman"/>
                <w:sz w:val="20"/>
                <w:szCs w:val="20"/>
                <w:color w:val="auto"/>
              </w:rPr>
              <w:t>(b)</w:t>
            </w:r>
          </w:p>
        </w:tc>
        <w:tc>
          <w:tcPr>
            <w:tcW w:w="750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Ten—Percent Stockholders</w:t>
            </w:r>
          </w:p>
        </w:tc>
        <w:tc>
          <w:tcPr>
            <w:tcW w:w="2400" w:type="dxa"/>
            <w:vAlign w:val="bottom"/>
          </w:tcPr>
          <w:p>
            <w:pPr>
              <w:jc w:val="center"/>
              <w:ind w:left="1921"/>
              <w:spacing w:after="0"/>
              <w:rPr>
                <w:sz w:val="20"/>
                <w:szCs w:val="20"/>
                <w:color w:val="auto"/>
              </w:rPr>
            </w:pPr>
            <w:r>
              <w:rPr>
                <w:rFonts w:ascii="Times New Roman" w:cs="Times New Roman" w:eastAsia="Times New Roman" w:hAnsi="Times New Roman"/>
                <w:sz w:val="20"/>
                <w:szCs w:val="20"/>
                <w:color w:val="auto"/>
                <w:w w:val="99"/>
              </w:rPr>
              <w:t>1</w:t>
            </w:r>
          </w:p>
        </w:tc>
      </w:tr>
      <w:tr>
        <w:trPr>
          <w:trHeight w:val="309"/>
        </w:trPr>
        <w:tc>
          <w:tcPr>
            <w:tcW w:w="1180" w:type="dxa"/>
            <w:vAlign w:val="bottom"/>
          </w:tcPr>
          <w:p>
            <w:pPr>
              <w:spacing w:after="0"/>
              <w:rPr>
                <w:sz w:val="20"/>
                <w:szCs w:val="20"/>
                <w:color w:val="auto"/>
              </w:rPr>
            </w:pPr>
            <w:r>
              <w:rPr>
                <w:rFonts w:ascii="Times New Roman" w:cs="Times New Roman" w:eastAsia="Times New Roman" w:hAnsi="Times New Roman"/>
                <w:sz w:val="20"/>
                <w:szCs w:val="20"/>
                <w:color w:val="auto"/>
              </w:rPr>
              <w:t>SECTION 4.</w:t>
            </w:r>
          </w:p>
        </w:tc>
        <w:tc>
          <w:tcPr>
            <w:tcW w:w="750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STOCK SUBJECT TO PLAN</w:t>
            </w:r>
          </w:p>
        </w:tc>
        <w:tc>
          <w:tcPr>
            <w:tcW w:w="2400" w:type="dxa"/>
            <w:vAlign w:val="bottom"/>
          </w:tcPr>
          <w:p>
            <w:pPr>
              <w:jc w:val="center"/>
              <w:ind w:left="1921"/>
              <w:spacing w:after="0"/>
              <w:rPr>
                <w:sz w:val="20"/>
                <w:szCs w:val="20"/>
                <w:color w:val="auto"/>
              </w:rPr>
            </w:pPr>
            <w:r>
              <w:rPr>
                <w:rFonts w:ascii="Times New Roman" w:cs="Times New Roman" w:eastAsia="Times New Roman" w:hAnsi="Times New Roman"/>
                <w:sz w:val="20"/>
                <w:szCs w:val="20"/>
                <w:color w:val="auto"/>
                <w:w w:val="99"/>
              </w:rPr>
              <w:t>2</w:t>
            </w:r>
          </w:p>
        </w:tc>
      </w:tr>
      <w:tr>
        <w:trPr>
          <w:trHeight w:val="230"/>
        </w:trPr>
        <w:tc>
          <w:tcPr>
            <w:tcW w:w="1180" w:type="dxa"/>
            <w:vAlign w:val="bottom"/>
          </w:tcPr>
          <w:p>
            <w:pPr>
              <w:ind w:left="800"/>
              <w:spacing w:after="0"/>
              <w:rPr>
                <w:sz w:val="20"/>
                <w:szCs w:val="20"/>
                <w:color w:val="auto"/>
              </w:rPr>
            </w:pPr>
            <w:r>
              <w:rPr>
                <w:rFonts w:ascii="Times New Roman" w:cs="Times New Roman" w:eastAsia="Times New Roman" w:hAnsi="Times New Roman"/>
                <w:sz w:val="20"/>
                <w:szCs w:val="20"/>
                <w:color w:val="auto"/>
              </w:rPr>
              <w:t>(a)</w:t>
            </w:r>
          </w:p>
        </w:tc>
        <w:tc>
          <w:tcPr>
            <w:tcW w:w="750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Basic Limitation</w:t>
            </w:r>
          </w:p>
        </w:tc>
        <w:tc>
          <w:tcPr>
            <w:tcW w:w="2400" w:type="dxa"/>
            <w:vAlign w:val="bottom"/>
          </w:tcPr>
          <w:p>
            <w:pPr>
              <w:jc w:val="center"/>
              <w:ind w:left="1921"/>
              <w:spacing w:after="0"/>
              <w:rPr>
                <w:sz w:val="20"/>
                <w:szCs w:val="20"/>
                <w:color w:val="auto"/>
              </w:rPr>
            </w:pPr>
            <w:r>
              <w:rPr>
                <w:rFonts w:ascii="Times New Roman" w:cs="Times New Roman" w:eastAsia="Times New Roman" w:hAnsi="Times New Roman"/>
                <w:sz w:val="20"/>
                <w:szCs w:val="20"/>
                <w:color w:val="auto"/>
                <w:w w:val="99"/>
              </w:rPr>
              <w:t>2</w:t>
            </w:r>
          </w:p>
        </w:tc>
      </w:tr>
      <w:tr>
        <w:trPr>
          <w:trHeight w:val="258"/>
        </w:trPr>
        <w:tc>
          <w:tcPr>
            <w:tcW w:w="1180" w:type="dxa"/>
            <w:vAlign w:val="bottom"/>
          </w:tcPr>
          <w:p>
            <w:pPr>
              <w:ind w:left="800"/>
              <w:spacing w:after="0"/>
              <w:rPr>
                <w:sz w:val="20"/>
                <w:szCs w:val="20"/>
                <w:color w:val="auto"/>
              </w:rPr>
            </w:pPr>
            <w:r>
              <w:rPr>
                <w:rFonts w:ascii="Times New Roman" w:cs="Times New Roman" w:eastAsia="Times New Roman" w:hAnsi="Times New Roman"/>
                <w:sz w:val="20"/>
                <w:szCs w:val="20"/>
                <w:color w:val="auto"/>
              </w:rPr>
              <w:t>(b)</w:t>
            </w:r>
          </w:p>
        </w:tc>
        <w:tc>
          <w:tcPr>
            <w:tcW w:w="750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Additional Shares</w:t>
            </w:r>
          </w:p>
        </w:tc>
        <w:tc>
          <w:tcPr>
            <w:tcW w:w="2400" w:type="dxa"/>
            <w:vAlign w:val="bottom"/>
          </w:tcPr>
          <w:p>
            <w:pPr>
              <w:jc w:val="center"/>
              <w:ind w:left="1921"/>
              <w:spacing w:after="0"/>
              <w:rPr>
                <w:sz w:val="20"/>
                <w:szCs w:val="20"/>
                <w:color w:val="auto"/>
              </w:rPr>
            </w:pPr>
            <w:r>
              <w:rPr>
                <w:rFonts w:ascii="Times New Roman" w:cs="Times New Roman" w:eastAsia="Times New Roman" w:hAnsi="Times New Roman"/>
                <w:sz w:val="20"/>
                <w:szCs w:val="20"/>
                <w:color w:val="auto"/>
                <w:w w:val="99"/>
              </w:rPr>
              <w:t>2</w:t>
            </w:r>
          </w:p>
        </w:tc>
      </w:tr>
      <w:tr>
        <w:trPr>
          <w:trHeight w:val="309"/>
        </w:trPr>
        <w:tc>
          <w:tcPr>
            <w:tcW w:w="1180" w:type="dxa"/>
            <w:vAlign w:val="bottom"/>
          </w:tcPr>
          <w:p>
            <w:pPr>
              <w:spacing w:after="0"/>
              <w:rPr>
                <w:sz w:val="20"/>
                <w:szCs w:val="20"/>
                <w:color w:val="auto"/>
              </w:rPr>
            </w:pPr>
            <w:r>
              <w:rPr>
                <w:rFonts w:ascii="Times New Roman" w:cs="Times New Roman" w:eastAsia="Times New Roman" w:hAnsi="Times New Roman"/>
                <w:sz w:val="20"/>
                <w:szCs w:val="20"/>
                <w:color w:val="auto"/>
              </w:rPr>
              <w:t>SECTION 5.</w:t>
            </w:r>
          </w:p>
        </w:tc>
        <w:tc>
          <w:tcPr>
            <w:tcW w:w="750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TERMS AND CONDITIONS OF AWARDS OR SALES</w:t>
            </w:r>
          </w:p>
        </w:tc>
        <w:tc>
          <w:tcPr>
            <w:tcW w:w="2400" w:type="dxa"/>
            <w:vAlign w:val="bottom"/>
          </w:tcPr>
          <w:p>
            <w:pPr>
              <w:jc w:val="center"/>
              <w:ind w:left="1921"/>
              <w:spacing w:after="0"/>
              <w:rPr>
                <w:sz w:val="20"/>
                <w:szCs w:val="20"/>
                <w:color w:val="auto"/>
              </w:rPr>
            </w:pPr>
            <w:r>
              <w:rPr>
                <w:rFonts w:ascii="Times New Roman" w:cs="Times New Roman" w:eastAsia="Times New Roman" w:hAnsi="Times New Roman"/>
                <w:sz w:val="20"/>
                <w:szCs w:val="20"/>
                <w:color w:val="auto"/>
                <w:w w:val="99"/>
              </w:rPr>
              <w:t>2</w:t>
            </w:r>
          </w:p>
        </w:tc>
      </w:tr>
      <w:tr>
        <w:trPr>
          <w:trHeight w:val="230"/>
        </w:trPr>
        <w:tc>
          <w:tcPr>
            <w:tcW w:w="1180" w:type="dxa"/>
            <w:vAlign w:val="bottom"/>
          </w:tcPr>
          <w:p>
            <w:pPr>
              <w:ind w:left="800"/>
              <w:spacing w:after="0"/>
              <w:rPr>
                <w:sz w:val="20"/>
                <w:szCs w:val="20"/>
                <w:color w:val="auto"/>
              </w:rPr>
            </w:pPr>
            <w:r>
              <w:rPr>
                <w:rFonts w:ascii="Times New Roman" w:cs="Times New Roman" w:eastAsia="Times New Roman" w:hAnsi="Times New Roman"/>
                <w:sz w:val="20"/>
                <w:szCs w:val="20"/>
                <w:color w:val="auto"/>
              </w:rPr>
              <w:t>(a)</w:t>
            </w:r>
          </w:p>
        </w:tc>
        <w:tc>
          <w:tcPr>
            <w:tcW w:w="750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Stock Grant or Purchase Agreement</w:t>
            </w:r>
          </w:p>
        </w:tc>
        <w:tc>
          <w:tcPr>
            <w:tcW w:w="2400" w:type="dxa"/>
            <w:vAlign w:val="bottom"/>
          </w:tcPr>
          <w:p>
            <w:pPr>
              <w:jc w:val="center"/>
              <w:ind w:left="1921"/>
              <w:spacing w:after="0"/>
              <w:rPr>
                <w:sz w:val="20"/>
                <w:szCs w:val="20"/>
                <w:color w:val="auto"/>
              </w:rPr>
            </w:pPr>
            <w:r>
              <w:rPr>
                <w:rFonts w:ascii="Times New Roman" w:cs="Times New Roman" w:eastAsia="Times New Roman" w:hAnsi="Times New Roman"/>
                <w:sz w:val="20"/>
                <w:szCs w:val="20"/>
                <w:color w:val="auto"/>
                <w:w w:val="99"/>
              </w:rPr>
              <w:t>2</w:t>
            </w:r>
          </w:p>
        </w:tc>
      </w:tr>
      <w:tr>
        <w:trPr>
          <w:trHeight w:val="229"/>
        </w:trPr>
        <w:tc>
          <w:tcPr>
            <w:tcW w:w="1180" w:type="dxa"/>
            <w:vAlign w:val="bottom"/>
          </w:tcPr>
          <w:p>
            <w:pPr>
              <w:ind w:left="800"/>
              <w:spacing w:after="0"/>
              <w:rPr>
                <w:sz w:val="20"/>
                <w:szCs w:val="20"/>
                <w:color w:val="auto"/>
              </w:rPr>
            </w:pPr>
            <w:r>
              <w:rPr>
                <w:rFonts w:ascii="Times New Roman" w:cs="Times New Roman" w:eastAsia="Times New Roman" w:hAnsi="Times New Roman"/>
                <w:sz w:val="20"/>
                <w:szCs w:val="20"/>
                <w:color w:val="auto"/>
              </w:rPr>
              <w:t>(b)</w:t>
            </w:r>
          </w:p>
        </w:tc>
        <w:tc>
          <w:tcPr>
            <w:tcW w:w="750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Duration of Offers and Nontransferability of Rights</w:t>
            </w:r>
          </w:p>
        </w:tc>
        <w:tc>
          <w:tcPr>
            <w:tcW w:w="2400" w:type="dxa"/>
            <w:vAlign w:val="bottom"/>
          </w:tcPr>
          <w:p>
            <w:pPr>
              <w:jc w:val="center"/>
              <w:ind w:left="1921"/>
              <w:spacing w:after="0"/>
              <w:rPr>
                <w:sz w:val="20"/>
                <w:szCs w:val="20"/>
                <w:color w:val="auto"/>
              </w:rPr>
            </w:pPr>
            <w:r>
              <w:rPr>
                <w:rFonts w:ascii="Times New Roman" w:cs="Times New Roman" w:eastAsia="Times New Roman" w:hAnsi="Times New Roman"/>
                <w:sz w:val="20"/>
                <w:szCs w:val="20"/>
                <w:color w:val="auto"/>
                <w:w w:val="99"/>
              </w:rPr>
              <w:t>2</w:t>
            </w:r>
          </w:p>
        </w:tc>
      </w:tr>
      <w:tr>
        <w:trPr>
          <w:trHeight w:val="258"/>
        </w:trPr>
        <w:tc>
          <w:tcPr>
            <w:tcW w:w="1180" w:type="dxa"/>
            <w:vAlign w:val="bottom"/>
          </w:tcPr>
          <w:p>
            <w:pPr>
              <w:ind w:left="800"/>
              <w:spacing w:after="0"/>
              <w:rPr>
                <w:sz w:val="20"/>
                <w:szCs w:val="20"/>
                <w:color w:val="auto"/>
              </w:rPr>
            </w:pPr>
            <w:r>
              <w:rPr>
                <w:rFonts w:ascii="Times New Roman" w:cs="Times New Roman" w:eastAsia="Times New Roman" w:hAnsi="Times New Roman"/>
                <w:sz w:val="20"/>
                <w:szCs w:val="20"/>
                <w:color w:val="auto"/>
              </w:rPr>
              <w:t>(c)</w:t>
            </w:r>
          </w:p>
        </w:tc>
        <w:tc>
          <w:tcPr>
            <w:tcW w:w="750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Purchase Price</w:t>
            </w:r>
          </w:p>
        </w:tc>
        <w:tc>
          <w:tcPr>
            <w:tcW w:w="2400" w:type="dxa"/>
            <w:vAlign w:val="bottom"/>
          </w:tcPr>
          <w:p>
            <w:pPr>
              <w:jc w:val="center"/>
              <w:ind w:left="1921"/>
              <w:spacing w:after="0"/>
              <w:rPr>
                <w:sz w:val="20"/>
                <w:szCs w:val="20"/>
                <w:color w:val="auto"/>
              </w:rPr>
            </w:pPr>
            <w:r>
              <w:rPr>
                <w:rFonts w:ascii="Times New Roman" w:cs="Times New Roman" w:eastAsia="Times New Roman" w:hAnsi="Times New Roman"/>
                <w:sz w:val="20"/>
                <w:szCs w:val="20"/>
                <w:color w:val="auto"/>
                <w:w w:val="99"/>
              </w:rPr>
              <w:t>2</w:t>
            </w:r>
          </w:p>
        </w:tc>
      </w:tr>
      <w:tr>
        <w:trPr>
          <w:trHeight w:val="309"/>
        </w:trPr>
        <w:tc>
          <w:tcPr>
            <w:tcW w:w="1180" w:type="dxa"/>
            <w:vAlign w:val="bottom"/>
          </w:tcPr>
          <w:p>
            <w:pPr>
              <w:spacing w:after="0"/>
              <w:rPr>
                <w:sz w:val="20"/>
                <w:szCs w:val="20"/>
                <w:color w:val="auto"/>
              </w:rPr>
            </w:pPr>
            <w:r>
              <w:rPr>
                <w:rFonts w:ascii="Times New Roman" w:cs="Times New Roman" w:eastAsia="Times New Roman" w:hAnsi="Times New Roman"/>
                <w:sz w:val="20"/>
                <w:szCs w:val="20"/>
                <w:color w:val="auto"/>
              </w:rPr>
              <w:t>SECTION 6.</w:t>
            </w:r>
          </w:p>
        </w:tc>
        <w:tc>
          <w:tcPr>
            <w:tcW w:w="750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TERMS AND CONDITIONS OF OPTIONS</w:t>
            </w:r>
          </w:p>
        </w:tc>
        <w:tc>
          <w:tcPr>
            <w:tcW w:w="2400" w:type="dxa"/>
            <w:vAlign w:val="bottom"/>
          </w:tcPr>
          <w:p>
            <w:pPr>
              <w:jc w:val="center"/>
              <w:ind w:left="1921"/>
              <w:spacing w:after="0"/>
              <w:rPr>
                <w:sz w:val="20"/>
                <w:szCs w:val="20"/>
                <w:color w:val="auto"/>
              </w:rPr>
            </w:pPr>
            <w:r>
              <w:rPr>
                <w:rFonts w:ascii="Times New Roman" w:cs="Times New Roman" w:eastAsia="Times New Roman" w:hAnsi="Times New Roman"/>
                <w:sz w:val="20"/>
                <w:szCs w:val="20"/>
                <w:color w:val="auto"/>
                <w:w w:val="99"/>
              </w:rPr>
              <w:t>2</w:t>
            </w:r>
          </w:p>
        </w:tc>
      </w:tr>
      <w:tr>
        <w:trPr>
          <w:trHeight w:val="230"/>
        </w:trPr>
        <w:tc>
          <w:tcPr>
            <w:tcW w:w="1180" w:type="dxa"/>
            <w:vAlign w:val="bottom"/>
          </w:tcPr>
          <w:p>
            <w:pPr>
              <w:ind w:left="800"/>
              <w:spacing w:after="0"/>
              <w:rPr>
                <w:sz w:val="20"/>
                <w:szCs w:val="20"/>
                <w:color w:val="auto"/>
              </w:rPr>
            </w:pPr>
            <w:r>
              <w:rPr>
                <w:rFonts w:ascii="Times New Roman" w:cs="Times New Roman" w:eastAsia="Times New Roman" w:hAnsi="Times New Roman"/>
                <w:sz w:val="20"/>
                <w:szCs w:val="20"/>
                <w:color w:val="auto"/>
              </w:rPr>
              <w:t>(a)</w:t>
            </w:r>
          </w:p>
        </w:tc>
        <w:tc>
          <w:tcPr>
            <w:tcW w:w="750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Stock Option Agreement</w:t>
            </w:r>
          </w:p>
        </w:tc>
        <w:tc>
          <w:tcPr>
            <w:tcW w:w="2400" w:type="dxa"/>
            <w:vAlign w:val="bottom"/>
          </w:tcPr>
          <w:p>
            <w:pPr>
              <w:jc w:val="center"/>
              <w:ind w:left="1921"/>
              <w:spacing w:after="0"/>
              <w:rPr>
                <w:sz w:val="20"/>
                <w:szCs w:val="20"/>
                <w:color w:val="auto"/>
              </w:rPr>
            </w:pPr>
            <w:r>
              <w:rPr>
                <w:rFonts w:ascii="Times New Roman" w:cs="Times New Roman" w:eastAsia="Times New Roman" w:hAnsi="Times New Roman"/>
                <w:sz w:val="20"/>
                <w:szCs w:val="20"/>
                <w:color w:val="auto"/>
                <w:w w:val="99"/>
              </w:rPr>
              <w:t>2</w:t>
            </w:r>
          </w:p>
        </w:tc>
      </w:tr>
      <w:tr>
        <w:trPr>
          <w:trHeight w:val="229"/>
        </w:trPr>
        <w:tc>
          <w:tcPr>
            <w:tcW w:w="1180" w:type="dxa"/>
            <w:vAlign w:val="bottom"/>
          </w:tcPr>
          <w:p>
            <w:pPr>
              <w:ind w:left="800"/>
              <w:spacing w:after="0"/>
              <w:rPr>
                <w:sz w:val="20"/>
                <w:szCs w:val="20"/>
                <w:color w:val="auto"/>
              </w:rPr>
            </w:pPr>
            <w:r>
              <w:rPr>
                <w:rFonts w:ascii="Times New Roman" w:cs="Times New Roman" w:eastAsia="Times New Roman" w:hAnsi="Times New Roman"/>
                <w:sz w:val="20"/>
                <w:szCs w:val="20"/>
                <w:color w:val="auto"/>
              </w:rPr>
              <w:t>(b)</w:t>
            </w:r>
          </w:p>
        </w:tc>
        <w:tc>
          <w:tcPr>
            <w:tcW w:w="750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Number of Shares</w:t>
            </w:r>
          </w:p>
        </w:tc>
        <w:tc>
          <w:tcPr>
            <w:tcW w:w="2400" w:type="dxa"/>
            <w:vAlign w:val="bottom"/>
          </w:tcPr>
          <w:p>
            <w:pPr>
              <w:jc w:val="center"/>
              <w:ind w:left="1921"/>
              <w:spacing w:after="0"/>
              <w:rPr>
                <w:sz w:val="20"/>
                <w:szCs w:val="20"/>
                <w:color w:val="auto"/>
              </w:rPr>
            </w:pPr>
            <w:r>
              <w:rPr>
                <w:rFonts w:ascii="Times New Roman" w:cs="Times New Roman" w:eastAsia="Times New Roman" w:hAnsi="Times New Roman"/>
                <w:sz w:val="20"/>
                <w:szCs w:val="20"/>
                <w:color w:val="auto"/>
                <w:w w:val="99"/>
              </w:rPr>
              <w:t>3</w:t>
            </w:r>
          </w:p>
        </w:tc>
      </w:tr>
      <w:tr>
        <w:trPr>
          <w:trHeight w:val="229"/>
        </w:trPr>
        <w:tc>
          <w:tcPr>
            <w:tcW w:w="1180" w:type="dxa"/>
            <w:vAlign w:val="bottom"/>
          </w:tcPr>
          <w:p>
            <w:pPr>
              <w:ind w:left="800"/>
              <w:spacing w:after="0"/>
              <w:rPr>
                <w:sz w:val="20"/>
                <w:szCs w:val="20"/>
                <w:color w:val="auto"/>
              </w:rPr>
            </w:pPr>
            <w:r>
              <w:rPr>
                <w:rFonts w:ascii="Times New Roman" w:cs="Times New Roman" w:eastAsia="Times New Roman" w:hAnsi="Times New Roman"/>
                <w:sz w:val="20"/>
                <w:szCs w:val="20"/>
                <w:color w:val="auto"/>
              </w:rPr>
              <w:t>(c)</w:t>
            </w:r>
          </w:p>
        </w:tc>
        <w:tc>
          <w:tcPr>
            <w:tcW w:w="750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Exercise Price</w:t>
            </w:r>
          </w:p>
        </w:tc>
        <w:tc>
          <w:tcPr>
            <w:tcW w:w="2400" w:type="dxa"/>
            <w:vAlign w:val="bottom"/>
          </w:tcPr>
          <w:p>
            <w:pPr>
              <w:jc w:val="center"/>
              <w:ind w:left="1921"/>
              <w:spacing w:after="0"/>
              <w:rPr>
                <w:sz w:val="20"/>
                <w:szCs w:val="20"/>
                <w:color w:val="auto"/>
              </w:rPr>
            </w:pPr>
            <w:r>
              <w:rPr>
                <w:rFonts w:ascii="Times New Roman" w:cs="Times New Roman" w:eastAsia="Times New Roman" w:hAnsi="Times New Roman"/>
                <w:sz w:val="20"/>
                <w:szCs w:val="20"/>
                <w:color w:val="auto"/>
                <w:w w:val="99"/>
              </w:rPr>
              <w:t>3</w:t>
            </w:r>
          </w:p>
        </w:tc>
      </w:tr>
      <w:tr>
        <w:trPr>
          <w:trHeight w:val="230"/>
        </w:trPr>
        <w:tc>
          <w:tcPr>
            <w:tcW w:w="1180" w:type="dxa"/>
            <w:vAlign w:val="bottom"/>
          </w:tcPr>
          <w:p>
            <w:pPr>
              <w:ind w:left="800"/>
              <w:spacing w:after="0"/>
              <w:rPr>
                <w:sz w:val="20"/>
                <w:szCs w:val="20"/>
                <w:color w:val="auto"/>
              </w:rPr>
            </w:pPr>
            <w:r>
              <w:rPr>
                <w:rFonts w:ascii="Times New Roman" w:cs="Times New Roman" w:eastAsia="Times New Roman" w:hAnsi="Times New Roman"/>
                <w:sz w:val="20"/>
                <w:szCs w:val="20"/>
                <w:color w:val="auto"/>
              </w:rPr>
              <w:t>(d)</w:t>
            </w:r>
          </w:p>
        </w:tc>
        <w:tc>
          <w:tcPr>
            <w:tcW w:w="750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Exercisability</w:t>
            </w:r>
          </w:p>
        </w:tc>
        <w:tc>
          <w:tcPr>
            <w:tcW w:w="2400" w:type="dxa"/>
            <w:vAlign w:val="bottom"/>
          </w:tcPr>
          <w:p>
            <w:pPr>
              <w:jc w:val="center"/>
              <w:ind w:left="1921"/>
              <w:spacing w:after="0"/>
              <w:rPr>
                <w:sz w:val="20"/>
                <w:szCs w:val="20"/>
                <w:color w:val="auto"/>
              </w:rPr>
            </w:pPr>
            <w:r>
              <w:rPr>
                <w:rFonts w:ascii="Times New Roman" w:cs="Times New Roman" w:eastAsia="Times New Roman" w:hAnsi="Times New Roman"/>
                <w:sz w:val="20"/>
                <w:szCs w:val="20"/>
                <w:color w:val="auto"/>
                <w:w w:val="99"/>
              </w:rPr>
              <w:t>3</w:t>
            </w:r>
          </w:p>
        </w:tc>
      </w:tr>
      <w:tr>
        <w:trPr>
          <w:trHeight w:val="229"/>
        </w:trPr>
        <w:tc>
          <w:tcPr>
            <w:tcW w:w="1180" w:type="dxa"/>
            <w:vAlign w:val="bottom"/>
          </w:tcPr>
          <w:p>
            <w:pPr>
              <w:ind w:left="800"/>
              <w:spacing w:after="0"/>
              <w:rPr>
                <w:sz w:val="20"/>
                <w:szCs w:val="20"/>
                <w:color w:val="auto"/>
              </w:rPr>
            </w:pPr>
            <w:r>
              <w:rPr>
                <w:rFonts w:ascii="Times New Roman" w:cs="Times New Roman" w:eastAsia="Times New Roman" w:hAnsi="Times New Roman"/>
                <w:sz w:val="20"/>
                <w:szCs w:val="20"/>
                <w:color w:val="auto"/>
              </w:rPr>
              <w:t>(e)</w:t>
            </w:r>
          </w:p>
        </w:tc>
        <w:tc>
          <w:tcPr>
            <w:tcW w:w="750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Basic Term</w:t>
            </w:r>
          </w:p>
        </w:tc>
        <w:tc>
          <w:tcPr>
            <w:tcW w:w="2400" w:type="dxa"/>
            <w:vAlign w:val="bottom"/>
          </w:tcPr>
          <w:p>
            <w:pPr>
              <w:jc w:val="center"/>
              <w:ind w:left="1921"/>
              <w:spacing w:after="0"/>
              <w:rPr>
                <w:sz w:val="20"/>
                <w:szCs w:val="20"/>
                <w:color w:val="auto"/>
              </w:rPr>
            </w:pPr>
            <w:r>
              <w:rPr>
                <w:rFonts w:ascii="Times New Roman" w:cs="Times New Roman" w:eastAsia="Times New Roman" w:hAnsi="Times New Roman"/>
                <w:sz w:val="20"/>
                <w:szCs w:val="20"/>
                <w:color w:val="auto"/>
                <w:w w:val="99"/>
              </w:rPr>
              <w:t>3</w:t>
            </w:r>
          </w:p>
        </w:tc>
      </w:tr>
      <w:tr>
        <w:trPr>
          <w:trHeight w:val="230"/>
        </w:trPr>
        <w:tc>
          <w:tcPr>
            <w:tcW w:w="1180" w:type="dxa"/>
            <w:vAlign w:val="bottom"/>
          </w:tcPr>
          <w:p>
            <w:pPr>
              <w:ind w:left="800"/>
              <w:spacing w:after="0"/>
              <w:rPr>
                <w:sz w:val="20"/>
                <w:szCs w:val="20"/>
                <w:color w:val="auto"/>
              </w:rPr>
            </w:pPr>
            <w:r>
              <w:rPr>
                <w:rFonts w:ascii="Times New Roman" w:cs="Times New Roman" w:eastAsia="Times New Roman" w:hAnsi="Times New Roman"/>
                <w:sz w:val="20"/>
                <w:szCs w:val="20"/>
                <w:color w:val="auto"/>
              </w:rPr>
              <w:t>(f)</w:t>
            </w:r>
          </w:p>
        </w:tc>
        <w:tc>
          <w:tcPr>
            <w:tcW w:w="750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Termination of Service (Except by Death)</w:t>
            </w:r>
          </w:p>
        </w:tc>
        <w:tc>
          <w:tcPr>
            <w:tcW w:w="2400" w:type="dxa"/>
            <w:vAlign w:val="bottom"/>
          </w:tcPr>
          <w:p>
            <w:pPr>
              <w:jc w:val="center"/>
              <w:ind w:left="1921"/>
              <w:spacing w:after="0"/>
              <w:rPr>
                <w:sz w:val="20"/>
                <w:szCs w:val="20"/>
                <w:color w:val="auto"/>
              </w:rPr>
            </w:pPr>
            <w:r>
              <w:rPr>
                <w:rFonts w:ascii="Times New Roman" w:cs="Times New Roman" w:eastAsia="Times New Roman" w:hAnsi="Times New Roman"/>
                <w:sz w:val="20"/>
                <w:szCs w:val="20"/>
                <w:color w:val="auto"/>
                <w:w w:val="99"/>
              </w:rPr>
              <w:t>3</w:t>
            </w:r>
          </w:p>
        </w:tc>
      </w:tr>
      <w:tr>
        <w:trPr>
          <w:trHeight w:val="229"/>
        </w:trPr>
        <w:tc>
          <w:tcPr>
            <w:tcW w:w="1180" w:type="dxa"/>
            <w:vAlign w:val="bottom"/>
          </w:tcPr>
          <w:p>
            <w:pPr>
              <w:ind w:left="800"/>
              <w:spacing w:after="0"/>
              <w:rPr>
                <w:sz w:val="20"/>
                <w:szCs w:val="20"/>
                <w:color w:val="auto"/>
              </w:rPr>
            </w:pPr>
            <w:r>
              <w:rPr>
                <w:rFonts w:ascii="Times New Roman" w:cs="Times New Roman" w:eastAsia="Times New Roman" w:hAnsi="Times New Roman"/>
                <w:sz w:val="20"/>
                <w:szCs w:val="20"/>
                <w:color w:val="auto"/>
              </w:rPr>
              <w:t>(g)</w:t>
            </w:r>
          </w:p>
        </w:tc>
        <w:tc>
          <w:tcPr>
            <w:tcW w:w="750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Leaves of Absence</w:t>
            </w:r>
          </w:p>
        </w:tc>
        <w:tc>
          <w:tcPr>
            <w:tcW w:w="2400" w:type="dxa"/>
            <w:vAlign w:val="bottom"/>
          </w:tcPr>
          <w:p>
            <w:pPr>
              <w:jc w:val="center"/>
              <w:ind w:left="1921"/>
              <w:spacing w:after="0"/>
              <w:rPr>
                <w:sz w:val="20"/>
                <w:szCs w:val="20"/>
                <w:color w:val="auto"/>
              </w:rPr>
            </w:pPr>
            <w:r>
              <w:rPr>
                <w:rFonts w:ascii="Times New Roman" w:cs="Times New Roman" w:eastAsia="Times New Roman" w:hAnsi="Times New Roman"/>
                <w:sz w:val="20"/>
                <w:szCs w:val="20"/>
                <w:color w:val="auto"/>
                <w:w w:val="99"/>
              </w:rPr>
              <w:t>4</w:t>
            </w:r>
          </w:p>
        </w:tc>
      </w:tr>
      <w:tr>
        <w:trPr>
          <w:trHeight w:val="229"/>
        </w:trPr>
        <w:tc>
          <w:tcPr>
            <w:tcW w:w="1180" w:type="dxa"/>
            <w:vAlign w:val="bottom"/>
          </w:tcPr>
          <w:p>
            <w:pPr>
              <w:ind w:left="800"/>
              <w:spacing w:after="0"/>
              <w:rPr>
                <w:sz w:val="20"/>
                <w:szCs w:val="20"/>
                <w:color w:val="auto"/>
              </w:rPr>
            </w:pPr>
            <w:r>
              <w:rPr>
                <w:rFonts w:ascii="Times New Roman" w:cs="Times New Roman" w:eastAsia="Times New Roman" w:hAnsi="Times New Roman"/>
                <w:sz w:val="20"/>
                <w:szCs w:val="20"/>
                <w:color w:val="auto"/>
              </w:rPr>
              <w:t>(h)</w:t>
            </w:r>
          </w:p>
        </w:tc>
        <w:tc>
          <w:tcPr>
            <w:tcW w:w="750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Death of Optionee</w:t>
            </w:r>
          </w:p>
        </w:tc>
        <w:tc>
          <w:tcPr>
            <w:tcW w:w="2400" w:type="dxa"/>
            <w:vAlign w:val="bottom"/>
          </w:tcPr>
          <w:p>
            <w:pPr>
              <w:jc w:val="center"/>
              <w:ind w:left="1921"/>
              <w:spacing w:after="0"/>
              <w:rPr>
                <w:sz w:val="20"/>
                <w:szCs w:val="20"/>
                <w:color w:val="auto"/>
              </w:rPr>
            </w:pPr>
            <w:r>
              <w:rPr>
                <w:rFonts w:ascii="Times New Roman" w:cs="Times New Roman" w:eastAsia="Times New Roman" w:hAnsi="Times New Roman"/>
                <w:sz w:val="20"/>
                <w:szCs w:val="20"/>
                <w:color w:val="auto"/>
                <w:w w:val="99"/>
              </w:rPr>
              <w:t>4</w:t>
            </w:r>
          </w:p>
        </w:tc>
      </w:tr>
      <w:tr>
        <w:trPr>
          <w:trHeight w:val="229"/>
        </w:trPr>
        <w:tc>
          <w:tcPr>
            <w:tcW w:w="1180" w:type="dxa"/>
            <w:vAlign w:val="bottom"/>
          </w:tcPr>
          <w:p>
            <w:pPr>
              <w:ind w:left="800"/>
              <w:spacing w:after="0"/>
              <w:rPr>
                <w:sz w:val="20"/>
                <w:szCs w:val="20"/>
                <w:color w:val="auto"/>
              </w:rPr>
            </w:pPr>
            <w:r>
              <w:rPr>
                <w:rFonts w:ascii="Times New Roman" w:cs="Times New Roman" w:eastAsia="Times New Roman" w:hAnsi="Times New Roman"/>
                <w:sz w:val="20"/>
                <w:szCs w:val="20"/>
                <w:color w:val="auto"/>
              </w:rPr>
              <w:t>(i)</w:t>
            </w:r>
          </w:p>
        </w:tc>
        <w:tc>
          <w:tcPr>
            <w:tcW w:w="750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Restrictions on Transfer of Options</w:t>
            </w:r>
          </w:p>
        </w:tc>
        <w:tc>
          <w:tcPr>
            <w:tcW w:w="2400" w:type="dxa"/>
            <w:vAlign w:val="bottom"/>
          </w:tcPr>
          <w:p>
            <w:pPr>
              <w:jc w:val="center"/>
              <w:ind w:left="1921"/>
              <w:spacing w:after="0"/>
              <w:rPr>
                <w:sz w:val="20"/>
                <w:szCs w:val="20"/>
                <w:color w:val="auto"/>
              </w:rPr>
            </w:pPr>
            <w:r>
              <w:rPr>
                <w:rFonts w:ascii="Times New Roman" w:cs="Times New Roman" w:eastAsia="Times New Roman" w:hAnsi="Times New Roman"/>
                <w:sz w:val="20"/>
                <w:szCs w:val="20"/>
                <w:color w:val="auto"/>
                <w:w w:val="99"/>
              </w:rPr>
              <w:t>4</w:t>
            </w:r>
          </w:p>
        </w:tc>
      </w:tr>
      <w:tr>
        <w:trPr>
          <w:trHeight w:val="230"/>
        </w:trPr>
        <w:tc>
          <w:tcPr>
            <w:tcW w:w="1180" w:type="dxa"/>
            <w:vAlign w:val="bottom"/>
          </w:tcPr>
          <w:p>
            <w:pPr>
              <w:ind w:left="800"/>
              <w:spacing w:after="0"/>
              <w:rPr>
                <w:sz w:val="20"/>
                <w:szCs w:val="20"/>
                <w:color w:val="auto"/>
              </w:rPr>
            </w:pPr>
            <w:r>
              <w:rPr>
                <w:rFonts w:ascii="Times New Roman" w:cs="Times New Roman" w:eastAsia="Times New Roman" w:hAnsi="Times New Roman"/>
                <w:sz w:val="20"/>
                <w:szCs w:val="20"/>
                <w:color w:val="auto"/>
              </w:rPr>
              <w:t>(j)</w:t>
            </w:r>
          </w:p>
        </w:tc>
        <w:tc>
          <w:tcPr>
            <w:tcW w:w="750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No Rights as a Stockholder</w:t>
            </w:r>
          </w:p>
        </w:tc>
        <w:tc>
          <w:tcPr>
            <w:tcW w:w="2400" w:type="dxa"/>
            <w:vAlign w:val="bottom"/>
          </w:tcPr>
          <w:p>
            <w:pPr>
              <w:jc w:val="center"/>
              <w:ind w:left="1921"/>
              <w:spacing w:after="0"/>
              <w:rPr>
                <w:sz w:val="20"/>
                <w:szCs w:val="20"/>
                <w:color w:val="auto"/>
              </w:rPr>
            </w:pPr>
            <w:r>
              <w:rPr>
                <w:rFonts w:ascii="Times New Roman" w:cs="Times New Roman" w:eastAsia="Times New Roman" w:hAnsi="Times New Roman"/>
                <w:sz w:val="20"/>
                <w:szCs w:val="20"/>
                <w:color w:val="auto"/>
                <w:w w:val="99"/>
              </w:rPr>
              <w:t>4</w:t>
            </w:r>
          </w:p>
        </w:tc>
      </w:tr>
      <w:tr>
        <w:trPr>
          <w:trHeight w:val="230"/>
        </w:trPr>
        <w:tc>
          <w:tcPr>
            <w:tcW w:w="1180" w:type="dxa"/>
            <w:vAlign w:val="bottom"/>
          </w:tcPr>
          <w:p>
            <w:pPr>
              <w:ind w:left="800"/>
              <w:spacing w:after="0"/>
              <w:rPr>
                <w:sz w:val="20"/>
                <w:szCs w:val="20"/>
                <w:color w:val="auto"/>
              </w:rPr>
            </w:pPr>
            <w:r>
              <w:rPr>
                <w:rFonts w:ascii="Times New Roman" w:cs="Times New Roman" w:eastAsia="Times New Roman" w:hAnsi="Times New Roman"/>
                <w:sz w:val="20"/>
                <w:szCs w:val="20"/>
                <w:color w:val="auto"/>
              </w:rPr>
              <w:t>(k)</w:t>
            </w:r>
          </w:p>
        </w:tc>
        <w:tc>
          <w:tcPr>
            <w:tcW w:w="750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Modification, Extension and Assumption of Options</w:t>
            </w:r>
          </w:p>
        </w:tc>
        <w:tc>
          <w:tcPr>
            <w:tcW w:w="2400" w:type="dxa"/>
            <w:vAlign w:val="bottom"/>
          </w:tcPr>
          <w:p>
            <w:pPr>
              <w:jc w:val="center"/>
              <w:ind w:left="1921"/>
              <w:spacing w:after="0"/>
              <w:rPr>
                <w:sz w:val="20"/>
                <w:szCs w:val="20"/>
                <w:color w:val="auto"/>
              </w:rPr>
            </w:pPr>
            <w:r>
              <w:rPr>
                <w:rFonts w:ascii="Times New Roman" w:cs="Times New Roman" w:eastAsia="Times New Roman" w:hAnsi="Times New Roman"/>
                <w:sz w:val="20"/>
                <w:szCs w:val="20"/>
                <w:color w:val="auto"/>
                <w:w w:val="99"/>
              </w:rPr>
              <w:t>4</w:t>
            </w:r>
          </w:p>
        </w:tc>
      </w:tr>
      <w:tr>
        <w:trPr>
          <w:trHeight w:val="258"/>
        </w:trPr>
        <w:tc>
          <w:tcPr>
            <w:tcW w:w="1180" w:type="dxa"/>
            <w:vAlign w:val="bottom"/>
          </w:tcPr>
          <w:p>
            <w:pPr>
              <w:ind w:left="800"/>
              <w:spacing w:after="0"/>
              <w:rPr>
                <w:sz w:val="20"/>
                <w:szCs w:val="20"/>
                <w:color w:val="auto"/>
              </w:rPr>
            </w:pPr>
            <w:r>
              <w:rPr>
                <w:rFonts w:ascii="Times New Roman" w:cs="Times New Roman" w:eastAsia="Times New Roman" w:hAnsi="Times New Roman"/>
                <w:sz w:val="20"/>
                <w:szCs w:val="20"/>
                <w:color w:val="auto"/>
              </w:rPr>
              <w:t>(l)</w:t>
            </w:r>
          </w:p>
        </w:tc>
        <w:tc>
          <w:tcPr>
            <w:tcW w:w="750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Company’s Right to Cancel Certain Options</w:t>
            </w:r>
          </w:p>
        </w:tc>
        <w:tc>
          <w:tcPr>
            <w:tcW w:w="2400" w:type="dxa"/>
            <w:vAlign w:val="bottom"/>
          </w:tcPr>
          <w:p>
            <w:pPr>
              <w:jc w:val="center"/>
              <w:ind w:left="1921"/>
              <w:spacing w:after="0"/>
              <w:rPr>
                <w:sz w:val="20"/>
                <w:szCs w:val="20"/>
                <w:color w:val="auto"/>
              </w:rPr>
            </w:pPr>
            <w:r>
              <w:rPr>
                <w:rFonts w:ascii="Times New Roman" w:cs="Times New Roman" w:eastAsia="Times New Roman" w:hAnsi="Times New Roman"/>
                <w:sz w:val="20"/>
                <w:szCs w:val="20"/>
                <w:color w:val="auto"/>
                <w:w w:val="99"/>
              </w:rPr>
              <w:t>4</w:t>
            </w:r>
          </w:p>
        </w:tc>
      </w:tr>
      <w:tr>
        <w:trPr>
          <w:trHeight w:val="309"/>
        </w:trPr>
        <w:tc>
          <w:tcPr>
            <w:tcW w:w="1180" w:type="dxa"/>
            <w:vAlign w:val="bottom"/>
          </w:tcPr>
          <w:p>
            <w:pPr>
              <w:spacing w:after="0"/>
              <w:rPr>
                <w:sz w:val="20"/>
                <w:szCs w:val="20"/>
                <w:color w:val="auto"/>
              </w:rPr>
            </w:pPr>
            <w:r>
              <w:rPr>
                <w:rFonts w:ascii="Times New Roman" w:cs="Times New Roman" w:eastAsia="Times New Roman" w:hAnsi="Times New Roman"/>
                <w:sz w:val="20"/>
                <w:szCs w:val="20"/>
                <w:color w:val="auto"/>
              </w:rPr>
              <w:t>SECTION 7.</w:t>
            </w:r>
          </w:p>
        </w:tc>
        <w:tc>
          <w:tcPr>
            <w:tcW w:w="750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PAYMENT FOR SHARES</w:t>
            </w:r>
          </w:p>
        </w:tc>
        <w:tc>
          <w:tcPr>
            <w:tcW w:w="2400" w:type="dxa"/>
            <w:vAlign w:val="bottom"/>
          </w:tcPr>
          <w:p>
            <w:pPr>
              <w:jc w:val="center"/>
              <w:ind w:left="1921"/>
              <w:spacing w:after="0"/>
              <w:rPr>
                <w:sz w:val="20"/>
                <w:szCs w:val="20"/>
                <w:color w:val="auto"/>
              </w:rPr>
            </w:pPr>
            <w:r>
              <w:rPr>
                <w:rFonts w:ascii="Times New Roman" w:cs="Times New Roman" w:eastAsia="Times New Roman" w:hAnsi="Times New Roman"/>
                <w:sz w:val="20"/>
                <w:szCs w:val="20"/>
                <w:color w:val="auto"/>
                <w:w w:val="99"/>
              </w:rPr>
              <w:t>5</w:t>
            </w:r>
          </w:p>
        </w:tc>
      </w:tr>
      <w:tr>
        <w:trPr>
          <w:trHeight w:val="229"/>
        </w:trPr>
        <w:tc>
          <w:tcPr>
            <w:tcW w:w="1180" w:type="dxa"/>
            <w:vAlign w:val="bottom"/>
          </w:tcPr>
          <w:p>
            <w:pPr>
              <w:ind w:left="800"/>
              <w:spacing w:after="0"/>
              <w:rPr>
                <w:sz w:val="20"/>
                <w:szCs w:val="20"/>
                <w:color w:val="auto"/>
              </w:rPr>
            </w:pPr>
            <w:r>
              <w:rPr>
                <w:rFonts w:ascii="Times New Roman" w:cs="Times New Roman" w:eastAsia="Times New Roman" w:hAnsi="Times New Roman"/>
                <w:sz w:val="20"/>
                <w:szCs w:val="20"/>
                <w:color w:val="auto"/>
              </w:rPr>
              <w:t>(a)</w:t>
            </w:r>
          </w:p>
        </w:tc>
        <w:tc>
          <w:tcPr>
            <w:tcW w:w="750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General Rule</w:t>
            </w:r>
          </w:p>
        </w:tc>
        <w:tc>
          <w:tcPr>
            <w:tcW w:w="2400" w:type="dxa"/>
            <w:vAlign w:val="bottom"/>
          </w:tcPr>
          <w:p>
            <w:pPr>
              <w:jc w:val="center"/>
              <w:ind w:left="1921"/>
              <w:spacing w:after="0"/>
              <w:rPr>
                <w:sz w:val="20"/>
                <w:szCs w:val="20"/>
                <w:color w:val="auto"/>
              </w:rPr>
            </w:pPr>
            <w:r>
              <w:rPr>
                <w:rFonts w:ascii="Times New Roman" w:cs="Times New Roman" w:eastAsia="Times New Roman" w:hAnsi="Times New Roman"/>
                <w:sz w:val="20"/>
                <w:szCs w:val="20"/>
                <w:color w:val="auto"/>
                <w:w w:val="99"/>
              </w:rPr>
              <w:t>5</w:t>
            </w:r>
          </w:p>
        </w:tc>
      </w:tr>
      <w:tr>
        <w:trPr>
          <w:trHeight w:val="230"/>
        </w:trPr>
        <w:tc>
          <w:tcPr>
            <w:tcW w:w="1180" w:type="dxa"/>
            <w:vAlign w:val="bottom"/>
          </w:tcPr>
          <w:p>
            <w:pPr>
              <w:ind w:left="800"/>
              <w:spacing w:after="0"/>
              <w:rPr>
                <w:sz w:val="20"/>
                <w:szCs w:val="20"/>
                <w:color w:val="auto"/>
              </w:rPr>
            </w:pPr>
            <w:r>
              <w:rPr>
                <w:rFonts w:ascii="Times New Roman" w:cs="Times New Roman" w:eastAsia="Times New Roman" w:hAnsi="Times New Roman"/>
                <w:sz w:val="20"/>
                <w:szCs w:val="20"/>
                <w:color w:val="auto"/>
              </w:rPr>
              <w:t>(b)</w:t>
            </w:r>
          </w:p>
        </w:tc>
        <w:tc>
          <w:tcPr>
            <w:tcW w:w="750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Services Rendered</w:t>
            </w:r>
          </w:p>
        </w:tc>
        <w:tc>
          <w:tcPr>
            <w:tcW w:w="2400" w:type="dxa"/>
            <w:vAlign w:val="bottom"/>
          </w:tcPr>
          <w:p>
            <w:pPr>
              <w:jc w:val="center"/>
              <w:ind w:left="1921"/>
              <w:spacing w:after="0"/>
              <w:rPr>
                <w:sz w:val="20"/>
                <w:szCs w:val="20"/>
                <w:color w:val="auto"/>
              </w:rPr>
            </w:pPr>
            <w:r>
              <w:rPr>
                <w:rFonts w:ascii="Times New Roman" w:cs="Times New Roman" w:eastAsia="Times New Roman" w:hAnsi="Times New Roman"/>
                <w:sz w:val="20"/>
                <w:szCs w:val="20"/>
                <w:color w:val="auto"/>
                <w:w w:val="99"/>
              </w:rPr>
              <w:t>5</w:t>
            </w:r>
          </w:p>
        </w:tc>
      </w:tr>
      <w:tr>
        <w:trPr>
          <w:trHeight w:val="230"/>
        </w:trPr>
        <w:tc>
          <w:tcPr>
            <w:tcW w:w="1180" w:type="dxa"/>
            <w:vAlign w:val="bottom"/>
          </w:tcPr>
          <w:p>
            <w:pPr>
              <w:ind w:left="800"/>
              <w:spacing w:after="0"/>
              <w:rPr>
                <w:sz w:val="20"/>
                <w:szCs w:val="20"/>
                <w:color w:val="auto"/>
              </w:rPr>
            </w:pPr>
            <w:r>
              <w:rPr>
                <w:rFonts w:ascii="Times New Roman" w:cs="Times New Roman" w:eastAsia="Times New Roman" w:hAnsi="Times New Roman"/>
                <w:sz w:val="20"/>
                <w:szCs w:val="20"/>
                <w:color w:val="auto"/>
              </w:rPr>
              <w:t>(c)</w:t>
            </w:r>
          </w:p>
        </w:tc>
        <w:tc>
          <w:tcPr>
            <w:tcW w:w="750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Promissory Note</w:t>
            </w:r>
          </w:p>
        </w:tc>
        <w:tc>
          <w:tcPr>
            <w:tcW w:w="2400" w:type="dxa"/>
            <w:vAlign w:val="bottom"/>
          </w:tcPr>
          <w:p>
            <w:pPr>
              <w:jc w:val="center"/>
              <w:ind w:left="1921"/>
              <w:spacing w:after="0"/>
              <w:rPr>
                <w:sz w:val="20"/>
                <w:szCs w:val="20"/>
                <w:color w:val="auto"/>
              </w:rPr>
            </w:pPr>
            <w:r>
              <w:rPr>
                <w:rFonts w:ascii="Times New Roman" w:cs="Times New Roman" w:eastAsia="Times New Roman" w:hAnsi="Times New Roman"/>
                <w:sz w:val="20"/>
                <w:szCs w:val="20"/>
                <w:color w:val="auto"/>
                <w:w w:val="99"/>
              </w:rPr>
              <w:t>5</w:t>
            </w:r>
          </w:p>
        </w:tc>
      </w:tr>
      <w:tr>
        <w:trPr>
          <w:trHeight w:val="230"/>
        </w:trPr>
        <w:tc>
          <w:tcPr>
            <w:tcW w:w="1180" w:type="dxa"/>
            <w:vAlign w:val="bottom"/>
          </w:tcPr>
          <w:p>
            <w:pPr>
              <w:ind w:left="800"/>
              <w:spacing w:after="0"/>
              <w:rPr>
                <w:sz w:val="20"/>
                <w:szCs w:val="20"/>
                <w:color w:val="auto"/>
              </w:rPr>
            </w:pPr>
            <w:r>
              <w:rPr>
                <w:rFonts w:ascii="Times New Roman" w:cs="Times New Roman" w:eastAsia="Times New Roman" w:hAnsi="Times New Roman"/>
                <w:sz w:val="20"/>
                <w:szCs w:val="20"/>
                <w:color w:val="auto"/>
              </w:rPr>
              <w:t>(d)</w:t>
            </w:r>
          </w:p>
        </w:tc>
        <w:tc>
          <w:tcPr>
            <w:tcW w:w="750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Surrender of Stock</w:t>
            </w:r>
          </w:p>
        </w:tc>
        <w:tc>
          <w:tcPr>
            <w:tcW w:w="2400" w:type="dxa"/>
            <w:vAlign w:val="bottom"/>
          </w:tcPr>
          <w:p>
            <w:pPr>
              <w:jc w:val="center"/>
              <w:ind w:left="1921"/>
              <w:spacing w:after="0"/>
              <w:rPr>
                <w:sz w:val="20"/>
                <w:szCs w:val="20"/>
                <w:color w:val="auto"/>
              </w:rPr>
            </w:pPr>
            <w:r>
              <w:rPr>
                <w:rFonts w:ascii="Times New Roman" w:cs="Times New Roman" w:eastAsia="Times New Roman" w:hAnsi="Times New Roman"/>
                <w:sz w:val="20"/>
                <w:szCs w:val="20"/>
                <w:color w:val="auto"/>
                <w:w w:val="99"/>
              </w:rPr>
              <w:t>5</w:t>
            </w:r>
          </w:p>
        </w:tc>
      </w:tr>
      <w:tr>
        <w:trPr>
          <w:trHeight w:val="229"/>
        </w:trPr>
        <w:tc>
          <w:tcPr>
            <w:tcW w:w="1180" w:type="dxa"/>
            <w:vAlign w:val="bottom"/>
          </w:tcPr>
          <w:p>
            <w:pPr>
              <w:ind w:left="800"/>
              <w:spacing w:after="0"/>
              <w:rPr>
                <w:sz w:val="20"/>
                <w:szCs w:val="20"/>
                <w:color w:val="auto"/>
              </w:rPr>
            </w:pPr>
            <w:r>
              <w:rPr>
                <w:rFonts w:ascii="Times New Roman" w:cs="Times New Roman" w:eastAsia="Times New Roman" w:hAnsi="Times New Roman"/>
                <w:sz w:val="20"/>
                <w:szCs w:val="20"/>
                <w:color w:val="auto"/>
              </w:rPr>
              <w:t>(e)</w:t>
            </w:r>
          </w:p>
        </w:tc>
        <w:tc>
          <w:tcPr>
            <w:tcW w:w="750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Exercise/Sale</w:t>
            </w:r>
          </w:p>
        </w:tc>
        <w:tc>
          <w:tcPr>
            <w:tcW w:w="2400" w:type="dxa"/>
            <w:vAlign w:val="bottom"/>
          </w:tcPr>
          <w:p>
            <w:pPr>
              <w:jc w:val="center"/>
              <w:ind w:left="1921"/>
              <w:spacing w:after="0"/>
              <w:rPr>
                <w:sz w:val="20"/>
                <w:szCs w:val="20"/>
                <w:color w:val="auto"/>
              </w:rPr>
            </w:pPr>
            <w:r>
              <w:rPr>
                <w:rFonts w:ascii="Times New Roman" w:cs="Times New Roman" w:eastAsia="Times New Roman" w:hAnsi="Times New Roman"/>
                <w:sz w:val="20"/>
                <w:szCs w:val="20"/>
                <w:color w:val="auto"/>
                <w:w w:val="99"/>
              </w:rPr>
              <w:t>5</w:t>
            </w:r>
          </w:p>
        </w:tc>
      </w:tr>
      <w:tr>
        <w:trPr>
          <w:trHeight w:val="230"/>
        </w:trPr>
        <w:tc>
          <w:tcPr>
            <w:tcW w:w="1180" w:type="dxa"/>
            <w:vAlign w:val="bottom"/>
          </w:tcPr>
          <w:p>
            <w:pPr>
              <w:ind w:left="800"/>
              <w:spacing w:after="0"/>
              <w:rPr>
                <w:sz w:val="20"/>
                <w:szCs w:val="20"/>
                <w:color w:val="auto"/>
              </w:rPr>
            </w:pPr>
            <w:r>
              <w:rPr>
                <w:rFonts w:ascii="Times New Roman" w:cs="Times New Roman" w:eastAsia="Times New Roman" w:hAnsi="Times New Roman"/>
                <w:sz w:val="20"/>
                <w:szCs w:val="20"/>
                <w:color w:val="auto"/>
              </w:rPr>
              <w:t>(f)</w:t>
            </w:r>
          </w:p>
        </w:tc>
        <w:tc>
          <w:tcPr>
            <w:tcW w:w="750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Net Exercise</w:t>
            </w:r>
          </w:p>
        </w:tc>
        <w:tc>
          <w:tcPr>
            <w:tcW w:w="2400" w:type="dxa"/>
            <w:vAlign w:val="bottom"/>
          </w:tcPr>
          <w:p>
            <w:pPr>
              <w:jc w:val="center"/>
              <w:ind w:left="1921"/>
              <w:spacing w:after="0"/>
              <w:rPr>
                <w:sz w:val="20"/>
                <w:szCs w:val="20"/>
                <w:color w:val="auto"/>
              </w:rPr>
            </w:pPr>
            <w:r>
              <w:rPr>
                <w:rFonts w:ascii="Times New Roman" w:cs="Times New Roman" w:eastAsia="Times New Roman" w:hAnsi="Times New Roman"/>
                <w:sz w:val="20"/>
                <w:szCs w:val="20"/>
                <w:color w:val="auto"/>
                <w:w w:val="99"/>
              </w:rPr>
              <w:t>5</w:t>
            </w:r>
          </w:p>
        </w:tc>
      </w:tr>
      <w:tr>
        <w:trPr>
          <w:trHeight w:val="258"/>
        </w:trPr>
        <w:tc>
          <w:tcPr>
            <w:tcW w:w="1180" w:type="dxa"/>
            <w:vAlign w:val="bottom"/>
          </w:tcPr>
          <w:p>
            <w:pPr>
              <w:ind w:left="800"/>
              <w:spacing w:after="0"/>
              <w:rPr>
                <w:sz w:val="20"/>
                <w:szCs w:val="20"/>
                <w:color w:val="auto"/>
              </w:rPr>
            </w:pPr>
            <w:r>
              <w:rPr>
                <w:rFonts w:ascii="Times New Roman" w:cs="Times New Roman" w:eastAsia="Times New Roman" w:hAnsi="Times New Roman"/>
                <w:sz w:val="20"/>
                <w:szCs w:val="20"/>
                <w:color w:val="auto"/>
              </w:rPr>
              <w:t>(g)</w:t>
            </w:r>
          </w:p>
        </w:tc>
        <w:tc>
          <w:tcPr>
            <w:tcW w:w="750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Other Forms of Payment</w:t>
            </w:r>
          </w:p>
        </w:tc>
        <w:tc>
          <w:tcPr>
            <w:tcW w:w="2400" w:type="dxa"/>
            <w:vAlign w:val="bottom"/>
          </w:tcPr>
          <w:p>
            <w:pPr>
              <w:jc w:val="center"/>
              <w:ind w:left="1921"/>
              <w:spacing w:after="0"/>
              <w:rPr>
                <w:sz w:val="20"/>
                <w:szCs w:val="20"/>
                <w:color w:val="auto"/>
              </w:rPr>
            </w:pPr>
            <w:r>
              <w:rPr>
                <w:rFonts w:ascii="Times New Roman" w:cs="Times New Roman" w:eastAsia="Times New Roman" w:hAnsi="Times New Roman"/>
                <w:sz w:val="20"/>
                <w:szCs w:val="20"/>
                <w:color w:val="auto"/>
                <w:w w:val="99"/>
              </w:rPr>
              <w:t>5</w:t>
            </w:r>
          </w:p>
        </w:tc>
      </w:tr>
      <w:tr>
        <w:trPr>
          <w:trHeight w:val="309"/>
        </w:trPr>
        <w:tc>
          <w:tcPr>
            <w:tcW w:w="1180" w:type="dxa"/>
            <w:vAlign w:val="bottom"/>
          </w:tcPr>
          <w:p>
            <w:pPr>
              <w:spacing w:after="0"/>
              <w:rPr>
                <w:sz w:val="20"/>
                <w:szCs w:val="20"/>
                <w:color w:val="auto"/>
              </w:rPr>
            </w:pPr>
            <w:r>
              <w:rPr>
                <w:rFonts w:ascii="Times New Roman" w:cs="Times New Roman" w:eastAsia="Times New Roman" w:hAnsi="Times New Roman"/>
                <w:sz w:val="20"/>
                <w:szCs w:val="20"/>
                <w:color w:val="auto"/>
              </w:rPr>
              <w:t>SECTION 8.</w:t>
            </w:r>
          </w:p>
        </w:tc>
        <w:tc>
          <w:tcPr>
            <w:tcW w:w="750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ADJUSTMENT OF SHARES</w:t>
            </w:r>
          </w:p>
        </w:tc>
        <w:tc>
          <w:tcPr>
            <w:tcW w:w="2400" w:type="dxa"/>
            <w:vAlign w:val="bottom"/>
          </w:tcPr>
          <w:p>
            <w:pPr>
              <w:jc w:val="center"/>
              <w:ind w:left="1921"/>
              <w:spacing w:after="0"/>
              <w:rPr>
                <w:sz w:val="20"/>
                <w:szCs w:val="20"/>
                <w:color w:val="auto"/>
              </w:rPr>
            </w:pPr>
            <w:r>
              <w:rPr>
                <w:rFonts w:ascii="Times New Roman" w:cs="Times New Roman" w:eastAsia="Times New Roman" w:hAnsi="Times New Roman"/>
                <w:sz w:val="20"/>
                <w:szCs w:val="20"/>
                <w:color w:val="auto"/>
                <w:w w:val="99"/>
              </w:rPr>
              <w:t>6</w:t>
            </w:r>
          </w:p>
        </w:tc>
      </w:tr>
      <w:tr>
        <w:trPr>
          <w:trHeight w:val="258"/>
        </w:trPr>
        <w:tc>
          <w:tcPr>
            <w:tcW w:w="1180" w:type="dxa"/>
            <w:vAlign w:val="bottom"/>
          </w:tcPr>
          <w:p>
            <w:pPr>
              <w:ind w:left="800"/>
              <w:spacing w:after="0"/>
              <w:rPr>
                <w:sz w:val="20"/>
                <w:szCs w:val="20"/>
                <w:color w:val="auto"/>
              </w:rPr>
            </w:pPr>
            <w:r>
              <w:rPr>
                <w:rFonts w:ascii="Times New Roman" w:cs="Times New Roman" w:eastAsia="Times New Roman" w:hAnsi="Times New Roman"/>
                <w:sz w:val="20"/>
                <w:szCs w:val="20"/>
                <w:color w:val="auto"/>
              </w:rPr>
              <w:t>(a)</w:t>
            </w:r>
          </w:p>
        </w:tc>
        <w:tc>
          <w:tcPr>
            <w:tcW w:w="750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General</w:t>
            </w:r>
          </w:p>
        </w:tc>
        <w:tc>
          <w:tcPr>
            <w:tcW w:w="2400" w:type="dxa"/>
            <w:vAlign w:val="bottom"/>
          </w:tcPr>
          <w:p>
            <w:pPr>
              <w:jc w:val="center"/>
              <w:ind w:left="1921"/>
              <w:spacing w:after="0"/>
              <w:rPr>
                <w:sz w:val="20"/>
                <w:szCs w:val="20"/>
                <w:color w:val="auto"/>
              </w:rPr>
            </w:pPr>
            <w:r>
              <w:rPr>
                <w:rFonts w:ascii="Times New Roman" w:cs="Times New Roman" w:eastAsia="Times New Roman" w:hAnsi="Times New Roman"/>
                <w:sz w:val="20"/>
                <w:szCs w:val="20"/>
                <w:color w:val="auto"/>
                <w:w w:val="99"/>
              </w:rPr>
              <w:t>6</w:t>
            </w:r>
          </w:p>
        </w:tc>
      </w:tr>
    </w:tbl>
    <w:p>
      <w:pPr>
        <w:spacing w:after="0" w:line="12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p>
      <w:pPr>
        <w:jc w:val="center"/>
        <w:ind w:right="-15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080"/>
          </w:cols>
          <w:pgMar w:left="320" w:top="261" w:right="499" w:bottom="1440" w:gutter="0" w:footer="0" w:header="0"/>
        </w:sectPr>
      </w:pPr>
    </w:p>
    <w:bookmarkStart w:id="255" w:name="page256"/>
    <w:bookmarkEnd w:id="255"/>
    <w:tbl>
      <w:tblPr>
        <w:tblLayout w:type="fixed"/>
        <w:tblInd w:w="0" w:type="dxa"/>
        <w:tblCellMar>
          <w:top w:w="0" w:type="dxa"/>
          <w:left w:w="0" w:type="dxa"/>
          <w:bottom w:w="0" w:type="dxa"/>
          <w:right w:w="0" w:type="dxa"/>
        </w:tblCellMar>
      </w:tblPr>
      <w:tr>
        <w:trPr>
          <w:trHeight w:val="230"/>
        </w:trPr>
        <w:tc>
          <w:tcPr>
            <w:tcW w:w="1220" w:type="dxa"/>
            <w:vAlign w:val="bottom"/>
          </w:tcPr>
          <w:p>
            <w:pPr>
              <w:ind w:left="800"/>
              <w:spacing w:after="0"/>
              <w:rPr>
                <w:sz w:val="20"/>
                <w:szCs w:val="20"/>
                <w:color w:val="auto"/>
              </w:rPr>
            </w:pPr>
            <w:r>
              <w:rPr>
                <w:rFonts w:ascii="Times New Roman" w:cs="Times New Roman" w:eastAsia="Times New Roman" w:hAnsi="Times New Roman"/>
                <w:sz w:val="20"/>
                <w:szCs w:val="20"/>
                <w:color w:val="auto"/>
              </w:rPr>
              <w:t>(b)</w:t>
            </w:r>
          </w:p>
        </w:tc>
        <w:tc>
          <w:tcPr>
            <w:tcW w:w="76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Corporate Transactions</w:t>
            </w:r>
          </w:p>
        </w:tc>
        <w:tc>
          <w:tcPr>
            <w:tcW w:w="2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w:t>
            </w:r>
          </w:p>
        </w:tc>
      </w:tr>
      <w:tr>
        <w:trPr>
          <w:trHeight w:val="258"/>
        </w:trPr>
        <w:tc>
          <w:tcPr>
            <w:tcW w:w="1220" w:type="dxa"/>
            <w:vAlign w:val="bottom"/>
          </w:tcPr>
          <w:p>
            <w:pPr>
              <w:ind w:left="800"/>
              <w:spacing w:after="0"/>
              <w:rPr>
                <w:sz w:val="20"/>
                <w:szCs w:val="20"/>
                <w:color w:val="auto"/>
              </w:rPr>
            </w:pPr>
            <w:r>
              <w:rPr>
                <w:rFonts w:ascii="Times New Roman" w:cs="Times New Roman" w:eastAsia="Times New Roman" w:hAnsi="Times New Roman"/>
                <w:sz w:val="20"/>
                <w:szCs w:val="20"/>
                <w:color w:val="auto"/>
              </w:rPr>
              <w:t>(c)</w:t>
            </w:r>
          </w:p>
        </w:tc>
        <w:tc>
          <w:tcPr>
            <w:tcW w:w="76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Reservation of Rights</w:t>
            </w:r>
          </w:p>
        </w:tc>
        <w:tc>
          <w:tcPr>
            <w:tcW w:w="2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w:t>
            </w:r>
          </w:p>
        </w:tc>
      </w:tr>
      <w:tr>
        <w:trPr>
          <w:trHeight w:val="309"/>
        </w:trPr>
        <w:tc>
          <w:tcPr>
            <w:tcW w:w="1220" w:type="dxa"/>
            <w:vAlign w:val="bottom"/>
          </w:tcPr>
          <w:p>
            <w:pPr>
              <w:spacing w:after="0"/>
              <w:rPr>
                <w:sz w:val="20"/>
                <w:szCs w:val="20"/>
                <w:color w:val="auto"/>
              </w:rPr>
            </w:pPr>
            <w:r>
              <w:rPr>
                <w:rFonts w:ascii="Times New Roman" w:cs="Times New Roman" w:eastAsia="Times New Roman" w:hAnsi="Times New Roman"/>
                <w:sz w:val="20"/>
                <w:szCs w:val="20"/>
                <w:color w:val="auto"/>
              </w:rPr>
              <w:t>SECTION 9.</w:t>
            </w:r>
          </w:p>
        </w:tc>
        <w:tc>
          <w:tcPr>
            <w:tcW w:w="76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MISCELLANEOUS PROVISIONS</w:t>
            </w:r>
          </w:p>
        </w:tc>
        <w:tc>
          <w:tcPr>
            <w:tcW w:w="2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w:t>
            </w:r>
          </w:p>
        </w:tc>
      </w:tr>
      <w:tr>
        <w:trPr>
          <w:trHeight w:val="229"/>
        </w:trPr>
        <w:tc>
          <w:tcPr>
            <w:tcW w:w="1220" w:type="dxa"/>
            <w:vAlign w:val="bottom"/>
          </w:tcPr>
          <w:p>
            <w:pPr>
              <w:ind w:left="800"/>
              <w:spacing w:after="0"/>
              <w:rPr>
                <w:sz w:val="20"/>
                <w:szCs w:val="20"/>
                <w:color w:val="auto"/>
              </w:rPr>
            </w:pPr>
            <w:r>
              <w:rPr>
                <w:rFonts w:ascii="Times New Roman" w:cs="Times New Roman" w:eastAsia="Times New Roman" w:hAnsi="Times New Roman"/>
                <w:sz w:val="20"/>
                <w:szCs w:val="20"/>
                <w:color w:val="auto"/>
              </w:rPr>
              <w:t>(a)</w:t>
            </w:r>
          </w:p>
        </w:tc>
        <w:tc>
          <w:tcPr>
            <w:tcW w:w="76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Securities Law Requirements</w:t>
            </w:r>
          </w:p>
        </w:tc>
        <w:tc>
          <w:tcPr>
            <w:tcW w:w="2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w:t>
            </w:r>
          </w:p>
        </w:tc>
      </w:tr>
      <w:tr>
        <w:trPr>
          <w:trHeight w:val="230"/>
        </w:trPr>
        <w:tc>
          <w:tcPr>
            <w:tcW w:w="1220" w:type="dxa"/>
            <w:vAlign w:val="bottom"/>
          </w:tcPr>
          <w:p>
            <w:pPr>
              <w:ind w:left="800"/>
              <w:spacing w:after="0"/>
              <w:rPr>
                <w:sz w:val="20"/>
                <w:szCs w:val="20"/>
                <w:color w:val="auto"/>
              </w:rPr>
            </w:pPr>
            <w:r>
              <w:rPr>
                <w:rFonts w:ascii="Times New Roman" w:cs="Times New Roman" w:eastAsia="Times New Roman" w:hAnsi="Times New Roman"/>
                <w:sz w:val="20"/>
                <w:szCs w:val="20"/>
                <w:color w:val="auto"/>
              </w:rPr>
              <w:t>(b)</w:t>
            </w:r>
          </w:p>
        </w:tc>
        <w:tc>
          <w:tcPr>
            <w:tcW w:w="76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No Retention Rights</w:t>
            </w:r>
          </w:p>
        </w:tc>
        <w:tc>
          <w:tcPr>
            <w:tcW w:w="2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w:t>
            </w:r>
          </w:p>
        </w:tc>
      </w:tr>
      <w:tr>
        <w:trPr>
          <w:trHeight w:val="229"/>
        </w:trPr>
        <w:tc>
          <w:tcPr>
            <w:tcW w:w="1220" w:type="dxa"/>
            <w:vAlign w:val="bottom"/>
          </w:tcPr>
          <w:p>
            <w:pPr>
              <w:ind w:left="800"/>
              <w:spacing w:after="0"/>
              <w:rPr>
                <w:sz w:val="20"/>
                <w:szCs w:val="20"/>
                <w:color w:val="auto"/>
              </w:rPr>
            </w:pPr>
            <w:r>
              <w:rPr>
                <w:rFonts w:ascii="Times New Roman" w:cs="Times New Roman" w:eastAsia="Times New Roman" w:hAnsi="Times New Roman"/>
                <w:sz w:val="20"/>
                <w:szCs w:val="20"/>
                <w:color w:val="auto"/>
              </w:rPr>
              <w:t>(c)</w:t>
            </w:r>
          </w:p>
        </w:tc>
        <w:tc>
          <w:tcPr>
            <w:tcW w:w="76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Treatment as Compensation</w:t>
            </w:r>
          </w:p>
        </w:tc>
        <w:tc>
          <w:tcPr>
            <w:tcW w:w="2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w:t>
            </w:r>
          </w:p>
        </w:tc>
      </w:tr>
      <w:tr>
        <w:trPr>
          <w:trHeight w:val="230"/>
        </w:trPr>
        <w:tc>
          <w:tcPr>
            <w:tcW w:w="1220" w:type="dxa"/>
            <w:vAlign w:val="bottom"/>
          </w:tcPr>
          <w:p>
            <w:pPr>
              <w:ind w:left="800"/>
              <w:spacing w:after="0"/>
              <w:rPr>
                <w:sz w:val="20"/>
                <w:szCs w:val="20"/>
                <w:color w:val="auto"/>
              </w:rPr>
            </w:pPr>
            <w:r>
              <w:rPr>
                <w:rFonts w:ascii="Times New Roman" w:cs="Times New Roman" w:eastAsia="Times New Roman" w:hAnsi="Times New Roman"/>
                <w:sz w:val="20"/>
                <w:szCs w:val="20"/>
                <w:color w:val="auto"/>
              </w:rPr>
              <w:t>(d)</w:t>
            </w:r>
          </w:p>
        </w:tc>
        <w:tc>
          <w:tcPr>
            <w:tcW w:w="76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Governing Law</w:t>
            </w:r>
          </w:p>
        </w:tc>
        <w:tc>
          <w:tcPr>
            <w:tcW w:w="2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w:t>
            </w:r>
          </w:p>
        </w:tc>
      </w:tr>
      <w:tr>
        <w:trPr>
          <w:trHeight w:val="229"/>
        </w:trPr>
        <w:tc>
          <w:tcPr>
            <w:tcW w:w="1220" w:type="dxa"/>
            <w:vAlign w:val="bottom"/>
          </w:tcPr>
          <w:p>
            <w:pPr>
              <w:ind w:left="800"/>
              <w:spacing w:after="0"/>
              <w:rPr>
                <w:sz w:val="20"/>
                <w:szCs w:val="20"/>
                <w:color w:val="auto"/>
              </w:rPr>
            </w:pPr>
            <w:r>
              <w:rPr>
                <w:rFonts w:ascii="Times New Roman" w:cs="Times New Roman" w:eastAsia="Times New Roman" w:hAnsi="Times New Roman"/>
                <w:sz w:val="20"/>
                <w:szCs w:val="20"/>
                <w:color w:val="auto"/>
              </w:rPr>
              <w:t>(e)</w:t>
            </w:r>
          </w:p>
        </w:tc>
        <w:tc>
          <w:tcPr>
            <w:tcW w:w="76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Conditions and Restrictions on Shares</w:t>
            </w:r>
          </w:p>
        </w:tc>
        <w:tc>
          <w:tcPr>
            <w:tcW w:w="2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w:t>
            </w:r>
          </w:p>
        </w:tc>
      </w:tr>
      <w:tr>
        <w:trPr>
          <w:trHeight w:val="258"/>
        </w:trPr>
        <w:tc>
          <w:tcPr>
            <w:tcW w:w="1220" w:type="dxa"/>
            <w:vAlign w:val="bottom"/>
          </w:tcPr>
          <w:p>
            <w:pPr>
              <w:ind w:left="800"/>
              <w:spacing w:after="0"/>
              <w:rPr>
                <w:sz w:val="20"/>
                <w:szCs w:val="20"/>
                <w:color w:val="auto"/>
              </w:rPr>
            </w:pPr>
            <w:r>
              <w:rPr>
                <w:rFonts w:ascii="Times New Roman" w:cs="Times New Roman" w:eastAsia="Times New Roman" w:hAnsi="Times New Roman"/>
                <w:sz w:val="20"/>
                <w:szCs w:val="20"/>
                <w:color w:val="auto"/>
              </w:rPr>
              <w:t>(f)</w:t>
            </w:r>
          </w:p>
        </w:tc>
        <w:tc>
          <w:tcPr>
            <w:tcW w:w="76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Tax Matters</w:t>
            </w:r>
          </w:p>
        </w:tc>
        <w:tc>
          <w:tcPr>
            <w:tcW w:w="2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w:t>
            </w:r>
          </w:p>
        </w:tc>
      </w:tr>
      <w:tr>
        <w:trPr>
          <w:trHeight w:val="309"/>
        </w:trPr>
        <w:tc>
          <w:tcPr>
            <w:tcW w:w="1220" w:type="dxa"/>
            <w:vAlign w:val="bottom"/>
          </w:tcPr>
          <w:p>
            <w:pPr>
              <w:spacing w:after="0"/>
              <w:rPr>
                <w:sz w:val="20"/>
                <w:szCs w:val="20"/>
                <w:color w:val="auto"/>
              </w:rPr>
            </w:pPr>
            <w:r>
              <w:rPr>
                <w:rFonts w:ascii="Times New Roman" w:cs="Times New Roman" w:eastAsia="Times New Roman" w:hAnsi="Times New Roman"/>
                <w:sz w:val="20"/>
                <w:szCs w:val="20"/>
                <w:color w:val="auto"/>
              </w:rPr>
              <w:t>SECTION 10.</w:t>
            </w:r>
          </w:p>
        </w:tc>
        <w:tc>
          <w:tcPr>
            <w:tcW w:w="76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DURATION AND AMENDMENTS; STOCKHOLDER APPROVAL</w:t>
            </w:r>
          </w:p>
        </w:tc>
        <w:tc>
          <w:tcPr>
            <w:tcW w:w="2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w:t>
            </w:r>
          </w:p>
        </w:tc>
      </w:tr>
      <w:tr>
        <w:trPr>
          <w:trHeight w:val="230"/>
        </w:trPr>
        <w:tc>
          <w:tcPr>
            <w:tcW w:w="1220" w:type="dxa"/>
            <w:vAlign w:val="bottom"/>
          </w:tcPr>
          <w:p>
            <w:pPr>
              <w:ind w:left="800"/>
              <w:spacing w:after="0"/>
              <w:rPr>
                <w:sz w:val="20"/>
                <w:szCs w:val="20"/>
                <w:color w:val="auto"/>
              </w:rPr>
            </w:pPr>
            <w:r>
              <w:rPr>
                <w:rFonts w:ascii="Times New Roman" w:cs="Times New Roman" w:eastAsia="Times New Roman" w:hAnsi="Times New Roman"/>
                <w:sz w:val="20"/>
                <w:szCs w:val="20"/>
                <w:color w:val="auto"/>
              </w:rPr>
              <w:t>(a)</w:t>
            </w:r>
          </w:p>
        </w:tc>
        <w:tc>
          <w:tcPr>
            <w:tcW w:w="76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Term of the Plan</w:t>
            </w:r>
          </w:p>
        </w:tc>
        <w:tc>
          <w:tcPr>
            <w:tcW w:w="2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w:t>
            </w:r>
          </w:p>
        </w:tc>
      </w:tr>
      <w:tr>
        <w:trPr>
          <w:trHeight w:val="229"/>
        </w:trPr>
        <w:tc>
          <w:tcPr>
            <w:tcW w:w="1220" w:type="dxa"/>
            <w:vAlign w:val="bottom"/>
          </w:tcPr>
          <w:p>
            <w:pPr>
              <w:ind w:left="800"/>
              <w:spacing w:after="0"/>
              <w:rPr>
                <w:sz w:val="20"/>
                <w:szCs w:val="20"/>
                <w:color w:val="auto"/>
              </w:rPr>
            </w:pPr>
            <w:r>
              <w:rPr>
                <w:rFonts w:ascii="Times New Roman" w:cs="Times New Roman" w:eastAsia="Times New Roman" w:hAnsi="Times New Roman"/>
                <w:sz w:val="20"/>
                <w:szCs w:val="20"/>
                <w:color w:val="auto"/>
              </w:rPr>
              <w:t>(b)</w:t>
            </w:r>
          </w:p>
        </w:tc>
        <w:tc>
          <w:tcPr>
            <w:tcW w:w="76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Right to Amend or Terminate the Plan</w:t>
            </w:r>
          </w:p>
        </w:tc>
        <w:tc>
          <w:tcPr>
            <w:tcW w:w="2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w:t>
            </w:r>
          </w:p>
        </w:tc>
      </w:tr>
      <w:tr>
        <w:trPr>
          <w:trHeight w:val="229"/>
        </w:trPr>
        <w:tc>
          <w:tcPr>
            <w:tcW w:w="1220" w:type="dxa"/>
            <w:vAlign w:val="bottom"/>
          </w:tcPr>
          <w:p>
            <w:pPr>
              <w:ind w:left="800"/>
              <w:spacing w:after="0"/>
              <w:rPr>
                <w:sz w:val="20"/>
                <w:szCs w:val="20"/>
                <w:color w:val="auto"/>
              </w:rPr>
            </w:pPr>
            <w:r>
              <w:rPr>
                <w:rFonts w:ascii="Times New Roman" w:cs="Times New Roman" w:eastAsia="Times New Roman" w:hAnsi="Times New Roman"/>
                <w:sz w:val="20"/>
                <w:szCs w:val="20"/>
                <w:color w:val="auto"/>
              </w:rPr>
              <w:t>(c)</w:t>
            </w:r>
          </w:p>
        </w:tc>
        <w:tc>
          <w:tcPr>
            <w:tcW w:w="76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Effect of Amendment or Termination</w:t>
            </w:r>
          </w:p>
        </w:tc>
        <w:tc>
          <w:tcPr>
            <w:tcW w:w="2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w:t>
            </w:r>
          </w:p>
        </w:tc>
      </w:tr>
      <w:tr>
        <w:trPr>
          <w:trHeight w:val="258"/>
        </w:trPr>
        <w:tc>
          <w:tcPr>
            <w:tcW w:w="1220" w:type="dxa"/>
            <w:vAlign w:val="bottom"/>
          </w:tcPr>
          <w:p>
            <w:pPr>
              <w:ind w:left="800"/>
              <w:spacing w:after="0"/>
              <w:rPr>
                <w:sz w:val="20"/>
                <w:szCs w:val="20"/>
                <w:color w:val="auto"/>
              </w:rPr>
            </w:pPr>
            <w:r>
              <w:rPr>
                <w:rFonts w:ascii="Times New Roman" w:cs="Times New Roman" w:eastAsia="Times New Roman" w:hAnsi="Times New Roman"/>
                <w:sz w:val="20"/>
                <w:szCs w:val="20"/>
                <w:color w:val="auto"/>
              </w:rPr>
              <w:t>(d)</w:t>
            </w:r>
          </w:p>
        </w:tc>
        <w:tc>
          <w:tcPr>
            <w:tcW w:w="76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Stockholder Approval</w:t>
            </w:r>
          </w:p>
        </w:tc>
        <w:tc>
          <w:tcPr>
            <w:tcW w:w="2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w:t>
            </w:r>
          </w:p>
        </w:tc>
      </w:tr>
      <w:tr>
        <w:trPr>
          <w:trHeight w:val="338"/>
        </w:trPr>
        <w:tc>
          <w:tcPr>
            <w:tcW w:w="1220" w:type="dxa"/>
            <w:vAlign w:val="bottom"/>
          </w:tcPr>
          <w:p>
            <w:pPr>
              <w:spacing w:after="0"/>
              <w:rPr>
                <w:sz w:val="20"/>
                <w:szCs w:val="20"/>
                <w:color w:val="auto"/>
              </w:rPr>
            </w:pPr>
            <w:r>
              <w:rPr>
                <w:rFonts w:ascii="Times New Roman" w:cs="Times New Roman" w:eastAsia="Times New Roman" w:hAnsi="Times New Roman"/>
                <w:sz w:val="20"/>
                <w:szCs w:val="20"/>
                <w:color w:val="auto"/>
              </w:rPr>
              <w:t>SECTION 11.</w:t>
            </w:r>
          </w:p>
        </w:tc>
        <w:tc>
          <w:tcPr>
            <w:tcW w:w="76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DEFINITIONS</w:t>
            </w:r>
          </w:p>
        </w:tc>
        <w:tc>
          <w:tcPr>
            <w:tcW w:w="2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w:t>
            </w:r>
          </w:p>
        </w:tc>
      </w:tr>
    </w:tbl>
    <w:p>
      <w:pPr>
        <w:spacing w:after="0" w:line="12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jc w:val="center"/>
        <w:ind w:right="-21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1020"/>
          </w:cols>
          <w:pgMar w:left="320" w:top="265" w:right="559" w:bottom="1440" w:gutter="0" w:footer="0" w:header="0"/>
        </w:sectPr>
      </w:pPr>
    </w:p>
    <w:bookmarkStart w:id="256" w:name="page257"/>
    <w:bookmarkEnd w:id="256"/>
    <w:p>
      <w:pPr>
        <w:ind w:left="3360"/>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w:t>
      </w:r>
      <w:r>
        <w:rPr>
          <w:rFonts w:ascii="Times New Roman" w:cs="Times New Roman" w:eastAsia="Times New Roman" w:hAnsi="Times New Roman"/>
          <w:sz w:val="16"/>
          <w:szCs w:val="16"/>
          <w:b w:val="1"/>
          <w:bCs w:val="1"/>
          <w:color w:val="auto"/>
        </w:rPr>
        <w:t>ARSUS</w:t>
      </w:r>
      <w:r>
        <w:rPr>
          <w:rFonts w:ascii="Times New Roman" w:cs="Times New Roman" w:eastAsia="Times New Roman" w:hAnsi="Times New Roman"/>
          <w:sz w:val="20"/>
          <w:szCs w:val="20"/>
          <w:b w:val="1"/>
          <w:bCs w:val="1"/>
          <w:color w:val="auto"/>
        </w:rPr>
        <w:t xml:space="preserve"> P</w:t>
      </w:r>
      <w:r>
        <w:rPr>
          <w:rFonts w:ascii="Times New Roman" w:cs="Times New Roman" w:eastAsia="Times New Roman" w:hAnsi="Times New Roman"/>
          <w:sz w:val="16"/>
          <w:szCs w:val="16"/>
          <w:b w:val="1"/>
          <w:bCs w:val="1"/>
          <w:color w:val="auto"/>
        </w:rPr>
        <w:t>HARMACEUTICALS</w:t>
      </w:r>
      <w:r>
        <w:rPr>
          <w:rFonts w:ascii="Times New Roman" w:cs="Times New Roman" w:eastAsia="Times New Roman" w:hAnsi="Times New Roman"/>
          <w:sz w:val="20"/>
          <w:szCs w:val="20"/>
          <w:b w:val="1"/>
          <w:bCs w:val="1"/>
          <w:color w:val="auto"/>
        </w:rPr>
        <w:t>, I</w:t>
      </w:r>
      <w:r>
        <w:rPr>
          <w:rFonts w:ascii="Times New Roman" w:cs="Times New Roman" w:eastAsia="Times New Roman" w:hAnsi="Times New Roman"/>
          <w:sz w:val="16"/>
          <w:szCs w:val="16"/>
          <w:b w:val="1"/>
          <w:bCs w:val="1"/>
          <w:color w:val="auto"/>
        </w:rPr>
        <w:t>NC</w:t>
      </w:r>
      <w:r>
        <w:rPr>
          <w:rFonts w:ascii="Times New Roman" w:cs="Times New Roman" w:eastAsia="Times New Roman" w:hAnsi="Times New Roman"/>
          <w:sz w:val="20"/>
          <w:szCs w:val="20"/>
          <w:b w:val="1"/>
          <w:bCs w:val="1"/>
          <w:color w:val="auto"/>
        </w:rPr>
        <w:t>. 2016 S</w:t>
      </w:r>
      <w:r>
        <w:rPr>
          <w:rFonts w:ascii="Times New Roman" w:cs="Times New Roman" w:eastAsia="Times New Roman" w:hAnsi="Times New Roman"/>
          <w:sz w:val="16"/>
          <w:szCs w:val="16"/>
          <w:b w:val="1"/>
          <w:bCs w:val="1"/>
          <w:color w:val="auto"/>
        </w:rPr>
        <w:t>TOCK</w:t>
      </w:r>
      <w:r>
        <w:rPr>
          <w:rFonts w:ascii="Times New Roman" w:cs="Times New Roman" w:eastAsia="Times New Roman" w:hAnsi="Times New Roman"/>
          <w:sz w:val="20"/>
          <w:szCs w:val="20"/>
          <w:b w:val="1"/>
          <w:bCs w:val="1"/>
          <w:color w:val="auto"/>
        </w:rPr>
        <w:t xml:space="preserve"> P</w:t>
      </w:r>
      <w:r>
        <w:rPr>
          <w:rFonts w:ascii="Times New Roman" w:cs="Times New Roman" w:eastAsia="Times New Roman" w:hAnsi="Times New Roman"/>
          <w:sz w:val="16"/>
          <w:szCs w:val="16"/>
          <w:b w:val="1"/>
          <w:bCs w:val="1"/>
          <w:color w:val="auto"/>
        </w:rPr>
        <w:t>LAN</w:t>
      </w:r>
    </w:p>
    <w:p>
      <w:pPr>
        <w:spacing w:after="0" w:line="216" w:lineRule="exact"/>
        <w:rPr>
          <w:sz w:val="20"/>
          <w:szCs w:val="20"/>
          <w:color w:val="auto"/>
        </w:rPr>
      </w:pPr>
    </w:p>
    <w:p>
      <w:pPr>
        <w:spacing w:after="0"/>
        <w:tabs>
          <w:tab w:leader="none" w:pos="1320" w:val="left"/>
        </w:tabs>
        <w:rPr>
          <w:sz w:val="20"/>
          <w:szCs w:val="20"/>
          <w:color w:val="auto"/>
        </w:rPr>
      </w:pPr>
      <w:r>
        <w:rPr>
          <w:rFonts w:ascii="Times New Roman" w:cs="Times New Roman" w:eastAsia="Times New Roman" w:hAnsi="Times New Roman"/>
          <w:sz w:val="20"/>
          <w:szCs w:val="20"/>
          <w:b w:val="1"/>
          <w:bCs w:val="1"/>
          <w:color w:val="auto"/>
        </w:rPr>
        <w:t>SECTION 1.</w:t>
      </w:r>
      <w:r>
        <w:rPr>
          <w:sz w:val="20"/>
          <w:szCs w:val="20"/>
          <w:color w:val="auto"/>
        </w:rPr>
        <w:tab/>
      </w:r>
      <w:r>
        <w:rPr>
          <w:rFonts w:ascii="Times New Roman" w:cs="Times New Roman" w:eastAsia="Times New Roman" w:hAnsi="Times New Roman"/>
          <w:sz w:val="19"/>
          <w:szCs w:val="19"/>
          <w:b w:val="1"/>
          <w:bCs w:val="1"/>
          <w:color w:val="auto"/>
        </w:rPr>
        <w:t>ESTABLISHMENT AND PURPOSE.</w:t>
      </w:r>
    </w:p>
    <w:p>
      <w:pPr>
        <w:spacing w:after="0" w:line="220" w:lineRule="exact"/>
        <w:rPr>
          <w:sz w:val="20"/>
          <w:szCs w:val="20"/>
          <w:color w:val="auto"/>
        </w:rPr>
      </w:pPr>
    </w:p>
    <w:p>
      <w:pPr>
        <w:jc w:val="both"/>
        <w:ind w:firstLine="786"/>
        <w:spacing w:after="0" w:line="249" w:lineRule="auto"/>
        <w:rPr>
          <w:sz w:val="20"/>
          <w:szCs w:val="20"/>
          <w:color w:val="auto"/>
        </w:rPr>
      </w:pPr>
      <w:r>
        <w:rPr>
          <w:rFonts w:ascii="Times New Roman" w:cs="Times New Roman" w:eastAsia="Times New Roman" w:hAnsi="Times New Roman"/>
          <w:sz w:val="20"/>
          <w:szCs w:val="20"/>
          <w:color w:val="auto"/>
        </w:rPr>
        <w:t>The purpose of this Plan is to offer persons selected by the Company an opportunity to acquire a proprietary interest in the success of the Company, or to increase such interest, by acquiring Shares of the Company’s Stock. The Plan provides both for the direct award or sale of Shares and for the grant of Options to purchase Shares. Options granted under the Plan may be ISOs intended to qualify under Code Section 422 or NSOs which are not intended to so qualify.</w:t>
      </w:r>
    </w:p>
    <w:p>
      <w:pPr>
        <w:spacing w:after="0" w:line="180"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0"/>
          <w:szCs w:val="20"/>
          <w:color w:val="auto"/>
        </w:rPr>
        <w:t>Capitalized terms are defined in Section 11.</w:t>
      </w:r>
    </w:p>
    <w:p>
      <w:pPr>
        <w:spacing w:after="0" w:line="212" w:lineRule="exact"/>
        <w:rPr>
          <w:sz w:val="20"/>
          <w:szCs w:val="20"/>
          <w:color w:val="auto"/>
        </w:rPr>
      </w:pPr>
    </w:p>
    <w:p>
      <w:pPr>
        <w:spacing w:after="0"/>
        <w:tabs>
          <w:tab w:leader="none" w:pos="1320" w:val="left"/>
        </w:tabs>
        <w:rPr>
          <w:sz w:val="20"/>
          <w:szCs w:val="20"/>
          <w:color w:val="auto"/>
        </w:rPr>
      </w:pPr>
      <w:r>
        <w:rPr>
          <w:rFonts w:ascii="Times New Roman" w:cs="Times New Roman" w:eastAsia="Times New Roman" w:hAnsi="Times New Roman"/>
          <w:sz w:val="20"/>
          <w:szCs w:val="20"/>
          <w:b w:val="1"/>
          <w:bCs w:val="1"/>
          <w:color w:val="auto"/>
        </w:rPr>
        <w:t>SECTION 2.</w:t>
      </w:r>
      <w:r>
        <w:rPr>
          <w:sz w:val="20"/>
          <w:szCs w:val="20"/>
          <w:color w:val="auto"/>
        </w:rPr>
        <w:tab/>
      </w:r>
      <w:r>
        <w:rPr>
          <w:rFonts w:ascii="Times New Roman" w:cs="Times New Roman" w:eastAsia="Times New Roman" w:hAnsi="Times New Roman"/>
          <w:sz w:val="19"/>
          <w:szCs w:val="19"/>
          <w:b w:val="1"/>
          <w:bCs w:val="1"/>
          <w:color w:val="auto"/>
        </w:rPr>
        <w:t>ADMINISTRATION.</w:t>
      </w:r>
    </w:p>
    <w:p>
      <w:pPr>
        <w:spacing w:after="0" w:line="216" w:lineRule="exact"/>
        <w:rPr>
          <w:sz w:val="20"/>
          <w:szCs w:val="20"/>
          <w:color w:val="auto"/>
        </w:rPr>
      </w:pPr>
    </w:p>
    <w:p>
      <w:pPr>
        <w:jc w:val="both"/>
        <w:ind w:firstLine="794"/>
        <w:spacing w:after="0" w:line="247" w:lineRule="auto"/>
        <w:tabs>
          <w:tab w:leader="none" w:pos="1415" w:val="left"/>
        </w:tabs>
        <w:numPr>
          <w:ilvl w:val="0"/>
          <w:numId w:val="1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Committees of the Board of Directors. </w:t>
      </w:r>
      <w:r>
        <w:rPr>
          <w:rFonts w:ascii="Times New Roman" w:cs="Times New Roman" w:eastAsia="Times New Roman" w:hAnsi="Times New Roman"/>
          <w:sz w:val="20"/>
          <w:szCs w:val="20"/>
          <w:color w:val="auto"/>
        </w:rPr>
        <w:t>The Plan may be administered by one or more Committees. Each Committee shall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consist, as required by applicable law, of one or more members of the Board of Directors who have been appointed by the Board of Directors. Each Committee shall have such authority and be responsible for such functions as the Board of Directors has assigned to it. If no Committee has been appointed, the entire Board of Directors shall administer the Plan. Any reference to the Board of Directors in the Plan shall be construed as a reference to the Committee (if any) to whom the Board of Directors has assigned a particular function.</w:t>
      </w:r>
    </w:p>
    <w:p>
      <w:pPr>
        <w:spacing w:after="0" w:line="184" w:lineRule="exact"/>
        <w:rPr>
          <w:rFonts w:ascii="Times New Roman" w:cs="Times New Roman" w:eastAsia="Times New Roman" w:hAnsi="Times New Roman"/>
          <w:sz w:val="20"/>
          <w:szCs w:val="20"/>
          <w:color w:val="auto"/>
        </w:rPr>
      </w:pPr>
    </w:p>
    <w:p>
      <w:pPr>
        <w:jc w:val="both"/>
        <w:ind w:firstLine="794"/>
        <w:spacing w:after="0" w:line="260" w:lineRule="auto"/>
        <w:tabs>
          <w:tab w:leader="none" w:pos="1471" w:val="left"/>
        </w:tabs>
        <w:numPr>
          <w:ilvl w:val="0"/>
          <w:numId w:val="17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Authority of the Board of Directors. Subject to the provisions of the Plan, the Board of Directors shall have full authority and discretion to take any actions it deems necessary or advisable for the administration of the Plan. Notwithstanding anything to the contrary in the Plan, with respect to the terms and conditions of awards granted to Participants outside the United States, the Board of Directors may vary from the provisions of the Plan to the extent it determines it necessary and appropriate to do so; provided that it may not vary from those Plan terms requiring stockholder approval pursuant to Section 10(d) below. All decisions, interpretations and other actions of the Board of Directors shall be final and binding on all Purchasers, all Optionees and all persons deriving their rights from a Purchaser or Optionee.</w:t>
      </w:r>
    </w:p>
    <w:p>
      <w:pPr>
        <w:spacing w:after="0" w:line="169" w:lineRule="exact"/>
        <w:rPr>
          <w:sz w:val="20"/>
          <w:szCs w:val="20"/>
          <w:color w:val="auto"/>
        </w:rPr>
      </w:pPr>
    </w:p>
    <w:p>
      <w:pPr>
        <w:spacing w:after="0"/>
        <w:tabs>
          <w:tab w:leader="none" w:pos="1320" w:val="left"/>
        </w:tabs>
        <w:rPr>
          <w:sz w:val="20"/>
          <w:szCs w:val="20"/>
          <w:color w:val="auto"/>
        </w:rPr>
      </w:pPr>
      <w:r>
        <w:rPr>
          <w:rFonts w:ascii="Times New Roman" w:cs="Times New Roman" w:eastAsia="Times New Roman" w:hAnsi="Times New Roman"/>
          <w:sz w:val="20"/>
          <w:szCs w:val="20"/>
          <w:b w:val="1"/>
          <w:bCs w:val="1"/>
          <w:color w:val="auto"/>
        </w:rPr>
        <w:t>SECTION 3.</w:t>
      </w:r>
      <w:r>
        <w:rPr>
          <w:sz w:val="20"/>
          <w:szCs w:val="20"/>
          <w:color w:val="auto"/>
        </w:rPr>
        <w:tab/>
      </w:r>
      <w:r>
        <w:rPr>
          <w:rFonts w:ascii="Times New Roman" w:cs="Times New Roman" w:eastAsia="Times New Roman" w:hAnsi="Times New Roman"/>
          <w:sz w:val="19"/>
          <w:szCs w:val="19"/>
          <w:b w:val="1"/>
          <w:bCs w:val="1"/>
          <w:color w:val="auto"/>
        </w:rPr>
        <w:t>ELIGIBILITY.</w:t>
      </w:r>
    </w:p>
    <w:p>
      <w:pPr>
        <w:spacing w:after="0" w:line="220" w:lineRule="exact"/>
        <w:rPr>
          <w:sz w:val="20"/>
          <w:szCs w:val="20"/>
          <w:color w:val="auto"/>
        </w:rPr>
      </w:pPr>
    </w:p>
    <w:p>
      <w:pPr>
        <w:ind w:firstLine="794"/>
        <w:spacing w:after="0" w:line="269" w:lineRule="auto"/>
        <w:tabs>
          <w:tab w:leader="none" w:pos="1543" w:val="left"/>
        </w:tabs>
        <w:numPr>
          <w:ilvl w:val="0"/>
          <w:numId w:val="1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General Rule. Only Employees, Outside Directors and Consultants shall be eligible for the grant of NSOs or the direct award or sale of Shares.</w:t>
      </w:r>
      <w:r>
        <w:rPr>
          <w:rFonts w:ascii="Times New Roman" w:cs="Times New Roman" w:eastAsia="Times New Roman" w:hAnsi="Times New Roman"/>
          <w:sz w:val="16"/>
          <w:szCs w:val="16"/>
          <w:color w:val="auto"/>
        </w:rPr>
        <w:t>1</w:t>
      </w:r>
      <w:r>
        <w:rPr>
          <w:rFonts w:ascii="Times New Roman" w:cs="Times New Roman" w:eastAsia="Times New Roman" w:hAnsi="Times New Roman"/>
          <w:sz w:val="20"/>
          <w:szCs w:val="20"/>
          <w:color w:val="auto"/>
        </w:rPr>
        <w:t xml:space="preserve"> Only Employees shall be eligible for the grant of ISOs.</w:t>
      </w:r>
    </w:p>
    <w:p>
      <w:pPr>
        <w:spacing w:after="0" w:line="159" w:lineRule="exact"/>
        <w:rPr>
          <w:rFonts w:ascii="Times New Roman" w:cs="Times New Roman" w:eastAsia="Times New Roman" w:hAnsi="Times New Roman"/>
          <w:sz w:val="20"/>
          <w:szCs w:val="20"/>
          <w:color w:val="auto"/>
        </w:rPr>
      </w:pPr>
    </w:p>
    <w:p>
      <w:pPr>
        <w:jc w:val="both"/>
        <w:ind w:firstLine="794"/>
        <w:spacing w:after="0" w:line="246" w:lineRule="auto"/>
        <w:tabs>
          <w:tab w:leader="none" w:pos="1625" w:val="left"/>
        </w:tabs>
        <w:numPr>
          <w:ilvl w:val="0"/>
          <w:numId w:val="1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Ten-Percent Stockholders. A person who owns more than 10% of the total combined voting power of all classes of outstanding stock of the Company, its Parent or any of its Subsidiaries shall not be eligible for the grant of an ISO unless (i) the Exercise Price is at least 110% of the Fair Market Value of a Share on the Date of Grant and (ii) such ISO by its terms is not exercisable after the expiration of five years from the Date of Grant. For purposes of this Subsection (b), in determining stock ownership, the attribution rules of Code Section 424(d) shall be applied.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80645</wp:posOffset>
            </wp:positionV>
            <wp:extent cx="788670"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88670" cy="8255"/>
                    </a:xfrm>
                    <a:prstGeom prst="rect">
                      <a:avLst/>
                    </a:prstGeom>
                    <a:noFill/>
                  </pic:spPr>
                </pic:pic>
              </a:graphicData>
            </a:graphic>
          </wp:anchor>
        </w:drawing>
      </w:r>
    </w:p>
    <w:p>
      <w:pPr>
        <w:spacing w:after="0" w:line="138" w:lineRule="exact"/>
        <w:rPr>
          <w:sz w:val="20"/>
          <w:szCs w:val="20"/>
          <w:color w:val="auto"/>
        </w:rPr>
      </w:pPr>
    </w:p>
    <w:p>
      <w:pPr>
        <w:ind w:left="560" w:hanging="552"/>
        <w:spacing w:after="0"/>
        <w:tabs>
          <w:tab w:leader="none" w:pos="560" w:val="left"/>
        </w:tabs>
        <w:numPr>
          <w:ilvl w:val="0"/>
          <w:numId w:val="180"/>
        </w:numPr>
        <w:rPr>
          <w:rFonts w:ascii="Times New Roman" w:cs="Times New Roman" w:eastAsia="Times New Roman" w:hAnsi="Times New Roman"/>
          <w:sz w:val="17"/>
          <w:szCs w:val="17"/>
          <w:color w:val="auto"/>
        </w:rPr>
      </w:pPr>
      <w:r>
        <w:rPr>
          <w:rFonts w:ascii="Times New Roman" w:cs="Times New Roman" w:eastAsia="Times New Roman" w:hAnsi="Times New Roman"/>
          <w:sz w:val="20"/>
          <w:szCs w:val="20"/>
          <w:color w:val="auto"/>
        </w:rPr>
        <w:t>Note that special considerations apply if the Company proposes to grant awards to an Employee or Consultant of a Parent company.</w:t>
      </w:r>
    </w:p>
    <w:p>
      <w:pPr>
        <w:spacing w:after="0" w:line="152" w:lineRule="exact"/>
        <w:rPr>
          <w:rFonts w:ascii="Times New Roman" w:cs="Times New Roman" w:eastAsia="Times New Roman" w:hAnsi="Times New Roman"/>
          <w:sz w:val="17"/>
          <w:szCs w:val="17"/>
          <w:color w:val="auto"/>
        </w:rPr>
      </w:pPr>
    </w:p>
    <w:p>
      <w:pPr>
        <w:ind w:left="558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261" w:right="339" w:bottom="1440" w:gutter="0" w:footer="0" w:header="0"/>
        </w:sectPr>
      </w:pPr>
    </w:p>
    <w:bookmarkStart w:id="257" w:name="page258"/>
    <w:bookmarkEnd w:id="257"/>
    <w:p>
      <w:pPr>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SECTION 4.</w:t>
      </w:r>
      <w:r>
        <w:rPr>
          <w:sz w:val="20"/>
          <w:szCs w:val="20"/>
          <w:color w:val="auto"/>
        </w:rPr>
        <w:tab/>
      </w:r>
      <w:r>
        <w:rPr>
          <w:rFonts w:ascii="Times New Roman" w:cs="Times New Roman" w:eastAsia="Times New Roman" w:hAnsi="Times New Roman"/>
          <w:sz w:val="19"/>
          <w:szCs w:val="19"/>
          <w:b w:val="1"/>
          <w:bCs w:val="1"/>
          <w:color w:val="auto"/>
        </w:rPr>
        <w:t>STOCK SUBJECT TO PLAN.</w:t>
      </w:r>
    </w:p>
    <w:p>
      <w:pPr>
        <w:spacing w:after="0" w:line="220" w:lineRule="exact"/>
        <w:rPr>
          <w:sz w:val="20"/>
          <w:szCs w:val="20"/>
          <w:color w:val="auto"/>
        </w:rPr>
      </w:pPr>
    </w:p>
    <w:p>
      <w:pPr>
        <w:jc w:val="both"/>
        <w:ind w:firstLine="794"/>
        <w:spacing w:after="0" w:line="246" w:lineRule="auto"/>
        <w:tabs>
          <w:tab w:leader="none" w:pos="1572" w:val="left"/>
        </w:tabs>
        <w:numPr>
          <w:ilvl w:val="0"/>
          <w:numId w:val="1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Basic Limitation. Not more than 1,960,000 Shares may be issued under the Plan, subject to Subsection (b) below and Section 8(a).</w:t>
      </w:r>
      <w:r>
        <w:rPr>
          <w:rFonts w:ascii="Times New Roman" w:cs="Times New Roman" w:eastAsia="Times New Roman" w:hAnsi="Times New Roman"/>
          <w:sz w:val="16"/>
          <w:szCs w:val="16"/>
          <w:color w:val="auto"/>
        </w:rPr>
        <w:t>2</w:t>
      </w:r>
      <w:r>
        <w:rPr>
          <w:rFonts w:ascii="Times New Roman" w:cs="Times New Roman" w:eastAsia="Times New Roman" w:hAnsi="Times New Roman"/>
          <w:sz w:val="20"/>
          <w:szCs w:val="20"/>
          <w:color w:val="auto"/>
        </w:rPr>
        <w:t xml:space="preserve"> All of these Shares may be issued upon the exercise of ISOs. The number of Shares that are subject to Options or other rights outstanding at any time under the Plan may not exceed the number of Shares that then remain available for issuance under the Plan. The Company, during the term of the Plan, shall at all times reserve and keep available sufficient Shares to satisfy the requirements of the Plan. Shares offered under the Plan may be authorized but unissued Shares or treasury Shares.</w:t>
      </w:r>
    </w:p>
    <w:p>
      <w:pPr>
        <w:spacing w:after="0" w:line="184" w:lineRule="exact"/>
        <w:rPr>
          <w:rFonts w:ascii="Times New Roman" w:cs="Times New Roman" w:eastAsia="Times New Roman" w:hAnsi="Times New Roman"/>
          <w:sz w:val="20"/>
          <w:szCs w:val="20"/>
          <w:color w:val="auto"/>
        </w:rPr>
      </w:pPr>
    </w:p>
    <w:p>
      <w:pPr>
        <w:jc w:val="both"/>
        <w:ind w:firstLine="794"/>
        <w:spacing w:after="0" w:line="245" w:lineRule="auto"/>
        <w:tabs>
          <w:tab w:leader="none" w:pos="1485" w:val="left"/>
        </w:tabs>
        <w:numPr>
          <w:ilvl w:val="0"/>
          <w:numId w:val="1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Additional Shares. In the event that Shares previously issued under the Plan are reacquired by the Company, such Shares shall be added to the number of Shares then available for issuance under the Plan. In the event that Shares that otherwise would have been issuable under the Plan are withheld by the Company in payment of the Purchase Price, Exercise Price or withholding taxes, such Shares shall remain available for issuance under the Plan. In the event that an outstanding Option or other right for any reason expires or is canceled, the Shares allocable to the unexercised portion of such Option or other right shall be added to the number of Shares then available for issuance under the Plan.</w:t>
      </w:r>
    </w:p>
    <w:p>
      <w:pPr>
        <w:spacing w:after="0" w:line="180" w:lineRule="exact"/>
        <w:rPr>
          <w:sz w:val="20"/>
          <w:szCs w:val="20"/>
          <w:color w:val="auto"/>
        </w:rPr>
      </w:pPr>
    </w:p>
    <w:p>
      <w:pPr>
        <w:spacing w:after="0"/>
        <w:tabs>
          <w:tab w:leader="none" w:pos="1320" w:val="left"/>
        </w:tabs>
        <w:rPr>
          <w:sz w:val="20"/>
          <w:szCs w:val="20"/>
          <w:color w:val="auto"/>
        </w:rPr>
      </w:pPr>
      <w:r>
        <w:rPr>
          <w:rFonts w:ascii="Times New Roman" w:cs="Times New Roman" w:eastAsia="Times New Roman" w:hAnsi="Times New Roman"/>
          <w:sz w:val="20"/>
          <w:szCs w:val="20"/>
          <w:b w:val="1"/>
          <w:bCs w:val="1"/>
          <w:color w:val="auto"/>
        </w:rPr>
        <w:t>SECTION 5.</w:t>
      </w:r>
      <w:r>
        <w:rPr>
          <w:sz w:val="20"/>
          <w:szCs w:val="20"/>
          <w:color w:val="auto"/>
        </w:rPr>
        <w:tab/>
      </w:r>
      <w:r>
        <w:rPr>
          <w:rFonts w:ascii="Times New Roman" w:cs="Times New Roman" w:eastAsia="Times New Roman" w:hAnsi="Times New Roman"/>
          <w:sz w:val="19"/>
          <w:szCs w:val="19"/>
          <w:b w:val="1"/>
          <w:bCs w:val="1"/>
          <w:color w:val="auto"/>
        </w:rPr>
        <w:t>TERMS AND CONDITIONS OF AWARDS OR SALES.</w:t>
      </w:r>
    </w:p>
    <w:p>
      <w:pPr>
        <w:spacing w:after="0" w:line="220" w:lineRule="exact"/>
        <w:rPr>
          <w:sz w:val="20"/>
          <w:szCs w:val="20"/>
          <w:color w:val="auto"/>
        </w:rPr>
      </w:pPr>
    </w:p>
    <w:p>
      <w:pPr>
        <w:jc w:val="both"/>
        <w:ind w:firstLine="794"/>
        <w:spacing w:after="0" w:line="245" w:lineRule="auto"/>
        <w:tabs>
          <w:tab w:leader="none" w:pos="1441" w:val="left"/>
        </w:tabs>
        <w:numPr>
          <w:ilvl w:val="0"/>
          <w:numId w:val="1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Stock Grant or Purchase Agreement. Each award of Shares under the Plan shall be evidenced by a Stock Grant Agreement between the Grantee and the Company. Each sale of Shares under the Plan (other than upon exercise of an Option) shall be evidenced by a Stock Purchase Agreement between the Purchaser and the Company. Such award or sale shall be subject to all applicable terms and conditions of the Plan and may be subject to any other terms and conditions which are not inconsistent with the Plan and which the Board of Directors deems appropriate for inclusion in a Stock Grant Agreement or Stock Purchase Agreement. The provisions of the various Stock Grant Agreements and Stock Purchase Agreements entered into under the Plan need not be identical.</w:t>
      </w:r>
    </w:p>
    <w:p>
      <w:pPr>
        <w:spacing w:after="0" w:line="184" w:lineRule="exact"/>
        <w:rPr>
          <w:rFonts w:ascii="Times New Roman" w:cs="Times New Roman" w:eastAsia="Times New Roman" w:hAnsi="Times New Roman"/>
          <w:sz w:val="20"/>
          <w:szCs w:val="20"/>
          <w:color w:val="auto"/>
        </w:rPr>
      </w:pPr>
    </w:p>
    <w:p>
      <w:pPr>
        <w:jc w:val="both"/>
        <w:ind w:firstLine="794"/>
        <w:spacing w:after="0" w:line="249" w:lineRule="auto"/>
        <w:tabs>
          <w:tab w:leader="none" w:pos="1512" w:val="left"/>
        </w:tabs>
        <w:numPr>
          <w:ilvl w:val="0"/>
          <w:numId w:val="1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Duration of Offers and Nontransferability of Rights. Any right to purchase Shares under the Plan (other than an Option) shall automatically expire if not exercised by the Purchaser within 30 days (or such other period as may be specified in the Award Agreement) after the grant of such right was communicated to the Purchaser by the Company. Such right is not transferable and may be exercised only by the Purchaser to whom such right was granted.</w:t>
      </w:r>
    </w:p>
    <w:p>
      <w:pPr>
        <w:spacing w:after="0" w:line="179" w:lineRule="exact"/>
        <w:rPr>
          <w:rFonts w:ascii="Times New Roman" w:cs="Times New Roman" w:eastAsia="Times New Roman" w:hAnsi="Times New Roman"/>
          <w:sz w:val="20"/>
          <w:szCs w:val="20"/>
          <w:color w:val="auto"/>
        </w:rPr>
      </w:pPr>
    </w:p>
    <w:p>
      <w:pPr>
        <w:ind w:firstLine="794"/>
        <w:spacing w:after="0" w:line="269" w:lineRule="auto"/>
        <w:tabs>
          <w:tab w:leader="none" w:pos="1431" w:val="left"/>
        </w:tabs>
        <w:numPr>
          <w:ilvl w:val="0"/>
          <w:numId w:val="1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Purchase Price. The Board of Directors shall determine the Purchase Price of Shares to be offered under the Plan at its sole discretion. The Purchase Price shall be payable in a form described in Section 7.</w:t>
      </w:r>
    </w:p>
    <w:p>
      <w:pPr>
        <w:spacing w:after="0" w:line="155" w:lineRule="exact"/>
        <w:rPr>
          <w:sz w:val="20"/>
          <w:szCs w:val="20"/>
          <w:color w:val="auto"/>
        </w:rPr>
      </w:pPr>
    </w:p>
    <w:p>
      <w:pPr>
        <w:spacing w:after="0"/>
        <w:tabs>
          <w:tab w:leader="none" w:pos="1320" w:val="left"/>
        </w:tabs>
        <w:rPr>
          <w:sz w:val="20"/>
          <w:szCs w:val="20"/>
          <w:color w:val="auto"/>
        </w:rPr>
      </w:pPr>
      <w:r>
        <w:rPr>
          <w:rFonts w:ascii="Times New Roman" w:cs="Times New Roman" w:eastAsia="Times New Roman" w:hAnsi="Times New Roman"/>
          <w:sz w:val="20"/>
          <w:szCs w:val="20"/>
          <w:b w:val="1"/>
          <w:bCs w:val="1"/>
          <w:color w:val="auto"/>
        </w:rPr>
        <w:t>SECTION 6.</w:t>
      </w:r>
      <w:r>
        <w:rPr>
          <w:sz w:val="20"/>
          <w:szCs w:val="20"/>
          <w:color w:val="auto"/>
        </w:rPr>
        <w:tab/>
      </w:r>
      <w:r>
        <w:rPr>
          <w:rFonts w:ascii="Times New Roman" w:cs="Times New Roman" w:eastAsia="Times New Roman" w:hAnsi="Times New Roman"/>
          <w:sz w:val="19"/>
          <w:szCs w:val="19"/>
          <w:b w:val="1"/>
          <w:bCs w:val="1"/>
          <w:color w:val="auto"/>
        </w:rPr>
        <w:t>TERMS AND CONDITIONS OF OPTIONS.</w:t>
      </w:r>
    </w:p>
    <w:p>
      <w:pPr>
        <w:spacing w:after="0" w:line="220" w:lineRule="exact"/>
        <w:rPr>
          <w:sz w:val="20"/>
          <w:szCs w:val="20"/>
          <w:color w:val="auto"/>
        </w:rPr>
      </w:pPr>
    </w:p>
    <w:p>
      <w:pPr>
        <w:jc w:val="both"/>
        <w:ind w:firstLine="794"/>
        <w:spacing w:after="0" w:line="249" w:lineRule="auto"/>
        <w:tabs>
          <w:tab w:leader="none" w:pos="1409" w:val="left"/>
        </w:tabs>
        <w:numPr>
          <w:ilvl w:val="0"/>
          <w:numId w:val="1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Stock Option Agreement. Each grant of an Option under the Plan shall be evidenced by a Stock Option Agreement between the Optionee and the Company. The Option shall be subject to all applicable terms and conditions of the Plan and may be subject to any other terms and conditions that are not inconsistent with the Plan and that the Board of Directors deems appropriate for inclusion in a Stock Option Agreement. The provisions of the various Stock Option Agreements entered into under the Plan need not be identical.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231140</wp:posOffset>
            </wp:positionV>
            <wp:extent cx="788670"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88670" cy="8890"/>
                    </a:xfrm>
                    <a:prstGeom prst="rect">
                      <a:avLst/>
                    </a:prstGeom>
                    <a:noFill/>
                  </pic:spPr>
                </pic:pic>
              </a:graphicData>
            </a:graphic>
          </wp:anchor>
        </w:drawing>
      </w:r>
    </w:p>
    <w:p>
      <w:pPr>
        <w:spacing w:after="0" w:line="376" w:lineRule="exact"/>
        <w:rPr>
          <w:sz w:val="20"/>
          <w:szCs w:val="20"/>
          <w:color w:val="auto"/>
        </w:rPr>
      </w:pPr>
    </w:p>
    <w:p>
      <w:pPr>
        <w:ind w:left="560" w:hanging="552"/>
        <w:spacing w:after="0"/>
        <w:tabs>
          <w:tab w:leader="none" w:pos="560" w:val="left"/>
        </w:tabs>
        <w:numPr>
          <w:ilvl w:val="0"/>
          <w:numId w:val="184"/>
        </w:numPr>
        <w:rPr>
          <w:rFonts w:ascii="Times New Roman" w:cs="Times New Roman" w:eastAsia="Times New Roman" w:hAnsi="Times New Roman"/>
          <w:sz w:val="17"/>
          <w:szCs w:val="17"/>
          <w:color w:val="auto"/>
        </w:rPr>
      </w:pPr>
      <w:r>
        <w:rPr>
          <w:rFonts w:ascii="Times New Roman" w:cs="Times New Roman" w:eastAsia="Times New Roman" w:hAnsi="Times New Roman"/>
          <w:sz w:val="20"/>
          <w:szCs w:val="20"/>
          <w:color w:val="auto"/>
        </w:rPr>
        <w:t>Please refer to Exhibit A for a schedule of the initial share reserve and any subsequent increases in the reserve.</w:t>
      </w:r>
    </w:p>
    <w:p>
      <w:pPr>
        <w:spacing w:after="0" w:line="152" w:lineRule="exact"/>
        <w:rPr>
          <w:rFonts w:ascii="Times New Roman" w:cs="Times New Roman" w:eastAsia="Times New Roman" w:hAnsi="Times New Roman"/>
          <w:sz w:val="17"/>
          <w:szCs w:val="17"/>
          <w:color w:val="auto"/>
        </w:rPr>
      </w:pPr>
    </w:p>
    <w:p>
      <w:pPr>
        <w:ind w:left="558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261" w:right="339" w:bottom="1440" w:gutter="0" w:footer="0" w:header="0"/>
        </w:sectPr>
      </w:pPr>
    </w:p>
    <w:bookmarkStart w:id="258" w:name="page259"/>
    <w:bookmarkEnd w:id="258"/>
    <w:p>
      <w:pPr>
        <w:jc w:val="both"/>
        <w:ind w:firstLine="794"/>
        <w:spacing w:after="0" w:line="254" w:lineRule="auto"/>
        <w:tabs>
          <w:tab w:leader="none" w:pos="1529" w:val="left"/>
        </w:tabs>
        <w:numPr>
          <w:ilvl w:val="0"/>
          <w:numId w:val="1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Number of Shares. Each Stock Option Agreement shall specify the number of Shares that are subject to the Option and shall provide for the adjustment of such number in accordance with Section 8. The Stock Option Agreement shall also specify whether the Option is an ISO or an NSO.</w:t>
      </w:r>
    </w:p>
    <w:p>
      <w:pPr>
        <w:spacing w:after="0" w:line="174" w:lineRule="exact"/>
        <w:rPr>
          <w:rFonts w:ascii="Times New Roman" w:cs="Times New Roman" w:eastAsia="Times New Roman" w:hAnsi="Times New Roman"/>
          <w:sz w:val="20"/>
          <w:szCs w:val="20"/>
          <w:color w:val="auto"/>
        </w:rPr>
      </w:pPr>
    </w:p>
    <w:p>
      <w:pPr>
        <w:jc w:val="both"/>
        <w:ind w:firstLine="794"/>
        <w:spacing w:after="0" w:line="246" w:lineRule="auto"/>
        <w:tabs>
          <w:tab w:leader="none" w:pos="1413" w:val="left"/>
        </w:tabs>
        <w:numPr>
          <w:ilvl w:val="0"/>
          <w:numId w:val="1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Exercise Price. Each Stock Option Agreement shall specify the Exercise Price. The Exercise Price of an Option shall not be less than 100% of the Fair Market Value of a Share on the Date of Grant, and in the case of an ISO a higher percentage may be required by Section 3(b). Subject to the preceding sentence, the Exercise Price shall be determined by the Board of Directors at its sole discretion. The Exercise Price shall be payable in a form described in Section 7. This Subsection (c) shall not apply to an Option granted pursuant to an assumption of, or substitution for, another option in a manner that complies with Code Section 424(a) (whether or not the Option is an ISO).</w:t>
      </w:r>
    </w:p>
    <w:p>
      <w:pPr>
        <w:spacing w:after="0" w:line="184" w:lineRule="exact"/>
        <w:rPr>
          <w:rFonts w:ascii="Times New Roman" w:cs="Times New Roman" w:eastAsia="Times New Roman" w:hAnsi="Times New Roman"/>
          <w:sz w:val="20"/>
          <w:szCs w:val="20"/>
          <w:color w:val="auto"/>
        </w:rPr>
      </w:pPr>
    </w:p>
    <w:p>
      <w:pPr>
        <w:jc w:val="both"/>
        <w:ind w:firstLine="794"/>
        <w:spacing w:after="0" w:line="260" w:lineRule="auto"/>
        <w:tabs>
          <w:tab w:leader="none" w:pos="1453" w:val="left"/>
        </w:tabs>
        <w:numPr>
          <w:ilvl w:val="0"/>
          <w:numId w:val="18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Exercisability. Each Stock Option Agreement shall specify the date when all or any installment of the Option is to become exercisable. No Option shall be exercisable unless the Optionee (i) has delivered an executed copy of the Stock Option Agreement to the Company or (ii) otherwise agrees to be bound by the terms of the Stock Option Agreement. The Board of Directors shall determine the exercisability provisions of the Stock Option Agreement at its sole discretion. (e) Basic Term. The Stock Option Agreement shall specify the term of the Option. The term shall not exceed 10 years from the Date of Grant, and in the case of an ISO, a shorter term may be required by Section 3(b). Subject to the preceding sentence, the Board of Directors at its sole discretion shall determine when an Option is to expire.</w:t>
      </w:r>
    </w:p>
    <w:p>
      <w:pPr>
        <w:spacing w:after="0" w:line="173" w:lineRule="exact"/>
        <w:rPr>
          <w:sz w:val="20"/>
          <w:szCs w:val="20"/>
          <w:color w:val="auto"/>
        </w:rPr>
      </w:pPr>
    </w:p>
    <w:p>
      <w:pPr>
        <w:ind w:firstLine="794"/>
        <w:spacing w:after="0" w:line="269" w:lineRule="auto"/>
        <w:tabs>
          <w:tab w:leader="none" w:pos="1510" w:val="left"/>
        </w:tabs>
        <w:numPr>
          <w:ilvl w:val="0"/>
          <w:numId w:val="1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Termination of Service (Except by Death). If an Optionee’s Service terminates for any reason other than the Optionee’s death, then the Optionee’s Options shall expire on the earliest of the following dates:</w:t>
      </w:r>
    </w:p>
    <w:p>
      <w:pPr>
        <w:spacing w:after="0" w:line="159" w:lineRule="exact"/>
        <w:rPr>
          <w:rFonts w:ascii="Times New Roman" w:cs="Times New Roman" w:eastAsia="Times New Roman" w:hAnsi="Times New Roman"/>
          <w:sz w:val="20"/>
          <w:szCs w:val="20"/>
          <w:color w:val="auto"/>
        </w:rPr>
      </w:pPr>
    </w:p>
    <w:p>
      <w:pPr>
        <w:ind w:left="1680" w:hanging="577"/>
        <w:spacing w:after="0"/>
        <w:tabs>
          <w:tab w:leader="none" w:pos="1680" w:val="left"/>
        </w:tabs>
        <w:numPr>
          <w:ilvl w:val="1"/>
          <w:numId w:val="1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expiration date determined pursuant to Subsection (e) above;</w:t>
      </w:r>
    </w:p>
    <w:p>
      <w:pPr>
        <w:spacing w:after="0" w:line="215" w:lineRule="exact"/>
        <w:rPr>
          <w:rFonts w:ascii="Times New Roman" w:cs="Times New Roman" w:eastAsia="Times New Roman" w:hAnsi="Times New Roman"/>
          <w:sz w:val="20"/>
          <w:szCs w:val="20"/>
          <w:color w:val="auto"/>
        </w:rPr>
      </w:pPr>
    </w:p>
    <w:p>
      <w:pPr>
        <w:jc w:val="both"/>
        <w:ind w:left="560" w:firstLine="543"/>
        <w:spacing w:after="0" w:line="254" w:lineRule="auto"/>
        <w:tabs>
          <w:tab w:leader="none" w:pos="1881" w:val="left"/>
        </w:tabs>
        <w:numPr>
          <w:ilvl w:val="1"/>
          <w:numId w:val="1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date three months after the termination of the Optionee’s Service for any reason other than Disability, or such earlier or later date as the Board of Directors may determine (but in no event earlier than 30 days after the termination of the Optionee’s Service); or</w:t>
      </w:r>
    </w:p>
    <w:p>
      <w:pPr>
        <w:spacing w:after="0" w:line="174" w:lineRule="exact"/>
        <w:rPr>
          <w:rFonts w:ascii="Times New Roman" w:cs="Times New Roman" w:eastAsia="Times New Roman" w:hAnsi="Times New Roman"/>
          <w:sz w:val="20"/>
          <w:szCs w:val="20"/>
          <w:color w:val="auto"/>
        </w:rPr>
      </w:pPr>
    </w:p>
    <w:p>
      <w:pPr>
        <w:ind w:left="560" w:right="20" w:firstLine="543"/>
        <w:spacing w:after="0" w:line="269" w:lineRule="auto"/>
        <w:tabs>
          <w:tab w:leader="none" w:pos="1871" w:val="left"/>
        </w:tabs>
        <w:numPr>
          <w:ilvl w:val="1"/>
          <w:numId w:val="1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date six months after the termination of the Optionee’s Service by reason of Disability, or such later date as the Board of Directors may determine.</w:t>
      </w:r>
    </w:p>
    <w:p>
      <w:pPr>
        <w:spacing w:after="0" w:line="159"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The Optionee may exercise all or part of the Optionee’s Options at any time before the expiration of such Options under the preceding sentence, but only to the extent that such Options had become exercisable before the Optionee’s Service terminated (or became exercisable as a result of the termination) and the underlying Shares had vested before the Optionee’s Service terminated (or vested as a result of the termination). The balance of such Options shall lapse when the Optionee’s Service terminates. In the event that the Optionee dies after the termination of the Optionee’s Service but before the expiration of the Optionee’s Options, all or part of such Options may be exercised (prior to expiration) by the executors or administrators of the Optionee’s estate or by any person who has acquired such Options directly from the Optionee by beneficiary designation, bequest or inheritance, but only to the extent that such Options had become exercisable before the Optionee’s Service terminated (or became exercisable as a result of the termination) and the underlying Shares had vested before the Optionee’s Service terminated (or vested as a result of the termination).</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265" w:right="339" w:bottom="1440" w:gutter="0" w:footer="0" w:header="0"/>
        </w:sectPr>
      </w:pPr>
    </w:p>
    <w:bookmarkStart w:id="259" w:name="page260"/>
    <w:bookmarkEnd w:id="259"/>
    <w:p>
      <w:pPr>
        <w:jc w:val="both"/>
        <w:ind w:firstLine="794"/>
        <w:spacing w:after="0" w:line="254" w:lineRule="auto"/>
        <w:tabs>
          <w:tab w:leader="none" w:pos="1470" w:val="left"/>
        </w:tabs>
        <w:numPr>
          <w:ilvl w:val="0"/>
          <w:numId w:val="1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Leaves of Absence. For purposes of Subsection (f) above, Service shall be deemed to continue while the Optionee is on a bona fide leave of absence, if such leave was approved by the Company in writing and if continued crediting of Service for this purpose is expressly required by the terms of such leave or by applicable law (as determined by the Company).</w:t>
      </w:r>
    </w:p>
    <w:p>
      <w:pPr>
        <w:spacing w:after="0" w:line="174" w:lineRule="exact"/>
        <w:rPr>
          <w:rFonts w:ascii="Times New Roman" w:cs="Times New Roman" w:eastAsia="Times New Roman" w:hAnsi="Times New Roman"/>
          <w:sz w:val="20"/>
          <w:szCs w:val="20"/>
          <w:color w:val="auto"/>
        </w:rPr>
      </w:pPr>
    </w:p>
    <w:p>
      <w:pPr>
        <w:ind w:firstLine="794"/>
        <w:spacing w:after="0" w:line="269" w:lineRule="auto"/>
        <w:tabs>
          <w:tab w:leader="none" w:pos="1509" w:val="left"/>
        </w:tabs>
        <w:numPr>
          <w:ilvl w:val="0"/>
          <w:numId w:val="1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Death of Optionee. If an Optionee dies while the Optionee is in Service, then the Optionee’s Options shall expire on the earlier of the following dates:</w:t>
      </w:r>
    </w:p>
    <w:p>
      <w:pPr>
        <w:spacing w:after="0" w:line="159" w:lineRule="exact"/>
        <w:rPr>
          <w:rFonts w:ascii="Times New Roman" w:cs="Times New Roman" w:eastAsia="Times New Roman" w:hAnsi="Times New Roman"/>
          <w:sz w:val="20"/>
          <w:szCs w:val="20"/>
          <w:color w:val="auto"/>
        </w:rPr>
      </w:pPr>
    </w:p>
    <w:p>
      <w:pPr>
        <w:ind w:left="1680" w:hanging="577"/>
        <w:spacing w:after="0"/>
        <w:tabs>
          <w:tab w:leader="none" w:pos="1680" w:val="left"/>
        </w:tabs>
        <w:numPr>
          <w:ilvl w:val="1"/>
          <w:numId w:val="1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expiration date determined pursuant to Subsection (e) above; or</w:t>
      </w:r>
    </w:p>
    <w:p>
      <w:pPr>
        <w:spacing w:after="0" w:line="215" w:lineRule="exact"/>
        <w:rPr>
          <w:rFonts w:ascii="Times New Roman" w:cs="Times New Roman" w:eastAsia="Times New Roman" w:hAnsi="Times New Roman"/>
          <w:sz w:val="20"/>
          <w:szCs w:val="20"/>
          <w:color w:val="auto"/>
        </w:rPr>
      </w:pPr>
    </w:p>
    <w:p>
      <w:pPr>
        <w:ind w:left="560" w:firstLine="543"/>
        <w:spacing w:after="0" w:line="269" w:lineRule="auto"/>
        <w:tabs>
          <w:tab w:leader="none" w:pos="1828" w:val="left"/>
        </w:tabs>
        <w:numPr>
          <w:ilvl w:val="1"/>
          <w:numId w:val="1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date 12 months after the Optionee’s death, or such earlier or later date as the Board of Directors may determine (but in no event earlier than six months after the Optionee’s death).</w:t>
      </w:r>
    </w:p>
    <w:p>
      <w:pPr>
        <w:spacing w:after="0" w:line="164"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All or part of the Optionee’s Options may be exercised at any time before the expiration of such Options under the preceding sentence by the executors or administrators of the Optionee’s estate or by any person who has acquired such Options directly from the Optionee by beneficiary designation, bequest or inheritance, but only to the extent that such Options had become exercisable before the Optionee’s death (or became exercisable as a result of the death) and the underlying Shares had vested before the Optionee’s death (or vested as a result of the Optionee’s death). The balance of such Options shall lapse when the Optionee dies.</w:t>
      </w:r>
    </w:p>
    <w:p>
      <w:pPr>
        <w:spacing w:after="0" w:line="179" w:lineRule="exact"/>
        <w:rPr>
          <w:sz w:val="20"/>
          <w:szCs w:val="20"/>
          <w:color w:val="auto"/>
        </w:rPr>
      </w:pPr>
    </w:p>
    <w:p>
      <w:pPr>
        <w:ind w:left="1440" w:hanging="646"/>
        <w:spacing w:after="0"/>
        <w:tabs>
          <w:tab w:leader="none" w:pos="1440" w:val="left"/>
        </w:tabs>
        <w:numPr>
          <w:ilvl w:val="1"/>
          <w:numId w:val="1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Restrictions on Transfer of Options. An Option shall be transferable by the Optionee only by (i) a beneficiary designation,</w:t>
      </w:r>
    </w:p>
    <w:p>
      <w:pPr>
        <w:spacing w:after="0" w:line="21" w:lineRule="exact"/>
        <w:rPr>
          <w:rFonts w:ascii="Times New Roman" w:cs="Times New Roman" w:eastAsia="Times New Roman" w:hAnsi="Times New Roman"/>
          <w:sz w:val="20"/>
          <w:szCs w:val="20"/>
          <w:color w:val="auto"/>
        </w:rPr>
      </w:pPr>
    </w:p>
    <w:p>
      <w:pPr>
        <w:jc w:val="both"/>
        <w:ind w:firstLine="8"/>
        <w:spacing w:after="0" w:line="242" w:lineRule="auto"/>
        <w:tabs>
          <w:tab w:leader="none" w:pos="301" w:val="left"/>
        </w:tabs>
        <w:numPr>
          <w:ilvl w:val="0"/>
          <w:numId w:val="1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will or (iii) the laws of descent and distribution, except as provided in the next sentence. If the applicable Stock Option Agreement so provides, an NSO shall also be transferable by gift or domestic relations order to a Family Member of the Optionee. An ISO may be exercised during the lifetime of the Optionee only by the Optionee or by the Optionee’s guardian or legal representative.</w:t>
      </w:r>
    </w:p>
    <w:p>
      <w:pPr>
        <w:spacing w:after="0" w:line="187" w:lineRule="exact"/>
        <w:rPr>
          <w:sz w:val="20"/>
          <w:szCs w:val="20"/>
          <w:color w:val="auto"/>
        </w:rPr>
      </w:pPr>
    </w:p>
    <w:p>
      <w:pPr>
        <w:jc w:val="both"/>
        <w:ind w:firstLine="794"/>
        <w:spacing w:after="0" w:line="254" w:lineRule="auto"/>
        <w:tabs>
          <w:tab w:leader="none" w:pos="1410" w:val="left"/>
        </w:tabs>
        <w:numPr>
          <w:ilvl w:val="0"/>
          <w:numId w:val="1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Rights as a Stockholder. An Optionee, or a transferee of an Optionee, shall have no rights as a stockholder with respect to any Shares covered by the Optionee’s Option until such person files a notice of exercise, pays the Exercise Price and satisfies all applicable withholding taxes pursuant to the terms of such Option.</w:t>
      </w:r>
    </w:p>
    <w:p>
      <w:pPr>
        <w:spacing w:after="0" w:line="174" w:lineRule="exact"/>
        <w:rPr>
          <w:rFonts w:ascii="Times New Roman" w:cs="Times New Roman" w:eastAsia="Times New Roman" w:hAnsi="Times New Roman"/>
          <w:sz w:val="20"/>
          <w:szCs w:val="20"/>
          <w:color w:val="auto"/>
        </w:rPr>
      </w:pPr>
    </w:p>
    <w:p>
      <w:pPr>
        <w:jc w:val="both"/>
        <w:ind w:firstLine="794"/>
        <w:spacing w:after="0" w:line="246" w:lineRule="auto"/>
        <w:tabs>
          <w:tab w:leader="none" w:pos="1417" w:val="left"/>
        </w:tabs>
        <w:numPr>
          <w:ilvl w:val="0"/>
          <w:numId w:val="1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Modification, Extension and Assumption of Options. Within the limitations of the Plan, the Board of Directors may modify, extend or assume outstanding Options or may accept the cancellation of outstanding Options (whether granted by the Company or another issuer) in return for the grant of new Options or a different type of award for the same or a different number of Shares and at the same or a different Exercise Price (if applicable). The foregoing notwithstanding, no modification of an Option shall, without the consent of the Optionee, impair the Optionee’s rights or increase the Optionee’s obligations under such Option.</w:t>
      </w:r>
    </w:p>
    <w:p>
      <w:pPr>
        <w:spacing w:after="0" w:line="180" w:lineRule="exact"/>
        <w:rPr>
          <w:rFonts w:ascii="Times New Roman" w:cs="Times New Roman" w:eastAsia="Times New Roman" w:hAnsi="Times New Roman"/>
          <w:sz w:val="20"/>
          <w:szCs w:val="20"/>
          <w:color w:val="auto"/>
        </w:rPr>
      </w:pPr>
    </w:p>
    <w:p>
      <w:pPr>
        <w:jc w:val="both"/>
        <w:ind w:firstLine="794"/>
        <w:spacing w:after="0" w:line="245" w:lineRule="auto"/>
        <w:tabs>
          <w:tab w:leader="none" w:pos="1733" w:val="left"/>
        </w:tabs>
        <w:numPr>
          <w:ilvl w:val="0"/>
          <w:numId w:val="1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Company’s Right to Cancel Certain Options</w:t>
      </w:r>
      <w:r>
        <w:rPr>
          <w:rFonts w:ascii="Times New Roman" w:cs="Times New Roman" w:eastAsia="Times New Roman" w:hAnsi="Times New Roman"/>
          <w:sz w:val="20"/>
          <w:szCs w:val="20"/>
          <w:color w:val="auto"/>
        </w:rPr>
        <w:t>. Any other provision of the Plan or a Stock Option Agreement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notwithstanding, the Company shall have the right at any time to cancel an Option that was not granted in compliance with Rule 701 under the Securities Act. Prior to canceling such Option, the Company shall give the Optionee not less than 30 days’ notice in writing. If the Company elects to cancel such Option, it shall deliver to the Optionee consideration with an aggregate Fair Market Value equal to the excess of (i) the Fair Market Value of the Shares subject to such Option as of the time of the cancellation over (ii) the Exercise Price of such Option. The consideration may be delivered in the form of cash or cash equivalents, in the form of Shares, or a combination of both. If the consideration would be a negative amount, such Option may be cancelled without the delivery of any consideration.</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265" w:right="339" w:bottom="1440" w:gutter="0" w:footer="0" w:header="0"/>
        </w:sectPr>
      </w:pPr>
    </w:p>
    <w:bookmarkStart w:id="260" w:name="page261"/>
    <w:bookmarkEnd w:id="260"/>
    <w:p>
      <w:pPr>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SECTION 7.</w:t>
      </w:r>
      <w:r>
        <w:rPr>
          <w:sz w:val="20"/>
          <w:szCs w:val="20"/>
          <w:color w:val="auto"/>
        </w:rPr>
        <w:tab/>
      </w:r>
      <w:r>
        <w:rPr>
          <w:rFonts w:ascii="Times New Roman" w:cs="Times New Roman" w:eastAsia="Times New Roman" w:hAnsi="Times New Roman"/>
          <w:sz w:val="19"/>
          <w:szCs w:val="19"/>
          <w:b w:val="1"/>
          <w:bCs w:val="1"/>
          <w:color w:val="auto"/>
        </w:rPr>
        <w:t>PAYMENT FOR SHARES.</w:t>
      </w:r>
    </w:p>
    <w:p>
      <w:pPr>
        <w:spacing w:after="0" w:line="220" w:lineRule="exact"/>
        <w:rPr>
          <w:sz w:val="20"/>
          <w:szCs w:val="20"/>
          <w:color w:val="auto"/>
        </w:rPr>
      </w:pPr>
    </w:p>
    <w:p>
      <w:pPr>
        <w:jc w:val="both"/>
        <w:ind w:firstLine="794"/>
        <w:spacing w:after="0" w:line="254" w:lineRule="auto"/>
        <w:tabs>
          <w:tab w:leader="none" w:pos="1450" w:val="left"/>
        </w:tabs>
        <w:numPr>
          <w:ilvl w:val="0"/>
          <w:numId w:val="1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General Rule. The entire Purchase Price or Exercise Price of Shares issued under the Plan shall be payable in cash or cash equivalents at the time when such Shares are purchased, except as otherwise provided in this Section 7. In addition, the Board of Directors in its sole discretion may also permit payment through any of the methods described in (b) through (g) below.</w:t>
      </w:r>
    </w:p>
    <w:p>
      <w:pPr>
        <w:spacing w:after="0" w:line="66" w:lineRule="exact"/>
        <w:rPr>
          <w:rFonts w:ascii="Times New Roman" w:cs="Times New Roman" w:eastAsia="Times New Roman" w:hAnsi="Times New Roman"/>
          <w:sz w:val="20"/>
          <w:szCs w:val="20"/>
          <w:color w:val="auto"/>
        </w:rPr>
      </w:pPr>
    </w:p>
    <w:p>
      <w:pPr>
        <w:ind w:right="20" w:firstLine="794"/>
        <w:spacing w:after="0" w:line="269" w:lineRule="auto"/>
        <w:tabs>
          <w:tab w:leader="none" w:pos="1462" w:val="left"/>
        </w:tabs>
        <w:numPr>
          <w:ilvl w:val="0"/>
          <w:numId w:val="1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Services Rendered. Shares may be awarded under the Plan in consideration of services rendered to the Company, a Parent or a Subsidiary prior to the award.</w:t>
      </w:r>
    </w:p>
    <w:p>
      <w:pPr>
        <w:spacing w:after="0" w:line="159" w:lineRule="exact"/>
        <w:rPr>
          <w:rFonts w:ascii="Times New Roman" w:cs="Times New Roman" w:eastAsia="Times New Roman" w:hAnsi="Times New Roman"/>
          <w:sz w:val="20"/>
          <w:szCs w:val="20"/>
          <w:color w:val="auto"/>
        </w:rPr>
      </w:pPr>
    </w:p>
    <w:p>
      <w:pPr>
        <w:jc w:val="both"/>
        <w:ind w:firstLine="794"/>
        <w:spacing w:after="0" w:line="246" w:lineRule="auto"/>
        <w:tabs>
          <w:tab w:leader="none" w:pos="1470" w:val="left"/>
        </w:tabs>
        <w:numPr>
          <w:ilvl w:val="0"/>
          <w:numId w:val="1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Promissory Note. All or a portion of the Purchase Price or Exercise Price (as the case may be) of Shares issued under the Plan may be paid with a full-recourse promissory note. The Shares shall be pledged as security for payment of the principal amount of the promissory note and interest thereon. The interest rate payable under the terms of the promissory note shall not be less than the minimum rate (if any) required to avoid the imputation of additional interest under the Code. Subject to the foregoing, the Board of Directors (at its sole discretion) shall specify the term, interest rate, amortization requirements (if any) and other provisions of such note.</w:t>
      </w:r>
    </w:p>
    <w:p>
      <w:pPr>
        <w:spacing w:after="0" w:line="184" w:lineRule="exact"/>
        <w:rPr>
          <w:rFonts w:ascii="Times New Roman" w:cs="Times New Roman" w:eastAsia="Times New Roman" w:hAnsi="Times New Roman"/>
          <w:sz w:val="20"/>
          <w:szCs w:val="20"/>
          <w:color w:val="auto"/>
        </w:rPr>
      </w:pPr>
    </w:p>
    <w:p>
      <w:pPr>
        <w:jc w:val="both"/>
        <w:ind w:firstLine="794"/>
        <w:spacing w:after="0" w:line="254" w:lineRule="auto"/>
        <w:tabs>
          <w:tab w:leader="none" w:pos="1535" w:val="left"/>
        </w:tabs>
        <w:numPr>
          <w:ilvl w:val="0"/>
          <w:numId w:val="1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Surrender of Stock. All or any part of the Exercise Price may be paid by surrendering, or attesting to the ownership of, Shares that are already owned by the Optionee. Such Shares shall be surrendered to the Company in good form for transfer and shall be valued at their Fair Market Value as of the date when the Option is exercised.</w:t>
      </w:r>
    </w:p>
    <w:p>
      <w:pPr>
        <w:spacing w:after="0" w:line="174" w:lineRule="exact"/>
        <w:rPr>
          <w:rFonts w:ascii="Times New Roman" w:cs="Times New Roman" w:eastAsia="Times New Roman" w:hAnsi="Times New Roman"/>
          <w:sz w:val="20"/>
          <w:szCs w:val="20"/>
          <w:color w:val="auto"/>
        </w:rPr>
      </w:pPr>
    </w:p>
    <w:p>
      <w:pPr>
        <w:jc w:val="both"/>
        <w:ind w:firstLine="794"/>
        <w:spacing w:after="0" w:line="254" w:lineRule="auto"/>
        <w:tabs>
          <w:tab w:leader="none" w:pos="1416" w:val="left"/>
        </w:tabs>
        <w:numPr>
          <w:ilvl w:val="0"/>
          <w:numId w:val="1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Exercise/Sale. If the Stock is publicly traded, all or part of the Exercise Price and any withholding taxes may be paid by the delivery (on a form prescribed by the Company) of an irrevocable direction to a securities broker approved by the Company to sell Shares and to deliver all or part of the sales proceeds to the Company.</w:t>
      </w:r>
    </w:p>
    <w:p>
      <w:pPr>
        <w:spacing w:after="0" w:line="170" w:lineRule="exact"/>
        <w:rPr>
          <w:rFonts w:ascii="Times New Roman" w:cs="Times New Roman" w:eastAsia="Times New Roman" w:hAnsi="Times New Roman"/>
          <w:sz w:val="20"/>
          <w:szCs w:val="20"/>
          <w:color w:val="auto"/>
        </w:rPr>
      </w:pPr>
    </w:p>
    <w:p>
      <w:pPr>
        <w:jc w:val="both"/>
        <w:ind w:firstLine="794"/>
        <w:spacing w:after="0" w:line="244" w:lineRule="auto"/>
        <w:tabs>
          <w:tab w:leader="none" w:pos="1452" w:val="left"/>
        </w:tabs>
        <w:numPr>
          <w:ilvl w:val="0"/>
          <w:numId w:val="1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Net Exercise. </w:t>
      </w:r>
      <w:r>
        <w:rPr>
          <w:rFonts w:ascii="Times New Roman" w:cs="Times New Roman" w:eastAsia="Times New Roman" w:hAnsi="Times New Roman"/>
          <w:sz w:val="20"/>
          <w:szCs w:val="20"/>
          <w:color w:val="auto"/>
        </w:rPr>
        <w:t>An Option may permit exercise through a “net exercise” arrangement pursuant to which the Company will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reduce the number of Shares issued upon exercise by the largest whole number of Shares having an aggregate Fair Market Value (determined by the Board of Directors as of the exercise date) that does not exceed the aggregate Exercise Price or the sum of the aggregate Exercise Price plus all or a portion of the minimum amount required to be withheld under applicable tax law (with the Company accepting from the Optionee payment of cash or cash equivalents to satisfy any remaining balance of the aggregate Exercise Price and, if applicable, any additional withholding obligation not satisfied through such reduction in Shares); provided that to the extent Shares subject to an Option are withheld in this manner, the number of Shares subject to the Option following the net exercise will be reduced by the sum of the number of Shares withheld and the number of Shares delivered to the Optionee as a result of the exercise.</w:t>
      </w:r>
    </w:p>
    <w:p>
      <w:pPr>
        <w:spacing w:after="0" w:line="185" w:lineRule="exact"/>
        <w:rPr>
          <w:rFonts w:ascii="Times New Roman" w:cs="Times New Roman" w:eastAsia="Times New Roman" w:hAnsi="Times New Roman"/>
          <w:sz w:val="20"/>
          <w:szCs w:val="20"/>
          <w:color w:val="auto"/>
        </w:rPr>
      </w:pPr>
    </w:p>
    <w:p>
      <w:pPr>
        <w:ind w:firstLine="794"/>
        <w:spacing w:after="0" w:line="269" w:lineRule="auto"/>
        <w:tabs>
          <w:tab w:leader="none" w:pos="1565" w:val="left"/>
        </w:tabs>
        <w:numPr>
          <w:ilvl w:val="0"/>
          <w:numId w:val="1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 Forms of Payment. To the extent that an Award Agreement so provides, the Purchase Price or Exercise Price of Shares issued under the Plan may be paid in any other form permitted by the Delaware General Corporation Law, as amended.</w:t>
      </w:r>
    </w:p>
    <w:p>
      <w:pPr>
        <w:spacing w:after="0" w:line="155" w:lineRule="exact"/>
        <w:rPr>
          <w:sz w:val="20"/>
          <w:szCs w:val="20"/>
          <w:color w:val="auto"/>
        </w:rPr>
      </w:pPr>
    </w:p>
    <w:p>
      <w:pPr>
        <w:spacing w:after="0"/>
        <w:tabs>
          <w:tab w:leader="none" w:pos="1260" w:val="left"/>
        </w:tabs>
        <w:rPr>
          <w:sz w:val="20"/>
          <w:szCs w:val="20"/>
          <w:color w:val="auto"/>
        </w:rPr>
      </w:pPr>
      <w:r>
        <w:rPr>
          <w:rFonts w:ascii="Times New Roman" w:cs="Times New Roman" w:eastAsia="Times New Roman" w:hAnsi="Times New Roman"/>
          <w:sz w:val="20"/>
          <w:szCs w:val="20"/>
          <w:b w:val="1"/>
          <w:bCs w:val="1"/>
          <w:color w:val="auto"/>
        </w:rPr>
        <w:t>SECTION 8.</w:t>
      </w:r>
      <w:r>
        <w:rPr>
          <w:sz w:val="20"/>
          <w:szCs w:val="20"/>
          <w:color w:val="auto"/>
        </w:rPr>
        <w:tab/>
      </w:r>
      <w:r>
        <w:rPr>
          <w:rFonts w:ascii="Times New Roman" w:cs="Times New Roman" w:eastAsia="Times New Roman" w:hAnsi="Times New Roman"/>
          <w:sz w:val="19"/>
          <w:szCs w:val="19"/>
          <w:b w:val="1"/>
          <w:bCs w:val="1"/>
          <w:color w:val="auto"/>
        </w:rPr>
        <w:t>ADJUSTMENT OF SHARES.</w:t>
      </w:r>
    </w:p>
    <w:p>
      <w:pPr>
        <w:spacing w:after="0" w:line="220" w:lineRule="exact"/>
        <w:rPr>
          <w:sz w:val="20"/>
          <w:szCs w:val="20"/>
          <w:color w:val="auto"/>
        </w:rPr>
      </w:pPr>
    </w:p>
    <w:p>
      <w:pPr>
        <w:jc w:val="both"/>
        <w:ind w:firstLine="794"/>
        <w:spacing w:after="0" w:line="256" w:lineRule="auto"/>
        <w:tabs>
          <w:tab w:leader="none" w:pos="1401" w:val="left"/>
        </w:tabs>
        <w:numPr>
          <w:ilvl w:val="1"/>
          <w:numId w:val="19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General. In the event of a subdivision of the outstanding Stock, a declaration of a dividend payable in Shares, a combination or consolidation of the outstanding Stock into a lesser number of Shares, a reclassification, or any other increase or decrease in the number of issued shares of Stock effected without receipt of consideration by the Company, proportionate adjustments shall automatically be made in each of (i) the number and kind of Shares available for future grants under Section 4, (ii) the number and kind of Shares covered by each outstanding Option and any outstanding and unexercised right to purchase Shares that has not yet expired pursuant to Section 5(b), (iii) the Exercise Price under each outstanding Option and the Purchase Price applicable to any unexercised stock purchase right described in clause</w:t>
      </w:r>
    </w:p>
    <w:p>
      <w:pPr>
        <w:jc w:val="both"/>
        <w:ind w:firstLine="8"/>
        <w:spacing w:after="0"/>
        <w:tabs>
          <w:tab w:leader="none" w:pos="303" w:val="left"/>
        </w:tabs>
        <w:numPr>
          <w:ilvl w:val="0"/>
          <w:numId w:val="1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above, and (iv) any repurchase price that applies to Shares granted under the Plan pursuant to the terms of a Company repurchase right under the applicable Award Agreement. In the event of a declaration of an extraordinary dividend payable in a form other than Shares in an amount that has a material effect on the Fair Market Value of the Stock, a recapitalization, a spin-off, or a similar occurrence, the Board of Directors at its sole discretion may make appropriate adjustments in one or more of the items listed in clauses (i) through (iv) above; provided, however, that the Board of Directors shall in any event make such adjustments as may be required by Section 25102(o) of the California Corporations Code. No fractional Shares shall be issued under the Plan as a result of an adjustment under this Section 8(a), although the Board of Directors in its sole discretion may make a cash payment in lieu of fractional Shares.</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261" w:right="339" w:bottom="1440" w:gutter="0" w:footer="0" w:header="0"/>
        </w:sectPr>
      </w:pPr>
    </w:p>
    <w:bookmarkStart w:id="261" w:name="page262"/>
    <w:bookmarkEnd w:id="261"/>
    <w:p>
      <w:pPr>
        <w:jc w:val="both"/>
        <w:ind w:firstLine="794"/>
        <w:spacing w:after="0" w:line="243" w:lineRule="auto"/>
        <w:tabs>
          <w:tab w:leader="none" w:pos="1419" w:val="left"/>
        </w:tabs>
        <w:numPr>
          <w:ilvl w:val="1"/>
          <w:numId w:val="1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Corporate Transactions. In the event that the Company is a party to a merger or consolidation, or in the event of a sale of all or substantially all of the Company’s stock or assets, all Shares acquired under the Plan and all Options and other Plan awards outstanding on the effective date of the transaction shall be treated in the manner described in the definitive transaction agreement (or, in the event the transaction does not entail a definitive agreement to which the Company is party, in the manner determined by the Board of Directors in its capacity as administrator of the Plan, with such determination having final and binding effect on all parties), which agreement or determination need not treat all Options and awards (or all portions of an Option or an award) in an identical manner. The treatment specified in the transaction agreement or as determined by the Board of Directors may include (without limitation) one or more of the following with respect to each outstanding Option or award:</w:t>
      </w:r>
    </w:p>
    <w:p>
      <w:pPr>
        <w:spacing w:after="0" w:line="189" w:lineRule="exact"/>
        <w:rPr>
          <w:rFonts w:ascii="Times New Roman" w:cs="Times New Roman" w:eastAsia="Times New Roman" w:hAnsi="Times New Roman"/>
          <w:sz w:val="20"/>
          <w:szCs w:val="20"/>
          <w:color w:val="auto"/>
        </w:rPr>
      </w:pPr>
    </w:p>
    <w:p>
      <w:pPr>
        <w:ind w:left="1680" w:hanging="577"/>
        <w:spacing w:after="0"/>
        <w:tabs>
          <w:tab w:leader="none" w:pos="1680" w:val="left"/>
        </w:tabs>
        <w:numPr>
          <w:ilvl w:val="2"/>
          <w:numId w:val="1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Continuation of the Option or award by the Company (if the Company is the surviving corporation).</w:t>
      </w:r>
    </w:p>
    <w:p>
      <w:pPr>
        <w:spacing w:after="0" w:line="215" w:lineRule="exact"/>
        <w:rPr>
          <w:rFonts w:ascii="Times New Roman" w:cs="Times New Roman" w:eastAsia="Times New Roman" w:hAnsi="Times New Roman"/>
          <w:sz w:val="20"/>
          <w:szCs w:val="20"/>
          <w:color w:val="auto"/>
        </w:rPr>
      </w:pPr>
    </w:p>
    <w:p>
      <w:pPr>
        <w:ind w:left="560" w:firstLine="543"/>
        <w:spacing w:after="0" w:line="269" w:lineRule="auto"/>
        <w:tabs>
          <w:tab w:leader="none" w:pos="2100" w:val="left"/>
        </w:tabs>
        <w:numPr>
          <w:ilvl w:val="2"/>
          <w:numId w:val="1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Assumption of the Option by the surviving corporation or its parent in a manner that complies with Code Section 424(a) (whether or not the Option is an ISO).</w:t>
      </w:r>
    </w:p>
    <w:p>
      <w:pPr>
        <w:spacing w:after="0" w:line="159" w:lineRule="exact"/>
        <w:rPr>
          <w:rFonts w:ascii="Times New Roman" w:cs="Times New Roman" w:eastAsia="Times New Roman" w:hAnsi="Times New Roman"/>
          <w:sz w:val="20"/>
          <w:szCs w:val="20"/>
          <w:color w:val="auto"/>
        </w:rPr>
      </w:pPr>
    </w:p>
    <w:p>
      <w:pPr>
        <w:ind w:left="560" w:firstLine="543"/>
        <w:spacing w:after="0" w:line="269" w:lineRule="auto"/>
        <w:tabs>
          <w:tab w:leader="none" w:pos="1855" w:val="left"/>
        </w:tabs>
        <w:numPr>
          <w:ilvl w:val="2"/>
          <w:numId w:val="1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Substitution by the surviving corporation or its parent of a new option for the Option in a manner that complies with Code Section 424(a) (whether or not the Option is an ISO).</w:t>
      </w:r>
    </w:p>
    <w:p>
      <w:pPr>
        <w:spacing w:after="0" w:line="159" w:lineRule="exact"/>
        <w:rPr>
          <w:rFonts w:ascii="Times New Roman" w:cs="Times New Roman" w:eastAsia="Times New Roman" w:hAnsi="Times New Roman"/>
          <w:sz w:val="20"/>
          <w:szCs w:val="20"/>
          <w:color w:val="auto"/>
        </w:rPr>
      </w:pPr>
    </w:p>
    <w:p>
      <w:pPr>
        <w:jc w:val="both"/>
        <w:ind w:left="560" w:firstLine="543"/>
        <w:spacing w:after="0" w:line="247" w:lineRule="auto"/>
        <w:tabs>
          <w:tab w:leader="none" w:pos="1921" w:val="left"/>
        </w:tabs>
        <w:numPr>
          <w:ilvl w:val="2"/>
          <w:numId w:val="1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Cancellation of the Option and a payment to the Optionee with respect to each Share subject to the portion of the Option that is vested as of the transaction date equal to the excess of (A) the value, as determined by the Board of Directors in its absolute discretion, of the property (including cash) received by the holder of a share of Stock as a result of the transaction, over</w:t>
      </w:r>
    </w:p>
    <w:p>
      <w:pPr>
        <w:jc w:val="both"/>
        <w:ind w:left="560" w:firstLine="10"/>
        <w:spacing w:after="0" w:line="241" w:lineRule="auto"/>
        <w:tabs>
          <w:tab w:leader="none" w:pos="887" w:val="left"/>
        </w:tabs>
        <w:numPr>
          <w:ilvl w:val="0"/>
          <w:numId w:val="1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per-Share Exercise Price of the Option (such excess, the “</w:t>
      </w:r>
      <w:r>
        <w:rPr>
          <w:rFonts w:ascii="Times New Roman" w:cs="Times New Roman" w:eastAsia="Times New Roman" w:hAnsi="Times New Roman"/>
          <w:sz w:val="20"/>
          <w:szCs w:val="20"/>
          <w:b w:val="1"/>
          <w:bCs w:val="1"/>
          <w:color w:val="auto"/>
        </w:rPr>
        <w:t>Spread</w:t>
      </w:r>
      <w:r>
        <w:rPr>
          <w:rFonts w:ascii="Times New Roman" w:cs="Times New Roman" w:eastAsia="Times New Roman" w:hAnsi="Times New Roman"/>
          <w:sz w:val="20"/>
          <w:szCs w:val="20"/>
          <w:color w:val="auto"/>
        </w:rPr>
        <w:t>”). Such payment shall be made in the form of cash, cash equivalents, or securities of the surviving corporation or its parent having a value equal to the Spread. In addition, any escrow, holdback, earn-out or similar provisions in the transaction agreement may apply to such payment to the same extent and in the same manner as such provisions apply to the holders of Stock. If the Spread applicable to an Option is zero or a negative number, then the Option may be cancelled without making a payment to the Optionee.</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40"/>
          </w:cols>
          <w:pgMar w:left="320" w:top="265" w:right="339" w:bottom="1440" w:gutter="0" w:footer="0" w:header="0"/>
        </w:sectPr>
      </w:pPr>
    </w:p>
    <w:bookmarkStart w:id="262" w:name="page263"/>
    <w:bookmarkEnd w:id="262"/>
    <w:p>
      <w:pPr>
        <w:jc w:val="both"/>
        <w:ind w:left="560" w:firstLine="543"/>
        <w:spacing w:after="0" w:line="245" w:lineRule="auto"/>
        <w:tabs>
          <w:tab w:leader="none" w:pos="1815" w:val="left"/>
        </w:tabs>
        <w:numPr>
          <w:ilvl w:val="0"/>
          <w:numId w:val="1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Cancellation of the Option without the payment of any consideration; provided that the Optionee shall be notified of such treatment and given an opportunity to exercise the Option (to the extent the Option is vested or becomes vested as of the effective date of the transaction) during a period of not less than five (5) business days preceding the effective date of the transaction, unless (A) a shorter period is required to permit a timely closing of the transaction and (B) such shorter period still offers the Optionee a reasonable opportunity to exercise the Option. Any exercise of the Option during such period may be contingent upon the closing of the transaction.</w:t>
      </w:r>
    </w:p>
    <w:p>
      <w:pPr>
        <w:spacing w:after="0" w:line="184" w:lineRule="exact"/>
        <w:rPr>
          <w:rFonts w:ascii="Times New Roman" w:cs="Times New Roman" w:eastAsia="Times New Roman" w:hAnsi="Times New Roman"/>
          <w:sz w:val="20"/>
          <w:szCs w:val="20"/>
          <w:color w:val="auto"/>
        </w:rPr>
      </w:pPr>
    </w:p>
    <w:p>
      <w:pPr>
        <w:ind w:left="560" w:firstLine="543"/>
        <w:spacing w:after="0" w:line="269" w:lineRule="auto"/>
        <w:tabs>
          <w:tab w:leader="none" w:pos="1831" w:val="left"/>
        </w:tabs>
        <w:numPr>
          <w:ilvl w:val="0"/>
          <w:numId w:val="1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Suspension of the Optionee’s right to exercise the Option during a limited period of time preceding the closing of the transaction if such suspension is administratively necessary to permit the closing of the transaction.</w:t>
      </w:r>
    </w:p>
    <w:p>
      <w:pPr>
        <w:spacing w:after="0" w:line="159" w:lineRule="exact"/>
        <w:rPr>
          <w:rFonts w:ascii="Times New Roman" w:cs="Times New Roman" w:eastAsia="Times New Roman" w:hAnsi="Times New Roman"/>
          <w:sz w:val="20"/>
          <w:szCs w:val="20"/>
          <w:color w:val="auto"/>
        </w:rPr>
      </w:pPr>
    </w:p>
    <w:p>
      <w:pPr>
        <w:ind w:left="560" w:firstLine="543"/>
        <w:spacing w:after="0" w:line="269" w:lineRule="auto"/>
        <w:tabs>
          <w:tab w:leader="none" w:pos="1899" w:val="left"/>
        </w:tabs>
        <w:numPr>
          <w:ilvl w:val="0"/>
          <w:numId w:val="1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Termination of any right the Optionee has to exercise the Option prior to vesting in the Shares subject to the Option (i.e., “early exercise”), such that following the closing of the transaction the Option may only be exercised to the extent it is vested.</w:t>
      </w:r>
    </w:p>
    <w:p>
      <w:pPr>
        <w:spacing w:after="0" w:line="16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For the avoidance of doubt, the Board of Directors has discretion to accelerate, in whole or part, the vesting and exercisability of an Option or other Plan award in connection with a corporate transaction covered by this Section 8(b).</w:t>
      </w:r>
    </w:p>
    <w:p>
      <w:pPr>
        <w:spacing w:after="0" w:line="153" w:lineRule="exact"/>
        <w:rPr>
          <w:sz w:val="20"/>
          <w:szCs w:val="20"/>
          <w:color w:val="auto"/>
        </w:rPr>
      </w:pPr>
    </w:p>
    <w:p>
      <w:pPr>
        <w:jc w:val="both"/>
        <w:ind w:firstLine="794"/>
        <w:spacing w:after="0" w:line="245" w:lineRule="auto"/>
        <w:tabs>
          <w:tab w:leader="none" w:pos="1617" w:val="left"/>
        </w:tabs>
        <w:numPr>
          <w:ilvl w:val="0"/>
          <w:numId w:val="1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Reservation of Rights</w:t>
      </w:r>
      <w:r>
        <w:rPr>
          <w:rFonts w:ascii="Times New Roman" w:cs="Times New Roman" w:eastAsia="Times New Roman" w:hAnsi="Times New Roman"/>
          <w:sz w:val="20"/>
          <w:szCs w:val="20"/>
          <w:color w:val="auto"/>
        </w:rPr>
        <w:t>. Except as provided in this Section 8, a Participant shall have no rights by reason of (i) 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subdivision or consolidation of shares of stock of any class, (ii) the payment of any dividend or (iii) any other increase or decrease in the number of shares of stock of any class. Any issuance by the Company of shares of stock of any class, or securities convertible into shares of stock of any class, shall not affect, and no adjustment by reason thereof shall be made with respect to, the number or Exercise Price of Shares subject to an Option. The grant of an Option pursuant to the Plan shall not affect in any way the right or power of the Company to make adjustments, reclassifications, reorganizations or changes of its capital or business structure, to merge or consolidate or to dissolve, liquidate, sell or transfer all or any part of its business or assets.</w:t>
      </w:r>
    </w:p>
    <w:p>
      <w:pPr>
        <w:spacing w:after="0" w:line="179" w:lineRule="exact"/>
        <w:rPr>
          <w:sz w:val="20"/>
          <w:szCs w:val="20"/>
          <w:color w:val="auto"/>
        </w:rPr>
      </w:pPr>
    </w:p>
    <w:p>
      <w:pPr>
        <w:spacing w:after="0"/>
        <w:tabs>
          <w:tab w:leader="none" w:pos="1320" w:val="left"/>
        </w:tabs>
        <w:rPr>
          <w:sz w:val="20"/>
          <w:szCs w:val="20"/>
          <w:color w:val="auto"/>
        </w:rPr>
      </w:pPr>
      <w:r>
        <w:rPr>
          <w:rFonts w:ascii="Times New Roman" w:cs="Times New Roman" w:eastAsia="Times New Roman" w:hAnsi="Times New Roman"/>
          <w:sz w:val="20"/>
          <w:szCs w:val="20"/>
          <w:b w:val="1"/>
          <w:bCs w:val="1"/>
          <w:color w:val="auto"/>
        </w:rPr>
        <w:t>SECTION 9.</w:t>
      </w:r>
      <w:r>
        <w:rPr>
          <w:sz w:val="20"/>
          <w:szCs w:val="20"/>
          <w:color w:val="auto"/>
        </w:rPr>
        <w:tab/>
      </w:r>
      <w:r>
        <w:rPr>
          <w:rFonts w:ascii="Times New Roman" w:cs="Times New Roman" w:eastAsia="Times New Roman" w:hAnsi="Times New Roman"/>
          <w:sz w:val="19"/>
          <w:szCs w:val="19"/>
          <w:b w:val="1"/>
          <w:bCs w:val="1"/>
          <w:color w:val="auto"/>
        </w:rPr>
        <w:t>MISCELLANEOUS PROVISIONS.</w:t>
      </w:r>
    </w:p>
    <w:p>
      <w:pPr>
        <w:spacing w:after="0" w:line="216" w:lineRule="exact"/>
        <w:rPr>
          <w:sz w:val="20"/>
          <w:szCs w:val="20"/>
          <w:color w:val="auto"/>
        </w:rPr>
      </w:pPr>
    </w:p>
    <w:p>
      <w:pPr>
        <w:jc w:val="both"/>
        <w:ind w:firstLine="794"/>
        <w:spacing w:after="0" w:line="247" w:lineRule="auto"/>
        <w:tabs>
          <w:tab w:leader="none" w:pos="1401" w:val="left"/>
        </w:tabs>
        <w:numPr>
          <w:ilvl w:val="0"/>
          <w:numId w:val="1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Securities Law Requirements</w:t>
      </w:r>
      <w:r>
        <w:rPr>
          <w:rFonts w:ascii="Times New Roman" w:cs="Times New Roman" w:eastAsia="Times New Roman" w:hAnsi="Times New Roman"/>
          <w:sz w:val="20"/>
          <w:szCs w:val="20"/>
          <w:color w:val="auto"/>
        </w:rPr>
        <w:t>. Shares shall not be issued under the Plan unless, in the opinion of counsel acceptable to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Board of Directors, the issuance and delivery of such Shares comply with (or are exempt from) all applicable requirements of law, including (without limitation) the Securities Act, the rules and regulations promulgated thereunder, state securities laws and regulations, and the regulations of any stock exchange or other securities market on which the Company’s securities may then be traded. The Company shall not be liable for a failure to issue Shares as a result of such requirements.</w:t>
      </w:r>
    </w:p>
    <w:p>
      <w:pPr>
        <w:spacing w:after="0" w:line="180" w:lineRule="exact"/>
        <w:rPr>
          <w:rFonts w:ascii="Times New Roman" w:cs="Times New Roman" w:eastAsia="Times New Roman" w:hAnsi="Times New Roman"/>
          <w:sz w:val="20"/>
          <w:szCs w:val="20"/>
          <w:color w:val="auto"/>
        </w:rPr>
      </w:pPr>
    </w:p>
    <w:p>
      <w:pPr>
        <w:jc w:val="both"/>
        <w:ind w:firstLine="794"/>
        <w:spacing w:after="0" w:line="250" w:lineRule="auto"/>
        <w:tabs>
          <w:tab w:leader="none" w:pos="1412" w:val="left"/>
        </w:tabs>
        <w:numPr>
          <w:ilvl w:val="0"/>
          <w:numId w:val="1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No Retention Rights. </w:t>
      </w:r>
      <w:r>
        <w:rPr>
          <w:rFonts w:ascii="Times New Roman" w:cs="Times New Roman" w:eastAsia="Times New Roman" w:hAnsi="Times New Roman"/>
          <w:sz w:val="20"/>
          <w:szCs w:val="20"/>
          <w:color w:val="auto"/>
        </w:rPr>
        <w:t>Nothing in the Plan or in any right or Option granted under the Plan shall confer upon the Participant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any right to continue in Service for any period of specific duration or interfere with or otherwise restrict in any way the rights of the Company (or any Parent or Subsidiary employing or retaining the Participant) or of the Participant, which rights are hereby expressly reserved by each, to terminate his or her Service at any time and for any reason, with or without cause.</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40"/>
          </w:cols>
          <w:pgMar w:left="320" w:top="265" w:right="339" w:bottom="1440" w:gutter="0" w:footer="0" w:header="0"/>
        </w:sectPr>
      </w:pPr>
    </w:p>
    <w:bookmarkStart w:id="263" w:name="page264"/>
    <w:bookmarkEnd w:id="263"/>
    <w:p>
      <w:pPr>
        <w:jc w:val="both"/>
        <w:ind w:firstLine="794"/>
        <w:spacing w:after="0" w:line="256" w:lineRule="auto"/>
        <w:tabs>
          <w:tab w:leader="none" w:pos="1420" w:val="left"/>
        </w:tabs>
        <w:numPr>
          <w:ilvl w:val="0"/>
          <w:numId w:val="1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Treatment as Compensation</w:t>
      </w:r>
      <w:r>
        <w:rPr>
          <w:rFonts w:ascii="Times New Roman" w:cs="Times New Roman" w:eastAsia="Times New Roman" w:hAnsi="Times New Roman"/>
          <w:sz w:val="20"/>
          <w:szCs w:val="20"/>
          <w:color w:val="auto"/>
        </w:rPr>
        <w:t>. Any compensation that an individual earns or is deemed to earn under this Plan shall not be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considered a part of his or her compensation for purposes of calculating contributions, accruals or benefits under any other plan or program that is maintained or funded by the Company, a Parent or a Subsidiary.</w:t>
      </w:r>
    </w:p>
    <w:p>
      <w:pPr>
        <w:spacing w:after="0" w:line="172" w:lineRule="exact"/>
        <w:rPr>
          <w:rFonts w:ascii="Times New Roman" w:cs="Times New Roman" w:eastAsia="Times New Roman" w:hAnsi="Times New Roman"/>
          <w:sz w:val="20"/>
          <w:szCs w:val="20"/>
          <w:color w:val="auto"/>
        </w:rPr>
      </w:pPr>
    </w:p>
    <w:p>
      <w:pPr>
        <w:ind w:firstLine="794"/>
        <w:spacing w:after="0" w:line="269" w:lineRule="auto"/>
        <w:tabs>
          <w:tab w:leader="none" w:pos="1416" w:val="left"/>
        </w:tabs>
        <w:numPr>
          <w:ilvl w:val="0"/>
          <w:numId w:val="1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Governing Law. The Plan and all awards, sales and grants under the Plan shall be governed by, and construed in accordance with, the laws of the State of Delaware, as such laws are applied to contracts entered into and performed in such State.</w:t>
      </w:r>
    </w:p>
    <w:p>
      <w:pPr>
        <w:spacing w:after="0" w:line="159" w:lineRule="exact"/>
        <w:rPr>
          <w:rFonts w:ascii="Times New Roman" w:cs="Times New Roman" w:eastAsia="Times New Roman" w:hAnsi="Times New Roman"/>
          <w:sz w:val="20"/>
          <w:szCs w:val="20"/>
          <w:color w:val="auto"/>
        </w:rPr>
      </w:pPr>
    </w:p>
    <w:p>
      <w:pPr>
        <w:jc w:val="both"/>
        <w:ind w:firstLine="794"/>
        <w:spacing w:after="0" w:line="260" w:lineRule="auto"/>
        <w:tabs>
          <w:tab w:leader="none" w:pos="1439" w:val="left"/>
        </w:tabs>
        <w:numPr>
          <w:ilvl w:val="0"/>
          <w:numId w:val="19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Conditions and Restrictions on Shares. Shares issued under the Plan shall be subject to such forfeiture conditions, rights of repurchase, rights of first refusal, other transfer restrictions and such other terms and conditions as the Board of Directors may determine. Such conditions and restrictions shall be set forth in the applicable Award Agreement and shall apply in addition to any restrictions that may apply to holders of Shares generally. In addition, Shares issued under the Plan shall be subject to conditions and restrictions imposed either by applicable law or by Company policy, as adopted from time to time, designed to ensure compliance with applicable law or laws with which the Company determines in its sole discretion to comply including in order to maintain any statutory, regulatory or tax advantage.</w:t>
      </w:r>
    </w:p>
    <w:p>
      <w:pPr>
        <w:spacing w:after="0" w:line="172" w:lineRule="exact"/>
        <w:rPr>
          <w:rFonts w:ascii="Times New Roman" w:cs="Times New Roman" w:eastAsia="Times New Roman" w:hAnsi="Times New Roman"/>
          <w:sz w:val="19"/>
          <w:szCs w:val="19"/>
          <w:color w:val="auto"/>
        </w:rPr>
      </w:pPr>
    </w:p>
    <w:p>
      <w:pPr>
        <w:ind w:left="1380" w:hanging="586"/>
        <w:spacing w:after="0"/>
        <w:tabs>
          <w:tab w:leader="none" w:pos="1380" w:val="left"/>
        </w:tabs>
        <w:numPr>
          <w:ilvl w:val="0"/>
          <w:numId w:val="1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Tax Matters.</w:t>
      </w:r>
    </w:p>
    <w:p>
      <w:pPr>
        <w:spacing w:after="0" w:line="215" w:lineRule="exact"/>
        <w:rPr>
          <w:rFonts w:ascii="Times New Roman" w:cs="Times New Roman" w:eastAsia="Times New Roman" w:hAnsi="Times New Roman"/>
          <w:sz w:val="20"/>
          <w:szCs w:val="20"/>
          <w:color w:val="auto"/>
        </w:rPr>
      </w:pPr>
    </w:p>
    <w:p>
      <w:pPr>
        <w:jc w:val="both"/>
        <w:ind w:left="560" w:firstLine="543"/>
        <w:spacing w:after="0" w:line="249" w:lineRule="auto"/>
        <w:tabs>
          <w:tab w:leader="none" w:pos="1835" w:val="left"/>
        </w:tabs>
        <w:numPr>
          <w:ilvl w:val="1"/>
          <w:numId w:val="1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a condition to the award, grant, issuance, vesting, purchase, exercise or transfer of any award, or Shares issued pursuant to any award, granted under this Plan, the Participant shall make such arrangements as the Board of Directors may require or permit for the satisfaction of any federal, state, local or foreign withholding tax obligations that may arise in connection with such event.</w:t>
      </w:r>
    </w:p>
    <w:p>
      <w:pPr>
        <w:spacing w:after="0" w:line="179" w:lineRule="exact"/>
        <w:rPr>
          <w:rFonts w:ascii="Times New Roman" w:cs="Times New Roman" w:eastAsia="Times New Roman" w:hAnsi="Times New Roman"/>
          <w:sz w:val="20"/>
          <w:szCs w:val="20"/>
          <w:color w:val="auto"/>
        </w:rPr>
      </w:pPr>
    </w:p>
    <w:p>
      <w:pPr>
        <w:jc w:val="both"/>
        <w:ind w:left="560" w:firstLine="543"/>
        <w:spacing w:after="0" w:line="241" w:lineRule="auto"/>
        <w:tabs>
          <w:tab w:leader="none" w:pos="1771" w:val="left"/>
        </w:tabs>
        <w:numPr>
          <w:ilvl w:val="1"/>
          <w:numId w:val="1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Unless otherwise expressly set forth in an Award Agreement, it is intended that awards granted under the Plan shall be exempt from Code Section 409A, and any ambiguity in the terms of an Award Agreement and the Plan shall be interpreted consistently with this intent. To the extent an award is not exempt from Code Section 409A (any such award, a “</w:t>
      </w:r>
      <w:r>
        <w:rPr>
          <w:rFonts w:ascii="Times New Roman" w:cs="Times New Roman" w:eastAsia="Times New Roman" w:hAnsi="Times New Roman"/>
          <w:sz w:val="20"/>
          <w:szCs w:val="20"/>
          <w:b w:val="1"/>
          <w:bCs w:val="1"/>
          <w:color w:val="auto"/>
        </w:rPr>
        <w:t>409A Award</w:t>
      </w:r>
      <w:r>
        <w:rPr>
          <w:rFonts w:ascii="Times New Roman" w:cs="Times New Roman" w:eastAsia="Times New Roman" w:hAnsi="Times New Roman"/>
          <w:sz w:val="20"/>
          <w:szCs w:val="20"/>
          <w:color w:val="auto"/>
        </w:rPr>
        <w:t>”), any ambiguity in the terms of such award and the Plan shall be interpreted in a manner that to the maximum extent permissible supports the award’s compliance with the requirements of that statute. Notwithstanding anything to the contrary permitted under the Plan, in no event shall a modification of an Award not already subject to Code Section 409A be given effect if such modification would cause the Award to become subject to Code Section 409A unless the parties explicitly acknowledge and consent to the modification as one having that effect. A 409A Award shall be subject to such additional rules and requirements as specified by the Board of Directors from time to time in order for it to comply with the requirements of Code Section 409A. In this regard, if any amount under a 409A Award is payable upon a “separation from service” to an individual who is considered a “specified employee” (as each term is defined under Code Section 409A), then no such payment shall be made prior to the date that is the earlier of (i) six months and one day after the Participant’s separation from service or (ii) the Participant’s death, but only to the extent such delay is necessary to prevent such payment from being subject to Section 409A(a)(1). In addition, if a transaction subject to Section 8(b) constitutes a payment event with respect to any 409A Award, then the transaction with respect to such award must also constitute a “change in control event” as defined in Treasury Regulation Section 1.409A-3(i)(5) to the extent required by Code Section 409A.</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40"/>
          </w:cols>
          <w:pgMar w:left="320" w:top="261" w:right="339" w:bottom="1440" w:gutter="0" w:footer="0" w:header="0"/>
        </w:sectPr>
      </w:pPr>
    </w:p>
    <w:bookmarkStart w:id="264" w:name="page265"/>
    <w:bookmarkEnd w:id="264"/>
    <w:p>
      <w:pPr>
        <w:ind w:left="560" w:firstLine="543"/>
        <w:spacing w:after="0" w:line="269" w:lineRule="auto"/>
        <w:tabs>
          <w:tab w:leader="none" w:pos="1801" w:val="left"/>
        </w:tabs>
        <w:numPr>
          <w:ilvl w:val="0"/>
          <w:numId w:val="2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Neither the Company nor any member of the Board of Directors shall have any liability to a Participant in the event an award held by the Participant fails to achieve its intended characterization under applicable tax law.</w:t>
      </w:r>
    </w:p>
    <w:p>
      <w:pPr>
        <w:spacing w:after="0" w:line="155" w:lineRule="exact"/>
        <w:rPr>
          <w:sz w:val="20"/>
          <w:szCs w:val="20"/>
          <w:color w:val="auto"/>
        </w:rPr>
      </w:pPr>
    </w:p>
    <w:p>
      <w:pPr>
        <w:spacing w:after="0"/>
        <w:tabs>
          <w:tab w:leader="none" w:pos="1380" w:val="left"/>
        </w:tabs>
        <w:rPr>
          <w:sz w:val="20"/>
          <w:szCs w:val="20"/>
          <w:color w:val="auto"/>
        </w:rPr>
      </w:pPr>
      <w:r>
        <w:rPr>
          <w:rFonts w:ascii="Times New Roman" w:cs="Times New Roman" w:eastAsia="Times New Roman" w:hAnsi="Times New Roman"/>
          <w:sz w:val="20"/>
          <w:szCs w:val="20"/>
          <w:b w:val="1"/>
          <w:bCs w:val="1"/>
          <w:color w:val="auto"/>
        </w:rPr>
        <w:t>SECTION 10.</w:t>
      </w:r>
      <w:r>
        <w:rPr>
          <w:sz w:val="20"/>
          <w:szCs w:val="20"/>
          <w:color w:val="auto"/>
        </w:rPr>
        <w:tab/>
      </w:r>
      <w:r>
        <w:rPr>
          <w:rFonts w:ascii="Times New Roman" w:cs="Times New Roman" w:eastAsia="Times New Roman" w:hAnsi="Times New Roman"/>
          <w:sz w:val="19"/>
          <w:szCs w:val="19"/>
          <w:b w:val="1"/>
          <w:bCs w:val="1"/>
          <w:color w:val="auto"/>
        </w:rPr>
        <w:t>DURATION AND AMENDMENTS; STOCKHOLDER APPROVAL.</w:t>
      </w:r>
    </w:p>
    <w:p>
      <w:pPr>
        <w:spacing w:after="0" w:line="220" w:lineRule="exact"/>
        <w:rPr>
          <w:sz w:val="20"/>
          <w:szCs w:val="20"/>
          <w:color w:val="auto"/>
        </w:rPr>
      </w:pPr>
    </w:p>
    <w:p>
      <w:pPr>
        <w:jc w:val="both"/>
        <w:ind w:firstLine="794"/>
        <w:spacing w:after="0" w:line="246" w:lineRule="auto"/>
        <w:tabs>
          <w:tab w:leader="none" w:pos="1419" w:val="left"/>
        </w:tabs>
        <w:numPr>
          <w:ilvl w:val="0"/>
          <w:numId w:val="2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Term of the Plan. The Plan, as set forth herein, shall become effective on the date of its adoption by the Board of Directors, subject to approval of the Company’s stockholders under Subsection (d) below. The Plan shall terminate automatically 10 years after the later of (i) the date when the Board of Directors adopted the Plan or (ii) the date when the Board of Directors approved the most recent increase in the number of Shares reserved under Section 4 that was also approved by the Company’s stockholders. The Plan may be terminated on any earlier date pursuant to Subsection (b) below.</w:t>
      </w:r>
    </w:p>
    <w:p>
      <w:pPr>
        <w:spacing w:after="0" w:line="184" w:lineRule="exact"/>
        <w:rPr>
          <w:rFonts w:ascii="Times New Roman" w:cs="Times New Roman" w:eastAsia="Times New Roman" w:hAnsi="Times New Roman"/>
          <w:sz w:val="20"/>
          <w:szCs w:val="20"/>
          <w:color w:val="auto"/>
        </w:rPr>
      </w:pPr>
    </w:p>
    <w:p>
      <w:pPr>
        <w:ind w:firstLine="794"/>
        <w:spacing w:after="0" w:line="269" w:lineRule="auto"/>
        <w:tabs>
          <w:tab w:leader="none" w:pos="1525" w:val="left"/>
        </w:tabs>
        <w:numPr>
          <w:ilvl w:val="0"/>
          <w:numId w:val="2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Right to Amend or Terminate the Plan. Subject to Subsection (d) below, the Board of Directors may amend, suspend or terminate the Plan at any time and for any reason.</w:t>
      </w:r>
    </w:p>
    <w:p>
      <w:pPr>
        <w:spacing w:after="0" w:line="159" w:lineRule="exact"/>
        <w:rPr>
          <w:rFonts w:ascii="Times New Roman" w:cs="Times New Roman" w:eastAsia="Times New Roman" w:hAnsi="Times New Roman"/>
          <w:sz w:val="20"/>
          <w:szCs w:val="20"/>
          <w:color w:val="auto"/>
        </w:rPr>
      </w:pPr>
    </w:p>
    <w:p>
      <w:pPr>
        <w:jc w:val="both"/>
        <w:ind w:firstLine="794"/>
        <w:spacing w:after="0" w:line="249" w:lineRule="auto"/>
        <w:tabs>
          <w:tab w:leader="none" w:pos="1529" w:val="left"/>
        </w:tabs>
        <w:numPr>
          <w:ilvl w:val="0"/>
          <w:numId w:val="2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Effect of Amendment or Termination. No Shares shall be issued or sold and no Option granted under the Plan after the termination thereof, except upon exercise of an Option (or any other right to purchase Shares) granted under the Plan prior to such termination. The termination of the Plan, or any amendment thereof, shall not affect any Share previously issued or any Option previously granted under the Plan.</w:t>
      </w:r>
    </w:p>
    <w:p>
      <w:pPr>
        <w:spacing w:after="0" w:line="175" w:lineRule="exact"/>
        <w:rPr>
          <w:rFonts w:ascii="Times New Roman" w:cs="Times New Roman" w:eastAsia="Times New Roman" w:hAnsi="Times New Roman"/>
          <w:sz w:val="20"/>
          <w:szCs w:val="20"/>
          <w:color w:val="auto"/>
        </w:rPr>
      </w:pPr>
    </w:p>
    <w:p>
      <w:pPr>
        <w:jc w:val="both"/>
        <w:ind w:firstLine="794"/>
        <w:spacing w:after="0" w:line="246" w:lineRule="auto"/>
        <w:tabs>
          <w:tab w:leader="none" w:pos="1496" w:val="left"/>
        </w:tabs>
        <w:numPr>
          <w:ilvl w:val="0"/>
          <w:numId w:val="2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Stockholder Approval</w:t>
      </w:r>
      <w:r>
        <w:rPr>
          <w:rFonts w:ascii="Times New Roman" w:cs="Times New Roman" w:eastAsia="Times New Roman" w:hAnsi="Times New Roman"/>
          <w:sz w:val="20"/>
          <w:szCs w:val="20"/>
          <w:color w:val="auto"/>
        </w:rPr>
        <w:t>. To the extent required by applicable law, the Plan will be subject to approval of the Company’s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stockholders within 12 months of its adoption date. To the extent required by applicable law, any amendment of the Plan will be subject to the approval of the Company’s stockholders within 12 months of the amendment date if it (i) increases the number of Shares available for issuance under the Plan (except as provided in Section 8), or (ii) materially changes the class of persons who are eligible for the grant of ISOs. In addition, an amendment effecting any other material change to the Plan terms will be subject to approval of the Company’s stockholder only if required by applicable law. Stockholder approval shall not be required for any other amendment of the Plan.</w:t>
      </w:r>
    </w:p>
    <w:p>
      <w:pPr>
        <w:spacing w:after="0" w:line="179" w:lineRule="exact"/>
        <w:rPr>
          <w:sz w:val="20"/>
          <w:szCs w:val="20"/>
          <w:color w:val="auto"/>
        </w:rPr>
      </w:pPr>
    </w:p>
    <w:p>
      <w:pPr>
        <w:spacing w:after="0"/>
        <w:tabs>
          <w:tab w:leader="none" w:pos="1420" w:val="left"/>
        </w:tabs>
        <w:rPr>
          <w:sz w:val="20"/>
          <w:szCs w:val="20"/>
          <w:color w:val="auto"/>
        </w:rPr>
      </w:pPr>
      <w:r>
        <w:rPr>
          <w:rFonts w:ascii="Times New Roman" w:cs="Times New Roman" w:eastAsia="Times New Roman" w:hAnsi="Times New Roman"/>
          <w:sz w:val="20"/>
          <w:szCs w:val="20"/>
          <w:b w:val="1"/>
          <w:bCs w:val="1"/>
          <w:color w:val="auto"/>
        </w:rPr>
        <w:t>SECTION 11.</w:t>
      </w:r>
      <w:r>
        <w:rPr>
          <w:sz w:val="20"/>
          <w:szCs w:val="20"/>
          <w:color w:val="auto"/>
        </w:rPr>
        <w:tab/>
      </w:r>
      <w:r>
        <w:rPr>
          <w:rFonts w:ascii="Times New Roman" w:cs="Times New Roman" w:eastAsia="Times New Roman" w:hAnsi="Times New Roman"/>
          <w:sz w:val="19"/>
          <w:szCs w:val="19"/>
          <w:b w:val="1"/>
          <w:bCs w:val="1"/>
          <w:color w:val="auto"/>
        </w:rPr>
        <w:t>DEFINITIONS.</w:t>
      </w:r>
    </w:p>
    <w:p>
      <w:pPr>
        <w:spacing w:after="0" w:line="216" w:lineRule="exact"/>
        <w:rPr>
          <w:sz w:val="20"/>
          <w:szCs w:val="20"/>
          <w:color w:val="auto"/>
        </w:rPr>
      </w:pPr>
    </w:p>
    <w:p>
      <w:pPr>
        <w:ind w:left="1400" w:hanging="606"/>
        <w:spacing w:after="0"/>
        <w:tabs>
          <w:tab w:leader="none" w:pos="1400" w:val="left"/>
        </w:tabs>
        <w:numPr>
          <w:ilvl w:val="0"/>
          <w:numId w:val="2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Award Agreement</w:t>
      </w:r>
      <w:r>
        <w:rPr>
          <w:rFonts w:ascii="Times New Roman" w:cs="Times New Roman" w:eastAsia="Times New Roman" w:hAnsi="Times New Roman"/>
          <w:sz w:val="20"/>
          <w:szCs w:val="20"/>
          <w:color w:val="auto"/>
        </w:rPr>
        <w:t>” means a Stock Grant Agreement, Stock Option Agreement or Stock Purchase Agreement.</w:t>
      </w:r>
    </w:p>
    <w:p>
      <w:pPr>
        <w:spacing w:after="0" w:line="215" w:lineRule="exact"/>
        <w:rPr>
          <w:rFonts w:ascii="Times New Roman" w:cs="Times New Roman" w:eastAsia="Times New Roman" w:hAnsi="Times New Roman"/>
          <w:sz w:val="20"/>
          <w:szCs w:val="20"/>
          <w:color w:val="auto"/>
        </w:rPr>
      </w:pPr>
    </w:p>
    <w:p>
      <w:pPr>
        <w:ind w:left="1420" w:hanging="626"/>
        <w:spacing w:after="0"/>
        <w:tabs>
          <w:tab w:leader="none" w:pos="1420" w:val="left"/>
        </w:tabs>
        <w:numPr>
          <w:ilvl w:val="0"/>
          <w:numId w:val="2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Board of Directors</w:t>
      </w:r>
      <w:r>
        <w:rPr>
          <w:rFonts w:ascii="Times New Roman" w:cs="Times New Roman" w:eastAsia="Times New Roman" w:hAnsi="Times New Roman"/>
          <w:sz w:val="20"/>
          <w:szCs w:val="20"/>
          <w:color w:val="auto"/>
        </w:rPr>
        <w:t>” means the Board of Directors of the Company, as constituted from time to time.</w:t>
      </w:r>
    </w:p>
    <w:p>
      <w:pPr>
        <w:spacing w:after="0" w:line="215" w:lineRule="exact"/>
        <w:rPr>
          <w:rFonts w:ascii="Times New Roman" w:cs="Times New Roman" w:eastAsia="Times New Roman" w:hAnsi="Times New Roman"/>
          <w:sz w:val="20"/>
          <w:szCs w:val="20"/>
          <w:color w:val="auto"/>
        </w:rPr>
      </w:pPr>
    </w:p>
    <w:p>
      <w:pPr>
        <w:ind w:left="1400" w:hanging="606"/>
        <w:spacing w:after="0"/>
        <w:tabs>
          <w:tab w:leader="none" w:pos="1400" w:val="left"/>
        </w:tabs>
        <w:numPr>
          <w:ilvl w:val="0"/>
          <w:numId w:val="2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Code</w:t>
      </w:r>
      <w:r>
        <w:rPr>
          <w:rFonts w:ascii="Times New Roman" w:cs="Times New Roman" w:eastAsia="Times New Roman" w:hAnsi="Times New Roman"/>
          <w:sz w:val="20"/>
          <w:szCs w:val="20"/>
          <w:color w:val="auto"/>
        </w:rPr>
        <w:t>” means the Internal Revenue Code of 1986, as amended.</w:t>
      </w:r>
    </w:p>
    <w:p>
      <w:pPr>
        <w:spacing w:after="0" w:line="215" w:lineRule="exact"/>
        <w:rPr>
          <w:rFonts w:ascii="Times New Roman" w:cs="Times New Roman" w:eastAsia="Times New Roman" w:hAnsi="Times New Roman"/>
          <w:sz w:val="20"/>
          <w:szCs w:val="20"/>
          <w:color w:val="auto"/>
        </w:rPr>
      </w:pPr>
    </w:p>
    <w:p>
      <w:pPr>
        <w:ind w:left="1420" w:hanging="626"/>
        <w:spacing w:after="0"/>
        <w:tabs>
          <w:tab w:leader="none" w:pos="1420" w:val="left"/>
        </w:tabs>
        <w:numPr>
          <w:ilvl w:val="0"/>
          <w:numId w:val="2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Committee</w:t>
      </w:r>
      <w:r>
        <w:rPr>
          <w:rFonts w:ascii="Times New Roman" w:cs="Times New Roman" w:eastAsia="Times New Roman" w:hAnsi="Times New Roman"/>
          <w:sz w:val="20"/>
          <w:szCs w:val="20"/>
          <w:color w:val="auto"/>
        </w:rPr>
        <w:t>” means a committee of the Board of Directors, as described in Section 2(a).</w:t>
      </w:r>
    </w:p>
    <w:p>
      <w:pPr>
        <w:spacing w:after="0" w:line="215" w:lineRule="exact"/>
        <w:rPr>
          <w:rFonts w:ascii="Times New Roman" w:cs="Times New Roman" w:eastAsia="Times New Roman" w:hAnsi="Times New Roman"/>
          <w:sz w:val="20"/>
          <w:szCs w:val="20"/>
          <w:color w:val="auto"/>
        </w:rPr>
      </w:pPr>
    </w:p>
    <w:p>
      <w:pPr>
        <w:ind w:left="1400" w:hanging="606"/>
        <w:spacing w:after="0"/>
        <w:tabs>
          <w:tab w:leader="none" w:pos="1400" w:val="left"/>
        </w:tabs>
        <w:numPr>
          <w:ilvl w:val="0"/>
          <w:numId w:val="2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 means Tarsus Pharmaceuticals, Inc., a Delaware corporation.</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240"/>
          </w:cols>
          <w:pgMar w:left="320" w:top="265" w:right="339" w:bottom="1440" w:gutter="0" w:footer="0" w:header="0"/>
        </w:sectPr>
      </w:pPr>
    </w:p>
    <w:bookmarkStart w:id="265" w:name="page266"/>
    <w:bookmarkEnd w:id="265"/>
    <w:p>
      <w:pPr>
        <w:jc w:val="both"/>
        <w:ind w:firstLine="794"/>
        <w:spacing w:after="0" w:line="256" w:lineRule="auto"/>
        <w:tabs>
          <w:tab w:leader="none" w:pos="1596" w:val="left"/>
        </w:tabs>
        <w:numPr>
          <w:ilvl w:val="0"/>
          <w:numId w:val="2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Times New Roman" w:cs="Times New Roman" w:eastAsia="Times New Roman" w:hAnsi="Times New Roman"/>
          <w:sz w:val="20"/>
          <w:szCs w:val="20"/>
          <w:b w:val="1"/>
          <w:bCs w:val="1"/>
          <w:color w:val="auto"/>
        </w:rPr>
        <w:t>Consultant</w:t>
      </w:r>
      <w:r>
        <w:rPr>
          <w:rFonts w:ascii="Times New Roman" w:cs="Times New Roman" w:eastAsia="Times New Roman" w:hAnsi="Times New Roman"/>
          <w:sz w:val="20"/>
          <w:szCs w:val="20"/>
          <w:color w:val="auto"/>
        </w:rPr>
        <w:t>” means a person, excluding Employees and Outside Directors, who performs bona fide services for the Company, a Parent</w:t>
      </w:r>
      <w:r>
        <w:rPr>
          <w:rFonts w:ascii="Times New Roman" w:cs="Times New Roman" w:eastAsia="Times New Roman" w:hAnsi="Times New Roman"/>
          <w:sz w:val="16"/>
          <w:szCs w:val="16"/>
          <w:color w:val="auto"/>
        </w:rPr>
        <w:t>3</w:t>
      </w:r>
      <w:r>
        <w:rPr>
          <w:rFonts w:ascii="Times New Roman" w:cs="Times New Roman" w:eastAsia="Times New Roman" w:hAnsi="Times New Roman"/>
          <w:sz w:val="20"/>
          <w:szCs w:val="20"/>
          <w:color w:val="auto"/>
        </w:rPr>
        <w:t xml:space="preserve"> or a Subsidiary as a consultant or advisor and who qualifies as a consultant or advisor under Rule 701(c)(1) of the Securities Act or under Instruction A.1.(a)(1) of Form S-8 under the Securities Act.</w:t>
      </w:r>
    </w:p>
    <w:p>
      <w:pPr>
        <w:spacing w:after="0" w:line="168" w:lineRule="exact"/>
        <w:rPr>
          <w:rFonts w:ascii="Times New Roman" w:cs="Times New Roman" w:eastAsia="Times New Roman" w:hAnsi="Times New Roman"/>
          <w:sz w:val="20"/>
          <w:szCs w:val="20"/>
          <w:color w:val="auto"/>
        </w:rPr>
      </w:pPr>
    </w:p>
    <w:p>
      <w:pPr>
        <w:ind w:firstLine="794"/>
        <w:spacing w:after="0" w:line="273" w:lineRule="auto"/>
        <w:tabs>
          <w:tab w:leader="none" w:pos="1440" w:val="left"/>
        </w:tabs>
        <w:numPr>
          <w:ilvl w:val="0"/>
          <w:numId w:val="2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Date of Grant</w:t>
      </w:r>
      <w:r>
        <w:rPr>
          <w:rFonts w:ascii="Times New Roman" w:cs="Times New Roman" w:eastAsia="Times New Roman" w:hAnsi="Times New Roman"/>
          <w:sz w:val="20"/>
          <w:szCs w:val="20"/>
          <w:color w:val="auto"/>
        </w:rPr>
        <w:t>” means the date of grant specified in the applicable Stock Option Agreement, which date shall be the later of (i) the date on which the Board of Directors resolved to grant the Option or (ii) the first day of the Optionee’s Service.</w:t>
      </w:r>
    </w:p>
    <w:p>
      <w:pPr>
        <w:spacing w:after="0" w:line="151" w:lineRule="exact"/>
        <w:rPr>
          <w:rFonts w:ascii="Times New Roman" w:cs="Times New Roman" w:eastAsia="Times New Roman" w:hAnsi="Times New Roman"/>
          <w:sz w:val="20"/>
          <w:szCs w:val="20"/>
          <w:color w:val="auto"/>
        </w:rPr>
      </w:pPr>
    </w:p>
    <w:p>
      <w:pPr>
        <w:ind w:firstLine="794"/>
        <w:spacing w:after="0" w:line="273" w:lineRule="auto"/>
        <w:tabs>
          <w:tab w:leader="none" w:pos="1534" w:val="left"/>
        </w:tabs>
        <w:numPr>
          <w:ilvl w:val="0"/>
          <w:numId w:val="2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Disability</w:t>
      </w:r>
      <w:r>
        <w:rPr>
          <w:rFonts w:ascii="Times New Roman" w:cs="Times New Roman" w:eastAsia="Times New Roman" w:hAnsi="Times New Roman"/>
          <w:sz w:val="20"/>
          <w:szCs w:val="20"/>
          <w:color w:val="auto"/>
        </w:rPr>
        <w:t>” means that the Optionee is unable to engage in any substantial gainful activity by reason of any medically determinable physical or mental impairment.</w:t>
      </w:r>
    </w:p>
    <w:p>
      <w:pPr>
        <w:spacing w:after="0" w:line="151" w:lineRule="exact"/>
        <w:rPr>
          <w:rFonts w:ascii="Times New Roman" w:cs="Times New Roman" w:eastAsia="Times New Roman" w:hAnsi="Times New Roman"/>
          <w:sz w:val="20"/>
          <w:szCs w:val="20"/>
          <w:color w:val="auto"/>
        </w:rPr>
      </w:pPr>
    </w:p>
    <w:p>
      <w:pPr>
        <w:ind w:left="1380" w:hanging="586"/>
        <w:spacing w:after="0"/>
        <w:tabs>
          <w:tab w:leader="none" w:pos="1380" w:val="left"/>
        </w:tabs>
        <w:numPr>
          <w:ilvl w:val="0"/>
          <w:numId w:val="2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Employee</w:t>
      </w:r>
      <w:r>
        <w:rPr>
          <w:rFonts w:ascii="Times New Roman" w:cs="Times New Roman" w:eastAsia="Times New Roman" w:hAnsi="Times New Roman"/>
          <w:sz w:val="20"/>
          <w:szCs w:val="20"/>
          <w:color w:val="auto"/>
        </w:rPr>
        <w:t>” means any individual who is a common-law employee of the Company, a Parent</w:t>
      </w:r>
      <w:r>
        <w:rPr>
          <w:rFonts w:ascii="Times New Roman" w:cs="Times New Roman" w:eastAsia="Times New Roman" w:hAnsi="Times New Roman"/>
          <w:sz w:val="16"/>
          <w:szCs w:val="16"/>
          <w:color w:val="auto"/>
        </w:rPr>
        <w:t>4</w:t>
      </w:r>
      <w:r>
        <w:rPr>
          <w:rFonts w:ascii="Times New Roman" w:cs="Times New Roman" w:eastAsia="Times New Roman" w:hAnsi="Times New Roman"/>
          <w:sz w:val="20"/>
          <w:szCs w:val="20"/>
          <w:color w:val="auto"/>
        </w:rPr>
        <w:t xml:space="preserve"> or a Subsidiary.</w:t>
      </w:r>
    </w:p>
    <w:p>
      <w:pPr>
        <w:spacing w:after="0" w:line="215" w:lineRule="exact"/>
        <w:rPr>
          <w:rFonts w:ascii="Times New Roman" w:cs="Times New Roman" w:eastAsia="Times New Roman" w:hAnsi="Times New Roman"/>
          <w:sz w:val="20"/>
          <w:szCs w:val="20"/>
          <w:color w:val="auto"/>
        </w:rPr>
      </w:pPr>
    </w:p>
    <w:p>
      <w:pPr>
        <w:ind w:left="1380" w:hanging="586"/>
        <w:spacing w:after="0"/>
        <w:tabs>
          <w:tab w:leader="none" w:pos="1380" w:val="left"/>
        </w:tabs>
        <w:numPr>
          <w:ilvl w:val="0"/>
          <w:numId w:val="2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Exchange Act</w:t>
      </w:r>
      <w:r>
        <w:rPr>
          <w:rFonts w:ascii="Times New Roman" w:cs="Times New Roman" w:eastAsia="Times New Roman" w:hAnsi="Times New Roman"/>
          <w:sz w:val="20"/>
          <w:szCs w:val="20"/>
          <w:color w:val="auto"/>
        </w:rPr>
        <w:t>” means the Securities Exchange Act of 1934, as amended.</w:t>
      </w:r>
    </w:p>
    <w:p>
      <w:pPr>
        <w:spacing w:after="0" w:line="215" w:lineRule="exact"/>
        <w:rPr>
          <w:rFonts w:ascii="Times New Roman" w:cs="Times New Roman" w:eastAsia="Times New Roman" w:hAnsi="Times New Roman"/>
          <w:sz w:val="20"/>
          <w:szCs w:val="20"/>
          <w:color w:val="auto"/>
        </w:rPr>
      </w:pPr>
    </w:p>
    <w:p>
      <w:pPr>
        <w:ind w:firstLine="794"/>
        <w:spacing w:after="0" w:line="273" w:lineRule="auto"/>
        <w:tabs>
          <w:tab w:leader="none" w:pos="1426" w:val="left"/>
        </w:tabs>
        <w:numPr>
          <w:ilvl w:val="0"/>
          <w:numId w:val="2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Exercise Price</w:t>
      </w:r>
      <w:r>
        <w:rPr>
          <w:rFonts w:ascii="Times New Roman" w:cs="Times New Roman" w:eastAsia="Times New Roman" w:hAnsi="Times New Roman"/>
          <w:sz w:val="20"/>
          <w:szCs w:val="20"/>
          <w:color w:val="auto"/>
        </w:rPr>
        <w:t>” means the amount for which one Share may be purchased upon exercise of an Option, as specified by the Board of Directors in the applicable Stock Option Agreement.</w:t>
      </w:r>
    </w:p>
    <w:p>
      <w:pPr>
        <w:spacing w:after="0" w:line="151" w:lineRule="exact"/>
        <w:rPr>
          <w:rFonts w:ascii="Times New Roman" w:cs="Times New Roman" w:eastAsia="Times New Roman" w:hAnsi="Times New Roman"/>
          <w:sz w:val="20"/>
          <w:szCs w:val="20"/>
          <w:color w:val="auto"/>
        </w:rPr>
      </w:pPr>
    </w:p>
    <w:p>
      <w:pPr>
        <w:ind w:firstLine="794"/>
        <w:spacing w:after="0" w:line="273" w:lineRule="auto"/>
        <w:tabs>
          <w:tab w:leader="none" w:pos="1409" w:val="left"/>
        </w:tabs>
        <w:numPr>
          <w:ilvl w:val="0"/>
          <w:numId w:val="2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Fair Market Value</w:t>
      </w:r>
      <w:r>
        <w:rPr>
          <w:rFonts w:ascii="Times New Roman" w:cs="Times New Roman" w:eastAsia="Times New Roman" w:hAnsi="Times New Roman"/>
          <w:sz w:val="20"/>
          <w:szCs w:val="20"/>
          <w:color w:val="auto"/>
        </w:rPr>
        <w:t>” means the fair market value of a Share, as determined by the Board of Directors in good faith. Such determination shall be conclusive and binding on all persons.</w:t>
      </w:r>
    </w:p>
    <w:p>
      <w:pPr>
        <w:spacing w:after="0" w:line="151" w:lineRule="exact"/>
        <w:rPr>
          <w:rFonts w:ascii="Times New Roman" w:cs="Times New Roman" w:eastAsia="Times New Roman" w:hAnsi="Times New Roman"/>
          <w:sz w:val="20"/>
          <w:szCs w:val="20"/>
          <w:color w:val="auto"/>
        </w:rPr>
      </w:pPr>
    </w:p>
    <w:p>
      <w:pPr>
        <w:jc w:val="both"/>
        <w:ind w:firstLine="794"/>
        <w:spacing w:after="0" w:line="246" w:lineRule="auto"/>
        <w:tabs>
          <w:tab w:leader="none" w:pos="1630" w:val="left"/>
        </w:tabs>
        <w:numPr>
          <w:ilvl w:val="0"/>
          <w:numId w:val="2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Family Member</w:t>
      </w:r>
      <w:r>
        <w:rPr>
          <w:rFonts w:ascii="Times New Roman" w:cs="Times New Roman" w:eastAsia="Times New Roman" w:hAnsi="Times New Roman"/>
          <w:sz w:val="20"/>
          <w:szCs w:val="20"/>
          <w:color w:val="auto"/>
        </w:rPr>
        <w:t>” means (i) any child, stepchild, grandchild, parent, stepparent, grandparent, spouse, former spouse, sibling, niece, nephew, mother-in-law, father-in-law, son-in-law, daughter-in-law, brother-in-law or sister-in-law, including adoptive relationships, (ii) any person sharing the Optionee’s household (other than a tenant or employee), (iii) a trust in which persons described in Clause (i) or (ii) have more than 50% of the beneficial interest, (iv) a foundation in which persons described in Clause (i) or (ii) or the Optionee control the management of assets and (v) any other entity in which persons described in Clause (i) or (ii) or the Optionee own more than 50% of the voting interests.</w:t>
      </w:r>
    </w:p>
    <w:p>
      <w:pPr>
        <w:spacing w:after="0" w:line="178" w:lineRule="exact"/>
        <w:rPr>
          <w:rFonts w:ascii="Times New Roman" w:cs="Times New Roman" w:eastAsia="Times New Roman" w:hAnsi="Times New Roman"/>
          <w:sz w:val="20"/>
          <w:szCs w:val="20"/>
          <w:color w:val="auto"/>
        </w:rPr>
      </w:pPr>
    </w:p>
    <w:p>
      <w:pPr>
        <w:ind w:left="1420" w:hanging="626"/>
        <w:spacing w:after="0"/>
        <w:tabs>
          <w:tab w:leader="none" w:pos="1420" w:val="left"/>
        </w:tabs>
        <w:numPr>
          <w:ilvl w:val="0"/>
          <w:numId w:val="2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Grantee</w:t>
      </w:r>
      <w:r>
        <w:rPr>
          <w:rFonts w:ascii="Times New Roman" w:cs="Times New Roman" w:eastAsia="Times New Roman" w:hAnsi="Times New Roman"/>
          <w:sz w:val="20"/>
          <w:szCs w:val="20"/>
          <w:color w:val="auto"/>
        </w:rPr>
        <w:t>” means a person to whom the Board of Directors has awarded Shares under the Plan.</w:t>
      </w:r>
    </w:p>
    <w:p>
      <w:pPr>
        <w:spacing w:after="0" w:line="215" w:lineRule="exact"/>
        <w:rPr>
          <w:rFonts w:ascii="Times New Roman" w:cs="Times New Roman" w:eastAsia="Times New Roman" w:hAnsi="Times New Roman"/>
          <w:sz w:val="20"/>
          <w:szCs w:val="20"/>
          <w:color w:val="auto"/>
        </w:rPr>
      </w:pPr>
    </w:p>
    <w:p>
      <w:pPr>
        <w:ind w:firstLine="794"/>
        <w:spacing w:after="0" w:line="273" w:lineRule="auto"/>
        <w:tabs>
          <w:tab w:leader="none" w:pos="1413" w:val="left"/>
        </w:tabs>
        <w:numPr>
          <w:ilvl w:val="0"/>
          <w:numId w:val="2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ISO</w:t>
      </w:r>
      <w:r>
        <w:rPr>
          <w:rFonts w:ascii="Times New Roman" w:cs="Times New Roman" w:eastAsia="Times New Roman" w:hAnsi="Times New Roman"/>
          <w:sz w:val="20"/>
          <w:szCs w:val="20"/>
          <w:color w:val="auto"/>
        </w:rPr>
        <w:t>” means an Option that qualifies as an incentive stock option as described in Code Section 422(b). Notwithstanding its designation as an ISO, an Option that does not qualify as an ISO under applicable law shall be treated for all purposes as an NSO.</w:t>
      </w:r>
    </w:p>
    <w:p>
      <w:pPr>
        <w:spacing w:after="0" w:line="151" w:lineRule="exact"/>
        <w:rPr>
          <w:rFonts w:ascii="Times New Roman" w:cs="Times New Roman" w:eastAsia="Times New Roman" w:hAnsi="Times New Roman"/>
          <w:sz w:val="20"/>
          <w:szCs w:val="20"/>
          <w:color w:val="auto"/>
        </w:rPr>
      </w:pPr>
    </w:p>
    <w:p>
      <w:pPr>
        <w:ind w:left="1420" w:hanging="626"/>
        <w:spacing w:after="0"/>
        <w:tabs>
          <w:tab w:leader="none" w:pos="1420" w:val="left"/>
        </w:tabs>
        <w:numPr>
          <w:ilvl w:val="0"/>
          <w:numId w:val="2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NSO</w:t>
      </w:r>
      <w:r>
        <w:rPr>
          <w:rFonts w:ascii="Times New Roman" w:cs="Times New Roman" w:eastAsia="Times New Roman" w:hAnsi="Times New Roman"/>
          <w:sz w:val="20"/>
          <w:szCs w:val="20"/>
          <w:color w:val="auto"/>
        </w:rPr>
        <w:t>” means an Option that does not qualify as an incentive stock option as described in Code Section 422(b) or 423(b).</w:t>
      </w:r>
    </w:p>
    <w:p>
      <w:pPr>
        <w:spacing w:after="0" w:line="215" w:lineRule="exact"/>
        <w:rPr>
          <w:rFonts w:ascii="Times New Roman" w:cs="Times New Roman" w:eastAsia="Times New Roman" w:hAnsi="Times New Roman"/>
          <w:sz w:val="20"/>
          <w:szCs w:val="20"/>
          <w:color w:val="auto"/>
        </w:rPr>
      </w:pPr>
    </w:p>
    <w:p>
      <w:pPr>
        <w:ind w:left="1420" w:hanging="626"/>
        <w:spacing w:after="0"/>
        <w:tabs>
          <w:tab w:leader="none" w:pos="1420" w:val="left"/>
        </w:tabs>
        <w:numPr>
          <w:ilvl w:val="0"/>
          <w:numId w:val="2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Option</w:t>
      </w:r>
      <w:r>
        <w:rPr>
          <w:rFonts w:ascii="Times New Roman" w:cs="Times New Roman" w:eastAsia="Times New Roman" w:hAnsi="Times New Roman"/>
          <w:sz w:val="20"/>
          <w:szCs w:val="20"/>
          <w:color w:val="auto"/>
        </w:rPr>
        <w:t>” means an ISO or NSO granted under the Plan and entitling the holder to purchase Shares.</w:t>
      </w:r>
    </w:p>
    <w:p>
      <w:pPr>
        <w:spacing w:after="0" w:line="215" w:lineRule="exact"/>
        <w:rPr>
          <w:rFonts w:ascii="Times New Roman" w:cs="Times New Roman" w:eastAsia="Times New Roman" w:hAnsi="Times New Roman"/>
          <w:sz w:val="20"/>
          <w:szCs w:val="20"/>
          <w:color w:val="auto"/>
        </w:rPr>
      </w:pPr>
    </w:p>
    <w:p>
      <w:pPr>
        <w:ind w:left="1380" w:hanging="586"/>
        <w:spacing w:after="0"/>
        <w:tabs>
          <w:tab w:leader="none" w:pos="1380" w:val="left"/>
        </w:tabs>
        <w:numPr>
          <w:ilvl w:val="0"/>
          <w:numId w:val="2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Optionee</w:t>
      </w:r>
      <w:r>
        <w:rPr>
          <w:rFonts w:ascii="Times New Roman" w:cs="Times New Roman" w:eastAsia="Times New Roman" w:hAnsi="Times New Roman"/>
          <w:sz w:val="20"/>
          <w:szCs w:val="20"/>
          <w:color w:val="auto"/>
        </w:rPr>
        <w:t>” means a person who holds an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179705</wp:posOffset>
            </wp:positionV>
            <wp:extent cx="788670"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88670" cy="8255"/>
                    </a:xfrm>
                    <a:prstGeom prst="rect">
                      <a:avLst/>
                    </a:prstGeom>
                    <a:noFill/>
                  </pic:spPr>
                </pic:pic>
              </a:graphicData>
            </a:graphic>
          </wp:anchor>
        </w:drawing>
      </w:r>
    </w:p>
    <w:p>
      <w:pPr>
        <w:spacing w:after="0" w:line="294" w:lineRule="exact"/>
        <w:rPr>
          <w:sz w:val="20"/>
          <w:szCs w:val="20"/>
          <w:color w:val="auto"/>
        </w:rPr>
      </w:pPr>
    </w:p>
    <w:p>
      <w:pPr>
        <w:ind w:left="140" w:hanging="132"/>
        <w:spacing w:after="0"/>
        <w:tabs>
          <w:tab w:leader="none" w:pos="140" w:val="left"/>
        </w:tabs>
        <w:numPr>
          <w:ilvl w:val="0"/>
          <w:numId w:val="204"/>
        </w:numPr>
        <w:rPr>
          <w:rFonts w:ascii="Times New Roman" w:cs="Times New Roman" w:eastAsia="Times New Roman" w:hAnsi="Times New Roman"/>
          <w:sz w:val="17"/>
          <w:szCs w:val="17"/>
          <w:color w:val="auto"/>
        </w:rPr>
      </w:pPr>
      <w:r>
        <w:rPr>
          <w:rFonts w:ascii="Times New Roman" w:cs="Times New Roman" w:eastAsia="Times New Roman" w:hAnsi="Times New Roman"/>
          <w:sz w:val="20"/>
          <w:szCs w:val="20"/>
          <w:color w:val="auto"/>
        </w:rPr>
        <w:t>Note that special considerations apply if the Company proposes to grant awards to consultant or advisor of a Parent company.</w:t>
      </w:r>
    </w:p>
    <w:p>
      <w:pPr>
        <w:spacing w:after="0" w:line="21"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4 </w:t>
      </w:r>
      <w:r>
        <w:rPr>
          <w:rFonts w:ascii="Times New Roman" w:cs="Times New Roman" w:eastAsia="Times New Roman" w:hAnsi="Times New Roman"/>
          <w:sz w:val="19"/>
          <w:szCs w:val="19"/>
          <w:color w:val="auto"/>
        </w:rPr>
        <w:t>Note that special considerations apply if the Company proposes to grant awards to an Employee of a Parent company.</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240"/>
          </w:cols>
          <w:pgMar w:left="320" w:top="261" w:right="339" w:bottom="1440" w:gutter="0" w:footer="0" w:header="0"/>
        </w:sectPr>
      </w:pPr>
    </w:p>
    <w:bookmarkStart w:id="266" w:name="page267"/>
    <w:bookmarkEnd w:id="266"/>
    <w:p>
      <w:pPr>
        <w:ind w:left="1400" w:hanging="606"/>
        <w:spacing w:after="0"/>
        <w:tabs>
          <w:tab w:leader="none" w:pos="1400" w:val="left"/>
        </w:tabs>
        <w:numPr>
          <w:ilvl w:val="0"/>
          <w:numId w:val="2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Times New Roman" w:cs="Times New Roman" w:eastAsia="Times New Roman" w:hAnsi="Times New Roman"/>
          <w:sz w:val="20"/>
          <w:szCs w:val="20"/>
          <w:b w:val="1"/>
          <w:bCs w:val="1"/>
          <w:color w:val="auto"/>
        </w:rPr>
        <w:t>Outside Director</w:t>
      </w:r>
      <w:r>
        <w:rPr>
          <w:rFonts w:ascii="Times New Roman" w:cs="Times New Roman" w:eastAsia="Times New Roman" w:hAnsi="Times New Roman"/>
          <w:sz w:val="20"/>
          <w:szCs w:val="20"/>
          <w:color w:val="auto"/>
        </w:rPr>
        <w:t>” means a member of the Board of Directors who is not an Employee.</w:t>
      </w:r>
    </w:p>
    <w:p>
      <w:pPr>
        <w:spacing w:after="0" w:line="215" w:lineRule="exact"/>
        <w:rPr>
          <w:rFonts w:ascii="Times New Roman" w:cs="Times New Roman" w:eastAsia="Times New Roman" w:hAnsi="Times New Roman"/>
          <w:sz w:val="20"/>
          <w:szCs w:val="20"/>
          <w:color w:val="auto"/>
        </w:rPr>
      </w:pPr>
    </w:p>
    <w:p>
      <w:pPr>
        <w:jc w:val="both"/>
        <w:ind w:firstLine="794"/>
        <w:spacing w:after="0" w:line="250" w:lineRule="auto"/>
        <w:tabs>
          <w:tab w:leader="none" w:pos="1382" w:val="left"/>
        </w:tabs>
        <w:numPr>
          <w:ilvl w:val="0"/>
          <w:numId w:val="2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Parent</w:t>
      </w:r>
      <w:r>
        <w:rPr>
          <w:rFonts w:ascii="Times New Roman" w:cs="Times New Roman" w:eastAsia="Times New Roman" w:hAnsi="Times New Roman"/>
          <w:sz w:val="20"/>
          <w:szCs w:val="20"/>
          <w:color w:val="auto"/>
        </w:rPr>
        <w:t>” means any corporation (other than the Company) in an unbroken chain of corporations ending with the Company, if each of the corporations other than the Company owns stock possessing 50% or more of the total combined voting power of all classes of stock in one of the other corporations in such chain. A corporation that attains the status of a Parent on a date after the adoption of the Plan shall be considered a Parent commencing as of such date.</w:t>
      </w:r>
    </w:p>
    <w:p>
      <w:pPr>
        <w:spacing w:after="0" w:line="175" w:lineRule="exact"/>
        <w:rPr>
          <w:rFonts w:ascii="Times New Roman" w:cs="Times New Roman" w:eastAsia="Times New Roman" w:hAnsi="Times New Roman"/>
          <w:sz w:val="20"/>
          <w:szCs w:val="20"/>
          <w:color w:val="auto"/>
        </w:rPr>
      </w:pPr>
    </w:p>
    <w:p>
      <w:pPr>
        <w:ind w:left="1420" w:hanging="626"/>
        <w:spacing w:after="0"/>
        <w:tabs>
          <w:tab w:leader="none" w:pos="1420" w:val="left"/>
        </w:tabs>
        <w:numPr>
          <w:ilvl w:val="0"/>
          <w:numId w:val="2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Participant</w:t>
      </w:r>
      <w:r>
        <w:rPr>
          <w:rFonts w:ascii="Times New Roman" w:cs="Times New Roman" w:eastAsia="Times New Roman" w:hAnsi="Times New Roman"/>
          <w:sz w:val="20"/>
          <w:szCs w:val="20"/>
          <w:color w:val="auto"/>
        </w:rPr>
        <w:t>” means a Grantee, Optionee or Purchaser.</w:t>
      </w:r>
    </w:p>
    <w:p>
      <w:pPr>
        <w:spacing w:after="0" w:line="215" w:lineRule="exact"/>
        <w:rPr>
          <w:rFonts w:ascii="Times New Roman" w:cs="Times New Roman" w:eastAsia="Times New Roman" w:hAnsi="Times New Roman"/>
          <w:sz w:val="20"/>
          <w:szCs w:val="20"/>
          <w:color w:val="auto"/>
        </w:rPr>
      </w:pPr>
    </w:p>
    <w:p>
      <w:pPr>
        <w:ind w:left="1420" w:hanging="626"/>
        <w:spacing w:after="0"/>
        <w:tabs>
          <w:tab w:leader="none" w:pos="1420" w:val="left"/>
        </w:tabs>
        <w:numPr>
          <w:ilvl w:val="0"/>
          <w:numId w:val="2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Plan</w:t>
      </w:r>
      <w:r>
        <w:rPr>
          <w:rFonts w:ascii="Times New Roman" w:cs="Times New Roman" w:eastAsia="Times New Roman" w:hAnsi="Times New Roman"/>
          <w:sz w:val="20"/>
          <w:szCs w:val="20"/>
          <w:color w:val="auto"/>
        </w:rPr>
        <w:t>” means this Tarsus Pharmaceuticals, Inc. 2016 Stock Plan.</w:t>
      </w:r>
    </w:p>
    <w:p>
      <w:pPr>
        <w:spacing w:after="0" w:line="215" w:lineRule="exact"/>
        <w:rPr>
          <w:rFonts w:ascii="Times New Roman" w:cs="Times New Roman" w:eastAsia="Times New Roman" w:hAnsi="Times New Roman"/>
          <w:sz w:val="20"/>
          <w:szCs w:val="20"/>
          <w:color w:val="auto"/>
        </w:rPr>
      </w:pPr>
    </w:p>
    <w:p>
      <w:pPr>
        <w:ind w:right="20" w:firstLine="794"/>
        <w:spacing w:after="0" w:line="273" w:lineRule="auto"/>
        <w:tabs>
          <w:tab w:leader="none" w:pos="1484" w:val="left"/>
        </w:tabs>
        <w:numPr>
          <w:ilvl w:val="0"/>
          <w:numId w:val="2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Purchase Price</w:t>
      </w:r>
      <w:r>
        <w:rPr>
          <w:rFonts w:ascii="Times New Roman" w:cs="Times New Roman" w:eastAsia="Times New Roman" w:hAnsi="Times New Roman"/>
          <w:sz w:val="20"/>
          <w:szCs w:val="20"/>
          <w:color w:val="auto"/>
        </w:rPr>
        <w:t>” means the consideration for which one Share may be acquired under the Plan (other than upon exercise of an Option), as specified by the Board of Directors.</w:t>
      </w:r>
    </w:p>
    <w:p>
      <w:pPr>
        <w:spacing w:after="0" w:line="151" w:lineRule="exact"/>
        <w:rPr>
          <w:rFonts w:ascii="Times New Roman" w:cs="Times New Roman" w:eastAsia="Times New Roman" w:hAnsi="Times New Roman"/>
          <w:sz w:val="20"/>
          <w:szCs w:val="20"/>
          <w:color w:val="auto"/>
        </w:rPr>
      </w:pPr>
    </w:p>
    <w:p>
      <w:pPr>
        <w:ind w:firstLine="794"/>
        <w:spacing w:after="0" w:line="273" w:lineRule="auto"/>
        <w:tabs>
          <w:tab w:leader="none" w:pos="1413" w:val="left"/>
        </w:tabs>
        <w:numPr>
          <w:ilvl w:val="0"/>
          <w:numId w:val="2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Purchaser</w:t>
      </w:r>
      <w:r>
        <w:rPr>
          <w:rFonts w:ascii="Times New Roman" w:cs="Times New Roman" w:eastAsia="Times New Roman" w:hAnsi="Times New Roman"/>
          <w:sz w:val="20"/>
          <w:szCs w:val="20"/>
          <w:color w:val="auto"/>
        </w:rPr>
        <w:t>” means a person to whom the Board of Directors has offered the right to purchase Shares under the Plan (other than upon exercise of an Option).</w:t>
      </w:r>
    </w:p>
    <w:p>
      <w:pPr>
        <w:spacing w:after="0" w:line="151" w:lineRule="exact"/>
        <w:rPr>
          <w:rFonts w:ascii="Times New Roman" w:cs="Times New Roman" w:eastAsia="Times New Roman" w:hAnsi="Times New Roman"/>
          <w:sz w:val="20"/>
          <w:szCs w:val="20"/>
          <w:color w:val="auto"/>
        </w:rPr>
      </w:pPr>
    </w:p>
    <w:p>
      <w:pPr>
        <w:ind w:left="1420" w:hanging="626"/>
        <w:spacing w:after="0"/>
        <w:tabs>
          <w:tab w:leader="none" w:pos="1420" w:val="left"/>
        </w:tabs>
        <w:numPr>
          <w:ilvl w:val="0"/>
          <w:numId w:val="2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Securities Act</w:t>
      </w:r>
      <w:r>
        <w:rPr>
          <w:rFonts w:ascii="Times New Roman" w:cs="Times New Roman" w:eastAsia="Times New Roman" w:hAnsi="Times New Roman"/>
          <w:sz w:val="20"/>
          <w:szCs w:val="20"/>
          <w:color w:val="auto"/>
        </w:rPr>
        <w:t>” means the Securities Act of 1933, as amended.</w:t>
      </w:r>
    </w:p>
    <w:p>
      <w:pPr>
        <w:spacing w:after="0" w:line="215" w:lineRule="exact"/>
        <w:rPr>
          <w:rFonts w:ascii="Times New Roman" w:cs="Times New Roman" w:eastAsia="Times New Roman" w:hAnsi="Times New Roman"/>
          <w:sz w:val="20"/>
          <w:szCs w:val="20"/>
          <w:color w:val="auto"/>
        </w:rPr>
      </w:pPr>
    </w:p>
    <w:p>
      <w:pPr>
        <w:ind w:left="1400" w:hanging="606"/>
        <w:spacing w:after="0"/>
        <w:tabs>
          <w:tab w:leader="none" w:pos="1400" w:val="left"/>
        </w:tabs>
        <w:numPr>
          <w:ilvl w:val="0"/>
          <w:numId w:val="2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Service</w:t>
      </w:r>
      <w:r>
        <w:rPr>
          <w:rFonts w:ascii="Times New Roman" w:cs="Times New Roman" w:eastAsia="Times New Roman" w:hAnsi="Times New Roman"/>
          <w:sz w:val="20"/>
          <w:szCs w:val="20"/>
          <w:color w:val="auto"/>
        </w:rPr>
        <w:t>” means service as an Employee, Outside Director or Consultant.</w:t>
      </w:r>
    </w:p>
    <w:p>
      <w:pPr>
        <w:spacing w:after="0" w:line="216" w:lineRule="exact"/>
        <w:rPr>
          <w:sz w:val="20"/>
          <w:szCs w:val="20"/>
          <w:color w:val="auto"/>
        </w:rPr>
      </w:pPr>
    </w:p>
    <w:p>
      <w:pPr>
        <w:ind w:left="1500" w:hanging="706"/>
        <w:spacing w:after="0"/>
        <w:tabs>
          <w:tab w:leader="none" w:pos="1500" w:val="left"/>
        </w:tabs>
        <w:numPr>
          <w:ilvl w:val="0"/>
          <w:numId w:val="2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Share</w:t>
      </w:r>
      <w:r>
        <w:rPr>
          <w:rFonts w:ascii="Times New Roman" w:cs="Times New Roman" w:eastAsia="Times New Roman" w:hAnsi="Times New Roman"/>
          <w:sz w:val="20"/>
          <w:szCs w:val="20"/>
          <w:color w:val="auto"/>
        </w:rPr>
        <w:t>” means one share of Stock, as adjusted in accordance with Section 8 (if applicable).</w:t>
      </w:r>
    </w:p>
    <w:p>
      <w:pPr>
        <w:spacing w:after="0" w:line="215" w:lineRule="exact"/>
        <w:rPr>
          <w:rFonts w:ascii="Times New Roman" w:cs="Times New Roman" w:eastAsia="Times New Roman" w:hAnsi="Times New Roman"/>
          <w:sz w:val="20"/>
          <w:szCs w:val="20"/>
          <w:color w:val="auto"/>
        </w:rPr>
      </w:pPr>
    </w:p>
    <w:p>
      <w:pPr>
        <w:ind w:left="1520" w:hanging="726"/>
        <w:spacing w:after="0"/>
        <w:tabs>
          <w:tab w:leader="none" w:pos="1520" w:val="left"/>
        </w:tabs>
        <w:numPr>
          <w:ilvl w:val="0"/>
          <w:numId w:val="2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Stock</w:t>
      </w:r>
      <w:r>
        <w:rPr>
          <w:rFonts w:ascii="Times New Roman" w:cs="Times New Roman" w:eastAsia="Times New Roman" w:hAnsi="Times New Roman"/>
          <w:sz w:val="20"/>
          <w:szCs w:val="20"/>
          <w:color w:val="auto"/>
        </w:rPr>
        <w:t>” means the Common Stock of the Company.</w:t>
      </w:r>
    </w:p>
    <w:p>
      <w:pPr>
        <w:spacing w:after="0" w:line="215" w:lineRule="exact"/>
        <w:rPr>
          <w:rFonts w:ascii="Times New Roman" w:cs="Times New Roman" w:eastAsia="Times New Roman" w:hAnsi="Times New Roman"/>
          <w:sz w:val="20"/>
          <w:szCs w:val="20"/>
          <w:color w:val="auto"/>
        </w:rPr>
      </w:pPr>
    </w:p>
    <w:p>
      <w:pPr>
        <w:ind w:firstLine="794"/>
        <w:spacing w:after="0" w:line="273" w:lineRule="auto"/>
        <w:tabs>
          <w:tab w:leader="none" w:pos="1543" w:val="left"/>
        </w:tabs>
        <w:numPr>
          <w:ilvl w:val="0"/>
          <w:numId w:val="2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Stock Grant Agreement</w:t>
      </w:r>
      <w:r>
        <w:rPr>
          <w:rFonts w:ascii="Times New Roman" w:cs="Times New Roman" w:eastAsia="Times New Roman" w:hAnsi="Times New Roman"/>
          <w:sz w:val="20"/>
          <w:szCs w:val="20"/>
          <w:color w:val="auto"/>
        </w:rPr>
        <w:t>” means the agreement between the Company and a Grantee who is awarded Shares under the Plan that contains the terms, conditions and restrictions pertaining to the award of such Shares.</w:t>
      </w:r>
    </w:p>
    <w:p>
      <w:pPr>
        <w:spacing w:after="0" w:line="151" w:lineRule="exact"/>
        <w:rPr>
          <w:rFonts w:ascii="Times New Roman" w:cs="Times New Roman" w:eastAsia="Times New Roman" w:hAnsi="Times New Roman"/>
          <w:sz w:val="20"/>
          <w:szCs w:val="20"/>
          <w:color w:val="auto"/>
        </w:rPr>
      </w:pPr>
    </w:p>
    <w:p>
      <w:pPr>
        <w:ind w:firstLine="794"/>
        <w:spacing w:after="0" w:line="273" w:lineRule="auto"/>
        <w:tabs>
          <w:tab w:leader="none" w:pos="1741" w:val="left"/>
        </w:tabs>
        <w:numPr>
          <w:ilvl w:val="0"/>
          <w:numId w:val="2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Stock Option Agreement</w:t>
      </w:r>
      <w:r>
        <w:rPr>
          <w:rFonts w:ascii="Times New Roman" w:cs="Times New Roman" w:eastAsia="Times New Roman" w:hAnsi="Times New Roman"/>
          <w:sz w:val="20"/>
          <w:szCs w:val="20"/>
          <w:color w:val="auto"/>
        </w:rPr>
        <w:t>” means the agreement between the Company and an Optionee that contains the terms, conditions and restrictions pertaining to the Optionee’s Option.</w:t>
      </w:r>
    </w:p>
    <w:p>
      <w:pPr>
        <w:spacing w:after="0" w:line="151" w:lineRule="exact"/>
        <w:rPr>
          <w:rFonts w:ascii="Times New Roman" w:cs="Times New Roman" w:eastAsia="Times New Roman" w:hAnsi="Times New Roman"/>
          <w:sz w:val="20"/>
          <w:szCs w:val="20"/>
          <w:color w:val="auto"/>
        </w:rPr>
      </w:pPr>
    </w:p>
    <w:p>
      <w:pPr>
        <w:ind w:firstLine="794"/>
        <w:spacing w:after="0" w:line="273" w:lineRule="auto"/>
        <w:tabs>
          <w:tab w:leader="none" w:pos="1530" w:val="left"/>
        </w:tabs>
        <w:numPr>
          <w:ilvl w:val="0"/>
          <w:numId w:val="2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Stock Purchase Agreement</w:t>
      </w:r>
      <w:r>
        <w:rPr>
          <w:rFonts w:ascii="Times New Roman" w:cs="Times New Roman" w:eastAsia="Times New Roman" w:hAnsi="Times New Roman"/>
          <w:sz w:val="20"/>
          <w:szCs w:val="20"/>
          <w:color w:val="auto"/>
        </w:rPr>
        <w:t>” means the agreement between the Company and a Purchaser who purchases Shares under the Plan that contains the terms, conditions and restrictions pertaining to the purchase of such Shares.</w:t>
      </w:r>
    </w:p>
    <w:p>
      <w:pPr>
        <w:spacing w:after="0" w:line="151" w:lineRule="exact"/>
        <w:rPr>
          <w:rFonts w:ascii="Times New Roman" w:cs="Times New Roman" w:eastAsia="Times New Roman" w:hAnsi="Times New Roman"/>
          <w:sz w:val="20"/>
          <w:szCs w:val="20"/>
          <w:color w:val="auto"/>
        </w:rPr>
      </w:pPr>
    </w:p>
    <w:p>
      <w:pPr>
        <w:jc w:val="both"/>
        <w:ind w:firstLine="794"/>
        <w:spacing w:after="0" w:line="250" w:lineRule="auto"/>
        <w:tabs>
          <w:tab w:leader="none" w:pos="1523" w:val="left"/>
        </w:tabs>
        <w:numPr>
          <w:ilvl w:val="0"/>
          <w:numId w:val="2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Subsidiary</w:t>
      </w:r>
      <w:r>
        <w:rPr>
          <w:rFonts w:ascii="Times New Roman" w:cs="Times New Roman" w:eastAsia="Times New Roman" w:hAnsi="Times New Roman"/>
          <w:sz w:val="20"/>
          <w:szCs w:val="20"/>
          <w:color w:val="auto"/>
        </w:rPr>
        <w:t>” means any corporation (other than the Company) in an unbroken chain of corporations beginning with the Company, if each of the corporations other than the last corporation in the unbroken chain owns stock possessing 50% or more of the total combined voting power of all classes of stock in one of the other corporations in such chain. A corporation that attains the status of a Subsidiary on a date after the adoption of the Plan shall be considered a Subsidiary commencing as of such date.</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240"/>
          </w:cols>
          <w:pgMar w:left="320" w:top="261" w:right="339" w:bottom="1440" w:gutter="0" w:footer="0" w:header="0"/>
        </w:sectPr>
      </w:pPr>
    </w:p>
    <w:bookmarkStart w:id="267" w:name="page268"/>
    <w:bookmarkEnd w:id="267"/>
    <w:tbl>
      <w:tblPr>
        <w:tblLayout w:type="fixed"/>
        <w:tblInd w:w="680" w:type="dxa"/>
        <w:tblCellMar>
          <w:top w:w="0" w:type="dxa"/>
          <w:left w:w="0" w:type="dxa"/>
          <w:bottom w:w="0" w:type="dxa"/>
          <w:right w:w="0" w:type="dxa"/>
        </w:tblCellMar>
      </w:tblPr>
      <w:tr>
        <w:trPr>
          <w:trHeight w:val="262"/>
        </w:trPr>
        <w:tc>
          <w:tcPr>
            <w:tcW w:w="4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280" w:type="dxa"/>
            <w:vAlign w:val="bottom"/>
            <w:gridSpan w:val="3"/>
          </w:tcPr>
          <w:p>
            <w:pPr>
              <w:jc w:val="center"/>
              <w:ind w:left="1741"/>
              <w:spacing w:after="0"/>
              <w:rPr>
                <w:sz w:val="20"/>
                <w:szCs w:val="20"/>
                <w:color w:val="auto"/>
              </w:rPr>
            </w:pPr>
            <w:r>
              <w:rPr>
                <w:rFonts w:ascii="Times New Roman" w:cs="Times New Roman" w:eastAsia="Times New Roman" w:hAnsi="Times New Roman"/>
                <w:sz w:val="20"/>
                <w:szCs w:val="20"/>
                <w:b w:val="1"/>
                <w:bCs w:val="1"/>
                <w:color w:val="auto"/>
              </w:rPr>
              <w:t>E</w:t>
            </w:r>
            <w:r>
              <w:rPr>
                <w:rFonts w:ascii="Times New Roman" w:cs="Times New Roman" w:eastAsia="Times New Roman" w:hAnsi="Times New Roman"/>
                <w:sz w:val="16"/>
                <w:szCs w:val="16"/>
                <w:b w:val="1"/>
                <w:bCs w:val="1"/>
                <w:color w:val="auto"/>
              </w:rPr>
              <w:t>XHIBIT</w:t>
            </w:r>
            <w:r>
              <w:rPr>
                <w:rFonts w:ascii="Times New Roman" w:cs="Times New Roman" w:eastAsia="Times New Roman" w:hAnsi="Times New Roman"/>
                <w:sz w:val="20"/>
                <w:szCs w:val="20"/>
                <w:b w:val="1"/>
                <w:bCs w:val="1"/>
                <w:color w:val="auto"/>
              </w:rPr>
              <w:t xml:space="preserve"> A</w:t>
            </w:r>
          </w:p>
        </w:tc>
        <w:tc>
          <w:tcPr>
            <w:tcW w:w="2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580" w:type="dxa"/>
            <w:vAlign w:val="bottom"/>
          </w:tcPr>
          <w:p>
            <w:pPr>
              <w:spacing w:after="0"/>
              <w:rPr>
                <w:sz w:val="22"/>
                <w:szCs w:val="22"/>
                <w:color w:val="auto"/>
              </w:rPr>
            </w:pPr>
          </w:p>
        </w:tc>
      </w:tr>
      <w:tr>
        <w:trPr>
          <w:trHeight w:val="445"/>
        </w:trPr>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160" w:type="dxa"/>
            <w:vAlign w:val="bottom"/>
            <w:gridSpan w:val="6"/>
          </w:tcPr>
          <w:p>
            <w:pPr>
              <w:jc w:val="center"/>
              <w:ind w:left="1"/>
              <w:spacing w:after="0"/>
              <w:rPr>
                <w:sz w:val="20"/>
                <w:szCs w:val="20"/>
                <w:color w:val="auto"/>
              </w:rPr>
            </w:pPr>
            <w:r>
              <w:rPr>
                <w:rFonts w:ascii="Times New Roman" w:cs="Times New Roman" w:eastAsia="Times New Roman" w:hAnsi="Times New Roman"/>
                <w:sz w:val="20"/>
                <w:szCs w:val="20"/>
                <w:b w:val="1"/>
                <w:bCs w:val="1"/>
                <w:color w:val="auto"/>
              </w:rPr>
              <w:t>S</w:t>
            </w:r>
            <w:r>
              <w:rPr>
                <w:rFonts w:ascii="Times New Roman" w:cs="Times New Roman" w:eastAsia="Times New Roman" w:hAnsi="Times New Roman"/>
                <w:sz w:val="16"/>
                <w:szCs w:val="16"/>
                <w:b w:val="1"/>
                <w:bCs w:val="1"/>
                <w:color w:val="auto"/>
              </w:rPr>
              <w:t>CHEDULE OF</w:t>
            </w:r>
            <w:r>
              <w:rPr>
                <w:rFonts w:ascii="Times New Roman" w:cs="Times New Roman" w:eastAsia="Times New Roman" w:hAnsi="Times New Roman"/>
                <w:sz w:val="20"/>
                <w:szCs w:val="20"/>
                <w:b w:val="1"/>
                <w:bCs w:val="1"/>
                <w:color w:val="auto"/>
              </w:rPr>
              <w:t xml:space="preserve"> S</w:t>
            </w:r>
            <w:r>
              <w:rPr>
                <w:rFonts w:ascii="Times New Roman" w:cs="Times New Roman" w:eastAsia="Times New Roman" w:hAnsi="Times New Roman"/>
                <w:sz w:val="16"/>
                <w:szCs w:val="16"/>
                <w:b w:val="1"/>
                <w:bCs w:val="1"/>
                <w:color w:val="auto"/>
              </w:rPr>
              <w:t>HARES</w:t>
            </w:r>
            <w:r>
              <w:rPr>
                <w:rFonts w:ascii="Times New Roman" w:cs="Times New Roman" w:eastAsia="Times New Roman" w:hAnsi="Times New Roman"/>
                <w:sz w:val="20"/>
                <w:szCs w:val="20"/>
                <w:b w:val="1"/>
                <w:bCs w:val="1"/>
                <w:color w:val="auto"/>
              </w:rPr>
              <w:t xml:space="preserve"> R</w:t>
            </w:r>
            <w:r>
              <w:rPr>
                <w:rFonts w:ascii="Times New Roman" w:cs="Times New Roman" w:eastAsia="Times New Roman" w:hAnsi="Times New Roman"/>
                <w:sz w:val="16"/>
                <w:szCs w:val="16"/>
                <w:b w:val="1"/>
                <w:bCs w:val="1"/>
                <w:color w:val="auto"/>
              </w:rPr>
              <w:t>ESERVED FOR</w:t>
            </w:r>
            <w:r>
              <w:rPr>
                <w:rFonts w:ascii="Times New Roman" w:cs="Times New Roman" w:eastAsia="Times New Roman" w:hAnsi="Times New Roman"/>
                <w:sz w:val="20"/>
                <w:szCs w:val="20"/>
                <w:b w:val="1"/>
                <w:bCs w:val="1"/>
                <w:color w:val="auto"/>
              </w:rPr>
              <w:t xml:space="preserve"> I</w:t>
            </w:r>
            <w:r>
              <w:rPr>
                <w:rFonts w:ascii="Times New Roman" w:cs="Times New Roman" w:eastAsia="Times New Roman" w:hAnsi="Times New Roman"/>
                <w:sz w:val="16"/>
                <w:szCs w:val="16"/>
                <w:b w:val="1"/>
                <w:bCs w:val="1"/>
                <w:color w:val="auto"/>
              </w:rPr>
              <w:t>SSUANCE UNDER THE</w:t>
            </w:r>
            <w:r>
              <w:rPr>
                <w:rFonts w:ascii="Times New Roman" w:cs="Times New Roman" w:eastAsia="Times New Roman" w:hAnsi="Times New Roman"/>
                <w:sz w:val="20"/>
                <w:szCs w:val="20"/>
                <w:b w:val="1"/>
                <w:bCs w:val="1"/>
                <w:color w:val="auto"/>
              </w:rPr>
              <w:t xml:space="preserve"> P</w:t>
            </w:r>
            <w:r>
              <w:rPr>
                <w:rFonts w:ascii="Times New Roman" w:cs="Times New Roman" w:eastAsia="Times New Roman" w:hAnsi="Times New Roman"/>
                <w:sz w:val="16"/>
                <w:szCs w:val="16"/>
                <w:b w:val="1"/>
                <w:bCs w:val="1"/>
                <w:color w:val="auto"/>
              </w:rPr>
              <w:t>LAN</w:t>
            </w:r>
          </w:p>
        </w:tc>
        <w:tc>
          <w:tcPr>
            <w:tcW w:w="2580" w:type="dxa"/>
            <w:vAlign w:val="bottom"/>
          </w:tcPr>
          <w:p>
            <w:pPr>
              <w:spacing w:after="0"/>
              <w:rPr>
                <w:sz w:val="24"/>
                <w:szCs w:val="24"/>
                <w:color w:val="auto"/>
              </w:rPr>
            </w:pPr>
          </w:p>
        </w:tc>
      </w:tr>
      <w:tr>
        <w:trPr>
          <w:trHeight w:val="440"/>
        </w:trPr>
        <w:tc>
          <w:tcPr>
            <w:tcW w:w="1820" w:type="dxa"/>
            <w:vAlign w:val="bottom"/>
            <w:gridSpan w:val="3"/>
          </w:tcPr>
          <w:p>
            <w:pPr>
              <w:jc w:val="center"/>
              <w:ind w:right="141"/>
              <w:spacing w:after="0"/>
              <w:rPr>
                <w:sz w:val="20"/>
                <w:szCs w:val="20"/>
                <w:color w:val="auto"/>
              </w:rPr>
            </w:pPr>
            <w:r>
              <w:rPr>
                <w:rFonts w:ascii="Times New Roman" w:cs="Times New Roman" w:eastAsia="Times New Roman" w:hAnsi="Times New Roman"/>
                <w:sz w:val="20"/>
                <w:szCs w:val="20"/>
                <w:b w:val="1"/>
                <w:bCs w:val="1"/>
                <w:color w:val="auto"/>
                <w:w w:val="98"/>
              </w:rPr>
              <w:t>Date of Board</w:t>
            </w:r>
          </w:p>
        </w:tc>
        <w:tc>
          <w:tcPr>
            <w:tcW w:w="560" w:type="dxa"/>
            <w:vAlign w:val="bottom"/>
          </w:tcPr>
          <w:p>
            <w:pPr>
              <w:spacing w:after="0"/>
              <w:rPr>
                <w:sz w:val="24"/>
                <w:szCs w:val="24"/>
                <w:color w:val="auto"/>
              </w:rPr>
            </w:pPr>
          </w:p>
        </w:tc>
        <w:tc>
          <w:tcPr>
            <w:tcW w:w="3280" w:type="dxa"/>
            <w:vAlign w:val="bottom"/>
            <w:gridSpan w:val="3"/>
          </w:tcPr>
          <w:p>
            <w:pPr>
              <w:jc w:val="center"/>
              <w:ind w:right="600"/>
              <w:spacing w:after="0"/>
              <w:rPr>
                <w:sz w:val="20"/>
                <w:szCs w:val="20"/>
                <w:color w:val="auto"/>
              </w:rPr>
            </w:pPr>
            <w:r>
              <w:rPr>
                <w:rFonts w:ascii="Times New Roman" w:cs="Times New Roman" w:eastAsia="Times New Roman" w:hAnsi="Times New Roman"/>
                <w:sz w:val="20"/>
                <w:szCs w:val="20"/>
                <w:b w:val="1"/>
                <w:bCs w:val="1"/>
                <w:color w:val="auto"/>
                <w:w w:val="98"/>
              </w:rPr>
              <w:t>Date of Stockholder</w:t>
            </w:r>
          </w:p>
        </w:tc>
        <w:tc>
          <w:tcPr>
            <w:tcW w:w="2320" w:type="dxa"/>
            <w:vAlign w:val="bottom"/>
            <w:gridSpan w:val="2"/>
          </w:tcPr>
          <w:p>
            <w:pPr>
              <w:jc w:val="center"/>
              <w:ind w:right="580"/>
              <w:spacing w:after="0"/>
              <w:rPr>
                <w:sz w:val="20"/>
                <w:szCs w:val="20"/>
                <w:color w:val="auto"/>
              </w:rPr>
            </w:pPr>
            <w:r>
              <w:rPr>
                <w:rFonts w:ascii="Times New Roman" w:cs="Times New Roman" w:eastAsia="Times New Roman" w:hAnsi="Times New Roman"/>
                <w:sz w:val="20"/>
                <w:szCs w:val="20"/>
                <w:b w:val="1"/>
                <w:bCs w:val="1"/>
                <w:color w:val="auto"/>
                <w:w w:val="96"/>
              </w:rPr>
              <w:t>Number of</w:t>
            </w:r>
          </w:p>
        </w:tc>
        <w:tc>
          <w:tcPr>
            <w:tcW w:w="258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Cumulative Number of</w:t>
            </w:r>
          </w:p>
        </w:tc>
      </w:tr>
      <w:tr>
        <w:trPr>
          <w:trHeight w:val="276"/>
        </w:trPr>
        <w:tc>
          <w:tcPr>
            <w:tcW w:w="400" w:type="dxa"/>
            <w:vAlign w:val="bottom"/>
          </w:tcPr>
          <w:p>
            <w:pPr>
              <w:spacing w:after="0"/>
              <w:rPr>
                <w:sz w:val="24"/>
                <w:szCs w:val="24"/>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Approval</w:t>
            </w:r>
          </w:p>
        </w:tc>
        <w:tc>
          <w:tcPr>
            <w:tcW w:w="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80" w:type="dxa"/>
            <w:vAlign w:val="bottom"/>
            <w:gridSpan w:val="3"/>
          </w:tcPr>
          <w:p>
            <w:pPr>
              <w:jc w:val="center"/>
              <w:ind w:right="600"/>
              <w:spacing w:after="0"/>
              <w:rPr>
                <w:sz w:val="20"/>
                <w:szCs w:val="20"/>
                <w:color w:val="auto"/>
              </w:rPr>
            </w:pPr>
            <w:r>
              <w:rPr>
                <w:rFonts w:ascii="Times New Roman" w:cs="Times New Roman" w:eastAsia="Times New Roman" w:hAnsi="Times New Roman"/>
                <w:sz w:val="20"/>
                <w:szCs w:val="20"/>
                <w:b w:val="1"/>
                <w:bCs w:val="1"/>
                <w:color w:val="auto"/>
                <w:w w:val="98"/>
              </w:rPr>
              <w:t>Approval</w:t>
            </w:r>
          </w:p>
        </w:tc>
        <w:tc>
          <w:tcPr>
            <w:tcW w:w="2320" w:type="dxa"/>
            <w:vAlign w:val="bottom"/>
            <w:gridSpan w:val="2"/>
          </w:tcPr>
          <w:p>
            <w:pPr>
              <w:jc w:val="center"/>
              <w:ind w:right="580"/>
              <w:spacing w:after="0"/>
              <w:rPr>
                <w:sz w:val="20"/>
                <w:szCs w:val="20"/>
                <w:color w:val="auto"/>
              </w:rPr>
            </w:pPr>
            <w:r>
              <w:rPr>
                <w:rFonts w:ascii="Times New Roman" w:cs="Times New Roman" w:eastAsia="Times New Roman" w:hAnsi="Times New Roman"/>
                <w:sz w:val="20"/>
                <w:szCs w:val="20"/>
                <w:b w:val="1"/>
                <w:bCs w:val="1"/>
                <w:color w:val="auto"/>
                <w:w w:val="98"/>
              </w:rPr>
              <w:t>Shares Added</w:t>
            </w:r>
          </w:p>
        </w:tc>
        <w:tc>
          <w:tcPr>
            <w:tcW w:w="258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rPr>
              <w:t>Shares</w:t>
            </w:r>
          </w:p>
        </w:tc>
      </w:tr>
      <w:tr>
        <w:trPr>
          <w:trHeight w:val="194"/>
        </w:trPr>
        <w:tc>
          <w:tcPr>
            <w:tcW w:w="1200" w:type="dxa"/>
            <w:vAlign w:val="bottom"/>
            <w:gridSpan w:val="2"/>
          </w:tcPr>
          <w:p>
            <w:pPr>
              <w:ind w:left="20"/>
              <w:spacing w:after="0" w:line="194" w:lineRule="exact"/>
              <w:rPr>
                <w:sz w:val="20"/>
                <w:szCs w:val="20"/>
                <w:color w:val="auto"/>
              </w:rPr>
            </w:pPr>
            <w:r>
              <w:rPr>
                <w:rFonts w:ascii="Times New Roman" w:cs="Times New Roman" w:eastAsia="Times New Roman" w:hAnsi="Times New Roman"/>
                <w:sz w:val="20"/>
                <w:szCs w:val="20"/>
                <w:color w:val="auto"/>
              </w:rPr>
              <w:t>December 14,</w:t>
            </w:r>
          </w:p>
        </w:tc>
        <w:tc>
          <w:tcPr>
            <w:tcW w:w="620" w:type="dxa"/>
            <w:vAlign w:val="bottom"/>
          </w:tcPr>
          <w:p>
            <w:pPr>
              <w:jc w:val="right"/>
              <w:ind w:right="141"/>
              <w:spacing w:after="0" w:line="194" w:lineRule="exact"/>
              <w:rPr>
                <w:sz w:val="20"/>
                <w:szCs w:val="20"/>
                <w:color w:val="auto"/>
              </w:rPr>
            </w:pPr>
            <w:r>
              <w:rPr>
                <w:rFonts w:ascii="Times New Roman" w:cs="Times New Roman" w:eastAsia="Times New Roman" w:hAnsi="Times New Roman"/>
                <w:sz w:val="20"/>
                <w:szCs w:val="20"/>
                <w:color w:val="auto"/>
                <w:w w:val="89"/>
              </w:rPr>
              <w:t>2016</w:t>
            </w:r>
          </w:p>
        </w:tc>
        <w:tc>
          <w:tcPr>
            <w:tcW w:w="560" w:type="dxa"/>
            <w:vAlign w:val="bottom"/>
          </w:tcPr>
          <w:p>
            <w:pPr>
              <w:spacing w:after="0"/>
              <w:rPr>
                <w:sz w:val="16"/>
                <w:szCs w:val="16"/>
                <w:color w:val="auto"/>
              </w:rPr>
            </w:pPr>
          </w:p>
        </w:tc>
        <w:tc>
          <w:tcPr>
            <w:tcW w:w="270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20"/>
                <w:szCs w:val="20"/>
                <w:color w:val="auto"/>
                <w:w w:val="97"/>
              </w:rPr>
              <w:t>January 17, 2017</w:t>
            </w:r>
          </w:p>
        </w:tc>
        <w:tc>
          <w:tcPr>
            <w:tcW w:w="100" w:type="dxa"/>
            <w:vAlign w:val="bottom"/>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2220" w:type="dxa"/>
            <w:vAlign w:val="bottom"/>
            <w:tcBorders>
              <w:top w:val="single" w:sz="8" w:color="auto"/>
            </w:tcBorders>
          </w:tcPr>
          <w:p>
            <w:pPr>
              <w:jc w:val="center"/>
              <w:ind w:right="381"/>
              <w:spacing w:after="0" w:line="194" w:lineRule="exact"/>
              <w:rPr>
                <w:sz w:val="20"/>
                <w:szCs w:val="20"/>
                <w:color w:val="auto"/>
              </w:rPr>
            </w:pPr>
            <w:r>
              <w:rPr>
                <w:rFonts w:ascii="Times New Roman" w:cs="Times New Roman" w:eastAsia="Times New Roman" w:hAnsi="Times New Roman"/>
                <w:sz w:val="20"/>
                <w:szCs w:val="20"/>
                <w:color w:val="auto"/>
                <w:w w:val="99"/>
              </w:rPr>
              <w:t>Not Applicable</w:t>
            </w:r>
          </w:p>
        </w:tc>
        <w:tc>
          <w:tcPr>
            <w:tcW w:w="100" w:type="dxa"/>
            <w:vAlign w:val="bottom"/>
          </w:tcPr>
          <w:p>
            <w:pPr>
              <w:spacing w:after="0"/>
              <w:rPr>
                <w:sz w:val="16"/>
                <w:szCs w:val="16"/>
                <w:color w:val="auto"/>
              </w:rPr>
            </w:pPr>
          </w:p>
        </w:tc>
        <w:tc>
          <w:tcPr>
            <w:tcW w:w="258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20"/>
                <w:szCs w:val="20"/>
                <w:color w:val="auto"/>
                <w:w w:val="97"/>
              </w:rPr>
              <w:t>1,960,000</w:t>
            </w:r>
          </w:p>
        </w:tc>
      </w:tr>
      <w:tr>
        <w:trPr>
          <w:trHeight w:val="229"/>
        </w:trPr>
        <w:tc>
          <w:tcPr>
            <w:tcW w:w="1820" w:type="dxa"/>
            <w:vAlign w:val="bottom"/>
            <w:gridSpan w:val="3"/>
          </w:tcPr>
          <w:p>
            <w:pPr>
              <w:jc w:val="center"/>
              <w:ind w:right="141"/>
              <w:spacing w:after="0"/>
              <w:rPr>
                <w:sz w:val="20"/>
                <w:szCs w:val="20"/>
                <w:color w:val="auto"/>
              </w:rPr>
            </w:pPr>
            <w:r>
              <w:rPr>
                <w:rFonts w:ascii="Times New Roman" w:cs="Times New Roman" w:eastAsia="Times New Roman" w:hAnsi="Times New Roman"/>
                <w:sz w:val="20"/>
                <w:szCs w:val="20"/>
                <w:color w:val="auto"/>
                <w:w w:val="99"/>
              </w:rPr>
              <w:t>November 29, 2017</w:t>
            </w:r>
          </w:p>
        </w:tc>
        <w:tc>
          <w:tcPr>
            <w:tcW w:w="560" w:type="dxa"/>
            <w:vAlign w:val="bottom"/>
          </w:tcPr>
          <w:p>
            <w:pPr>
              <w:spacing w:after="0"/>
              <w:rPr>
                <w:sz w:val="19"/>
                <w:szCs w:val="19"/>
                <w:color w:val="auto"/>
              </w:rPr>
            </w:pPr>
          </w:p>
        </w:tc>
        <w:tc>
          <w:tcPr>
            <w:tcW w:w="3280" w:type="dxa"/>
            <w:vAlign w:val="bottom"/>
            <w:gridSpan w:val="3"/>
          </w:tcPr>
          <w:p>
            <w:pPr>
              <w:jc w:val="center"/>
              <w:ind w:right="580"/>
              <w:spacing w:after="0"/>
              <w:rPr>
                <w:sz w:val="20"/>
                <w:szCs w:val="20"/>
                <w:color w:val="auto"/>
              </w:rPr>
            </w:pPr>
            <w:r>
              <w:rPr>
                <w:rFonts w:ascii="Times New Roman" w:cs="Times New Roman" w:eastAsia="Times New Roman" w:hAnsi="Times New Roman"/>
                <w:sz w:val="20"/>
                <w:szCs w:val="20"/>
                <w:color w:val="auto"/>
                <w:w w:val="99"/>
              </w:rPr>
              <w:t>November 29, 2017</w:t>
            </w:r>
          </w:p>
        </w:tc>
        <w:tc>
          <w:tcPr>
            <w:tcW w:w="2220" w:type="dxa"/>
            <w:vAlign w:val="bottom"/>
          </w:tcPr>
          <w:p>
            <w:pPr>
              <w:jc w:val="center"/>
              <w:ind w:right="381"/>
              <w:spacing w:after="0"/>
              <w:rPr>
                <w:sz w:val="20"/>
                <w:szCs w:val="20"/>
                <w:color w:val="auto"/>
              </w:rPr>
            </w:pPr>
            <w:r>
              <w:rPr>
                <w:rFonts w:ascii="Times New Roman" w:cs="Times New Roman" w:eastAsia="Times New Roman" w:hAnsi="Times New Roman"/>
                <w:sz w:val="20"/>
                <w:szCs w:val="20"/>
                <w:color w:val="auto"/>
              </w:rPr>
              <w:t>750,000</w:t>
            </w:r>
          </w:p>
        </w:tc>
        <w:tc>
          <w:tcPr>
            <w:tcW w:w="100" w:type="dxa"/>
            <w:vAlign w:val="bottom"/>
          </w:tcPr>
          <w:p>
            <w:pPr>
              <w:spacing w:after="0"/>
              <w:rPr>
                <w:sz w:val="19"/>
                <w:szCs w:val="19"/>
                <w:color w:val="auto"/>
              </w:rPr>
            </w:pPr>
          </w:p>
        </w:tc>
        <w:tc>
          <w:tcPr>
            <w:tcW w:w="25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2,710,000</w:t>
            </w:r>
          </w:p>
        </w:tc>
      </w:tr>
      <w:tr>
        <w:trPr>
          <w:trHeight w:val="230"/>
        </w:trPr>
        <w:tc>
          <w:tcPr>
            <w:tcW w:w="1820" w:type="dxa"/>
            <w:vAlign w:val="bottom"/>
            <w:gridSpan w:val="3"/>
          </w:tcPr>
          <w:p>
            <w:pPr>
              <w:jc w:val="center"/>
              <w:ind w:right="141"/>
              <w:spacing w:after="0"/>
              <w:rPr>
                <w:sz w:val="20"/>
                <w:szCs w:val="20"/>
                <w:color w:val="auto"/>
              </w:rPr>
            </w:pPr>
            <w:r>
              <w:rPr>
                <w:rFonts w:ascii="Times New Roman" w:cs="Times New Roman" w:eastAsia="Times New Roman" w:hAnsi="Times New Roman"/>
                <w:sz w:val="20"/>
                <w:szCs w:val="20"/>
                <w:color w:val="auto"/>
                <w:w w:val="99"/>
              </w:rPr>
              <w:t>March 26, 2018</w:t>
            </w:r>
          </w:p>
        </w:tc>
        <w:tc>
          <w:tcPr>
            <w:tcW w:w="560" w:type="dxa"/>
            <w:vAlign w:val="bottom"/>
          </w:tcPr>
          <w:p>
            <w:pPr>
              <w:spacing w:after="0"/>
              <w:rPr>
                <w:sz w:val="19"/>
                <w:szCs w:val="19"/>
                <w:color w:val="auto"/>
              </w:rPr>
            </w:pPr>
          </w:p>
        </w:tc>
        <w:tc>
          <w:tcPr>
            <w:tcW w:w="3280" w:type="dxa"/>
            <w:vAlign w:val="bottom"/>
            <w:gridSpan w:val="3"/>
          </w:tcPr>
          <w:p>
            <w:pPr>
              <w:jc w:val="center"/>
              <w:ind w:right="580"/>
              <w:spacing w:after="0"/>
              <w:rPr>
                <w:sz w:val="20"/>
                <w:szCs w:val="20"/>
                <w:color w:val="auto"/>
              </w:rPr>
            </w:pPr>
            <w:r>
              <w:rPr>
                <w:rFonts w:ascii="Times New Roman" w:cs="Times New Roman" w:eastAsia="Times New Roman" w:hAnsi="Times New Roman"/>
                <w:sz w:val="20"/>
                <w:szCs w:val="20"/>
                <w:color w:val="auto"/>
                <w:w w:val="99"/>
              </w:rPr>
              <w:t>March 26, 2018</w:t>
            </w:r>
          </w:p>
        </w:tc>
        <w:tc>
          <w:tcPr>
            <w:tcW w:w="2220" w:type="dxa"/>
            <w:vAlign w:val="bottom"/>
          </w:tcPr>
          <w:p>
            <w:pPr>
              <w:jc w:val="center"/>
              <w:ind w:right="381"/>
              <w:spacing w:after="0"/>
              <w:rPr>
                <w:sz w:val="20"/>
                <w:szCs w:val="20"/>
                <w:color w:val="auto"/>
              </w:rPr>
            </w:pPr>
            <w:r>
              <w:rPr>
                <w:rFonts w:ascii="Times New Roman" w:cs="Times New Roman" w:eastAsia="Times New Roman" w:hAnsi="Times New Roman"/>
                <w:sz w:val="20"/>
                <w:szCs w:val="20"/>
                <w:color w:val="auto"/>
                <w:w w:val="97"/>
              </w:rPr>
              <w:t>1,687,000</w:t>
            </w:r>
          </w:p>
        </w:tc>
        <w:tc>
          <w:tcPr>
            <w:tcW w:w="100" w:type="dxa"/>
            <w:vAlign w:val="bottom"/>
          </w:tcPr>
          <w:p>
            <w:pPr>
              <w:spacing w:after="0"/>
              <w:rPr>
                <w:sz w:val="19"/>
                <w:szCs w:val="19"/>
                <w:color w:val="auto"/>
              </w:rPr>
            </w:pPr>
          </w:p>
        </w:tc>
        <w:tc>
          <w:tcPr>
            <w:tcW w:w="25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4,397,000</w:t>
            </w:r>
          </w:p>
        </w:tc>
      </w:tr>
      <w:tr>
        <w:trPr>
          <w:trHeight w:val="258"/>
        </w:trPr>
        <w:tc>
          <w:tcPr>
            <w:tcW w:w="1820" w:type="dxa"/>
            <w:vAlign w:val="bottom"/>
            <w:gridSpan w:val="3"/>
          </w:tcPr>
          <w:p>
            <w:pPr>
              <w:jc w:val="center"/>
              <w:ind w:right="121"/>
              <w:spacing w:after="0"/>
              <w:rPr>
                <w:sz w:val="20"/>
                <w:szCs w:val="20"/>
                <w:color w:val="auto"/>
              </w:rPr>
            </w:pPr>
            <w:r>
              <w:rPr>
                <w:rFonts w:ascii="Times New Roman" w:cs="Times New Roman" w:eastAsia="Times New Roman" w:hAnsi="Times New Roman"/>
                <w:sz w:val="20"/>
                <w:szCs w:val="20"/>
                <w:color w:val="auto"/>
                <w:w w:val="99"/>
              </w:rPr>
              <w:t>December 12, 2019</w:t>
            </w:r>
          </w:p>
        </w:tc>
        <w:tc>
          <w:tcPr>
            <w:tcW w:w="560" w:type="dxa"/>
            <w:vAlign w:val="bottom"/>
          </w:tcPr>
          <w:p>
            <w:pPr>
              <w:spacing w:after="0"/>
              <w:rPr>
                <w:sz w:val="22"/>
                <w:szCs w:val="22"/>
                <w:color w:val="auto"/>
              </w:rPr>
            </w:pPr>
          </w:p>
        </w:tc>
        <w:tc>
          <w:tcPr>
            <w:tcW w:w="3280" w:type="dxa"/>
            <w:vAlign w:val="bottom"/>
            <w:gridSpan w:val="3"/>
          </w:tcPr>
          <w:p>
            <w:pPr>
              <w:jc w:val="center"/>
              <w:ind w:right="580"/>
              <w:spacing w:after="0"/>
              <w:rPr>
                <w:sz w:val="20"/>
                <w:szCs w:val="20"/>
                <w:color w:val="auto"/>
              </w:rPr>
            </w:pPr>
            <w:r>
              <w:rPr>
                <w:rFonts w:ascii="Times New Roman" w:cs="Times New Roman" w:eastAsia="Times New Roman" w:hAnsi="Times New Roman"/>
                <w:sz w:val="20"/>
                <w:szCs w:val="20"/>
                <w:color w:val="auto"/>
                <w:w w:val="97"/>
              </w:rPr>
              <w:t>December 12, 2019</w:t>
            </w:r>
          </w:p>
        </w:tc>
        <w:tc>
          <w:tcPr>
            <w:tcW w:w="2220" w:type="dxa"/>
            <w:vAlign w:val="bottom"/>
          </w:tcPr>
          <w:p>
            <w:pPr>
              <w:jc w:val="center"/>
              <w:ind w:right="381"/>
              <w:spacing w:after="0"/>
              <w:rPr>
                <w:sz w:val="20"/>
                <w:szCs w:val="20"/>
                <w:color w:val="auto"/>
              </w:rPr>
            </w:pPr>
            <w:r>
              <w:rPr>
                <w:rFonts w:ascii="Times New Roman" w:cs="Times New Roman" w:eastAsia="Times New Roman" w:hAnsi="Times New Roman"/>
                <w:sz w:val="20"/>
                <w:szCs w:val="20"/>
                <w:color w:val="auto"/>
                <w:w w:val="99"/>
              </w:rPr>
              <w:t>15,435,815</w:t>
            </w:r>
          </w:p>
        </w:tc>
        <w:tc>
          <w:tcPr>
            <w:tcW w:w="100" w:type="dxa"/>
            <w:vAlign w:val="bottom"/>
          </w:tcPr>
          <w:p>
            <w:pPr>
              <w:spacing w:after="0"/>
              <w:rPr>
                <w:sz w:val="22"/>
                <w:szCs w:val="22"/>
                <w:color w:val="auto"/>
              </w:rPr>
            </w:pPr>
          </w:p>
        </w:tc>
        <w:tc>
          <w:tcPr>
            <w:tcW w:w="258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19,832,815</w:t>
            </w:r>
          </w:p>
        </w:tc>
      </w:tr>
    </w:tbl>
    <w:p>
      <w:pPr>
        <w:spacing w:after="0" w:line="18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20"/>
          <w:szCs w:val="20"/>
          <w:b w:val="1"/>
          <w:bCs w:val="1"/>
          <w:color w:val="auto"/>
        </w:rPr>
        <w:t>S</w:t>
      </w:r>
      <w:r>
        <w:rPr>
          <w:rFonts w:ascii="Times New Roman" w:cs="Times New Roman" w:eastAsia="Times New Roman" w:hAnsi="Times New Roman"/>
          <w:sz w:val="16"/>
          <w:szCs w:val="16"/>
          <w:b w:val="1"/>
          <w:bCs w:val="1"/>
          <w:color w:val="auto"/>
        </w:rPr>
        <w:t>UMMARY OF</w:t>
      </w:r>
      <w:r>
        <w:rPr>
          <w:rFonts w:ascii="Times New Roman" w:cs="Times New Roman" w:eastAsia="Times New Roman" w:hAnsi="Times New Roman"/>
          <w:sz w:val="20"/>
          <w:szCs w:val="20"/>
          <w:b w:val="1"/>
          <w:bCs w:val="1"/>
          <w:color w:val="auto"/>
        </w:rPr>
        <w:t xml:space="preserve"> M</w:t>
      </w:r>
      <w:r>
        <w:rPr>
          <w:rFonts w:ascii="Times New Roman" w:cs="Times New Roman" w:eastAsia="Times New Roman" w:hAnsi="Times New Roman"/>
          <w:sz w:val="16"/>
          <w:szCs w:val="16"/>
          <w:b w:val="1"/>
          <w:bCs w:val="1"/>
          <w:color w:val="auto"/>
        </w:rPr>
        <w:t>ODIFICATIONS AND</w:t>
      </w:r>
      <w:r>
        <w:rPr>
          <w:rFonts w:ascii="Times New Roman" w:cs="Times New Roman" w:eastAsia="Times New Roman" w:hAnsi="Times New Roman"/>
          <w:sz w:val="20"/>
          <w:szCs w:val="20"/>
          <w:b w:val="1"/>
          <w:bCs w:val="1"/>
          <w:color w:val="auto"/>
        </w:rPr>
        <w:t xml:space="preserve"> A</w:t>
      </w:r>
      <w:r>
        <w:rPr>
          <w:rFonts w:ascii="Times New Roman" w:cs="Times New Roman" w:eastAsia="Times New Roman" w:hAnsi="Times New Roman"/>
          <w:sz w:val="16"/>
          <w:szCs w:val="16"/>
          <w:b w:val="1"/>
          <w:bCs w:val="1"/>
          <w:color w:val="auto"/>
        </w:rPr>
        <w:t>MENDMENTS TO THE</w:t>
      </w:r>
      <w:r>
        <w:rPr>
          <w:rFonts w:ascii="Times New Roman" w:cs="Times New Roman" w:eastAsia="Times New Roman" w:hAnsi="Times New Roman"/>
          <w:sz w:val="20"/>
          <w:szCs w:val="20"/>
          <w:b w:val="1"/>
          <w:bCs w:val="1"/>
          <w:color w:val="auto"/>
        </w:rPr>
        <w:t xml:space="preserve"> P</w:t>
      </w:r>
      <w:r>
        <w:rPr>
          <w:rFonts w:ascii="Times New Roman" w:cs="Times New Roman" w:eastAsia="Times New Roman" w:hAnsi="Times New Roman"/>
          <w:sz w:val="16"/>
          <w:szCs w:val="16"/>
          <w:b w:val="1"/>
          <w:bCs w:val="1"/>
          <w:color w:val="auto"/>
        </w:rPr>
        <w:t>LAN</w:t>
      </w:r>
    </w:p>
    <w:p>
      <w:pPr>
        <w:spacing w:after="0" w:line="112"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The following is a summary of material modifications made to the Plan (including any material deviations from the Gunderson Dettmer precedent form used to create the Plan):</w:t>
      </w:r>
    </w:p>
    <w:p>
      <w:pPr>
        <w:spacing w:after="0" w:line="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E-1</w:t>
      </w:r>
    </w:p>
    <w:p>
      <w:pPr>
        <w:sectPr>
          <w:pgSz w:w="11900" w:h="16838" w:orient="portrait"/>
          <w:cols w:equalWidth="0" w:num="1">
            <w:col w:w="11240"/>
          </w:cols>
          <w:pgMar w:left="320" w:top="261" w:right="339" w:bottom="1440" w:gutter="0" w:footer="0" w:header="0"/>
        </w:sectPr>
      </w:pPr>
    </w:p>
    <w:bookmarkStart w:id="268" w:name="page269"/>
    <w:bookmarkEnd w:id="268"/>
    <w:p>
      <w:pPr>
        <w:jc w:val="center"/>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w:t>
      </w:r>
      <w:r>
        <w:rPr>
          <w:rFonts w:ascii="Times New Roman" w:cs="Times New Roman" w:eastAsia="Times New Roman" w:hAnsi="Times New Roman"/>
          <w:sz w:val="16"/>
          <w:szCs w:val="16"/>
          <w:b w:val="1"/>
          <w:bCs w:val="1"/>
          <w:color w:val="auto"/>
        </w:rPr>
        <w:t>ARSUS</w:t>
      </w:r>
      <w:r>
        <w:rPr>
          <w:rFonts w:ascii="Times New Roman" w:cs="Times New Roman" w:eastAsia="Times New Roman" w:hAnsi="Times New Roman"/>
          <w:sz w:val="20"/>
          <w:szCs w:val="20"/>
          <w:b w:val="1"/>
          <w:bCs w:val="1"/>
          <w:color w:val="auto"/>
        </w:rPr>
        <w:t xml:space="preserve"> P</w:t>
      </w:r>
      <w:r>
        <w:rPr>
          <w:rFonts w:ascii="Times New Roman" w:cs="Times New Roman" w:eastAsia="Times New Roman" w:hAnsi="Times New Roman"/>
          <w:sz w:val="16"/>
          <w:szCs w:val="16"/>
          <w:b w:val="1"/>
          <w:bCs w:val="1"/>
          <w:color w:val="auto"/>
        </w:rPr>
        <w:t>HARMACEUTICALS</w:t>
      </w:r>
      <w:r>
        <w:rPr>
          <w:rFonts w:ascii="Times New Roman" w:cs="Times New Roman" w:eastAsia="Times New Roman" w:hAnsi="Times New Roman"/>
          <w:sz w:val="20"/>
          <w:szCs w:val="20"/>
          <w:b w:val="1"/>
          <w:bCs w:val="1"/>
          <w:color w:val="auto"/>
        </w:rPr>
        <w:t>, I</w:t>
      </w:r>
      <w:r>
        <w:rPr>
          <w:rFonts w:ascii="Times New Roman" w:cs="Times New Roman" w:eastAsia="Times New Roman" w:hAnsi="Times New Roman"/>
          <w:sz w:val="16"/>
          <w:szCs w:val="16"/>
          <w:b w:val="1"/>
          <w:bCs w:val="1"/>
          <w:color w:val="auto"/>
        </w:rPr>
        <w:t>NC</w:t>
      </w:r>
      <w:r>
        <w:rPr>
          <w:rFonts w:ascii="Times New Roman" w:cs="Times New Roman" w:eastAsia="Times New Roman" w:hAnsi="Times New Roman"/>
          <w:sz w:val="20"/>
          <w:szCs w:val="20"/>
          <w:b w:val="1"/>
          <w:bCs w:val="1"/>
          <w:color w:val="auto"/>
        </w:rPr>
        <w:t>. 2016 S</w:t>
      </w:r>
      <w:r>
        <w:rPr>
          <w:rFonts w:ascii="Times New Roman" w:cs="Times New Roman" w:eastAsia="Times New Roman" w:hAnsi="Times New Roman"/>
          <w:sz w:val="16"/>
          <w:szCs w:val="16"/>
          <w:b w:val="1"/>
          <w:bCs w:val="1"/>
          <w:color w:val="auto"/>
        </w:rPr>
        <w:t>TOCK</w:t>
      </w:r>
      <w:r>
        <w:rPr>
          <w:rFonts w:ascii="Times New Roman" w:cs="Times New Roman" w:eastAsia="Times New Roman" w:hAnsi="Times New Roman"/>
          <w:sz w:val="20"/>
          <w:szCs w:val="20"/>
          <w:b w:val="1"/>
          <w:bCs w:val="1"/>
          <w:color w:val="auto"/>
        </w:rPr>
        <w:t xml:space="preserve"> P</w:t>
      </w:r>
      <w:r>
        <w:rPr>
          <w:rFonts w:ascii="Times New Roman" w:cs="Times New Roman" w:eastAsia="Times New Roman" w:hAnsi="Times New Roman"/>
          <w:sz w:val="16"/>
          <w:szCs w:val="16"/>
          <w:b w:val="1"/>
          <w:bCs w:val="1"/>
          <w:color w:val="auto"/>
        </w:rPr>
        <w:t>LAN</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w:t>
      </w:r>
      <w:r>
        <w:rPr>
          <w:rFonts w:ascii="Times New Roman" w:cs="Times New Roman" w:eastAsia="Times New Roman" w:hAnsi="Times New Roman"/>
          <w:sz w:val="16"/>
          <w:szCs w:val="16"/>
          <w:b w:val="1"/>
          <w:bCs w:val="1"/>
          <w:color w:val="auto"/>
        </w:rPr>
        <w:t>OTICE OF</w:t>
      </w:r>
      <w:r>
        <w:rPr>
          <w:rFonts w:ascii="Times New Roman" w:cs="Times New Roman" w:eastAsia="Times New Roman" w:hAnsi="Times New Roman"/>
          <w:sz w:val="20"/>
          <w:szCs w:val="20"/>
          <w:b w:val="1"/>
          <w:bCs w:val="1"/>
          <w:color w:val="auto"/>
        </w:rPr>
        <w:t xml:space="preserve"> S</w:t>
      </w:r>
      <w:r>
        <w:rPr>
          <w:rFonts w:ascii="Times New Roman" w:cs="Times New Roman" w:eastAsia="Times New Roman" w:hAnsi="Times New Roman"/>
          <w:sz w:val="16"/>
          <w:szCs w:val="16"/>
          <w:b w:val="1"/>
          <w:bCs w:val="1"/>
          <w:color w:val="auto"/>
        </w:rPr>
        <w:t>TOCK</w:t>
      </w:r>
      <w:r>
        <w:rPr>
          <w:rFonts w:ascii="Times New Roman" w:cs="Times New Roman" w:eastAsia="Times New Roman" w:hAnsi="Times New Roman"/>
          <w:sz w:val="20"/>
          <w:szCs w:val="20"/>
          <w:b w:val="1"/>
          <w:bCs w:val="1"/>
          <w:color w:val="auto"/>
        </w:rPr>
        <w:t xml:space="preserve"> O</w:t>
      </w:r>
      <w:r>
        <w:rPr>
          <w:rFonts w:ascii="Times New Roman" w:cs="Times New Roman" w:eastAsia="Times New Roman" w:hAnsi="Times New Roman"/>
          <w:sz w:val="16"/>
          <w:szCs w:val="16"/>
          <w:b w:val="1"/>
          <w:bCs w:val="1"/>
          <w:color w:val="auto"/>
        </w:rPr>
        <w:t>PTION</w:t>
      </w:r>
      <w:r>
        <w:rPr>
          <w:rFonts w:ascii="Times New Roman" w:cs="Times New Roman" w:eastAsia="Times New Roman" w:hAnsi="Times New Roman"/>
          <w:sz w:val="20"/>
          <w:szCs w:val="20"/>
          <w:b w:val="1"/>
          <w:bCs w:val="1"/>
          <w:color w:val="auto"/>
        </w:rPr>
        <w:t xml:space="preserve"> G</w:t>
      </w:r>
      <w:r>
        <w:rPr>
          <w:rFonts w:ascii="Times New Roman" w:cs="Times New Roman" w:eastAsia="Times New Roman" w:hAnsi="Times New Roman"/>
          <w:sz w:val="16"/>
          <w:szCs w:val="16"/>
          <w:b w:val="1"/>
          <w:bCs w:val="1"/>
          <w:color w:val="auto"/>
        </w:rPr>
        <w:t>RANT</w:t>
      </w:r>
      <w:r>
        <w:rPr>
          <w:rFonts w:ascii="Times New Roman" w:cs="Times New Roman" w:eastAsia="Times New Roman" w:hAnsi="Times New Roman"/>
          <w:sz w:val="20"/>
          <w:szCs w:val="20"/>
          <w:b w:val="1"/>
          <w:bCs w:val="1"/>
          <w:color w:val="auto"/>
        </w:rPr>
        <w:t xml:space="preserve"> (I</w:t>
      </w:r>
      <w:r>
        <w:rPr>
          <w:rFonts w:ascii="Times New Roman" w:cs="Times New Roman" w:eastAsia="Times New Roman" w:hAnsi="Times New Roman"/>
          <w:sz w:val="16"/>
          <w:szCs w:val="16"/>
          <w:b w:val="1"/>
          <w:bCs w:val="1"/>
          <w:color w:val="auto"/>
        </w:rPr>
        <w:t>NSTALLMENT</w:t>
      </w:r>
      <w:r>
        <w:rPr>
          <w:rFonts w:ascii="Times New Roman" w:cs="Times New Roman" w:eastAsia="Times New Roman" w:hAnsi="Times New Roman"/>
          <w:sz w:val="20"/>
          <w:szCs w:val="20"/>
          <w:b w:val="1"/>
          <w:bCs w:val="1"/>
          <w:color w:val="auto"/>
        </w:rPr>
        <w:t xml:space="preserve"> E</w:t>
      </w:r>
      <w:r>
        <w:rPr>
          <w:rFonts w:ascii="Times New Roman" w:cs="Times New Roman" w:eastAsia="Times New Roman" w:hAnsi="Times New Roman"/>
          <w:sz w:val="16"/>
          <w:szCs w:val="16"/>
          <w:b w:val="1"/>
          <w:bCs w:val="1"/>
          <w:color w:val="auto"/>
        </w:rPr>
        <w:t>XERCISE</w:t>
      </w:r>
      <w:r>
        <w:rPr>
          <w:rFonts w:ascii="Times New Roman" w:cs="Times New Roman" w:eastAsia="Times New Roman" w:hAnsi="Times New Roman"/>
          <w:sz w:val="20"/>
          <w:szCs w:val="20"/>
          <w:b w:val="1"/>
          <w:bCs w:val="1"/>
          <w:color w:val="auto"/>
        </w:rPr>
        <w:t>)</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Optionee has been granted the following option to purchase shares of the Common Stock of Tarsus Pharmaceuticals, Inc.:</w:t>
      </w:r>
    </w:p>
    <w:p>
      <w:pPr>
        <w:sectPr>
          <w:pgSz w:w="11900" w:h="16838" w:orient="portrait"/>
          <w:cols w:equalWidth="0" w:num="1">
            <w:col w:w="11240"/>
          </w:cols>
          <w:pgMar w:left="320" w:top="261" w:right="339" w:bottom="1440" w:gutter="0" w:footer="0" w:header="0"/>
        </w:sectPr>
      </w:pPr>
    </w:p>
    <w:p>
      <w:pPr>
        <w:spacing w:after="0" w:line="36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9"/>
          <w:szCs w:val="19"/>
          <w:color w:val="auto"/>
        </w:rPr>
        <w:t>Name of Optionee:</w:t>
      </w:r>
    </w:p>
    <w:p>
      <w:pPr>
        <w:spacing w:after="0" w:line="20" w:lineRule="exact"/>
        <w:rPr>
          <w:sz w:val="20"/>
          <w:szCs w:val="20"/>
          <w:color w:val="auto"/>
        </w:rPr>
      </w:pPr>
      <w:r>
        <w:rPr>
          <w:sz w:val="20"/>
          <w:szCs w:val="20"/>
          <w:color w:val="auto"/>
        </w:rPr>
        <w:br w:type="column"/>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w:t>
      </w:r>
    </w:p>
    <w:p>
      <w:pPr>
        <w:spacing w:after="0" w:line="108" w:lineRule="exact"/>
        <w:rPr>
          <w:sz w:val="20"/>
          <w:szCs w:val="20"/>
          <w:color w:val="auto"/>
        </w:rPr>
      </w:pPr>
    </w:p>
    <w:p>
      <w:pPr>
        <w:sectPr>
          <w:pgSz w:w="11900" w:h="16838" w:orient="portrait"/>
          <w:cols w:equalWidth="0" w:num="2">
            <w:col w:w="4600" w:space="720"/>
            <w:col w:w="5920"/>
          </w:cols>
          <w:pgMar w:left="320" w:top="261" w:right="339" w:bottom="1440" w:gutter="0" w:footer="0" w:header="0"/>
          <w:type w:val="continuous"/>
        </w:sectPr>
      </w:pPr>
    </w:p>
    <w:p>
      <w:pPr>
        <w:ind w:left="460"/>
        <w:spacing w:after="0"/>
        <w:rPr>
          <w:sz w:val="20"/>
          <w:szCs w:val="20"/>
          <w:color w:val="auto"/>
        </w:rPr>
      </w:pPr>
      <w:r>
        <w:rPr>
          <w:rFonts w:ascii="Times New Roman" w:cs="Times New Roman" w:eastAsia="Times New Roman" w:hAnsi="Times New Roman"/>
          <w:sz w:val="19"/>
          <w:szCs w:val="19"/>
          <w:color w:val="auto"/>
        </w:rPr>
        <w:t>Total Number of Shares: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9"/>
          <w:szCs w:val="19"/>
          <w:color w:val="auto"/>
        </w:rPr>
        <w:t>«TotalShares»</w:t>
      </w:r>
    </w:p>
    <w:p>
      <w:pPr>
        <w:spacing w:after="0" w:line="119" w:lineRule="exact"/>
        <w:rPr>
          <w:sz w:val="20"/>
          <w:szCs w:val="20"/>
          <w:color w:val="auto"/>
        </w:rPr>
      </w:pPr>
    </w:p>
    <w:p>
      <w:pPr>
        <w:sectPr>
          <w:pgSz w:w="11900" w:h="16838" w:orient="portrait"/>
          <w:cols w:equalWidth="0" w:num="2">
            <w:col w:w="4600" w:space="720"/>
            <w:col w:w="5920"/>
          </w:cols>
          <w:pgMar w:left="320" w:top="261" w:right="339" w:bottom="1440" w:gutter="0" w:footer="0" w:header="0"/>
          <w:type w:val="continuous"/>
        </w:sectPr>
      </w:pPr>
    </w:p>
    <w:p>
      <w:pPr>
        <w:ind w:left="460"/>
        <w:spacing w:after="0"/>
        <w:rPr>
          <w:sz w:val="20"/>
          <w:szCs w:val="20"/>
          <w:color w:val="auto"/>
        </w:rPr>
      </w:pPr>
      <w:r>
        <w:rPr>
          <w:rFonts w:ascii="Times New Roman" w:cs="Times New Roman" w:eastAsia="Times New Roman" w:hAnsi="Times New Roman"/>
          <w:sz w:val="19"/>
          <w:szCs w:val="19"/>
          <w:color w:val="auto"/>
        </w:rPr>
        <w:t>Type of Option: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9"/>
          <w:szCs w:val="19"/>
          <w:color w:val="auto"/>
        </w:rPr>
        <w:t>«ISO»Incentive Stock Option (ISO)</w:t>
      </w:r>
    </w:p>
    <w:p>
      <w:pPr>
        <w:spacing w:after="0" w:line="115" w:lineRule="exact"/>
        <w:rPr>
          <w:sz w:val="20"/>
          <w:szCs w:val="20"/>
          <w:color w:val="auto"/>
        </w:rPr>
      </w:pPr>
    </w:p>
    <w:p>
      <w:pPr>
        <w:sectPr>
          <w:pgSz w:w="11900" w:h="16838" w:orient="portrait"/>
          <w:cols w:equalWidth="0" w:num="2">
            <w:col w:w="4600" w:space="720"/>
            <w:col w:w="5920"/>
          </w:cols>
          <w:pgMar w:left="320" w:top="261" w:right="339" w:bottom="1440" w:gutter="0" w:footer="0" w:header="0"/>
          <w:type w:val="continuous"/>
        </w:sectPr>
      </w:pPr>
    </w:p>
    <w:p>
      <w:pPr>
        <w:ind w:left="5320"/>
        <w:spacing w:after="0"/>
        <w:rPr>
          <w:sz w:val="20"/>
          <w:szCs w:val="20"/>
          <w:color w:val="auto"/>
        </w:rPr>
      </w:pPr>
      <w:r>
        <w:rPr>
          <w:rFonts w:ascii="Times New Roman" w:cs="Times New Roman" w:eastAsia="Times New Roman" w:hAnsi="Times New Roman"/>
          <w:sz w:val="19"/>
          <w:szCs w:val="19"/>
          <w:b w:val="1"/>
          <w:bCs w:val="1"/>
          <w:color w:val="auto"/>
        </w:rPr>
        <w:t>«NSO»Nonstatutory Stock Option (NSO)</w:t>
      </w:r>
    </w:p>
    <w:p>
      <w:pPr>
        <w:sectPr>
          <w:pgSz w:w="11900" w:h="16838" w:orient="portrait"/>
          <w:cols w:equalWidth="0" w:num="1">
            <w:col w:w="11240"/>
          </w:cols>
          <w:pgMar w:left="320" w:top="261" w:right="339" w:bottom="1440" w:gutter="0" w:footer="0" w:header="0"/>
          <w:type w:val="continuous"/>
        </w:sectPr>
      </w:pPr>
    </w:p>
    <w:p>
      <w:pPr>
        <w:spacing w:after="0" w:line="1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9"/>
          <w:szCs w:val="19"/>
          <w:color w:val="auto"/>
        </w:rPr>
        <w:t>Exercise Price per Share:</w:t>
      </w:r>
    </w:p>
    <w:p>
      <w:pPr>
        <w:spacing w:after="0" w:line="20" w:lineRule="exact"/>
        <w:rPr>
          <w:sz w:val="20"/>
          <w:szCs w:val="20"/>
          <w:color w:val="auto"/>
        </w:rPr>
      </w:pPr>
      <w:r>
        <w:rPr>
          <w:sz w:val="20"/>
          <w:szCs w:val="20"/>
          <w:color w:val="auto"/>
        </w:rPr>
        <w:br w:type="column"/>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$«PricePerShare»</w:t>
      </w:r>
    </w:p>
    <w:p>
      <w:pPr>
        <w:spacing w:after="0" w:line="119" w:lineRule="exact"/>
        <w:rPr>
          <w:sz w:val="20"/>
          <w:szCs w:val="20"/>
          <w:color w:val="auto"/>
        </w:rPr>
      </w:pPr>
    </w:p>
    <w:p>
      <w:pPr>
        <w:sectPr>
          <w:pgSz w:w="11900" w:h="16838" w:orient="portrait"/>
          <w:cols w:equalWidth="0" w:num="2">
            <w:col w:w="4600" w:space="720"/>
            <w:col w:w="5920"/>
          </w:cols>
          <w:pgMar w:left="320" w:top="261" w:right="339" w:bottom="1440" w:gutter="0" w:footer="0" w:header="0"/>
          <w:type w:val="continuous"/>
        </w:sectPr>
      </w:pPr>
    </w:p>
    <w:p>
      <w:pPr>
        <w:ind w:left="460"/>
        <w:spacing w:after="0"/>
        <w:rPr>
          <w:sz w:val="20"/>
          <w:szCs w:val="20"/>
          <w:color w:val="auto"/>
        </w:rPr>
      </w:pPr>
      <w:r>
        <w:rPr>
          <w:rFonts w:ascii="Times New Roman" w:cs="Times New Roman" w:eastAsia="Times New Roman" w:hAnsi="Times New Roman"/>
          <w:sz w:val="19"/>
          <w:szCs w:val="19"/>
          <w:color w:val="auto"/>
        </w:rPr>
        <w:t>Date of Grant: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9"/>
          <w:szCs w:val="19"/>
          <w:color w:val="auto"/>
        </w:rPr>
        <w:t>«DateGrant»</w:t>
      </w:r>
    </w:p>
    <w:p>
      <w:pPr>
        <w:spacing w:after="0" w:line="119" w:lineRule="exact"/>
        <w:rPr>
          <w:sz w:val="20"/>
          <w:szCs w:val="20"/>
          <w:color w:val="auto"/>
        </w:rPr>
      </w:pPr>
    </w:p>
    <w:p>
      <w:pPr>
        <w:sectPr>
          <w:pgSz w:w="11900" w:h="16838" w:orient="portrait"/>
          <w:cols w:equalWidth="0" w:num="2">
            <w:col w:w="4600" w:space="720"/>
            <w:col w:w="5920"/>
          </w:cols>
          <w:pgMar w:left="320" w:top="261" w:right="339" w:bottom="1440" w:gutter="0" w:footer="0" w:header="0"/>
          <w:type w:val="continuous"/>
        </w:sectPr>
      </w:pPr>
    </w:p>
    <w:p>
      <w:pPr>
        <w:ind w:left="460"/>
        <w:spacing w:after="0"/>
        <w:rPr>
          <w:sz w:val="20"/>
          <w:szCs w:val="20"/>
          <w:color w:val="auto"/>
        </w:rPr>
      </w:pPr>
      <w:r>
        <w:rPr>
          <w:rFonts w:ascii="Times New Roman" w:cs="Times New Roman" w:eastAsia="Times New Roman" w:hAnsi="Times New Roman"/>
          <w:sz w:val="19"/>
          <w:szCs w:val="19"/>
          <w:color w:val="auto"/>
        </w:rPr>
        <w:t>Date Exercisable:</w:t>
      </w:r>
    </w:p>
    <w:p>
      <w:pPr>
        <w:spacing w:after="0" w:line="20" w:lineRule="exact"/>
        <w:rPr>
          <w:sz w:val="20"/>
          <w:szCs w:val="20"/>
          <w:color w:val="auto"/>
        </w:rPr>
      </w:pPr>
      <w:r>
        <w:rPr>
          <w:sz w:val="20"/>
          <w:szCs w:val="20"/>
          <w:color w:val="auto"/>
        </w:rPr>
        <w:br w:type="column"/>
      </w:r>
    </w:p>
    <w:p>
      <w:pPr>
        <w:ind w:right="500"/>
        <w:spacing w:after="0" w:line="244" w:lineRule="auto"/>
        <w:rPr>
          <w:sz w:val="20"/>
          <w:szCs w:val="20"/>
          <w:color w:val="auto"/>
        </w:rPr>
      </w:pPr>
      <w:r>
        <w:rPr>
          <w:rFonts w:ascii="Times New Roman" w:cs="Times New Roman" w:eastAsia="Times New Roman" w:hAnsi="Times New Roman"/>
          <w:sz w:val="20"/>
          <w:szCs w:val="20"/>
          <w:color w:val="auto"/>
        </w:rPr>
        <w:t>This option may be exercised with respect to the first «Percent»% of the Shares subject to this option when the Optionee completes «CliffPeriod» months of continuous Service beginning with the Vesting Commencement Date set forth below. This option may be exercised with respect to an additional «Fraction»% of the Shares subject to this option when the Optionee completes each month of continuous Service thereafter.</w:t>
      </w:r>
    </w:p>
    <w:p>
      <w:pPr>
        <w:spacing w:after="0" w:line="78" w:lineRule="exact"/>
        <w:rPr>
          <w:sz w:val="20"/>
          <w:szCs w:val="20"/>
          <w:color w:val="auto"/>
        </w:rPr>
      </w:pPr>
    </w:p>
    <w:p>
      <w:pPr>
        <w:sectPr>
          <w:pgSz w:w="11900" w:h="16838" w:orient="portrait"/>
          <w:cols w:equalWidth="0" w:num="2">
            <w:col w:w="4600" w:space="720"/>
            <w:col w:w="5920"/>
          </w:cols>
          <w:pgMar w:left="320" w:top="261" w:right="339" w:bottom="1440" w:gutter="0" w:footer="0" w:header="0"/>
          <w:type w:val="continuous"/>
        </w:sectPr>
      </w:pPr>
    </w:p>
    <w:p>
      <w:pPr>
        <w:ind w:left="460"/>
        <w:spacing w:after="0"/>
        <w:rPr>
          <w:sz w:val="20"/>
          <w:szCs w:val="20"/>
          <w:color w:val="auto"/>
        </w:rPr>
      </w:pPr>
      <w:r>
        <w:rPr>
          <w:rFonts w:ascii="Times New Roman" w:cs="Times New Roman" w:eastAsia="Times New Roman" w:hAnsi="Times New Roman"/>
          <w:sz w:val="19"/>
          <w:szCs w:val="19"/>
          <w:color w:val="auto"/>
        </w:rPr>
        <w:t>Vesting Commencement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9"/>
          <w:szCs w:val="19"/>
          <w:color w:val="auto"/>
        </w:rPr>
        <w:t>«VestComDate»</w:t>
      </w:r>
    </w:p>
    <w:p>
      <w:pPr>
        <w:spacing w:after="0" w:line="119" w:lineRule="exact"/>
        <w:rPr>
          <w:sz w:val="20"/>
          <w:szCs w:val="20"/>
          <w:color w:val="auto"/>
        </w:rPr>
      </w:pPr>
    </w:p>
    <w:p>
      <w:pPr>
        <w:sectPr>
          <w:pgSz w:w="11900" w:h="16838" w:orient="portrait"/>
          <w:cols w:equalWidth="0" w:num="2">
            <w:col w:w="4600" w:space="720"/>
            <w:col w:w="5920"/>
          </w:cols>
          <w:pgMar w:left="320" w:top="261" w:right="339" w:bottom="1440" w:gutter="0" w:footer="0" w:header="0"/>
          <w:type w:val="continuous"/>
        </w:sectPr>
      </w:pPr>
    </w:p>
    <w:p>
      <w:pPr>
        <w:ind w:left="460"/>
        <w:spacing w:after="0"/>
        <w:rPr>
          <w:sz w:val="20"/>
          <w:szCs w:val="20"/>
          <w:color w:val="auto"/>
        </w:rPr>
      </w:pPr>
      <w:r>
        <w:rPr>
          <w:rFonts w:ascii="Times New Roman" w:cs="Times New Roman" w:eastAsia="Times New Roman" w:hAnsi="Times New Roman"/>
          <w:sz w:val="19"/>
          <w:szCs w:val="19"/>
          <w:color w:val="auto"/>
        </w:rPr>
        <w:t>Expiration Date:</w:t>
      </w:r>
    </w:p>
    <w:p>
      <w:pPr>
        <w:spacing w:after="0" w:line="20" w:lineRule="exact"/>
        <w:rPr>
          <w:sz w:val="20"/>
          <w:szCs w:val="20"/>
          <w:color w:val="auto"/>
        </w:rPr>
      </w:pPr>
      <w:r>
        <w:rPr>
          <w:sz w:val="20"/>
          <w:szCs w:val="20"/>
          <w:color w:val="auto"/>
        </w:rPr>
        <w:br w:type="column"/>
      </w:r>
    </w:p>
    <w:p>
      <w:pPr>
        <w:ind w:right="840"/>
        <w:spacing w:after="0" w:line="249" w:lineRule="auto"/>
        <w:rPr>
          <w:sz w:val="20"/>
          <w:szCs w:val="20"/>
          <w:color w:val="auto"/>
        </w:rPr>
      </w:pPr>
      <w:r>
        <w:rPr>
          <w:rFonts w:ascii="Times New Roman" w:cs="Times New Roman" w:eastAsia="Times New Roman" w:hAnsi="Times New Roman"/>
          <w:sz w:val="20"/>
          <w:szCs w:val="20"/>
          <w:color w:val="auto"/>
        </w:rPr>
        <w:t>«ExpDate». This option expires earlier if the Optionee’s Service terminates earlier, as provided in Section 6 of the Stock Option Agreement, or if the Company engages in certain corporate transactions, as provided in Section 8(b) of the Plan.</w:t>
      </w:r>
    </w:p>
    <w:p>
      <w:pPr>
        <w:spacing w:after="0" w:line="180" w:lineRule="exact"/>
        <w:rPr>
          <w:sz w:val="20"/>
          <w:szCs w:val="20"/>
          <w:color w:val="auto"/>
        </w:rPr>
      </w:pPr>
    </w:p>
    <w:p>
      <w:pPr>
        <w:sectPr>
          <w:pgSz w:w="11900" w:h="16838" w:orient="portrait"/>
          <w:cols w:equalWidth="0" w:num="2">
            <w:col w:w="4600" w:space="720"/>
            <w:col w:w="5920"/>
          </w:cols>
          <w:pgMar w:left="320" w:top="261" w:right="339" w:bottom="1440" w:gutter="0" w:footer="0" w:header="0"/>
          <w:type w:val="continuous"/>
        </w:sectPr>
      </w:pPr>
    </w:p>
    <w:p>
      <w:pPr>
        <w:jc w:val="both"/>
        <w:spacing w:after="0" w:line="254" w:lineRule="auto"/>
        <w:rPr>
          <w:sz w:val="20"/>
          <w:szCs w:val="20"/>
          <w:color w:val="auto"/>
        </w:rPr>
      </w:pPr>
      <w:r>
        <w:rPr>
          <w:rFonts w:ascii="Times New Roman" w:cs="Times New Roman" w:eastAsia="Times New Roman" w:hAnsi="Times New Roman"/>
          <w:sz w:val="20"/>
          <w:szCs w:val="20"/>
          <w:color w:val="auto"/>
        </w:rPr>
        <w:t xml:space="preserve">By signing below, the Optionee and the Company agree that this option is granted under, and governed by the terms and conditions of, the 2016 Stock Plan and the Stock Option Agreement. Both of these documents are attached to, and made a part of, this Notice of Stock Option Grant. </w:t>
      </w:r>
      <w:r>
        <w:rPr>
          <w:rFonts w:ascii="Times New Roman" w:cs="Times New Roman" w:eastAsia="Times New Roman" w:hAnsi="Times New Roman"/>
          <w:sz w:val="20"/>
          <w:szCs w:val="20"/>
          <w:b w:val="1"/>
          <w:bCs w:val="1"/>
          <w:color w:val="auto"/>
        </w:rPr>
        <w:t>Section 13 of the Stock Option Agreement includes important acknowledgements of the Optionee</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13" w:lineRule="exact"/>
        <w:rPr>
          <w:sz w:val="20"/>
          <w:szCs w:val="20"/>
          <w:color w:val="auto"/>
        </w:rPr>
      </w:pPr>
    </w:p>
    <w:p>
      <w:pPr>
        <w:spacing w:after="0"/>
        <w:tabs>
          <w:tab w:leader="none" w:pos="5560" w:val="left"/>
        </w:tabs>
        <w:rPr>
          <w:sz w:val="20"/>
          <w:szCs w:val="20"/>
          <w:color w:val="auto"/>
        </w:rPr>
      </w:pPr>
      <w:r>
        <w:rPr>
          <w:rFonts w:ascii="Times New Roman" w:cs="Times New Roman" w:eastAsia="Times New Roman" w:hAnsi="Times New Roman"/>
          <w:sz w:val="20"/>
          <w:szCs w:val="20"/>
          <w:b w:val="1"/>
          <w:bCs w:val="1"/>
          <w:color w:val="auto"/>
        </w:rPr>
        <w:t>O</w:t>
      </w:r>
      <w:r>
        <w:rPr>
          <w:rFonts w:ascii="Times New Roman" w:cs="Times New Roman" w:eastAsia="Times New Roman" w:hAnsi="Times New Roman"/>
          <w:sz w:val="16"/>
          <w:szCs w:val="16"/>
          <w:b w:val="1"/>
          <w:bCs w:val="1"/>
          <w:color w:val="auto"/>
        </w:rPr>
        <w:t>PTIONEE</w:t>
      </w:r>
      <w:r>
        <w:rPr>
          <w:rFonts w:ascii="Times New Roman" w:cs="Times New Roman" w:eastAsia="Times New Roman" w:hAnsi="Times New Roman"/>
          <w:sz w:val="20"/>
          <w:szCs w:val="20"/>
          <w:b w:val="1"/>
          <w:bCs w:val="1"/>
          <w:color w:val="auto"/>
        </w:rPr>
        <w:t>:</w:t>
      </w:r>
      <w:r>
        <w:rPr>
          <w:sz w:val="20"/>
          <w:szCs w:val="20"/>
          <w:color w:val="auto"/>
        </w:rPr>
        <w:tab/>
      </w:r>
      <w:r>
        <w:rPr>
          <w:rFonts w:ascii="Times New Roman" w:cs="Times New Roman" w:eastAsia="Times New Roman" w:hAnsi="Times New Roman"/>
          <w:sz w:val="20"/>
          <w:szCs w:val="20"/>
          <w:b w:val="1"/>
          <w:bCs w:val="1"/>
          <w:color w:val="auto"/>
        </w:rPr>
        <w:t>T</w:t>
      </w:r>
      <w:r>
        <w:rPr>
          <w:rFonts w:ascii="Times New Roman" w:cs="Times New Roman" w:eastAsia="Times New Roman" w:hAnsi="Times New Roman"/>
          <w:sz w:val="16"/>
          <w:szCs w:val="16"/>
          <w:b w:val="1"/>
          <w:bCs w:val="1"/>
          <w:color w:val="auto"/>
        </w:rPr>
        <w:t>ARSUS</w:t>
      </w:r>
      <w:r>
        <w:rPr>
          <w:rFonts w:ascii="Times New Roman" w:cs="Times New Roman" w:eastAsia="Times New Roman" w:hAnsi="Times New Roman"/>
          <w:sz w:val="20"/>
          <w:szCs w:val="20"/>
          <w:b w:val="1"/>
          <w:bCs w:val="1"/>
          <w:color w:val="auto"/>
        </w:rPr>
        <w:t xml:space="preserve"> P</w:t>
      </w:r>
      <w:r>
        <w:rPr>
          <w:rFonts w:ascii="Times New Roman" w:cs="Times New Roman" w:eastAsia="Times New Roman" w:hAnsi="Times New Roman"/>
          <w:sz w:val="16"/>
          <w:szCs w:val="16"/>
          <w:b w:val="1"/>
          <w:bCs w:val="1"/>
          <w:color w:val="auto"/>
        </w:rPr>
        <w:t>HARMACEUTICALS</w:t>
      </w:r>
      <w:r>
        <w:rPr>
          <w:rFonts w:ascii="Times New Roman" w:cs="Times New Roman" w:eastAsia="Times New Roman" w:hAnsi="Times New Roman"/>
          <w:sz w:val="20"/>
          <w:szCs w:val="20"/>
          <w:b w:val="1"/>
          <w:bCs w:val="1"/>
          <w:color w:val="auto"/>
        </w:rPr>
        <w:t>, I</w:t>
      </w:r>
      <w:r>
        <w:rPr>
          <w:rFonts w:ascii="Times New Roman" w:cs="Times New Roman" w:eastAsia="Times New Roman" w:hAnsi="Times New Roman"/>
          <w:sz w:val="16"/>
          <w:szCs w:val="16"/>
          <w:b w:val="1"/>
          <w:bCs w:val="1"/>
          <w:color w:val="auto"/>
        </w:rPr>
        <w:t>NC</w:t>
      </w:r>
      <w:r>
        <w:rPr>
          <w:rFonts w:ascii="Times New Roman" w:cs="Times New Roman" w:eastAsia="Times New Roman" w:hAnsi="Times New Roman"/>
          <w:sz w:val="20"/>
          <w:szCs w:val="20"/>
          <w:b w:val="1"/>
          <w:bCs w:val="1"/>
          <w:color w:val="auto"/>
        </w:rPr>
        <w:t>.</w:t>
      </w:r>
    </w:p>
    <w:p>
      <w:pPr>
        <w:spacing w:after="0" w:line="22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132320"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8"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4445</wp:posOffset>
            </wp:positionV>
            <wp:extent cx="3326130" cy="88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3326130" cy="8890"/>
                    </a:xfrm>
                    <a:prstGeom prst="rect">
                      <a:avLst/>
                    </a:prstGeom>
                    <a:noFill/>
                  </pic:spPr>
                </pic:pic>
              </a:graphicData>
            </a:graphic>
          </wp:anchor>
        </w:drawing>
      </w:r>
    </w:p>
    <w:p>
      <w:pPr>
        <w:sectPr>
          <w:pgSz w:w="11900" w:h="16838" w:orient="portrait"/>
          <w:cols w:equalWidth="0" w:num="1">
            <w:col w:w="11240"/>
          </w:cols>
          <w:pgMar w:left="320" w:top="261" w:right="339" w:bottom="1440" w:gutter="0" w:footer="0" w:header="0"/>
          <w:type w:val="continuous"/>
        </w:sectPr>
      </w:pPr>
    </w:p>
    <w:bookmarkStart w:id="269" w:name="page270"/>
    <w:bookmarkEnd w:id="269"/>
    <w:p>
      <w:pPr>
        <w:ind w:right="300"/>
        <w:spacing w:after="0" w:line="247" w:lineRule="auto"/>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OPTION GRANTED PURSUANT TO THIS AGREEMENT AND THE SHARES ISSUABLE UPON THE EXERCISE THEREOF HAVE NOT BEEN REGISTERED UNDER THE SECURITIES ACT OF 1933, AS AMENDED, AND MAY NOT BE SOLD, PLEDGED, OR OTHERWISE TRANSFERRED WITHOUT AN EFFECTIVE REGISTRATION THEREOF UNDER SUCH ACT OR AN OPINION OF COUNSEL, SATISFACTORY TO THE COMPANY AND ITS COUNSEL, THAT SUCH REGISTRATION IS NOT REQUIRED.</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w:t>
      </w:r>
      <w:r>
        <w:rPr>
          <w:rFonts w:ascii="Times New Roman" w:cs="Times New Roman" w:eastAsia="Times New Roman" w:hAnsi="Times New Roman"/>
          <w:sz w:val="16"/>
          <w:szCs w:val="16"/>
          <w:b w:val="1"/>
          <w:bCs w:val="1"/>
          <w:color w:val="auto"/>
        </w:rPr>
        <w:t>ARSUS</w:t>
      </w:r>
      <w:r>
        <w:rPr>
          <w:rFonts w:ascii="Times New Roman" w:cs="Times New Roman" w:eastAsia="Times New Roman" w:hAnsi="Times New Roman"/>
          <w:sz w:val="20"/>
          <w:szCs w:val="20"/>
          <w:b w:val="1"/>
          <w:bCs w:val="1"/>
          <w:color w:val="auto"/>
        </w:rPr>
        <w:t xml:space="preserve"> P</w:t>
      </w:r>
      <w:r>
        <w:rPr>
          <w:rFonts w:ascii="Times New Roman" w:cs="Times New Roman" w:eastAsia="Times New Roman" w:hAnsi="Times New Roman"/>
          <w:sz w:val="16"/>
          <w:szCs w:val="16"/>
          <w:b w:val="1"/>
          <w:bCs w:val="1"/>
          <w:color w:val="auto"/>
        </w:rPr>
        <w:t>HARMACEUTICALS</w:t>
      </w:r>
      <w:r>
        <w:rPr>
          <w:rFonts w:ascii="Times New Roman" w:cs="Times New Roman" w:eastAsia="Times New Roman" w:hAnsi="Times New Roman"/>
          <w:sz w:val="20"/>
          <w:szCs w:val="20"/>
          <w:b w:val="1"/>
          <w:bCs w:val="1"/>
          <w:color w:val="auto"/>
        </w:rPr>
        <w:t>, I</w:t>
      </w:r>
      <w:r>
        <w:rPr>
          <w:rFonts w:ascii="Times New Roman" w:cs="Times New Roman" w:eastAsia="Times New Roman" w:hAnsi="Times New Roman"/>
          <w:sz w:val="16"/>
          <w:szCs w:val="16"/>
          <w:b w:val="1"/>
          <w:bCs w:val="1"/>
          <w:color w:val="auto"/>
        </w:rPr>
        <w:t>NC</w:t>
      </w:r>
      <w:r>
        <w:rPr>
          <w:rFonts w:ascii="Times New Roman" w:cs="Times New Roman" w:eastAsia="Times New Roman" w:hAnsi="Times New Roman"/>
          <w:sz w:val="20"/>
          <w:szCs w:val="20"/>
          <w:b w:val="1"/>
          <w:bCs w:val="1"/>
          <w:color w:val="auto"/>
        </w:rPr>
        <w:t>. 2016 S</w:t>
      </w:r>
      <w:r>
        <w:rPr>
          <w:rFonts w:ascii="Times New Roman" w:cs="Times New Roman" w:eastAsia="Times New Roman" w:hAnsi="Times New Roman"/>
          <w:sz w:val="16"/>
          <w:szCs w:val="16"/>
          <w:b w:val="1"/>
          <w:bCs w:val="1"/>
          <w:color w:val="auto"/>
        </w:rPr>
        <w:t>TOCK</w:t>
      </w:r>
      <w:r>
        <w:rPr>
          <w:rFonts w:ascii="Times New Roman" w:cs="Times New Roman" w:eastAsia="Times New Roman" w:hAnsi="Times New Roman"/>
          <w:sz w:val="20"/>
          <w:szCs w:val="20"/>
          <w:b w:val="1"/>
          <w:bCs w:val="1"/>
          <w:color w:val="auto"/>
        </w:rPr>
        <w:t xml:space="preserve"> P</w:t>
      </w:r>
      <w:r>
        <w:rPr>
          <w:rFonts w:ascii="Times New Roman" w:cs="Times New Roman" w:eastAsia="Times New Roman" w:hAnsi="Times New Roman"/>
          <w:sz w:val="16"/>
          <w:szCs w:val="16"/>
          <w:b w:val="1"/>
          <w:bCs w:val="1"/>
          <w:color w:val="auto"/>
        </w:rPr>
        <w:t>LAN</w:t>
      </w:r>
      <w:r>
        <w:rPr>
          <w:rFonts w:ascii="Times New Roman" w:cs="Times New Roman" w:eastAsia="Times New Roman" w:hAnsi="Times New Roman"/>
          <w:sz w:val="20"/>
          <w:szCs w:val="20"/>
          <w:b w:val="1"/>
          <w:bCs w:val="1"/>
          <w:color w:val="auto"/>
        </w:rPr>
        <w:t>:</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w:t>
      </w:r>
      <w:r>
        <w:rPr>
          <w:rFonts w:ascii="Times New Roman" w:cs="Times New Roman" w:eastAsia="Times New Roman" w:hAnsi="Times New Roman"/>
          <w:sz w:val="16"/>
          <w:szCs w:val="16"/>
          <w:b w:val="1"/>
          <w:bCs w:val="1"/>
          <w:color w:val="auto"/>
        </w:rPr>
        <w:t>TOCK</w:t>
      </w:r>
      <w:r>
        <w:rPr>
          <w:rFonts w:ascii="Times New Roman" w:cs="Times New Roman" w:eastAsia="Times New Roman" w:hAnsi="Times New Roman"/>
          <w:sz w:val="20"/>
          <w:szCs w:val="20"/>
          <w:b w:val="1"/>
          <w:bCs w:val="1"/>
          <w:color w:val="auto"/>
        </w:rPr>
        <w:t xml:space="preserve"> O</w:t>
      </w:r>
      <w:r>
        <w:rPr>
          <w:rFonts w:ascii="Times New Roman" w:cs="Times New Roman" w:eastAsia="Times New Roman" w:hAnsi="Times New Roman"/>
          <w:sz w:val="16"/>
          <w:szCs w:val="16"/>
          <w:b w:val="1"/>
          <w:bCs w:val="1"/>
          <w:color w:val="auto"/>
        </w:rPr>
        <w:t>PTION</w:t>
      </w:r>
      <w:r>
        <w:rPr>
          <w:rFonts w:ascii="Times New Roman" w:cs="Times New Roman" w:eastAsia="Times New Roman" w:hAnsi="Times New Roman"/>
          <w:sz w:val="20"/>
          <w:szCs w:val="20"/>
          <w:b w:val="1"/>
          <w:bCs w:val="1"/>
          <w:color w:val="auto"/>
        </w:rPr>
        <w:t xml:space="preserve"> A</w:t>
      </w:r>
      <w:r>
        <w:rPr>
          <w:rFonts w:ascii="Times New Roman" w:cs="Times New Roman" w:eastAsia="Times New Roman" w:hAnsi="Times New Roman"/>
          <w:sz w:val="16"/>
          <w:szCs w:val="16"/>
          <w:b w:val="1"/>
          <w:bCs w:val="1"/>
          <w:color w:val="auto"/>
        </w:rPr>
        <w:t>GREEMENT</w:t>
      </w:r>
      <w:r>
        <w:rPr>
          <w:rFonts w:ascii="Times New Roman" w:cs="Times New Roman" w:eastAsia="Times New Roman" w:hAnsi="Times New Roman"/>
          <w:sz w:val="20"/>
          <w:szCs w:val="20"/>
          <w:b w:val="1"/>
          <w:bCs w:val="1"/>
          <w:color w:val="auto"/>
        </w:rPr>
        <w:t xml:space="preserve"> (I</w:t>
      </w:r>
      <w:r>
        <w:rPr>
          <w:rFonts w:ascii="Times New Roman" w:cs="Times New Roman" w:eastAsia="Times New Roman" w:hAnsi="Times New Roman"/>
          <w:sz w:val="16"/>
          <w:szCs w:val="16"/>
          <w:b w:val="1"/>
          <w:bCs w:val="1"/>
          <w:color w:val="auto"/>
        </w:rPr>
        <w:t>NSTALLMENT</w:t>
      </w:r>
      <w:r>
        <w:rPr>
          <w:rFonts w:ascii="Times New Roman" w:cs="Times New Roman" w:eastAsia="Times New Roman" w:hAnsi="Times New Roman"/>
          <w:sz w:val="20"/>
          <w:szCs w:val="20"/>
          <w:b w:val="1"/>
          <w:bCs w:val="1"/>
          <w:color w:val="auto"/>
        </w:rPr>
        <w:t xml:space="preserve"> E</w:t>
      </w:r>
      <w:r>
        <w:rPr>
          <w:rFonts w:ascii="Times New Roman" w:cs="Times New Roman" w:eastAsia="Times New Roman" w:hAnsi="Times New Roman"/>
          <w:sz w:val="16"/>
          <w:szCs w:val="16"/>
          <w:b w:val="1"/>
          <w:bCs w:val="1"/>
          <w:color w:val="auto"/>
        </w:rPr>
        <w:t>XERCISE</w:t>
      </w:r>
      <w:r>
        <w:rPr>
          <w:rFonts w:ascii="Times New Roman" w:cs="Times New Roman" w:eastAsia="Times New Roman" w:hAnsi="Times New Roman"/>
          <w:sz w:val="20"/>
          <w:szCs w:val="20"/>
          <w:b w:val="1"/>
          <w:bCs w:val="1"/>
          <w:color w:val="auto"/>
        </w:rPr>
        <w:t>)</w:t>
      </w:r>
    </w:p>
    <w:p>
      <w:pPr>
        <w:spacing w:after="0" w:line="200" w:lineRule="exact"/>
        <w:rPr>
          <w:sz w:val="20"/>
          <w:szCs w:val="20"/>
          <w:color w:val="auto"/>
        </w:rPr>
      </w:pPr>
    </w:p>
    <w:p>
      <w:pPr>
        <w:spacing w:after="0" w:line="340"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SECTION 1.</w:t>
      </w:r>
      <w:r>
        <w:rPr>
          <w:sz w:val="20"/>
          <w:szCs w:val="20"/>
          <w:color w:val="auto"/>
        </w:rPr>
        <w:tab/>
      </w:r>
      <w:r>
        <w:rPr>
          <w:rFonts w:ascii="Times New Roman" w:cs="Times New Roman" w:eastAsia="Times New Roman" w:hAnsi="Times New Roman"/>
          <w:sz w:val="19"/>
          <w:szCs w:val="19"/>
          <w:b w:val="1"/>
          <w:bCs w:val="1"/>
          <w:color w:val="auto"/>
        </w:rPr>
        <w:t>GRANT OF OPTION.</w:t>
      </w:r>
    </w:p>
    <w:p>
      <w:pPr>
        <w:spacing w:after="0" w:line="108" w:lineRule="exact"/>
        <w:rPr>
          <w:sz w:val="20"/>
          <w:szCs w:val="20"/>
          <w:color w:val="auto"/>
        </w:rPr>
      </w:pPr>
    </w:p>
    <w:p>
      <w:pPr>
        <w:jc w:val="both"/>
        <w:ind w:firstLine="794"/>
        <w:spacing w:after="0" w:line="247" w:lineRule="auto"/>
        <w:tabs>
          <w:tab w:leader="none" w:pos="1401" w:val="left"/>
        </w:tabs>
        <w:numPr>
          <w:ilvl w:val="0"/>
          <w:numId w:val="2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Option</w:t>
      </w:r>
      <w:r>
        <w:rPr>
          <w:rFonts w:ascii="Times New Roman" w:cs="Times New Roman" w:eastAsia="Times New Roman" w:hAnsi="Times New Roman"/>
          <w:sz w:val="20"/>
          <w:szCs w:val="20"/>
          <w:color w:val="auto"/>
        </w:rPr>
        <w:t>. On the terms and conditions set forth in the Notice of Stock Option Grant and this Agreement, the Company grants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to the Optionee on the Date of Grant the option to purchase at the Exercise Price the number of Shares set forth in the Notice of Stock Option Grant. The Exercise Price is agreed to be at least 100% of the Fair Market Value per Share on the Date of Grant (110% of Fair Market Value if this option is designated as an ISO in the Notice of Stock Option Grant and Section 3(b) of the Plan applies). This option is intended to be an ISO or an NSO, as provided in the Notice of Stock Option Grant.</w:t>
      </w:r>
    </w:p>
    <w:p>
      <w:pPr>
        <w:spacing w:after="0" w:line="180" w:lineRule="exact"/>
        <w:rPr>
          <w:rFonts w:ascii="Times New Roman" w:cs="Times New Roman" w:eastAsia="Times New Roman" w:hAnsi="Times New Roman"/>
          <w:sz w:val="20"/>
          <w:szCs w:val="20"/>
          <w:color w:val="auto"/>
        </w:rPr>
      </w:pPr>
    </w:p>
    <w:p>
      <w:pPr>
        <w:ind w:firstLine="794"/>
        <w:spacing w:after="0" w:line="273" w:lineRule="auto"/>
        <w:tabs>
          <w:tab w:leader="none" w:pos="1412" w:val="left"/>
        </w:tabs>
        <w:numPr>
          <w:ilvl w:val="0"/>
          <w:numId w:val="2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$100,000 Limitation</w:t>
      </w:r>
      <w:r>
        <w:rPr>
          <w:rFonts w:ascii="Times New Roman" w:cs="Times New Roman" w:eastAsia="Times New Roman" w:hAnsi="Times New Roman"/>
          <w:sz w:val="20"/>
          <w:szCs w:val="20"/>
          <w:color w:val="auto"/>
        </w:rPr>
        <w:t>. Even if this option is designated as an ISO in the Notice of Stock Option Grant, it shall be deemed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be an NSO to the extent (and only to the extent) required by the $100,000 annual limitation under Section 422(d) of the Code.</w:t>
      </w:r>
    </w:p>
    <w:p>
      <w:pPr>
        <w:spacing w:after="0" w:line="151" w:lineRule="exact"/>
        <w:rPr>
          <w:rFonts w:ascii="Times New Roman" w:cs="Times New Roman" w:eastAsia="Times New Roman" w:hAnsi="Times New Roman"/>
          <w:sz w:val="20"/>
          <w:szCs w:val="20"/>
          <w:color w:val="auto"/>
        </w:rPr>
      </w:pPr>
    </w:p>
    <w:p>
      <w:pPr>
        <w:jc w:val="both"/>
        <w:ind w:firstLine="794"/>
        <w:spacing w:after="0" w:line="256" w:lineRule="auto"/>
        <w:tabs>
          <w:tab w:leader="none" w:pos="1455" w:val="left"/>
        </w:tabs>
        <w:numPr>
          <w:ilvl w:val="0"/>
          <w:numId w:val="2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Stock Plan and Defined Terms</w:t>
      </w:r>
      <w:r>
        <w:rPr>
          <w:rFonts w:ascii="Times New Roman" w:cs="Times New Roman" w:eastAsia="Times New Roman" w:hAnsi="Times New Roman"/>
          <w:sz w:val="20"/>
          <w:szCs w:val="20"/>
          <w:color w:val="auto"/>
        </w:rPr>
        <w:t>. This option is granted pursuant to the Plan, a copy of which the Optionee acknowledges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having received. The provisions of the Plan are incorporated into this Agreement by this reference. Except as otherwise defined in this Agreement (including without limitation Section 14 hereof), capitalized terms shall have the meaning ascribed to such terms in the Plan.</w:t>
      </w:r>
    </w:p>
    <w:p>
      <w:pPr>
        <w:spacing w:after="0" w:line="169"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SECTION 2.</w:t>
      </w:r>
      <w:r>
        <w:rPr>
          <w:sz w:val="20"/>
          <w:szCs w:val="20"/>
          <w:color w:val="auto"/>
        </w:rPr>
        <w:tab/>
      </w:r>
      <w:r>
        <w:rPr>
          <w:rFonts w:ascii="Times New Roman" w:cs="Times New Roman" w:eastAsia="Times New Roman" w:hAnsi="Times New Roman"/>
          <w:sz w:val="19"/>
          <w:szCs w:val="19"/>
          <w:b w:val="1"/>
          <w:bCs w:val="1"/>
          <w:color w:val="auto"/>
        </w:rPr>
        <w:t>RIGHT TO EXERCISE.</w:t>
      </w:r>
    </w:p>
    <w:p>
      <w:pPr>
        <w:spacing w:after="0" w:line="216" w:lineRule="exact"/>
        <w:rPr>
          <w:sz w:val="20"/>
          <w:szCs w:val="20"/>
          <w:color w:val="auto"/>
        </w:rPr>
      </w:pPr>
    </w:p>
    <w:p>
      <w:pPr>
        <w:ind w:right="20" w:firstLine="794"/>
        <w:spacing w:after="0" w:line="273" w:lineRule="auto"/>
        <w:tabs>
          <w:tab w:leader="none" w:pos="1536" w:val="left"/>
        </w:tabs>
        <w:numPr>
          <w:ilvl w:val="0"/>
          <w:numId w:val="2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Exercisability</w:t>
      </w:r>
      <w:r>
        <w:rPr>
          <w:rFonts w:ascii="Times New Roman" w:cs="Times New Roman" w:eastAsia="Times New Roman" w:hAnsi="Times New Roman"/>
          <w:sz w:val="20"/>
          <w:szCs w:val="20"/>
          <w:color w:val="auto"/>
        </w:rPr>
        <w:t>. Subject to Subsection (b) below and the other conditions set forth in this Agreement, all or part of this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option may be exercised prior to its expiration at the time or times set forth in the Notice of Stock Option Grant.</w:t>
      </w:r>
    </w:p>
    <w:p>
      <w:pPr>
        <w:spacing w:after="0" w:line="151" w:lineRule="exact"/>
        <w:rPr>
          <w:rFonts w:ascii="Times New Roman" w:cs="Times New Roman" w:eastAsia="Times New Roman" w:hAnsi="Times New Roman"/>
          <w:sz w:val="20"/>
          <w:szCs w:val="20"/>
          <w:color w:val="auto"/>
        </w:rPr>
      </w:pPr>
    </w:p>
    <w:p>
      <w:pPr>
        <w:ind w:firstLine="794"/>
        <w:spacing w:after="0" w:line="273" w:lineRule="auto"/>
        <w:tabs>
          <w:tab w:leader="none" w:pos="1664" w:val="left"/>
        </w:tabs>
        <w:numPr>
          <w:ilvl w:val="0"/>
          <w:numId w:val="2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Stockholder Approval</w:t>
      </w:r>
      <w:r>
        <w:rPr>
          <w:rFonts w:ascii="Times New Roman" w:cs="Times New Roman" w:eastAsia="Times New Roman" w:hAnsi="Times New Roman"/>
          <w:sz w:val="20"/>
          <w:szCs w:val="20"/>
          <w:color w:val="auto"/>
        </w:rPr>
        <w:t>. Any other provision of this Agreement notwithstanding, no portion of this option shall be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exercisable at any time prior to the approval of the Plan by the Company’s stockholders.</w:t>
      </w:r>
    </w:p>
    <w:p>
      <w:pPr>
        <w:spacing w:after="0" w:line="156" w:lineRule="exact"/>
        <w:rPr>
          <w:sz w:val="20"/>
          <w:szCs w:val="20"/>
          <w:color w:val="auto"/>
        </w:rPr>
      </w:pPr>
    </w:p>
    <w:p>
      <w:pPr>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SECTION 3.</w:t>
      </w:r>
      <w:r>
        <w:rPr>
          <w:sz w:val="20"/>
          <w:szCs w:val="20"/>
          <w:color w:val="auto"/>
        </w:rPr>
        <w:tab/>
      </w:r>
      <w:r>
        <w:rPr>
          <w:rFonts w:ascii="Times New Roman" w:cs="Times New Roman" w:eastAsia="Times New Roman" w:hAnsi="Times New Roman"/>
          <w:sz w:val="17"/>
          <w:szCs w:val="17"/>
          <w:b w:val="1"/>
          <w:bCs w:val="1"/>
          <w:color w:val="auto"/>
        </w:rPr>
        <w:t>NO TRANSFER OR ASSIGNMENT OF OPTION.</w:t>
      </w:r>
    </w:p>
    <w:p>
      <w:pPr>
        <w:spacing w:after="0" w:line="225" w:lineRule="exact"/>
        <w:rPr>
          <w:sz w:val="20"/>
          <w:szCs w:val="20"/>
          <w:color w:val="auto"/>
        </w:rPr>
      </w:pPr>
    </w:p>
    <w:p>
      <w:pPr>
        <w:jc w:val="both"/>
        <w:ind w:firstLine="786"/>
        <w:spacing w:after="0" w:line="254" w:lineRule="auto"/>
        <w:rPr>
          <w:sz w:val="20"/>
          <w:szCs w:val="20"/>
          <w:color w:val="auto"/>
        </w:rPr>
      </w:pPr>
      <w:r>
        <w:rPr>
          <w:rFonts w:ascii="Times New Roman" w:cs="Times New Roman" w:eastAsia="Times New Roman" w:hAnsi="Times New Roman"/>
          <w:sz w:val="20"/>
          <w:szCs w:val="20"/>
          <w:color w:val="auto"/>
        </w:rPr>
        <w:t>Except as otherwise provided in this Agreement, this option and the rights and privileges conferred hereby shall not be sold, pledged or otherwise transferred (whether by operation of law or otherwise) and shall not be subject to sale under execution, attachment, levy or similar process.</w:t>
      </w:r>
    </w:p>
    <w:p>
      <w:pPr>
        <w:sectPr>
          <w:pgSz w:w="11900" w:h="16838" w:orient="portrait"/>
          <w:cols w:equalWidth="0" w:num="1">
            <w:col w:w="11240"/>
          </w:cols>
          <w:pgMar w:left="320" w:top="261" w:right="339" w:bottom="1440" w:gutter="0" w:footer="0" w:header="0"/>
        </w:sectPr>
      </w:pPr>
    </w:p>
    <w:bookmarkStart w:id="270" w:name="page271"/>
    <w:bookmarkEnd w:id="270"/>
    <w:p>
      <w:pPr>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SECTION 4.</w:t>
      </w:r>
      <w:r>
        <w:rPr>
          <w:sz w:val="20"/>
          <w:szCs w:val="20"/>
          <w:color w:val="auto"/>
        </w:rPr>
        <w:tab/>
      </w:r>
      <w:r>
        <w:rPr>
          <w:rFonts w:ascii="Times New Roman" w:cs="Times New Roman" w:eastAsia="Times New Roman" w:hAnsi="Times New Roman"/>
          <w:sz w:val="19"/>
          <w:szCs w:val="19"/>
          <w:b w:val="1"/>
          <w:bCs w:val="1"/>
          <w:color w:val="auto"/>
        </w:rPr>
        <w:t>EXERCISE PROCEDURES.</w:t>
      </w:r>
    </w:p>
    <w:p>
      <w:pPr>
        <w:spacing w:after="0" w:line="216" w:lineRule="exact"/>
        <w:rPr>
          <w:sz w:val="20"/>
          <w:szCs w:val="20"/>
          <w:color w:val="auto"/>
        </w:rPr>
      </w:pPr>
    </w:p>
    <w:p>
      <w:pPr>
        <w:jc w:val="both"/>
        <w:ind w:firstLine="794"/>
        <w:spacing w:after="0" w:line="246" w:lineRule="auto"/>
        <w:tabs>
          <w:tab w:leader="none" w:pos="1464" w:val="left"/>
        </w:tabs>
        <w:numPr>
          <w:ilvl w:val="0"/>
          <w:numId w:val="2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Notice of Exercise</w:t>
      </w:r>
      <w:r>
        <w:rPr>
          <w:rFonts w:ascii="Times New Roman" w:cs="Times New Roman" w:eastAsia="Times New Roman" w:hAnsi="Times New Roman"/>
          <w:sz w:val="20"/>
          <w:szCs w:val="20"/>
          <w:color w:val="auto"/>
        </w:rPr>
        <w:t>. The Optionee or the Optionee’s representative may exercise this option by: (i) signing and delivering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written notice to the Company pursuant to Section 12(c) specifying the election to exercise this option, the number of Shares for which it is being exercised and the form of payment and (ii) delivering payment, in a form permissible under Section 5, for the full amount of the Purchase Price (together with any applicable withholding taxes under Subsection (b)). In the event that this option is being exercised by the representative of the Optionee, the notice shall be accompanied by proof (satisfactory to the Company) of the representative’s right to exercise this option.</w:t>
      </w:r>
    </w:p>
    <w:p>
      <w:pPr>
        <w:spacing w:after="0" w:line="178" w:lineRule="exact"/>
        <w:rPr>
          <w:rFonts w:ascii="Times New Roman" w:cs="Times New Roman" w:eastAsia="Times New Roman" w:hAnsi="Times New Roman"/>
          <w:sz w:val="20"/>
          <w:szCs w:val="20"/>
          <w:color w:val="auto"/>
        </w:rPr>
      </w:pPr>
    </w:p>
    <w:p>
      <w:pPr>
        <w:jc w:val="both"/>
        <w:ind w:firstLine="794"/>
        <w:spacing w:after="0" w:line="245" w:lineRule="auto"/>
        <w:tabs>
          <w:tab w:leader="none" w:pos="1493" w:val="left"/>
        </w:tabs>
        <w:numPr>
          <w:ilvl w:val="0"/>
          <w:numId w:val="2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Withholding Taxes</w:t>
      </w:r>
      <w:r>
        <w:rPr>
          <w:rFonts w:ascii="Times New Roman" w:cs="Times New Roman" w:eastAsia="Times New Roman" w:hAnsi="Times New Roman"/>
          <w:sz w:val="20"/>
          <w:szCs w:val="20"/>
          <w:color w:val="auto"/>
        </w:rPr>
        <w:t>. In the event that the Company determines that it is required to withhold any tax (including without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limitation any income tax, social insurance contributions, payroll tax, payment on account or other tax-related items arising in connection with the Optionee’s participation in the Plan and legally applicable to the Optionee (the “</w:t>
      </w:r>
      <w:r>
        <w:rPr>
          <w:rFonts w:ascii="Times New Roman" w:cs="Times New Roman" w:eastAsia="Times New Roman" w:hAnsi="Times New Roman"/>
          <w:sz w:val="20"/>
          <w:szCs w:val="20"/>
          <w:b w:val="1"/>
          <w:bCs w:val="1"/>
          <w:color w:val="auto"/>
        </w:rPr>
        <w:t>Tax-Related Items</w:t>
      </w:r>
      <w:r>
        <w:rPr>
          <w:rFonts w:ascii="Times New Roman" w:cs="Times New Roman" w:eastAsia="Times New Roman" w:hAnsi="Times New Roman"/>
          <w:sz w:val="20"/>
          <w:szCs w:val="20"/>
          <w:color w:val="auto"/>
        </w:rPr>
        <w:t>”)) as a result of the grant, vesting or exercise of this option, or as a result of the transfer of shares acquired upon exercise of this option, the Optionee, as a condition of this option, shall make arrangements satisfactory to the Company to enable it to satisfy all Tax-Related Items. The Optionee acknowledges that the responsibility for all Tax-Related Items is the Optionee’s and may exceed the amount actually withheld by the Company (or its affiliate or agent).</w:t>
      </w:r>
    </w:p>
    <w:p>
      <w:pPr>
        <w:spacing w:after="0" w:line="179" w:lineRule="exact"/>
        <w:rPr>
          <w:rFonts w:ascii="Times New Roman" w:cs="Times New Roman" w:eastAsia="Times New Roman" w:hAnsi="Times New Roman"/>
          <w:sz w:val="20"/>
          <w:szCs w:val="20"/>
          <w:color w:val="auto"/>
        </w:rPr>
      </w:pPr>
    </w:p>
    <w:p>
      <w:pPr>
        <w:jc w:val="both"/>
        <w:ind w:firstLine="794"/>
        <w:spacing w:after="0" w:line="245" w:lineRule="auto"/>
        <w:tabs>
          <w:tab w:leader="none" w:pos="1433" w:val="left"/>
        </w:tabs>
        <w:numPr>
          <w:ilvl w:val="0"/>
          <w:numId w:val="2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Issuance of Shares</w:t>
      </w:r>
      <w:r>
        <w:rPr>
          <w:rFonts w:ascii="Times New Roman" w:cs="Times New Roman" w:eastAsia="Times New Roman" w:hAnsi="Times New Roman"/>
          <w:sz w:val="20"/>
          <w:szCs w:val="20"/>
          <w:color w:val="auto"/>
        </w:rPr>
        <w:t>. After satisfying all requirements for exercise of this option, the Company shall cause to be issued one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or more certificates evidencing the Shares for which this option has been exercised. Such Shares shall be registered (i) in the name of the person exercising this option, (ii) in the names of such person and his or her spouse as community property or as joint tenants with the right of survivorship or (iii) with the Company’s consent, in the name of a revocable trust. Until the issuance of the Shares has been entered into the books and records of the Company or a duly authorized transfer agent of the Company, no right to vote, receive dividends or any other right as a stockholder will exist with respect to such Shares. The Company shall cause such certificates to be delivered to or upon the order of the person exercising this option.</w:t>
      </w:r>
    </w:p>
    <w:p>
      <w:pPr>
        <w:spacing w:after="0" w:line="179"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SECTION 5.</w:t>
      </w:r>
      <w:r>
        <w:rPr>
          <w:sz w:val="20"/>
          <w:szCs w:val="20"/>
          <w:color w:val="auto"/>
        </w:rPr>
        <w:tab/>
      </w:r>
      <w:r>
        <w:rPr>
          <w:rFonts w:ascii="Times New Roman" w:cs="Times New Roman" w:eastAsia="Times New Roman" w:hAnsi="Times New Roman"/>
          <w:sz w:val="19"/>
          <w:szCs w:val="19"/>
          <w:b w:val="1"/>
          <w:bCs w:val="1"/>
          <w:color w:val="auto"/>
        </w:rPr>
        <w:t>PAYMENT FOR STOCK.</w:t>
      </w:r>
    </w:p>
    <w:p>
      <w:pPr>
        <w:spacing w:after="0" w:line="216" w:lineRule="exact"/>
        <w:rPr>
          <w:sz w:val="20"/>
          <w:szCs w:val="20"/>
          <w:color w:val="auto"/>
        </w:rPr>
      </w:pPr>
    </w:p>
    <w:p>
      <w:pPr>
        <w:ind w:left="1400" w:hanging="606"/>
        <w:spacing w:after="0"/>
        <w:tabs>
          <w:tab w:leader="none" w:pos="1400" w:val="left"/>
        </w:tabs>
        <w:numPr>
          <w:ilvl w:val="0"/>
          <w:numId w:val="2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Cash</w:t>
      </w:r>
      <w:r>
        <w:rPr>
          <w:rFonts w:ascii="Times New Roman" w:cs="Times New Roman" w:eastAsia="Times New Roman" w:hAnsi="Times New Roman"/>
          <w:sz w:val="20"/>
          <w:szCs w:val="20"/>
          <w:color w:val="auto"/>
        </w:rPr>
        <w:t>. All or part of the Purchase Price may be paid in cash or cash equivalents.</w:t>
      </w:r>
    </w:p>
    <w:p>
      <w:pPr>
        <w:spacing w:after="0" w:line="215" w:lineRule="exact"/>
        <w:rPr>
          <w:rFonts w:ascii="Times New Roman" w:cs="Times New Roman" w:eastAsia="Times New Roman" w:hAnsi="Times New Roman"/>
          <w:sz w:val="20"/>
          <w:szCs w:val="20"/>
          <w:color w:val="auto"/>
        </w:rPr>
      </w:pPr>
    </w:p>
    <w:p>
      <w:pPr>
        <w:jc w:val="both"/>
        <w:ind w:firstLine="794"/>
        <w:spacing w:after="0" w:line="256" w:lineRule="auto"/>
        <w:tabs>
          <w:tab w:leader="none" w:pos="1552" w:val="left"/>
        </w:tabs>
        <w:numPr>
          <w:ilvl w:val="0"/>
          <w:numId w:val="2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Surrender of Stock</w:t>
      </w:r>
      <w:r>
        <w:rPr>
          <w:rFonts w:ascii="Times New Roman" w:cs="Times New Roman" w:eastAsia="Times New Roman" w:hAnsi="Times New Roman"/>
          <w:sz w:val="20"/>
          <w:szCs w:val="20"/>
          <w:color w:val="auto"/>
        </w:rPr>
        <w:t>. At the discretion of the Board of Directors, all or any part of the Purchase Price may be paid by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surrendering, or attesting to the ownership of, Shares that are already owned by the Optionee. Such Shares shall be surrendered to the Company in good form for transfer and shall be valued at their Fair Market Value as of the date when this option is exercised.</w:t>
      </w:r>
    </w:p>
    <w:p>
      <w:pPr>
        <w:spacing w:after="0" w:line="168" w:lineRule="exact"/>
        <w:rPr>
          <w:rFonts w:ascii="Times New Roman" w:cs="Times New Roman" w:eastAsia="Times New Roman" w:hAnsi="Times New Roman"/>
          <w:sz w:val="20"/>
          <w:szCs w:val="20"/>
          <w:color w:val="auto"/>
        </w:rPr>
      </w:pPr>
    </w:p>
    <w:p>
      <w:pPr>
        <w:jc w:val="both"/>
        <w:ind w:firstLine="794"/>
        <w:spacing w:after="0" w:line="250" w:lineRule="auto"/>
        <w:tabs>
          <w:tab w:leader="none" w:pos="1617" w:val="left"/>
        </w:tabs>
        <w:numPr>
          <w:ilvl w:val="0"/>
          <w:numId w:val="2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Exercise/Sale</w:t>
      </w:r>
      <w:r>
        <w:rPr>
          <w:rFonts w:ascii="Times New Roman" w:cs="Times New Roman" w:eastAsia="Times New Roman" w:hAnsi="Times New Roman"/>
          <w:sz w:val="20"/>
          <w:szCs w:val="20"/>
          <w:color w:val="auto"/>
        </w:rPr>
        <w:t>. All or part of the Purchase Price and any withholding taxes may be paid by the delivery (on a form</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prescribed by the Company) of an irrevocable direction to a securities broker approved by the Company to sell Shares and to deliver all or part of the sales proceeds to the Company. However, payment pursuant to this Subsection (c) shall be permitted only if (i) Stock then is publicly traded and (ii) such payment does not violate applicable law.</w:t>
      </w:r>
    </w:p>
    <w:p>
      <w:pPr>
        <w:spacing w:after="0" w:line="176"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SECTION 6.</w:t>
      </w:r>
      <w:r>
        <w:rPr>
          <w:sz w:val="20"/>
          <w:szCs w:val="20"/>
          <w:color w:val="auto"/>
        </w:rPr>
        <w:tab/>
      </w:r>
      <w:r>
        <w:rPr>
          <w:rFonts w:ascii="Times New Roman" w:cs="Times New Roman" w:eastAsia="Times New Roman" w:hAnsi="Times New Roman"/>
          <w:sz w:val="19"/>
          <w:szCs w:val="19"/>
          <w:b w:val="1"/>
          <w:bCs w:val="1"/>
          <w:color w:val="auto"/>
        </w:rPr>
        <w:t>TERM AND EXPIRATION.</w:t>
      </w:r>
    </w:p>
    <w:p>
      <w:pPr>
        <w:spacing w:after="0" w:line="216" w:lineRule="exact"/>
        <w:rPr>
          <w:sz w:val="20"/>
          <w:szCs w:val="20"/>
          <w:color w:val="auto"/>
        </w:rPr>
      </w:pPr>
    </w:p>
    <w:p>
      <w:pPr>
        <w:jc w:val="both"/>
        <w:ind w:firstLine="794"/>
        <w:spacing w:after="0" w:line="256" w:lineRule="auto"/>
        <w:tabs>
          <w:tab w:leader="none" w:pos="1520" w:val="left"/>
        </w:tabs>
        <w:numPr>
          <w:ilvl w:val="0"/>
          <w:numId w:val="2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Basic Term</w:t>
      </w:r>
      <w:r>
        <w:rPr>
          <w:rFonts w:ascii="Times New Roman" w:cs="Times New Roman" w:eastAsia="Times New Roman" w:hAnsi="Times New Roman"/>
          <w:sz w:val="20"/>
          <w:szCs w:val="20"/>
          <w:color w:val="auto"/>
        </w:rPr>
        <w:t>. This option shall in any event expire on the expiration date set forth in the Notice of Stock Option Grant,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which date is 10 years after the Date of Grant (five years after the Date of Grant if this option is designated as an ISO in the Notice of Stock Option Grant and Section 3(b) of the Plan applies).</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261" w:right="339" w:bottom="1440" w:gutter="0" w:footer="0" w:header="0"/>
        </w:sectPr>
      </w:pPr>
    </w:p>
    <w:bookmarkStart w:id="271" w:name="page272"/>
    <w:bookmarkEnd w:id="271"/>
    <w:p>
      <w:pPr>
        <w:ind w:right="20" w:firstLine="794"/>
        <w:spacing w:after="0" w:line="273" w:lineRule="auto"/>
        <w:tabs>
          <w:tab w:leader="none" w:pos="1434" w:val="left"/>
        </w:tabs>
        <w:numPr>
          <w:ilvl w:val="0"/>
          <w:numId w:val="2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Termination of Service (Except by Death)</w:t>
      </w:r>
      <w:r>
        <w:rPr>
          <w:rFonts w:ascii="Times New Roman" w:cs="Times New Roman" w:eastAsia="Times New Roman" w:hAnsi="Times New Roman"/>
          <w:sz w:val="20"/>
          <w:szCs w:val="20"/>
          <w:color w:val="auto"/>
        </w:rPr>
        <w:t>. If the Optionee’s Service terminates for any reason other than death, then this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option shall expire on the earliest of the following occasions:</w:t>
      </w:r>
    </w:p>
    <w:p>
      <w:pPr>
        <w:spacing w:after="0" w:line="155" w:lineRule="exact"/>
        <w:rPr>
          <w:rFonts w:ascii="Times New Roman" w:cs="Times New Roman" w:eastAsia="Times New Roman" w:hAnsi="Times New Roman"/>
          <w:sz w:val="20"/>
          <w:szCs w:val="20"/>
          <w:color w:val="auto"/>
        </w:rPr>
      </w:pPr>
    </w:p>
    <w:p>
      <w:pPr>
        <w:ind w:left="1680" w:hanging="577"/>
        <w:spacing w:after="0"/>
        <w:tabs>
          <w:tab w:leader="none" w:pos="1680" w:val="left"/>
        </w:tabs>
        <w:numPr>
          <w:ilvl w:val="1"/>
          <w:numId w:val="2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expiration date determined pursuant to Subsection (a) above;</w:t>
      </w:r>
    </w:p>
    <w:p>
      <w:pPr>
        <w:spacing w:after="0" w:line="215" w:lineRule="exact"/>
        <w:rPr>
          <w:rFonts w:ascii="Times New Roman" w:cs="Times New Roman" w:eastAsia="Times New Roman" w:hAnsi="Times New Roman"/>
          <w:sz w:val="20"/>
          <w:szCs w:val="20"/>
          <w:color w:val="auto"/>
        </w:rPr>
      </w:pPr>
    </w:p>
    <w:p>
      <w:pPr>
        <w:ind w:left="1740" w:hanging="637"/>
        <w:spacing w:after="0"/>
        <w:tabs>
          <w:tab w:leader="none" w:pos="1740" w:val="left"/>
        </w:tabs>
        <w:numPr>
          <w:ilvl w:val="1"/>
          <w:numId w:val="2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date three months after the termination of the Optionee’s Service for any reason other than Disability; or</w:t>
      </w:r>
    </w:p>
    <w:p>
      <w:pPr>
        <w:spacing w:after="0" w:line="215" w:lineRule="exact"/>
        <w:rPr>
          <w:rFonts w:ascii="Times New Roman" w:cs="Times New Roman" w:eastAsia="Times New Roman" w:hAnsi="Times New Roman"/>
          <w:sz w:val="20"/>
          <w:szCs w:val="20"/>
          <w:color w:val="auto"/>
        </w:rPr>
      </w:pPr>
    </w:p>
    <w:p>
      <w:pPr>
        <w:ind w:left="1800" w:hanging="697"/>
        <w:spacing w:after="0"/>
        <w:tabs>
          <w:tab w:leader="none" w:pos="1800" w:val="left"/>
        </w:tabs>
        <w:numPr>
          <w:ilvl w:val="1"/>
          <w:numId w:val="2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date six months after the termination of the Optionee’s Service by reason of Disability.</w:t>
      </w:r>
    </w:p>
    <w:p>
      <w:pPr>
        <w:spacing w:after="0" w:line="216"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The Optionee may exercise all or part of this option at any time before its expiration under the preceding sentence, but only to the extent that this option had become exercisable before the Optionee’s Service terminated. When the Optionee’s Service terminates, this option shall expire immediately with respect to the number of Shares for which this option is not yet exercisable. In the event that the Optionee dies after termination of Service but before the expiration of this option, all or part of this option may be exercised (prior to expiration) by the executors or administrators of the Optionee’s estate or by any person who has acquired this option directly from the Optionee by beneficiary designation, bequest or inheritance, but only to the extent that this option had become exercisable before the Optionee’s Service terminated. Once this option (or portion thereof) has terminated, the Optionee shall have no further rights with respect to the option (or portion thereof) or to the underlying Shares.</w:t>
      </w:r>
    </w:p>
    <w:p>
      <w:pPr>
        <w:spacing w:after="0" w:line="185" w:lineRule="exact"/>
        <w:rPr>
          <w:sz w:val="20"/>
          <w:szCs w:val="20"/>
          <w:color w:val="auto"/>
        </w:rPr>
      </w:pPr>
    </w:p>
    <w:p>
      <w:pPr>
        <w:ind w:left="1460" w:hanging="666"/>
        <w:spacing w:after="0"/>
        <w:tabs>
          <w:tab w:leader="none" w:pos="1460" w:val="left"/>
        </w:tabs>
        <w:numPr>
          <w:ilvl w:val="0"/>
          <w:numId w:val="2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Death of the Optionee</w:t>
      </w:r>
      <w:r>
        <w:rPr>
          <w:rFonts w:ascii="Times New Roman" w:cs="Times New Roman" w:eastAsia="Times New Roman" w:hAnsi="Times New Roman"/>
          <w:sz w:val="20"/>
          <w:szCs w:val="20"/>
          <w:color w:val="auto"/>
        </w:rPr>
        <w:t>. If the Optionee dies while in Service, then this option shall expire on the earlier of the following</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dates:</w:t>
      </w:r>
    </w:p>
    <w:p>
      <w:pPr>
        <w:spacing w:after="0" w:line="86" w:lineRule="exact"/>
        <w:rPr>
          <w:sz w:val="20"/>
          <w:szCs w:val="20"/>
          <w:color w:val="auto"/>
        </w:rPr>
      </w:pPr>
    </w:p>
    <w:p>
      <w:pPr>
        <w:ind w:left="1680" w:hanging="577"/>
        <w:spacing w:after="0"/>
        <w:tabs>
          <w:tab w:leader="none" w:pos="1680" w:val="left"/>
        </w:tabs>
        <w:numPr>
          <w:ilvl w:val="0"/>
          <w:numId w:val="2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expiration date determined pursuant to Subsection (a) above; or</w:t>
      </w:r>
    </w:p>
    <w:p>
      <w:pPr>
        <w:spacing w:after="0" w:line="107" w:lineRule="exact"/>
        <w:rPr>
          <w:rFonts w:ascii="Times New Roman" w:cs="Times New Roman" w:eastAsia="Times New Roman" w:hAnsi="Times New Roman"/>
          <w:sz w:val="20"/>
          <w:szCs w:val="20"/>
          <w:color w:val="auto"/>
        </w:rPr>
      </w:pPr>
    </w:p>
    <w:p>
      <w:pPr>
        <w:ind w:left="1740" w:hanging="637"/>
        <w:spacing w:after="0"/>
        <w:tabs>
          <w:tab w:leader="none" w:pos="1740" w:val="left"/>
        </w:tabs>
        <w:numPr>
          <w:ilvl w:val="0"/>
          <w:numId w:val="2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date 12 months after the Optionee’s death.</w:t>
      </w:r>
    </w:p>
    <w:p>
      <w:pPr>
        <w:spacing w:after="0" w:line="21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All or part of this option may be exercised at any time before its expiration under the preceding sentence by the executors or administrators of the Optionee’s estate or by any person who has acquired this option directly from the Optionee by beneficiary designation, bequest or inheritance, but only to the extent that this option had become exercisable before the Optionee’s death. When the Optionee dies, this option shall expire immediately with respect to the number of Shares for which this option is not yet exercisable. Once this option (or portion thereof) has terminated, the Optionee shall have no further rights with respect to the option (or portion thereof) or to the underlying Shares.</w:t>
      </w:r>
    </w:p>
    <w:p>
      <w:pPr>
        <w:spacing w:after="0" w:line="181" w:lineRule="exact"/>
        <w:rPr>
          <w:sz w:val="20"/>
          <w:szCs w:val="20"/>
          <w:color w:val="auto"/>
        </w:rPr>
      </w:pPr>
    </w:p>
    <w:p>
      <w:pPr>
        <w:jc w:val="both"/>
        <w:ind w:firstLine="794"/>
        <w:spacing w:after="0" w:line="253" w:lineRule="auto"/>
        <w:tabs>
          <w:tab w:leader="none" w:pos="1527" w:val="left"/>
        </w:tabs>
        <w:numPr>
          <w:ilvl w:val="1"/>
          <w:numId w:val="2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Extension of Post-Termination Exercise Periods</w:t>
      </w:r>
      <w:r>
        <w:rPr>
          <w:rFonts w:ascii="Times New Roman" w:cs="Times New Roman" w:eastAsia="Times New Roman" w:hAnsi="Times New Roman"/>
          <w:sz w:val="20"/>
          <w:szCs w:val="20"/>
          <w:color w:val="auto"/>
        </w:rPr>
        <w:t>. Following the date on which the Company’s Stock is first listed for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trading on an established securities market, if during any part of the exercise period described in Subsections (b)(ii) or (iii) or Subsection (c)</w:t>
      </w:r>
    </w:p>
    <w:p>
      <w:pPr>
        <w:jc w:val="both"/>
        <w:ind w:firstLine="8"/>
        <w:spacing w:after="0"/>
        <w:tabs>
          <w:tab w:leader="none" w:pos="327" w:val="left"/>
        </w:tabs>
        <w:numPr>
          <w:ilvl w:val="0"/>
          <w:numId w:val="2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above the exercise of this option would be prohibited solely because the issuance of Shares upon such exercise would violate the registration requirements under the Securities Act or a similar provision of other applicable law, then instead of terminating at the end of such prescribed period, the then-vested portion of this option will instead remain outstanding and not expire until the earlier of (i) the expiration date determined pursuant to Section 6(a) above or (ii) the date on which the then-vested portion of this option has been exercisable without violation of applicable law for the aggregate period (which need not be consecutive) after termination of the Optionee’s Service specified in the applicable Subsection above.</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261" w:right="339" w:bottom="1440" w:gutter="0" w:footer="0" w:header="0"/>
        </w:sectPr>
      </w:pPr>
    </w:p>
    <w:bookmarkStart w:id="272" w:name="page273"/>
    <w:bookmarkEnd w:id="272"/>
    <w:p>
      <w:pPr>
        <w:jc w:val="both"/>
        <w:ind w:firstLine="794"/>
        <w:spacing w:after="0" w:line="244" w:lineRule="auto"/>
        <w:tabs>
          <w:tab w:leader="none" w:pos="1566" w:val="left"/>
        </w:tabs>
        <w:numPr>
          <w:ilvl w:val="1"/>
          <w:numId w:val="2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Part-Time Employment and Leaves of Absence</w:t>
      </w:r>
      <w:r>
        <w:rPr>
          <w:rFonts w:ascii="Times New Roman" w:cs="Times New Roman" w:eastAsia="Times New Roman" w:hAnsi="Times New Roman"/>
          <w:sz w:val="20"/>
          <w:szCs w:val="20"/>
          <w:color w:val="auto"/>
        </w:rPr>
        <w:t>. If the Optionee commences working on a part-time basis, then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Company may adjust the vesting schedule set forth in the Notice of Stock Option Grant. If the Optionee goes on a leave of absence, then the Company may adjust the vesting schedule set forth in the Notice of Stock Option Grant in accordance with the Company’s leave of absence policy or the terms of such leave. Except as provided in the preceding sentence, Service shall be deemed to continue for any purpose under this Agreement while the Optionee is on a </w:t>
      </w:r>
      <w:r>
        <w:rPr>
          <w:rFonts w:ascii="Times New Roman" w:cs="Times New Roman" w:eastAsia="Times New Roman" w:hAnsi="Times New Roman"/>
          <w:sz w:val="20"/>
          <w:szCs w:val="20"/>
          <w:i w:val="1"/>
          <w:iCs w:val="1"/>
          <w:color w:val="auto"/>
        </w:rPr>
        <w:t>bona fide</w:t>
      </w:r>
      <w:r>
        <w:rPr>
          <w:rFonts w:ascii="Times New Roman" w:cs="Times New Roman" w:eastAsia="Times New Roman" w:hAnsi="Times New Roman"/>
          <w:sz w:val="20"/>
          <w:szCs w:val="20"/>
          <w:color w:val="auto"/>
        </w:rPr>
        <w:t xml:space="preserve"> leave of absence, if (i) such leave was approved by the Company in writing and</w:t>
      </w:r>
    </w:p>
    <w:p>
      <w:pPr>
        <w:spacing w:after="0" w:line="4" w:lineRule="exact"/>
        <w:rPr>
          <w:rFonts w:ascii="Times New Roman" w:cs="Times New Roman" w:eastAsia="Times New Roman" w:hAnsi="Times New Roman"/>
          <w:sz w:val="20"/>
          <w:szCs w:val="20"/>
          <w:color w:val="auto"/>
        </w:rPr>
      </w:pPr>
    </w:p>
    <w:p>
      <w:pPr>
        <w:ind w:firstLine="8"/>
        <w:spacing w:after="0" w:line="246" w:lineRule="auto"/>
        <w:tabs>
          <w:tab w:leader="none" w:pos="302" w:val="left"/>
        </w:tabs>
        <w:numPr>
          <w:ilvl w:val="0"/>
          <w:numId w:val="2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continued crediting of Service for such purpose is expressly required by the terms of such leave or by applicable law (as determined by the Company). Service shall be deemed to terminate when such leave ends, unless the Optionee immediately returns to active work.</w:t>
      </w:r>
    </w:p>
    <w:p>
      <w:pPr>
        <w:spacing w:after="0" w:line="177" w:lineRule="exact"/>
        <w:rPr>
          <w:rFonts w:ascii="Times New Roman" w:cs="Times New Roman" w:eastAsia="Times New Roman" w:hAnsi="Times New Roman"/>
          <w:sz w:val="20"/>
          <w:szCs w:val="20"/>
          <w:color w:val="auto"/>
        </w:rPr>
      </w:pPr>
    </w:p>
    <w:p>
      <w:pPr>
        <w:ind w:firstLine="794"/>
        <w:spacing w:after="0" w:line="273" w:lineRule="auto"/>
        <w:tabs>
          <w:tab w:leader="none" w:pos="1488" w:val="left"/>
        </w:tabs>
        <w:numPr>
          <w:ilvl w:val="1"/>
          <w:numId w:val="2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Notice Concerning ISO Treatment</w:t>
      </w:r>
      <w:r>
        <w:rPr>
          <w:rFonts w:ascii="Times New Roman" w:cs="Times New Roman" w:eastAsia="Times New Roman" w:hAnsi="Times New Roman"/>
          <w:sz w:val="20"/>
          <w:szCs w:val="20"/>
          <w:color w:val="auto"/>
        </w:rPr>
        <w:t>. Even if this option is designated as an ISO in the Notice of Stock Option Grant, it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ceases to qualify for favorable tax treatment as an ISO to the extent that it is exercised:</w:t>
      </w:r>
    </w:p>
    <w:p>
      <w:pPr>
        <w:spacing w:after="0" w:line="155" w:lineRule="exact"/>
        <w:rPr>
          <w:rFonts w:ascii="Times New Roman" w:cs="Times New Roman" w:eastAsia="Times New Roman" w:hAnsi="Times New Roman"/>
          <w:sz w:val="20"/>
          <w:szCs w:val="20"/>
          <w:color w:val="auto"/>
        </w:rPr>
      </w:pPr>
    </w:p>
    <w:p>
      <w:pPr>
        <w:ind w:left="560" w:firstLine="543"/>
        <w:spacing w:after="0" w:line="269" w:lineRule="auto"/>
        <w:tabs>
          <w:tab w:leader="none" w:pos="1739" w:val="left"/>
        </w:tabs>
        <w:numPr>
          <w:ilvl w:val="2"/>
          <w:numId w:val="2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More than three months after the date when the Optionee ceases to be an Employee for any reason other than death or permanent and total disability (as defined in Section 22(e)(3) of the Code);</w:t>
      </w:r>
    </w:p>
    <w:p>
      <w:pPr>
        <w:spacing w:after="0" w:line="159" w:lineRule="exact"/>
        <w:rPr>
          <w:rFonts w:ascii="Times New Roman" w:cs="Times New Roman" w:eastAsia="Times New Roman" w:hAnsi="Times New Roman"/>
          <w:sz w:val="20"/>
          <w:szCs w:val="20"/>
          <w:color w:val="auto"/>
        </w:rPr>
      </w:pPr>
    </w:p>
    <w:p>
      <w:pPr>
        <w:ind w:left="560" w:right="20" w:firstLine="543"/>
        <w:spacing w:after="0" w:line="269" w:lineRule="auto"/>
        <w:tabs>
          <w:tab w:leader="none" w:pos="1854" w:val="left"/>
        </w:tabs>
        <w:numPr>
          <w:ilvl w:val="2"/>
          <w:numId w:val="2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More than 12 months after the date when the Optionee ceases to be an Employee by reason of permanent and total disability (as defined in Section 22(e)(3) of the Code); or</w:t>
      </w:r>
    </w:p>
    <w:p>
      <w:pPr>
        <w:spacing w:after="0" w:line="159" w:lineRule="exact"/>
        <w:rPr>
          <w:rFonts w:ascii="Times New Roman" w:cs="Times New Roman" w:eastAsia="Times New Roman" w:hAnsi="Times New Roman"/>
          <w:sz w:val="20"/>
          <w:szCs w:val="20"/>
          <w:color w:val="auto"/>
        </w:rPr>
      </w:pPr>
    </w:p>
    <w:p>
      <w:pPr>
        <w:ind w:left="560" w:firstLine="543"/>
        <w:spacing w:after="0" w:line="269" w:lineRule="auto"/>
        <w:tabs>
          <w:tab w:leader="none" w:pos="1842" w:val="left"/>
        </w:tabs>
        <w:numPr>
          <w:ilvl w:val="2"/>
          <w:numId w:val="2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More than three months after the date when the Optionee has been on a leave of absence for three months, unless the Optionee’s reemployment rights following such leave were guaranteed by statute or by contract.</w:t>
      </w:r>
    </w:p>
    <w:p>
      <w:pPr>
        <w:spacing w:after="0" w:line="15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SECTION 7.</w:t>
      </w:r>
      <w:r>
        <w:rPr>
          <w:sz w:val="20"/>
          <w:szCs w:val="20"/>
          <w:color w:val="auto"/>
        </w:rPr>
        <w:tab/>
      </w:r>
      <w:r>
        <w:rPr>
          <w:rFonts w:ascii="Times New Roman" w:cs="Times New Roman" w:eastAsia="Times New Roman" w:hAnsi="Times New Roman"/>
          <w:sz w:val="19"/>
          <w:szCs w:val="19"/>
          <w:b w:val="1"/>
          <w:bCs w:val="1"/>
          <w:color w:val="auto"/>
        </w:rPr>
        <w:t>RIGHT OF FIRST REFUSAL.</w:t>
      </w:r>
    </w:p>
    <w:p>
      <w:pPr>
        <w:spacing w:after="0" w:line="216" w:lineRule="exact"/>
        <w:rPr>
          <w:sz w:val="20"/>
          <w:szCs w:val="20"/>
          <w:color w:val="auto"/>
        </w:rPr>
      </w:pPr>
    </w:p>
    <w:p>
      <w:pPr>
        <w:jc w:val="both"/>
        <w:ind w:firstLine="794"/>
        <w:spacing w:after="0" w:line="243" w:lineRule="auto"/>
        <w:tabs>
          <w:tab w:leader="none" w:pos="1509" w:val="left"/>
        </w:tabs>
        <w:numPr>
          <w:ilvl w:val="0"/>
          <w:numId w:val="2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Right of First Refusal</w:t>
      </w:r>
      <w:r>
        <w:rPr>
          <w:rFonts w:ascii="Times New Roman" w:cs="Times New Roman" w:eastAsia="Times New Roman" w:hAnsi="Times New Roman"/>
          <w:sz w:val="20"/>
          <w:szCs w:val="20"/>
          <w:color w:val="auto"/>
        </w:rPr>
        <w:t>. In the event that the Optionee proposes to sell, pledge or otherwise transfer to a third party 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Shares acquired under this Agreement, or any interest in such Shares, the Company shall have the Right of First Refusal with respect to all (and not less than all) of such Shares. If the Optionee desires to transfer Shares acquired under this Agreement, the Optionee shall give a written Transfer Notice to the Company describing fully the proposed transfer, including the number of Shares proposed to be transferred, the proposed transfer price, the name and address of the proposed Transferee and proof satisfactory to the Company that the proposed sale or transfer will not violate any applicable federal, State or foreign securities laws. The Transfer Notice shall be signed both by the Optionee and by the proposed Transferee and must constitute a binding commitment of both parties to the transfer of the Shares. The Company shall have the right to purchase all, and not less than all, of the Shares on the terms of the proposal described in the Transfer Notice (subject, however, to any change in such terms permitted under Subsection (b) below) by delivery of a notice of exercise of the Right of First Refusal within 30 days after the date when the Transfer Notice was received by the Company.</w:t>
      </w:r>
    </w:p>
    <w:p>
      <w:pPr>
        <w:spacing w:after="0" w:line="182" w:lineRule="exact"/>
        <w:rPr>
          <w:rFonts w:ascii="Times New Roman" w:cs="Times New Roman" w:eastAsia="Times New Roman" w:hAnsi="Times New Roman"/>
          <w:sz w:val="20"/>
          <w:szCs w:val="20"/>
          <w:color w:val="auto"/>
        </w:rPr>
      </w:pPr>
    </w:p>
    <w:p>
      <w:pPr>
        <w:jc w:val="both"/>
        <w:ind w:firstLine="794"/>
        <w:spacing w:after="0" w:line="246" w:lineRule="auto"/>
        <w:tabs>
          <w:tab w:leader="none" w:pos="1593" w:val="left"/>
        </w:tabs>
        <w:numPr>
          <w:ilvl w:val="0"/>
          <w:numId w:val="2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Transfer of Shares</w:t>
      </w:r>
      <w:r>
        <w:rPr>
          <w:rFonts w:ascii="Times New Roman" w:cs="Times New Roman" w:eastAsia="Times New Roman" w:hAnsi="Times New Roman"/>
          <w:sz w:val="20"/>
          <w:szCs w:val="20"/>
          <w:color w:val="auto"/>
        </w:rPr>
        <w:t>. If the Company fails to exercise its Right of First Refusal within 30 days after the date when it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received the Transfer Notice, the Optionee may, not later than 90 days following receipt of the Transfer Notice by the Company, conclude a transfer of the Shares subject to the Transfer Notice on the terms and conditions described in the Transfer Notice, provided that any such sale is made in compliance with applicable federal, State and foreign securities laws and not in violation of any other contractual restrictions to which the Optionee is bound. Any proposed transfer on terms and conditions different from those described in the Transfer Notice, as well as any subsequent</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261" w:right="339" w:bottom="1440" w:gutter="0" w:footer="0" w:header="0"/>
        </w:sectPr>
      </w:pPr>
    </w:p>
    <w:bookmarkStart w:id="273" w:name="page274"/>
    <w:bookmarkEnd w:id="273"/>
    <w:p>
      <w:pPr>
        <w:jc w:val="both"/>
        <w:spacing w:after="0" w:line="260" w:lineRule="auto"/>
        <w:rPr>
          <w:sz w:val="20"/>
          <w:szCs w:val="20"/>
          <w:color w:val="auto"/>
        </w:rPr>
      </w:pPr>
      <w:r>
        <w:rPr>
          <w:rFonts w:ascii="Times New Roman" w:cs="Times New Roman" w:eastAsia="Times New Roman" w:hAnsi="Times New Roman"/>
          <w:sz w:val="19"/>
          <w:szCs w:val="19"/>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proposed transfer by the Optionee, shall again be subject to the Right of First Refusal and shall require compliance with the procedure described in Subsection (a) above. If the Company exercises its Right of First Refusal, the parties shall consummate the sale of the Shares on the terms set forth in the Transfer Notice within 60 days after the date when the Company received the Transfer Notice (or within such longer period as may have been specified in the Transfer Notice); provided, however, that in the event the Transfer Notice provided that payment for the Shares was to be made in a form other than cash or cash equivalents paid at the time of transfer, the Company shall have the option of paying for the Shares with cash or cash equivalents equal to the present value of the consideration described in the Transfer Notice.</w:t>
      </w:r>
    </w:p>
    <w:p>
      <w:pPr>
        <w:spacing w:after="0" w:line="169" w:lineRule="exact"/>
        <w:rPr>
          <w:sz w:val="20"/>
          <w:szCs w:val="20"/>
          <w:color w:val="auto"/>
        </w:rPr>
      </w:pPr>
    </w:p>
    <w:p>
      <w:pPr>
        <w:jc w:val="both"/>
        <w:ind w:firstLine="794"/>
        <w:spacing w:after="0" w:line="245" w:lineRule="auto"/>
        <w:tabs>
          <w:tab w:leader="none" w:pos="1397" w:val="left"/>
        </w:tabs>
        <w:numPr>
          <w:ilvl w:val="0"/>
          <w:numId w:val="2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Additional or Exchanged Securities and Property</w:t>
      </w:r>
      <w:r>
        <w:rPr>
          <w:rFonts w:ascii="Times New Roman" w:cs="Times New Roman" w:eastAsia="Times New Roman" w:hAnsi="Times New Roman"/>
          <w:sz w:val="20"/>
          <w:szCs w:val="20"/>
          <w:color w:val="auto"/>
        </w:rPr>
        <w:t>. In the event of a merger or consolidation of the Company, a sale of all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or substantially all of the Company’s stock or assets, any other corporate reorganization, a stock split, the declaration of a stock dividend, the declaration of an extraordinary dividend payable in a form other than stock, a spin-off, an adjustment in conversion ratio, a recapitalization or a similar transaction affecting the Company’s outstanding securities, any securities or other property (including cash or cash equivalents) that are by reason of such transaction exchanged for, or distributed with respect to, any Shares subject to this Section 7 shall immediately be subject to the Right of First Refusal. Appropriate adjustments to reflect the exchange or distribution of such securities or property shall be made to the number and/or class of the Shares subject to this Section 7.</w:t>
      </w:r>
    </w:p>
    <w:p>
      <w:pPr>
        <w:spacing w:after="0" w:line="179" w:lineRule="exact"/>
        <w:rPr>
          <w:rFonts w:ascii="Times New Roman" w:cs="Times New Roman" w:eastAsia="Times New Roman" w:hAnsi="Times New Roman"/>
          <w:sz w:val="20"/>
          <w:szCs w:val="20"/>
          <w:color w:val="auto"/>
        </w:rPr>
      </w:pPr>
    </w:p>
    <w:p>
      <w:pPr>
        <w:jc w:val="both"/>
        <w:ind w:firstLine="794"/>
        <w:spacing w:after="0" w:line="256" w:lineRule="auto"/>
        <w:tabs>
          <w:tab w:leader="none" w:pos="1446" w:val="left"/>
        </w:tabs>
        <w:numPr>
          <w:ilvl w:val="0"/>
          <w:numId w:val="2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Termination of Right of First Refusal</w:t>
      </w:r>
      <w:r>
        <w:rPr>
          <w:rFonts w:ascii="Times New Roman" w:cs="Times New Roman" w:eastAsia="Times New Roman" w:hAnsi="Times New Roman"/>
          <w:sz w:val="20"/>
          <w:szCs w:val="20"/>
          <w:color w:val="auto"/>
        </w:rPr>
        <w:t>. Any other provision of this Section 7 notwithstanding, in the event that the Stock</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is readily tradable on an established securities market when the Optionee desires to transfer Shares, the Company shall have no Right of First Refusal, and the Optionee shall have no obligation to comply with the procedures prescribed by Subsections (a) and (b) above.</w:t>
      </w:r>
    </w:p>
    <w:p>
      <w:pPr>
        <w:spacing w:after="0" w:line="168" w:lineRule="exact"/>
        <w:rPr>
          <w:rFonts w:ascii="Times New Roman" w:cs="Times New Roman" w:eastAsia="Times New Roman" w:hAnsi="Times New Roman"/>
          <w:sz w:val="20"/>
          <w:szCs w:val="20"/>
          <w:color w:val="auto"/>
        </w:rPr>
      </w:pPr>
    </w:p>
    <w:p>
      <w:pPr>
        <w:jc w:val="both"/>
        <w:ind w:firstLine="794"/>
        <w:spacing w:after="0" w:line="246" w:lineRule="auto"/>
        <w:tabs>
          <w:tab w:leader="none" w:pos="1412" w:val="left"/>
        </w:tabs>
        <w:numPr>
          <w:ilvl w:val="0"/>
          <w:numId w:val="2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Permitted Transfers</w:t>
      </w:r>
      <w:r>
        <w:rPr>
          <w:rFonts w:ascii="Times New Roman" w:cs="Times New Roman" w:eastAsia="Times New Roman" w:hAnsi="Times New Roman"/>
          <w:sz w:val="20"/>
          <w:szCs w:val="20"/>
          <w:color w:val="auto"/>
        </w:rPr>
        <w:t>. This Section 7 shall not apply to (i) a transfer by beneficiary designation, will or intestate succession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or (ii) a transfer to one or more members of the Optionee’s Immediate Family or to a trust established by the Optionee for the benefit of the Optionee and/or one or more members of the Optionee’s Immediate Family, provided in either case that the Transferee agrees in writing on a form prescribed by the Company to be bound by all provisions of this Agreement. If the Optionee transfers any Shares acquired under this Agreement, either under this Subsection (e) or after the Company has failed to exercise the Right of First Refusal, then this Agreement shall apply to the Transferee to the same extent as to the Optionee.</w:t>
      </w:r>
    </w:p>
    <w:p>
      <w:pPr>
        <w:spacing w:after="0" w:line="178" w:lineRule="exact"/>
        <w:rPr>
          <w:rFonts w:ascii="Times New Roman" w:cs="Times New Roman" w:eastAsia="Times New Roman" w:hAnsi="Times New Roman"/>
          <w:sz w:val="20"/>
          <w:szCs w:val="20"/>
          <w:color w:val="auto"/>
        </w:rPr>
      </w:pPr>
    </w:p>
    <w:p>
      <w:pPr>
        <w:jc w:val="both"/>
        <w:ind w:firstLine="794"/>
        <w:spacing w:after="0" w:line="264" w:lineRule="auto"/>
        <w:tabs>
          <w:tab w:leader="none" w:pos="1383" w:val="left"/>
        </w:tabs>
        <w:numPr>
          <w:ilvl w:val="0"/>
          <w:numId w:val="22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Termination of Rights as Stockholder</w:t>
      </w:r>
      <w:r>
        <w:rPr>
          <w:rFonts w:ascii="Times New Roman" w:cs="Times New Roman" w:eastAsia="Times New Roman" w:hAnsi="Times New Roman"/>
          <w:sz w:val="19"/>
          <w:szCs w:val="19"/>
          <w:color w:val="auto"/>
        </w:rPr>
        <w:t>. If the Company makes available, at the time and place and in the amount and form</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provided in this Agreement, the consideration for the Shares to be purchased in accordance with this Section 7, then after such time the person from whom such Shares are to be purchased shall no longer have any rights as a holder of such Shares (other than the right to receive payment of such consideration in accordance with this Agreement). Such Shares shall be deemed to have been purchased in accordance with the applicable provisions hereof, whether or not the certificate(s) therefor have been delivered as required by this Agreement.</w:t>
      </w:r>
    </w:p>
    <w:p>
      <w:pPr>
        <w:spacing w:after="0" w:line="161" w:lineRule="exact"/>
        <w:rPr>
          <w:rFonts w:ascii="Times New Roman" w:cs="Times New Roman" w:eastAsia="Times New Roman" w:hAnsi="Times New Roman"/>
          <w:sz w:val="19"/>
          <w:szCs w:val="19"/>
          <w:color w:val="auto"/>
        </w:rPr>
      </w:pPr>
    </w:p>
    <w:p>
      <w:pPr>
        <w:jc w:val="both"/>
        <w:ind w:firstLine="794"/>
        <w:spacing w:after="0" w:line="256" w:lineRule="auto"/>
        <w:tabs>
          <w:tab w:leader="none" w:pos="1427" w:val="left"/>
        </w:tabs>
        <w:numPr>
          <w:ilvl w:val="0"/>
          <w:numId w:val="2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Assignment of Right of First Refusal</w:t>
      </w:r>
      <w:r>
        <w:rPr>
          <w:rFonts w:ascii="Times New Roman" w:cs="Times New Roman" w:eastAsia="Times New Roman" w:hAnsi="Times New Roman"/>
          <w:sz w:val="20"/>
          <w:szCs w:val="20"/>
          <w:color w:val="auto"/>
        </w:rPr>
        <w:t>. The Board of Directors may freely assign the Company’s Right of First Refusal,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whole or in part. Any person who accepts an assignment of the Right of First Refusal from the Company shall assume all of the Company’s rights and obligations under this Section 7.</w:t>
      </w:r>
    </w:p>
    <w:p>
      <w:pPr>
        <w:spacing w:after="0" w:line="169"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SECTION 8.</w:t>
      </w:r>
      <w:r>
        <w:rPr>
          <w:sz w:val="20"/>
          <w:szCs w:val="20"/>
          <w:color w:val="auto"/>
        </w:rPr>
        <w:tab/>
      </w:r>
      <w:r>
        <w:rPr>
          <w:rFonts w:ascii="Times New Roman" w:cs="Times New Roman" w:eastAsia="Times New Roman" w:hAnsi="Times New Roman"/>
          <w:sz w:val="19"/>
          <w:szCs w:val="19"/>
          <w:b w:val="1"/>
          <w:bCs w:val="1"/>
          <w:color w:val="auto"/>
        </w:rPr>
        <w:t>LEGALITY OF INITIAL ISSUANCE.</w:t>
      </w:r>
    </w:p>
    <w:p>
      <w:pPr>
        <w:spacing w:after="0" w:line="220"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0"/>
          <w:szCs w:val="20"/>
          <w:color w:val="auto"/>
        </w:rPr>
        <w:t>No Shares shall be issued upon the exercise of this option unless and until the Company has determined that:</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265" w:right="339" w:bottom="1440" w:gutter="0" w:footer="0" w:header="0"/>
        </w:sectPr>
      </w:pPr>
    </w:p>
    <w:bookmarkStart w:id="274" w:name="page275"/>
    <w:bookmarkEnd w:id="274"/>
    <w:p>
      <w:pPr>
        <w:ind w:left="560" w:right="20" w:firstLine="756"/>
        <w:spacing w:after="0" w:line="269" w:lineRule="auto"/>
        <w:tabs>
          <w:tab w:leader="none" w:pos="2007" w:val="left"/>
        </w:tabs>
        <w:numPr>
          <w:ilvl w:val="0"/>
          <w:numId w:val="2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It and the Optionee have taken any actions required to register the Shares under the Securities Act or to perfect an exemption from the registration requirements thereof;</w:t>
      </w:r>
    </w:p>
    <w:p>
      <w:pPr>
        <w:spacing w:after="0" w:line="159" w:lineRule="exact"/>
        <w:rPr>
          <w:rFonts w:ascii="Times New Roman" w:cs="Times New Roman" w:eastAsia="Times New Roman" w:hAnsi="Times New Roman"/>
          <w:sz w:val="20"/>
          <w:szCs w:val="20"/>
          <w:color w:val="auto"/>
        </w:rPr>
      </w:pPr>
    </w:p>
    <w:p>
      <w:pPr>
        <w:ind w:left="1940" w:hanging="624"/>
        <w:spacing w:after="0"/>
        <w:tabs>
          <w:tab w:leader="none" w:pos="1940" w:val="left"/>
        </w:tabs>
        <w:numPr>
          <w:ilvl w:val="0"/>
          <w:numId w:val="22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applicable listing requirement of any stock exchange or other securities market on which Stock is listed has been</w:t>
      </w:r>
    </w:p>
    <w:p>
      <w:pPr>
        <w:spacing w:after="0" w:line="33" w:lineRule="exact"/>
        <w:rPr>
          <w:rFonts w:ascii="Times New Roman" w:cs="Times New Roman" w:eastAsia="Times New Roman" w:hAnsi="Times New Roman"/>
          <w:sz w:val="19"/>
          <w:szCs w:val="19"/>
          <w:color w:val="auto"/>
        </w:rPr>
      </w:pPr>
    </w:p>
    <w:p>
      <w:pPr>
        <w:ind w:left="56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satisfied; and</w:t>
      </w:r>
    </w:p>
    <w:p>
      <w:pPr>
        <w:spacing w:after="0" w:line="193" w:lineRule="exact"/>
        <w:rPr>
          <w:rFonts w:ascii="Times New Roman" w:cs="Times New Roman" w:eastAsia="Times New Roman" w:hAnsi="Times New Roman"/>
          <w:sz w:val="19"/>
          <w:szCs w:val="19"/>
          <w:color w:val="auto"/>
        </w:rPr>
      </w:pPr>
    </w:p>
    <w:p>
      <w:pPr>
        <w:ind w:left="1920" w:hanging="604"/>
        <w:spacing w:after="0"/>
        <w:tabs>
          <w:tab w:leader="none" w:pos="1920" w:val="left"/>
        </w:tabs>
        <w:numPr>
          <w:ilvl w:val="0"/>
          <w:numId w:val="2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other applicable provision of federal, State or foreign law has been satisfied.</w:t>
      </w:r>
    </w:p>
    <w:p>
      <w:pPr>
        <w:spacing w:after="0" w:line="212"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SECTION 9.</w:t>
      </w:r>
      <w:r>
        <w:rPr>
          <w:sz w:val="20"/>
          <w:szCs w:val="20"/>
          <w:color w:val="auto"/>
        </w:rPr>
        <w:tab/>
      </w:r>
      <w:r>
        <w:rPr>
          <w:rFonts w:ascii="Times New Roman" w:cs="Times New Roman" w:eastAsia="Times New Roman" w:hAnsi="Times New Roman"/>
          <w:sz w:val="19"/>
          <w:szCs w:val="19"/>
          <w:b w:val="1"/>
          <w:bCs w:val="1"/>
          <w:color w:val="auto"/>
        </w:rPr>
        <w:t>NO REGISTRATION RIGHTS.</w:t>
      </w:r>
    </w:p>
    <w:p>
      <w:pPr>
        <w:spacing w:after="0" w:line="220" w:lineRule="exact"/>
        <w:rPr>
          <w:sz w:val="20"/>
          <w:szCs w:val="20"/>
          <w:color w:val="auto"/>
        </w:rPr>
      </w:pPr>
    </w:p>
    <w:p>
      <w:pPr>
        <w:jc w:val="both"/>
        <w:ind w:firstLine="786"/>
        <w:spacing w:after="0" w:line="254" w:lineRule="auto"/>
        <w:rPr>
          <w:sz w:val="20"/>
          <w:szCs w:val="20"/>
          <w:color w:val="auto"/>
        </w:rPr>
      </w:pPr>
      <w:r>
        <w:rPr>
          <w:rFonts w:ascii="Times New Roman" w:cs="Times New Roman" w:eastAsia="Times New Roman" w:hAnsi="Times New Roman"/>
          <w:sz w:val="20"/>
          <w:szCs w:val="20"/>
          <w:color w:val="auto"/>
        </w:rPr>
        <w:t>The Company may, but shall not be obligated to, register or qualify the sale of Shares under the Securities Act or any other applicable law. The Company shall not be obligated to take any affirmative action in order to cause the sale of Shares under this Agreement to comply with any law.</w:t>
      </w:r>
    </w:p>
    <w:p>
      <w:pPr>
        <w:spacing w:after="0" w:line="170" w:lineRule="exact"/>
        <w:rPr>
          <w:sz w:val="20"/>
          <w:szCs w:val="20"/>
          <w:color w:val="auto"/>
        </w:rPr>
      </w:pPr>
    </w:p>
    <w:p>
      <w:pPr>
        <w:spacing w:after="0"/>
        <w:tabs>
          <w:tab w:leader="none" w:pos="1380" w:val="left"/>
        </w:tabs>
        <w:rPr>
          <w:sz w:val="20"/>
          <w:szCs w:val="20"/>
          <w:color w:val="auto"/>
        </w:rPr>
      </w:pPr>
      <w:r>
        <w:rPr>
          <w:rFonts w:ascii="Times New Roman" w:cs="Times New Roman" w:eastAsia="Times New Roman" w:hAnsi="Times New Roman"/>
          <w:sz w:val="20"/>
          <w:szCs w:val="20"/>
          <w:b w:val="1"/>
          <w:bCs w:val="1"/>
          <w:color w:val="auto"/>
        </w:rPr>
        <w:t>SECTION 10.</w:t>
      </w:r>
      <w:r>
        <w:rPr>
          <w:sz w:val="20"/>
          <w:szCs w:val="20"/>
          <w:color w:val="auto"/>
        </w:rPr>
        <w:tab/>
      </w:r>
      <w:r>
        <w:rPr>
          <w:rFonts w:ascii="Times New Roman" w:cs="Times New Roman" w:eastAsia="Times New Roman" w:hAnsi="Times New Roman"/>
          <w:sz w:val="19"/>
          <w:szCs w:val="19"/>
          <w:b w:val="1"/>
          <w:bCs w:val="1"/>
          <w:color w:val="auto"/>
        </w:rPr>
        <w:t>RESTRICTIONS ON TRANSFER OF SHARES.</w:t>
      </w:r>
    </w:p>
    <w:p>
      <w:pPr>
        <w:spacing w:after="0" w:line="216" w:lineRule="exact"/>
        <w:rPr>
          <w:sz w:val="20"/>
          <w:szCs w:val="20"/>
          <w:color w:val="auto"/>
        </w:rPr>
      </w:pPr>
    </w:p>
    <w:p>
      <w:pPr>
        <w:jc w:val="both"/>
        <w:ind w:firstLine="794"/>
        <w:spacing w:after="0" w:line="260" w:lineRule="auto"/>
        <w:tabs>
          <w:tab w:leader="none" w:pos="1410" w:val="left"/>
        </w:tabs>
        <w:numPr>
          <w:ilvl w:val="0"/>
          <w:numId w:val="22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Securities Law Restrictions</w:t>
      </w:r>
      <w:r>
        <w:rPr>
          <w:rFonts w:ascii="Times New Roman" w:cs="Times New Roman" w:eastAsia="Times New Roman" w:hAnsi="Times New Roman"/>
          <w:sz w:val="19"/>
          <w:szCs w:val="19"/>
          <w:color w:val="auto"/>
        </w:rPr>
        <w:t>. Regardless of whether the offer and sale of Shares under the Plan have been registered under</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the Securities Act or have been registered or qualified under the securities laws of any State or other relevant jurisdiction, the Company at its discretion may impose restrictions upon the sale, pledge or other transfer of such Shares (including the placement of appropriate legends on the stock certificates (or electronic equivalent) or the imposition of stop-transfer instructions) and may refuse (or may be required to refuse) to transfer Shares acquired hereunder (or Shares proposed to be transferred in a subsequent transfer) if, in the judgment of the Company, such restrictions, legends or refusal are necessary or appropriate to achieve compliance with the Securities Act or other relevant securities or other laws, including without limitation under Regulation S of the Securities Act or pursuant to another available exemption from registration.</w:t>
      </w:r>
    </w:p>
    <w:p>
      <w:pPr>
        <w:spacing w:after="0" w:line="165" w:lineRule="exact"/>
        <w:rPr>
          <w:rFonts w:ascii="Times New Roman" w:cs="Times New Roman" w:eastAsia="Times New Roman" w:hAnsi="Times New Roman"/>
          <w:sz w:val="19"/>
          <w:szCs w:val="19"/>
          <w:color w:val="auto"/>
        </w:rPr>
      </w:pPr>
    </w:p>
    <w:p>
      <w:pPr>
        <w:jc w:val="both"/>
        <w:ind w:firstLine="794"/>
        <w:spacing w:after="0" w:line="241" w:lineRule="auto"/>
        <w:tabs>
          <w:tab w:leader="none" w:pos="1472" w:val="left"/>
        </w:tabs>
        <w:numPr>
          <w:ilvl w:val="0"/>
          <w:numId w:val="2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Market Stand-Off</w:t>
      </w:r>
      <w:r>
        <w:rPr>
          <w:rFonts w:ascii="Times New Roman" w:cs="Times New Roman" w:eastAsia="Times New Roman" w:hAnsi="Times New Roman"/>
          <w:sz w:val="20"/>
          <w:szCs w:val="20"/>
          <w:color w:val="auto"/>
        </w:rPr>
        <w:t>. In connection with any underwritten public offering by the Company of its equity securities pursuant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to an effective registration statement filed under the Securities Act, including the Company’s initial public offering, the Optionee or a Transferee shall not directly or indirectly sell, make any short sale of, loan, hypothecate, pledge, offer, grant or sell any option or other contract for the purchase of, purchase any option or other contract for the sale of, or otherwise dispose of or transfer, or agree to engage in any of the foregoing transactions with respect to, any Shares acquired under this Agreement without the prior written consent of the Company or its managing underwriter. Such restriction (the “</w:t>
      </w:r>
      <w:r>
        <w:rPr>
          <w:rFonts w:ascii="Times New Roman" w:cs="Times New Roman" w:eastAsia="Times New Roman" w:hAnsi="Times New Roman"/>
          <w:sz w:val="20"/>
          <w:szCs w:val="20"/>
          <w:b w:val="1"/>
          <w:bCs w:val="1"/>
          <w:color w:val="auto"/>
        </w:rPr>
        <w:t>Market Stand-Off</w:t>
      </w:r>
      <w:r>
        <w:rPr>
          <w:rFonts w:ascii="Times New Roman" w:cs="Times New Roman" w:eastAsia="Times New Roman" w:hAnsi="Times New Roman"/>
          <w:sz w:val="20"/>
          <w:szCs w:val="20"/>
          <w:color w:val="auto"/>
        </w:rPr>
        <w:t>”) shall be in effect for such period of time following the date of the final prospectus for the offering as may be requested by the Company or such underwriter. In no event, however, shall such period exceed 180 days plus such additional period as may reasonably be requested by the Company or such underwriter to accommodate regulatory restrictions on (i) the publication or other distribution of research reports or (ii) analyst recommendations and opinions, including (without limitation) the restrictions set forth in Rule 2711(f)(4) of the National Association of Securities Dealers and Rule 472(f)(4) of the New York Stock Exchange, as amended, or any similar successor rules. The Market Stand-Off shall in any event terminate two years after the date of the Company’s initial public offering. In the event of the declaration of a stock dividend, a spin-off, a stock split, an adjustment in conversion ratio, a recapitalization or a similar transaction affecting the Company’s outstanding securities without receipt of consideration, any new, substituted or additional securities which are by reason of such transaction distributed with respect to any Shares subject to the Market Stand-Off, or into which such Shares thereby become convertible, shall immediately be subject to the Market Stand-Off. In order to enforce the Market Stand-Off, the Company may impose stop-transfer instructions with respect to the Shares acquired under this Agreement until the end of the applicable stand-off period. The Company’s underwriters shall be beneficiaries of the agreement set forth in this Subsection (b). This Subsection (b) shall not apply to Shares registered in the public offering under the Securities Act.</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40"/>
          </w:cols>
          <w:pgMar w:left="320" w:top="265" w:right="339" w:bottom="1440" w:gutter="0" w:footer="0" w:header="0"/>
        </w:sectPr>
      </w:pPr>
    </w:p>
    <w:bookmarkStart w:id="275" w:name="page276"/>
    <w:bookmarkEnd w:id="275"/>
    <w:p>
      <w:pPr>
        <w:ind w:firstLine="794"/>
        <w:spacing w:after="0" w:line="273" w:lineRule="auto"/>
        <w:tabs>
          <w:tab w:leader="none" w:pos="1401" w:val="left"/>
        </w:tabs>
        <w:numPr>
          <w:ilvl w:val="0"/>
          <w:numId w:val="2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Investment Intent at Grant</w:t>
      </w:r>
      <w:r>
        <w:rPr>
          <w:rFonts w:ascii="Times New Roman" w:cs="Times New Roman" w:eastAsia="Times New Roman" w:hAnsi="Times New Roman"/>
          <w:sz w:val="20"/>
          <w:szCs w:val="20"/>
          <w:color w:val="auto"/>
        </w:rPr>
        <w:t>. The Optionee represents and agrees that the Shares to be acquired upon exercising this option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will be acquired for investment, and not with a view to the sale or distribution thereof.</w:t>
      </w:r>
    </w:p>
    <w:p>
      <w:pPr>
        <w:spacing w:after="0" w:line="151" w:lineRule="exact"/>
        <w:rPr>
          <w:rFonts w:ascii="Times New Roman" w:cs="Times New Roman" w:eastAsia="Times New Roman" w:hAnsi="Times New Roman"/>
          <w:sz w:val="20"/>
          <w:szCs w:val="20"/>
          <w:color w:val="auto"/>
        </w:rPr>
      </w:pPr>
    </w:p>
    <w:p>
      <w:pPr>
        <w:jc w:val="both"/>
        <w:ind w:firstLine="794"/>
        <w:spacing w:after="0" w:line="245" w:lineRule="auto"/>
        <w:tabs>
          <w:tab w:leader="none" w:pos="1420" w:val="left"/>
        </w:tabs>
        <w:numPr>
          <w:ilvl w:val="0"/>
          <w:numId w:val="2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Investment Intent at Exercise</w:t>
      </w:r>
      <w:r>
        <w:rPr>
          <w:rFonts w:ascii="Times New Roman" w:cs="Times New Roman" w:eastAsia="Times New Roman" w:hAnsi="Times New Roman"/>
          <w:sz w:val="20"/>
          <w:szCs w:val="20"/>
          <w:color w:val="auto"/>
        </w:rPr>
        <w:t>. In the event that the sale of Shares under the Plan is not registered under the Securities Act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but an exemption is available that requires an investment representation or other representation, the Optionee shall represent and agree at the time of exercise that the Shares being acquired upon exercising this option are being acquired for investment, and not with a view to the sale or distribution thereof, and shall make such other representations as are deemed necessary or appropriate by the Company and its counsel, including (if applicable because the Company is relying on Regulation S under the Securities Act) that as of the date of exercise the Optionee is (i) not a U.S. Person; (ii) not acquiring the Shares on behalf, or for the account or benefit, of a U.S. Person; and (iii) is not exercising the option in the United States.</w:t>
      </w:r>
    </w:p>
    <w:p>
      <w:pPr>
        <w:spacing w:after="0" w:line="179" w:lineRule="exact"/>
        <w:rPr>
          <w:rFonts w:ascii="Times New Roman" w:cs="Times New Roman" w:eastAsia="Times New Roman" w:hAnsi="Times New Roman"/>
          <w:sz w:val="20"/>
          <w:szCs w:val="20"/>
          <w:color w:val="auto"/>
        </w:rPr>
      </w:pPr>
    </w:p>
    <w:p>
      <w:pPr>
        <w:ind w:left="1400" w:hanging="606"/>
        <w:spacing w:after="0"/>
        <w:tabs>
          <w:tab w:leader="none" w:pos="1400" w:val="left"/>
        </w:tabs>
        <w:numPr>
          <w:ilvl w:val="0"/>
          <w:numId w:val="2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Legends</w:t>
      </w:r>
      <w:r>
        <w:rPr>
          <w:rFonts w:ascii="Times New Roman" w:cs="Times New Roman" w:eastAsia="Times New Roman" w:hAnsi="Times New Roman"/>
          <w:sz w:val="20"/>
          <w:szCs w:val="20"/>
          <w:color w:val="auto"/>
        </w:rPr>
        <w:t>. All certificates evidencing Shares purchased under this Agreement shall bear the following legend:</w:t>
      </w:r>
    </w:p>
    <w:p>
      <w:pPr>
        <w:spacing w:after="0" w:line="220" w:lineRule="exact"/>
        <w:rPr>
          <w:sz w:val="20"/>
          <w:szCs w:val="20"/>
          <w:color w:val="auto"/>
        </w:rPr>
      </w:pPr>
    </w:p>
    <w:p>
      <w:pPr>
        <w:jc w:val="both"/>
        <w:ind w:left="560"/>
        <w:spacing w:after="0" w:line="242" w:lineRule="auto"/>
        <w:rPr>
          <w:sz w:val="20"/>
          <w:szCs w:val="20"/>
          <w:color w:val="auto"/>
        </w:rPr>
      </w:pPr>
      <w:r>
        <w:rPr>
          <w:rFonts w:ascii="Times New Roman" w:cs="Times New Roman" w:eastAsia="Times New Roman" w:hAnsi="Times New Roman"/>
          <w:sz w:val="20"/>
          <w:szCs w:val="20"/>
          <w:color w:val="auto"/>
        </w:rPr>
        <w:t>“THE SHARES REPRESENTED HEREBY MAY NOT BE SOLD, ASSIGNED, TRANSFERRED, ENCUMBERED OR IN ANY MANNER DISPOSED OF, EXCEPT IN COMPLIANCE WITH THE TERMS OF A WRITTEN AGREEMENT BETWEEN THE COMPANY AND THE REGISTERED HOLDER OF THE SHARES (OR THE PREDECESSOR IN INTEREST TO THE SHARES). SUCH AGREEMENT GRANTS TO THE COMPANY CERTAIN RIGHTS OF FIRST REFUSAL UPON AN ATTEMPTED TRANSFER OF THE SHARES. IN ADDITION, THE SHARES ARE SUBJECT TO RESTRICTIONS ON TRANSFER FOR A LIMITED PERIOD FOLLOWING THE EFFECTIVE DATE OF THE UNDERWRITTEN PUBLIC OFFERING OF THE COMPANY’S SECURITIES AND MAY NOT BE SOLD OR OTHERWISE DISPOSED OF BY THE HOLDER WITHOUT THE CONSENT OF THE COMPANY OR THE MANAGING UNDERWRITER. THE SECRETARY OF THE COMPANY WILL UPON WRITTEN REQUEST FURNISH A COPY OF SUCH AGREEMENT TO THE HOLDER HEREOF WITHOUT CHARGE.”</w:t>
      </w:r>
    </w:p>
    <w:p>
      <w:pPr>
        <w:spacing w:after="0" w:line="192"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20"/>
          <w:szCs w:val="20"/>
          <w:color w:val="auto"/>
        </w:rPr>
        <w:t>All certificates evidencing Shares purchased under this Agreement in an unregistered transaction shall bear the following legend (and such other restrictive legends as are required or deemed advisable under the provisions of any applicable law):</w:t>
      </w:r>
    </w:p>
    <w:p>
      <w:pPr>
        <w:spacing w:after="0" w:line="159" w:lineRule="exact"/>
        <w:rPr>
          <w:sz w:val="20"/>
          <w:szCs w:val="20"/>
          <w:color w:val="auto"/>
        </w:rPr>
      </w:pPr>
    </w:p>
    <w:p>
      <w:pPr>
        <w:jc w:val="both"/>
        <w:ind w:left="560"/>
        <w:spacing w:after="0" w:line="242" w:lineRule="auto"/>
        <w:rPr>
          <w:sz w:val="20"/>
          <w:szCs w:val="20"/>
          <w:color w:val="auto"/>
        </w:rPr>
      </w:pPr>
      <w:r>
        <w:rPr>
          <w:rFonts w:ascii="Times New Roman" w:cs="Times New Roman" w:eastAsia="Times New Roman" w:hAnsi="Times New Roman"/>
          <w:sz w:val="20"/>
          <w:szCs w:val="20"/>
          <w:color w:val="auto"/>
        </w:rPr>
        <w:t>“THE SHARES REPRESENTED HEREBY HAVE NOT BEEN REGISTERED UNDER THE SECURITIES ACT OF 1933, AS AMENDED (THE “ACT”) OR ANY SECURITIES LAWS OF ANY U.S. STATE, AND MAY NOT BE SOLD, REOFFERED, PLEDGED, ASSIGNED, ENCUMBERED OR OTHERWISE TRANSFERRED OR DISPOSED WITHOUT AN EFFECTIVE REGISTRATION THEREOF UNDER SUCH ACT OR AN OPINION OF COUNSEL, SATISFACTORY TO THE COMPANY AND ITS COUNSEL, THAT SUCH REGISTRATION IS NOT REQUIRED. IN THE ABSENCE OF REGISTRATION OR THE AVAILABILITY (CONFIRMED BY OPINION OF COUNSEL) OF AN ALTERNATIVE EXEMPTION FROM REGISTRATION UNDER THE ACT (INCLUDING WITHOUT LIMITATION IN ACCORDANCE WITH REGULATION S UNDER THE ACT), THESE SHARES MAY NOT BE SOLD, REOFFERED, PLEDGED, ASSIGNED, ENCUMBERED OR OTHERWISE TRANSFERRED OR DISPOSED OF. HEDGING TRANSACTIONS INVOLVING THESE SHARES MAY NOT BE CONDUCTED UNLESS IN COMPLIANCE WITH THE ACT.”</w:t>
      </w:r>
    </w:p>
    <w:p>
      <w:pPr>
        <w:spacing w:after="0" w:line="1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40"/>
          </w:cols>
          <w:pgMar w:left="320" w:top="261" w:right="339" w:bottom="1440" w:gutter="0" w:footer="0" w:header="0"/>
        </w:sectPr>
      </w:pPr>
    </w:p>
    <w:bookmarkStart w:id="276" w:name="page277"/>
    <w:bookmarkEnd w:id="276"/>
    <w:p>
      <w:pPr>
        <w:jc w:val="both"/>
        <w:ind w:firstLine="794"/>
        <w:spacing w:after="0" w:line="256" w:lineRule="auto"/>
        <w:tabs>
          <w:tab w:leader="none" w:pos="1650" w:val="left"/>
        </w:tabs>
        <w:numPr>
          <w:ilvl w:val="0"/>
          <w:numId w:val="2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Removal of Legends</w:t>
      </w:r>
      <w:r>
        <w:rPr>
          <w:rFonts w:ascii="Times New Roman" w:cs="Times New Roman" w:eastAsia="Times New Roman" w:hAnsi="Times New Roman"/>
          <w:sz w:val="20"/>
          <w:szCs w:val="20"/>
          <w:color w:val="auto"/>
        </w:rPr>
        <w:t>. If, in the opinion of the Company and its counsel, any legend placed on a stock certificate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representing Shares sold under this Agreement is no longer required, the holder of such certificate shall be entitled to exchange such certificate for a certificate representing the same number of Shares but without such legend.</w:t>
      </w:r>
    </w:p>
    <w:p>
      <w:pPr>
        <w:spacing w:after="0" w:line="168" w:lineRule="exact"/>
        <w:rPr>
          <w:rFonts w:ascii="Times New Roman" w:cs="Times New Roman" w:eastAsia="Times New Roman" w:hAnsi="Times New Roman"/>
          <w:sz w:val="20"/>
          <w:szCs w:val="20"/>
          <w:color w:val="auto"/>
        </w:rPr>
      </w:pPr>
    </w:p>
    <w:p>
      <w:pPr>
        <w:ind w:firstLine="794"/>
        <w:spacing w:after="0" w:line="273" w:lineRule="auto"/>
        <w:tabs>
          <w:tab w:leader="none" w:pos="1439" w:val="left"/>
        </w:tabs>
        <w:numPr>
          <w:ilvl w:val="0"/>
          <w:numId w:val="2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Administration</w:t>
      </w:r>
      <w:r>
        <w:rPr>
          <w:rFonts w:ascii="Times New Roman" w:cs="Times New Roman" w:eastAsia="Times New Roman" w:hAnsi="Times New Roman"/>
          <w:sz w:val="20"/>
          <w:szCs w:val="20"/>
          <w:color w:val="auto"/>
        </w:rPr>
        <w:t>. Any determination by the Company and its counsel in connection with any of the matters set forth in this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Section 10 shall be conclusive and binding on the Optionee and all other persons.</w:t>
      </w:r>
    </w:p>
    <w:p>
      <w:pPr>
        <w:spacing w:after="0" w:line="152" w:lineRule="exact"/>
        <w:rPr>
          <w:sz w:val="20"/>
          <w:szCs w:val="20"/>
          <w:color w:val="auto"/>
        </w:rPr>
      </w:pPr>
    </w:p>
    <w:p>
      <w:pPr>
        <w:spacing w:after="0"/>
        <w:tabs>
          <w:tab w:leader="none" w:pos="1540" w:val="left"/>
        </w:tabs>
        <w:rPr>
          <w:sz w:val="20"/>
          <w:szCs w:val="20"/>
          <w:color w:val="auto"/>
        </w:rPr>
      </w:pPr>
      <w:r>
        <w:rPr>
          <w:rFonts w:ascii="Times New Roman" w:cs="Times New Roman" w:eastAsia="Times New Roman" w:hAnsi="Times New Roman"/>
          <w:sz w:val="20"/>
          <w:szCs w:val="20"/>
          <w:b w:val="1"/>
          <w:bCs w:val="1"/>
          <w:color w:val="auto"/>
        </w:rPr>
        <w:t>SECTION 11.</w:t>
      </w:r>
      <w:r>
        <w:rPr>
          <w:sz w:val="20"/>
          <w:szCs w:val="20"/>
          <w:color w:val="auto"/>
        </w:rPr>
        <w:tab/>
      </w:r>
      <w:r>
        <w:rPr>
          <w:rFonts w:ascii="Times New Roman" w:cs="Times New Roman" w:eastAsia="Times New Roman" w:hAnsi="Times New Roman"/>
          <w:sz w:val="19"/>
          <w:szCs w:val="19"/>
          <w:b w:val="1"/>
          <w:bCs w:val="1"/>
          <w:color w:val="auto"/>
        </w:rPr>
        <w:t>ADJUSTMENT OF SHARES.</w:t>
      </w:r>
    </w:p>
    <w:p>
      <w:pPr>
        <w:spacing w:after="0" w:line="220" w:lineRule="exact"/>
        <w:rPr>
          <w:sz w:val="20"/>
          <w:szCs w:val="20"/>
          <w:color w:val="auto"/>
        </w:rPr>
      </w:pPr>
    </w:p>
    <w:p>
      <w:pPr>
        <w:jc w:val="both"/>
        <w:ind w:firstLine="786"/>
        <w:spacing w:after="0" w:line="266" w:lineRule="auto"/>
        <w:rPr>
          <w:sz w:val="20"/>
          <w:szCs w:val="20"/>
          <w:color w:val="auto"/>
        </w:rPr>
      </w:pPr>
      <w:r>
        <w:rPr>
          <w:rFonts w:ascii="Times New Roman" w:cs="Times New Roman" w:eastAsia="Times New Roman" w:hAnsi="Times New Roman"/>
          <w:sz w:val="19"/>
          <w:szCs w:val="19"/>
          <w:color w:val="auto"/>
        </w:rPr>
        <w:t>In the event of any transaction described in Section 8(a) of the Plan, the terms of this option (including, without limitation, the number and kind of Shares subject to this option and the Exercise Price) shall be adjusted as set forth in Section 8(a) of the Plan. In the event that the Company is a party to a merger or consolidation or in the event of a sale of all or substantially all of the Company’s stock or assets, this option shall be subject to the treatment provided by the Board of Directors in its sole discretion, as provided in Section 8(b) of the Plan.</w:t>
      </w:r>
    </w:p>
    <w:p>
      <w:pPr>
        <w:spacing w:after="0" w:line="161" w:lineRule="exact"/>
        <w:rPr>
          <w:sz w:val="20"/>
          <w:szCs w:val="20"/>
          <w:color w:val="auto"/>
        </w:rPr>
      </w:pPr>
    </w:p>
    <w:p>
      <w:pPr>
        <w:spacing w:after="0"/>
        <w:tabs>
          <w:tab w:leader="none" w:pos="1380" w:val="left"/>
        </w:tabs>
        <w:rPr>
          <w:sz w:val="20"/>
          <w:szCs w:val="20"/>
          <w:color w:val="auto"/>
        </w:rPr>
      </w:pPr>
      <w:r>
        <w:rPr>
          <w:rFonts w:ascii="Times New Roman" w:cs="Times New Roman" w:eastAsia="Times New Roman" w:hAnsi="Times New Roman"/>
          <w:sz w:val="20"/>
          <w:szCs w:val="20"/>
          <w:b w:val="1"/>
          <w:bCs w:val="1"/>
          <w:color w:val="auto"/>
        </w:rPr>
        <w:t>SECTION 12.</w:t>
      </w:r>
      <w:r>
        <w:rPr>
          <w:sz w:val="20"/>
          <w:szCs w:val="20"/>
          <w:color w:val="auto"/>
        </w:rPr>
        <w:tab/>
      </w:r>
      <w:r>
        <w:rPr>
          <w:rFonts w:ascii="Times New Roman" w:cs="Times New Roman" w:eastAsia="Times New Roman" w:hAnsi="Times New Roman"/>
          <w:sz w:val="19"/>
          <w:szCs w:val="19"/>
          <w:b w:val="1"/>
          <w:bCs w:val="1"/>
          <w:color w:val="auto"/>
        </w:rPr>
        <w:t>MISCELLANEOUS PROVISIONS.</w:t>
      </w:r>
    </w:p>
    <w:p>
      <w:pPr>
        <w:spacing w:after="0" w:line="216" w:lineRule="exact"/>
        <w:rPr>
          <w:sz w:val="20"/>
          <w:szCs w:val="20"/>
          <w:color w:val="auto"/>
        </w:rPr>
      </w:pPr>
    </w:p>
    <w:p>
      <w:pPr>
        <w:jc w:val="both"/>
        <w:ind w:firstLine="794"/>
        <w:spacing w:after="0" w:line="256" w:lineRule="auto"/>
        <w:tabs>
          <w:tab w:leader="none" w:pos="1401" w:val="left"/>
        </w:tabs>
        <w:numPr>
          <w:ilvl w:val="1"/>
          <w:numId w:val="2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Rights as a Stockholder</w:t>
      </w:r>
      <w:r>
        <w:rPr>
          <w:rFonts w:ascii="Times New Roman" w:cs="Times New Roman" w:eastAsia="Times New Roman" w:hAnsi="Times New Roman"/>
          <w:sz w:val="20"/>
          <w:szCs w:val="20"/>
          <w:color w:val="auto"/>
        </w:rPr>
        <w:t>. Neither the Optionee nor the Optionee’s representative shall have any rights as a stockholder with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respect to any Shares subject to this option until the Optionee or the Optionee’s representative becomes entitled to receive such Shares by filing a notice of exercise and paying the Purchase Price pursuant to Sections 4 and 5.</w:t>
      </w:r>
    </w:p>
    <w:p>
      <w:pPr>
        <w:spacing w:after="0" w:line="168" w:lineRule="exact"/>
        <w:rPr>
          <w:rFonts w:ascii="Times New Roman" w:cs="Times New Roman" w:eastAsia="Times New Roman" w:hAnsi="Times New Roman"/>
          <w:sz w:val="20"/>
          <w:szCs w:val="20"/>
          <w:color w:val="auto"/>
        </w:rPr>
      </w:pPr>
    </w:p>
    <w:p>
      <w:pPr>
        <w:jc w:val="both"/>
        <w:ind w:firstLine="794"/>
        <w:spacing w:after="0" w:line="250" w:lineRule="auto"/>
        <w:tabs>
          <w:tab w:leader="none" w:pos="1439" w:val="left"/>
        </w:tabs>
        <w:numPr>
          <w:ilvl w:val="1"/>
          <w:numId w:val="2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No Retention Rights</w:t>
      </w:r>
      <w:r>
        <w:rPr>
          <w:rFonts w:ascii="Times New Roman" w:cs="Times New Roman" w:eastAsia="Times New Roman" w:hAnsi="Times New Roman"/>
          <w:sz w:val="20"/>
          <w:szCs w:val="20"/>
          <w:color w:val="auto"/>
        </w:rPr>
        <w:t>. Nothing in this option or in the Plan shall confer upon the Optionee any right to continue in Service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for any period of specific duration or interfere with or otherwise restrict in any way the rights of the Company (or any Parent or Subsidiary employing or retaining the Optionee) or of the Optionee, which rights are hereby expressly reserved by each, to terminate his or her Service at any time and for any reason, with or without cause.</w:t>
      </w:r>
    </w:p>
    <w:p>
      <w:pPr>
        <w:spacing w:after="0" w:line="175" w:lineRule="exact"/>
        <w:rPr>
          <w:rFonts w:ascii="Times New Roman" w:cs="Times New Roman" w:eastAsia="Times New Roman" w:hAnsi="Times New Roman"/>
          <w:sz w:val="20"/>
          <w:szCs w:val="20"/>
          <w:color w:val="auto"/>
        </w:rPr>
      </w:pPr>
    </w:p>
    <w:p>
      <w:pPr>
        <w:ind w:left="1520" w:hanging="726"/>
        <w:spacing w:after="0"/>
        <w:tabs>
          <w:tab w:leader="none" w:pos="1520" w:val="left"/>
        </w:tabs>
        <w:numPr>
          <w:ilvl w:val="1"/>
          <w:numId w:val="2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Notice</w:t>
      </w:r>
      <w:r>
        <w:rPr>
          <w:rFonts w:ascii="Times New Roman" w:cs="Times New Roman" w:eastAsia="Times New Roman" w:hAnsi="Times New Roman"/>
          <w:sz w:val="20"/>
          <w:szCs w:val="20"/>
          <w:color w:val="auto"/>
        </w:rPr>
        <w:t>. Any notice required by the terms of this Agreement shall be given in writing. It shall be deemed effective upon</w:t>
      </w:r>
    </w:p>
    <w:p>
      <w:pPr>
        <w:spacing w:after="0" w:line="25" w:lineRule="exact"/>
        <w:rPr>
          <w:rFonts w:ascii="Times New Roman" w:cs="Times New Roman" w:eastAsia="Times New Roman" w:hAnsi="Times New Roman"/>
          <w:sz w:val="20"/>
          <w:szCs w:val="20"/>
          <w:color w:val="auto"/>
        </w:rPr>
      </w:pPr>
    </w:p>
    <w:p>
      <w:pPr>
        <w:ind w:left="280" w:hanging="272"/>
        <w:spacing w:after="0"/>
        <w:tabs>
          <w:tab w:leader="none" w:pos="280" w:val="left"/>
        </w:tabs>
        <w:numPr>
          <w:ilvl w:val="0"/>
          <w:numId w:val="2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personal delivery, (ii) deposit with the United States Postal Service, by registered or certified mail, with postage and fees prepaid,</w:t>
      </w:r>
    </w:p>
    <w:p>
      <w:pPr>
        <w:jc w:val="both"/>
        <w:ind w:firstLine="8"/>
        <w:spacing w:after="0" w:line="242" w:lineRule="auto"/>
        <w:tabs>
          <w:tab w:leader="none" w:pos="348" w:val="left"/>
        </w:tabs>
        <w:numPr>
          <w:ilvl w:val="0"/>
          <w:numId w:val="2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deposit with Federal Express Corporation, with shipping charges prepaid or (iv) deposit with any internationally recognized express mail courier service. Notice shall be addressed to the Company at its principal executive office and to the Optionee at the address that he or she most recently provided to the Company in accordance with this Subsection (c).</w:t>
      </w:r>
    </w:p>
    <w:p>
      <w:pPr>
        <w:spacing w:after="0" w:line="182" w:lineRule="exact"/>
        <w:rPr>
          <w:rFonts w:ascii="Times New Roman" w:cs="Times New Roman" w:eastAsia="Times New Roman" w:hAnsi="Times New Roman"/>
          <w:sz w:val="20"/>
          <w:szCs w:val="20"/>
          <w:color w:val="auto"/>
        </w:rPr>
      </w:pPr>
    </w:p>
    <w:p>
      <w:pPr>
        <w:jc w:val="both"/>
        <w:ind w:firstLine="794"/>
        <w:spacing w:after="0" w:line="250" w:lineRule="auto"/>
        <w:tabs>
          <w:tab w:leader="none" w:pos="1709" w:val="left"/>
        </w:tabs>
        <w:numPr>
          <w:ilvl w:val="1"/>
          <w:numId w:val="2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Modifications and Waivers</w:t>
      </w:r>
      <w:r>
        <w:rPr>
          <w:rFonts w:ascii="Times New Roman" w:cs="Times New Roman" w:eastAsia="Times New Roman" w:hAnsi="Times New Roman"/>
          <w:sz w:val="20"/>
          <w:szCs w:val="20"/>
          <w:color w:val="auto"/>
        </w:rPr>
        <w:t>. No provision of this Agreement shall be modified, waived or discharged unless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modification, waiver or discharge is agreed to in writing and signed by the Optionee and by an authorized officer of the Company (other than the Optionee). No waiver by either party of any breach of, or of compliance with, any condition or provision of this Agreement by the other party shall be considered a waiver of any other condition or provision or of the same condition or provision at another time.</w:t>
      </w:r>
    </w:p>
    <w:p>
      <w:pPr>
        <w:spacing w:after="0" w:line="175" w:lineRule="exact"/>
        <w:rPr>
          <w:rFonts w:ascii="Times New Roman" w:cs="Times New Roman" w:eastAsia="Times New Roman" w:hAnsi="Times New Roman"/>
          <w:sz w:val="20"/>
          <w:szCs w:val="20"/>
          <w:color w:val="auto"/>
        </w:rPr>
      </w:pPr>
    </w:p>
    <w:p>
      <w:pPr>
        <w:jc w:val="both"/>
        <w:ind w:firstLine="794"/>
        <w:spacing w:after="0" w:line="256" w:lineRule="auto"/>
        <w:tabs>
          <w:tab w:leader="none" w:pos="1455" w:val="left"/>
        </w:tabs>
        <w:numPr>
          <w:ilvl w:val="1"/>
          <w:numId w:val="2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Entire Agreement</w:t>
      </w:r>
      <w:r>
        <w:rPr>
          <w:rFonts w:ascii="Times New Roman" w:cs="Times New Roman" w:eastAsia="Times New Roman" w:hAnsi="Times New Roman"/>
          <w:sz w:val="20"/>
          <w:szCs w:val="20"/>
          <w:color w:val="auto"/>
        </w:rPr>
        <w:t>. The Notice of Stock Option Grant, this Agreement and the Plan constitute the entire contract between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parties hereto with regard to the subject matter hereof. They supersede any other agreements, representations or understandings (whether oral or written and whether express or implied) that relate to the subject matter hereof.</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40"/>
          </w:cols>
          <w:pgMar w:left="320" w:top="261" w:right="339" w:bottom="1440" w:gutter="0" w:footer="0" w:header="0"/>
        </w:sectPr>
      </w:pPr>
    </w:p>
    <w:bookmarkStart w:id="277" w:name="page278"/>
    <w:bookmarkEnd w:id="277"/>
    <w:p>
      <w:pPr>
        <w:ind w:firstLine="794"/>
        <w:spacing w:after="0" w:line="273" w:lineRule="auto"/>
        <w:tabs>
          <w:tab w:leader="none" w:pos="1393" w:val="left"/>
        </w:tabs>
        <w:numPr>
          <w:ilvl w:val="0"/>
          <w:numId w:val="2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Choice of Law</w:t>
      </w:r>
      <w:r>
        <w:rPr>
          <w:rFonts w:ascii="Times New Roman" w:cs="Times New Roman" w:eastAsia="Times New Roman" w:hAnsi="Times New Roman"/>
          <w:sz w:val="20"/>
          <w:szCs w:val="20"/>
          <w:color w:val="auto"/>
        </w:rPr>
        <w:t>. This Agreement shall be governed by, and construed in accordance with, the laws of the State of Delaware,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as such laws are applied to contracts entered into and performed in such State.</w:t>
      </w:r>
    </w:p>
    <w:p>
      <w:pPr>
        <w:spacing w:after="0" w:line="152" w:lineRule="exact"/>
        <w:rPr>
          <w:sz w:val="20"/>
          <w:szCs w:val="20"/>
          <w:color w:val="auto"/>
        </w:rPr>
      </w:pPr>
    </w:p>
    <w:p>
      <w:pPr>
        <w:spacing w:after="0"/>
        <w:tabs>
          <w:tab w:leader="none" w:pos="1360" w:val="left"/>
        </w:tabs>
        <w:rPr>
          <w:sz w:val="20"/>
          <w:szCs w:val="20"/>
          <w:color w:val="auto"/>
        </w:rPr>
      </w:pPr>
      <w:r>
        <w:rPr>
          <w:rFonts w:ascii="Times New Roman" w:cs="Times New Roman" w:eastAsia="Times New Roman" w:hAnsi="Times New Roman"/>
          <w:sz w:val="20"/>
          <w:szCs w:val="20"/>
          <w:b w:val="1"/>
          <w:bCs w:val="1"/>
          <w:color w:val="auto"/>
        </w:rPr>
        <w:t>SECTION 13.</w:t>
      </w:r>
      <w:r>
        <w:rPr>
          <w:sz w:val="20"/>
          <w:szCs w:val="20"/>
          <w:color w:val="auto"/>
        </w:rPr>
        <w:tab/>
      </w:r>
      <w:r>
        <w:rPr>
          <w:rFonts w:ascii="Times New Roman" w:cs="Times New Roman" w:eastAsia="Times New Roman" w:hAnsi="Times New Roman"/>
          <w:sz w:val="19"/>
          <w:szCs w:val="19"/>
          <w:b w:val="1"/>
          <w:bCs w:val="1"/>
          <w:color w:val="auto"/>
        </w:rPr>
        <w:t>ACKNOWLEDGEMENTS OF THE OPTIONEE.</w:t>
      </w:r>
    </w:p>
    <w:p>
      <w:pPr>
        <w:spacing w:after="0" w:line="220" w:lineRule="exact"/>
        <w:rPr>
          <w:sz w:val="20"/>
          <w:szCs w:val="20"/>
          <w:color w:val="auto"/>
        </w:rPr>
      </w:pPr>
    </w:p>
    <w:p>
      <w:pPr>
        <w:jc w:val="both"/>
        <w:ind w:firstLine="786"/>
        <w:spacing w:after="0" w:line="249" w:lineRule="auto"/>
        <w:rPr>
          <w:sz w:val="20"/>
          <w:szCs w:val="20"/>
          <w:color w:val="auto"/>
        </w:rPr>
      </w:pPr>
      <w:r>
        <w:rPr>
          <w:rFonts w:ascii="Times New Roman" w:cs="Times New Roman" w:eastAsia="Times New Roman" w:hAnsi="Times New Roman"/>
          <w:sz w:val="20"/>
          <w:szCs w:val="20"/>
          <w:color w:val="auto"/>
        </w:rPr>
        <w:t>In addition to the other terms, conditions and restrictions imposed on this option and the Shares issuable under this option pursuant to this Agreement and the Plan, the Optionee expressly acknowledges being subject to Sections 7 (Right of First Refusal), 8 (Legality of Initial Issuance) and 10 (Restrictions on Transfer of Shares, including without limitation the Market Stand-Off), as well as the following provisions:</w:t>
      </w:r>
    </w:p>
    <w:p>
      <w:pPr>
        <w:spacing w:after="0" w:line="176" w:lineRule="exact"/>
        <w:rPr>
          <w:sz w:val="20"/>
          <w:szCs w:val="20"/>
          <w:color w:val="auto"/>
        </w:rPr>
      </w:pPr>
    </w:p>
    <w:p>
      <w:pPr>
        <w:jc w:val="both"/>
        <w:ind w:firstLine="794"/>
        <w:spacing w:after="0" w:line="243" w:lineRule="auto"/>
        <w:tabs>
          <w:tab w:leader="none" w:pos="1455" w:val="left"/>
        </w:tabs>
        <w:numPr>
          <w:ilvl w:val="0"/>
          <w:numId w:val="2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Tax Consequences (No Liability for Discounted Options)</w:t>
      </w:r>
      <w:r>
        <w:rPr>
          <w:rFonts w:ascii="Times New Roman" w:cs="Times New Roman" w:eastAsia="Times New Roman" w:hAnsi="Times New Roman"/>
          <w:sz w:val="20"/>
          <w:szCs w:val="20"/>
          <w:color w:val="auto"/>
        </w:rPr>
        <w:t>. The Optionee agrees that the Company does not have a duty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to design or administer the Plan or its other compensation programs in a manner that minimizes the Optionee’s tax liabilities. The Optionee shall not make any claim against the Company or its Board of Directors, officers or employees related to tax liabilities arising from this option or the Optionee’s other compensation. In particular, any Optionee subject to U.S. taxation acknowledges that this option is exempt from Section 409A of the Code only if the Exercise Price is at least equal to the Fair Market Value per Share on the Date of Grant. Since Shares are not traded on an established securities market, the determination of their Fair Market Value is made by the Board of Directors or by an independent valuation firm retained by the Company. The Optionee acknowledges that there is no guarantee in either case that the Internal Revenue Service will agree with the valuation, and the Optionee shall not make any claim against the Company or its Board of Directors, officers or employees in the event that the Internal Revenue Service asserts that the valuation was too low.</w:t>
      </w:r>
    </w:p>
    <w:p>
      <w:pPr>
        <w:spacing w:after="0" w:line="185" w:lineRule="exact"/>
        <w:rPr>
          <w:rFonts w:ascii="Times New Roman" w:cs="Times New Roman" w:eastAsia="Times New Roman" w:hAnsi="Times New Roman"/>
          <w:sz w:val="20"/>
          <w:szCs w:val="20"/>
          <w:color w:val="auto"/>
        </w:rPr>
      </w:pPr>
    </w:p>
    <w:p>
      <w:pPr>
        <w:jc w:val="both"/>
        <w:ind w:firstLine="794"/>
        <w:spacing w:after="0" w:line="244" w:lineRule="auto"/>
        <w:tabs>
          <w:tab w:leader="none" w:pos="1507" w:val="left"/>
        </w:tabs>
        <w:numPr>
          <w:ilvl w:val="0"/>
          <w:numId w:val="2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Electronic Delivery of Documents</w:t>
      </w:r>
      <w:r>
        <w:rPr>
          <w:rFonts w:ascii="Times New Roman" w:cs="Times New Roman" w:eastAsia="Times New Roman" w:hAnsi="Times New Roman"/>
          <w:sz w:val="20"/>
          <w:szCs w:val="20"/>
          <w:color w:val="auto"/>
        </w:rPr>
        <w:t>. The Optionee agrees to accept by email all documents relating to the Company,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Plan or this option and all other documents that the Company is required to deliver to its security holders (including, without limitation, disclosures that may be required by the Securities and Exchange Commission). The Optionee also agrees that the Company may deliver these documents by posting them on a website maintained by the Company or by a third party under contract with the Company. If the Company posts these documents on a website, it shall notify the Optionee by email of their availability. The Optionee acknowledges that he or she may incur costs in connection with electronic delivery, including the cost of accessing the internet and printing fees, and that an interruption of internet access may interfere with his or her ability to access the documents. This consent shall remain in effect until this option expires or until the Optionee gives the Company written notice that it should deliver paper documents.</w:t>
      </w:r>
    </w:p>
    <w:p>
      <w:pPr>
        <w:spacing w:after="0" w:line="181" w:lineRule="exact"/>
        <w:rPr>
          <w:rFonts w:ascii="Times New Roman" w:cs="Times New Roman" w:eastAsia="Times New Roman" w:hAnsi="Times New Roman"/>
          <w:sz w:val="20"/>
          <w:szCs w:val="20"/>
          <w:color w:val="auto"/>
        </w:rPr>
      </w:pPr>
    </w:p>
    <w:p>
      <w:pPr>
        <w:jc w:val="both"/>
        <w:ind w:firstLine="794"/>
        <w:spacing w:after="0" w:line="246" w:lineRule="auto"/>
        <w:tabs>
          <w:tab w:leader="none" w:pos="1415" w:val="left"/>
        </w:tabs>
        <w:numPr>
          <w:ilvl w:val="0"/>
          <w:numId w:val="2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No Notice of Expiration Date</w:t>
      </w:r>
      <w:r>
        <w:rPr>
          <w:rFonts w:ascii="Times New Roman" w:cs="Times New Roman" w:eastAsia="Times New Roman" w:hAnsi="Times New Roman"/>
          <w:sz w:val="20"/>
          <w:szCs w:val="20"/>
          <w:color w:val="auto"/>
        </w:rPr>
        <w:t>. The Optionee agrees that the Company and its officers, employees, attorneys and agents do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not have any obligation to notify him or her prior to the expiration of this option pursuant to Section 6, regardless of whether this option will expire at the end of its full term or on an earlier date related to the termination of the Optionee’s Service. The Optionee further agrees that he or she has the sole responsibility for monitoring the expiration of this option and for exercising this option, if at all, before it expires. This Subsection (c) shall supersede any contrary representation that may have been made, orally or in writing, by the Company or by an officer, employee, attorney or agent of the Company.</w:t>
      </w:r>
    </w:p>
    <w:p>
      <w:pPr>
        <w:spacing w:after="0" w:line="178" w:lineRule="exact"/>
        <w:rPr>
          <w:rFonts w:ascii="Times New Roman" w:cs="Times New Roman" w:eastAsia="Times New Roman" w:hAnsi="Times New Roman"/>
          <w:sz w:val="20"/>
          <w:szCs w:val="20"/>
          <w:color w:val="auto"/>
        </w:rPr>
      </w:pPr>
    </w:p>
    <w:p>
      <w:pPr>
        <w:jc w:val="both"/>
        <w:ind w:firstLine="794"/>
        <w:spacing w:after="0" w:line="256" w:lineRule="auto"/>
        <w:tabs>
          <w:tab w:leader="none" w:pos="1480" w:val="left"/>
        </w:tabs>
        <w:numPr>
          <w:ilvl w:val="0"/>
          <w:numId w:val="2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Waiver of Statutory Information Rights</w:t>
      </w:r>
      <w:r>
        <w:rPr>
          <w:rFonts w:ascii="Times New Roman" w:cs="Times New Roman" w:eastAsia="Times New Roman" w:hAnsi="Times New Roman"/>
          <w:sz w:val="20"/>
          <w:szCs w:val="20"/>
          <w:color w:val="auto"/>
        </w:rPr>
        <w:t>. The Optionee acknowledges and agrees that, upon exercise of this option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until the first sale of the Company’s Stock to the general public pursuant to a registration statement filed under the Securities Act, he or she will be deemed to have waived any rights the Optionee might otherwise have had under Section 220 of the Delaware General</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240"/>
          </w:cols>
          <w:pgMar w:left="320" w:top="261" w:right="339" w:bottom="1440" w:gutter="0" w:footer="0" w:header="0"/>
        </w:sectPr>
      </w:pPr>
    </w:p>
    <w:bookmarkStart w:id="278" w:name="page279"/>
    <w:bookmarkEnd w:id="278"/>
    <w:p>
      <w:pPr>
        <w:jc w:val="both"/>
        <w:spacing w:after="0" w:line="249"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Corporation Law (or under similar rights under other applicable law) to inspect for any proper purpose and to make copies and extracts from the Company’s stock ledger, a list of its stockholders and its other books and records or the books and records of any subsidiary. This waiver applies only in the Optionee’s capacity as a stockholder and does not affect any other inspection rights the Optionee may have under other law or pursuant to a written agreement with the Company.</w:t>
      </w:r>
    </w:p>
    <w:p>
      <w:pPr>
        <w:spacing w:after="0" w:line="176" w:lineRule="exact"/>
        <w:rPr>
          <w:sz w:val="20"/>
          <w:szCs w:val="20"/>
          <w:color w:val="auto"/>
        </w:rPr>
      </w:pPr>
    </w:p>
    <w:p>
      <w:pPr>
        <w:jc w:val="both"/>
        <w:ind w:firstLine="794"/>
        <w:spacing w:after="0" w:line="264" w:lineRule="auto"/>
        <w:tabs>
          <w:tab w:leader="none" w:pos="1658" w:val="left"/>
        </w:tabs>
        <w:numPr>
          <w:ilvl w:val="0"/>
          <w:numId w:val="23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Plan Discretionary</w:t>
      </w:r>
      <w:r>
        <w:rPr>
          <w:rFonts w:ascii="Times New Roman" w:cs="Times New Roman" w:eastAsia="Times New Roman" w:hAnsi="Times New Roman"/>
          <w:sz w:val="19"/>
          <w:szCs w:val="19"/>
          <w:color w:val="auto"/>
        </w:rPr>
        <w:t>. The Optionee understands and acknowledges that (i) the Plan is entirely discretionary, (ii)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Company and the Optionee’s employer have reserved the right to amend, suspend or terminate the Plan at any time, (iii) the grant of an option does not in any way create any contractual or other right to receive additional grants of options (or benefits in lieu of options) at any time or in any amount and (iv) all determinations with respect to any additional grants, including (without limitation) the times when options will be granted, the number of Shares offered, the Exercise Price and the vesting schedule, will be at the sole discretion of the Company.</w:t>
      </w:r>
    </w:p>
    <w:p>
      <w:pPr>
        <w:spacing w:after="0" w:line="161" w:lineRule="exact"/>
        <w:rPr>
          <w:rFonts w:ascii="Times New Roman" w:cs="Times New Roman" w:eastAsia="Times New Roman" w:hAnsi="Times New Roman"/>
          <w:sz w:val="19"/>
          <w:szCs w:val="19"/>
          <w:color w:val="auto"/>
        </w:rPr>
      </w:pPr>
    </w:p>
    <w:p>
      <w:pPr>
        <w:ind w:firstLine="794"/>
        <w:spacing w:after="0" w:line="273" w:lineRule="auto"/>
        <w:tabs>
          <w:tab w:leader="none" w:pos="1717" w:val="left"/>
        </w:tabs>
        <w:numPr>
          <w:ilvl w:val="0"/>
          <w:numId w:val="2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Termination of Service</w:t>
      </w:r>
      <w:r>
        <w:rPr>
          <w:rFonts w:ascii="Times New Roman" w:cs="Times New Roman" w:eastAsia="Times New Roman" w:hAnsi="Times New Roman"/>
          <w:sz w:val="20"/>
          <w:szCs w:val="20"/>
          <w:color w:val="auto"/>
        </w:rPr>
        <w:t>. The Optionee understands and acknowledges that participation in the Plan ceases upon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termination of his or her Service for any reason, except as may explicitly be provided otherwise in the Plan or this Agreement.</w:t>
      </w:r>
    </w:p>
    <w:p>
      <w:pPr>
        <w:spacing w:after="0" w:line="151" w:lineRule="exact"/>
        <w:rPr>
          <w:rFonts w:ascii="Times New Roman" w:cs="Times New Roman" w:eastAsia="Times New Roman" w:hAnsi="Times New Roman"/>
          <w:sz w:val="20"/>
          <w:szCs w:val="20"/>
          <w:color w:val="auto"/>
        </w:rPr>
      </w:pPr>
    </w:p>
    <w:p>
      <w:pPr>
        <w:jc w:val="both"/>
        <w:ind w:firstLine="794"/>
        <w:spacing w:after="0" w:line="250" w:lineRule="auto"/>
        <w:tabs>
          <w:tab w:leader="none" w:pos="1453" w:val="left"/>
        </w:tabs>
        <w:numPr>
          <w:ilvl w:val="0"/>
          <w:numId w:val="2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Extraordinary Compensation</w:t>
      </w:r>
      <w:r>
        <w:rPr>
          <w:rFonts w:ascii="Times New Roman" w:cs="Times New Roman" w:eastAsia="Times New Roman" w:hAnsi="Times New Roman"/>
          <w:sz w:val="20"/>
          <w:szCs w:val="20"/>
          <w:color w:val="auto"/>
        </w:rPr>
        <w:t>. The value of this option shall be an extraordinary item of compensation outside the scope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 the Optionee’s employment contract, if any, and shall not be considered a part of his or her normal or expected compensation for purposes of calculating severance, resignation, redundancy or end-of-service payments, bonuses, long-service awards, pension or retirement benefits or similar payments.</w:t>
      </w:r>
    </w:p>
    <w:p>
      <w:pPr>
        <w:spacing w:after="0" w:line="175" w:lineRule="exact"/>
        <w:rPr>
          <w:rFonts w:ascii="Times New Roman" w:cs="Times New Roman" w:eastAsia="Times New Roman" w:hAnsi="Times New Roman"/>
          <w:sz w:val="20"/>
          <w:szCs w:val="20"/>
          <w:color w:val="auto"/>
        </w:rPr>
      </w:pPr>
    </w:p>
    <w:p>
      <w:pPr>
        <w:jc w:val="both"/>
        <w:ind w:firstLine="794"/>
        <w:spacing w:after="0" w:line="250" w:lineRule="auto"/>
        <w:tabs>
          <w:tab w:leader="none" w:pos="1669" w:val="left"/>
        </w:tabs>
        <w:numPr>
          <w:ilvl w:val="0"/>
          <w:numId w:val="2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Authorization to Disclose</w:t>
      </w:r>
      <w:r>
        <w:rPr>
          <w:rFonts w:ascii="Times New Roman" w:cs="Times New Roman" w:eastAsia="Times New Roman" w:hAnsi="Times New Roman"/>
          <w:sz w:val="20"/>
          <w:szCs w:val="20"/>
          <w:color w:val="auto"/>
        </w:rPr>
        <w:t>. The Optionee hereby authorizes and directs the Optionee’s employer to disclose to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Company or any Subsidiary any information regarding the Optionee’s employment, the nature and amount of the Optionee’s compensation and the fact and conditions of the Optionee’s participation in the Plan, as the Optionee’s employer deems necessary or appropriate to facilitate the administration of the Plan.</w:t>
      </w:r>
    </w:p>
    <w:p>
      <w:pPr>
        <w:spacing w:after="0" w:line="175" w:lineRule="exact"/>
        <w:rPr>
          <w:rFonts w:ascii="Times New Roman" w:cs="Times New Roman" w:eastAsia="Times New Roman" w:hAnsi="Times New Roman"/>
          <w:sz w:val="20"/>
          <w:szCs w:val="20"/>
          <w:color w:val="auto"/>
        </w:rPr>
      </w:pPr>
    </w:p>
    <w:p>
      <w:pPr>
        <w:jc w:val="both"/>
        <w:ind w:firstLine="794"/>
        <w:spacing w:after="0" w:line="241" w:lineRule="auto"/>
        <w:tabs>
          <w:tab w:leader="none" w:pos="1463" w:val="left"/>
        </w:tabs>
        <w:numPr>
          <w:ilvl w:val="0"/>
          <w:numId w:val="2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Personal Data Authorization</w:t>
      </w:r>
      <w:r>
        <w:rPr>
          <w:rFonts w:ascii="Times New Roman" w:cs="Times New Roman" w:eastAsia="Times New Roman" w:hAnsi="Times New Roman"/>
          <w:sz w:val="20"/>
          <w:szCs w:val="20"/>
          <w:color w:val="auto"/>
        </w:rPr>
        <w:t>. The Optionee consents to the collection, use and transfer of personal data as described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this Subsection (i). The Optionee understands and acknowledges that the Company, the Optionee’s employer and the Company’s other Subsidiaries hold certain personal information regarding the Optionee for the purpose of managing and administering the Plan, including (without limitation) the Optionee’s name, home address, telephone number, date of birth, social insurance number, salary, nationality, job title, any Shares or directorships held in the Company and details of all options or any other entitlements to Shares awarded, canceled, exercised, vested, unvested or outstanding in the Optionee’s favor (the “</w:t>
      </w:r>
      <w:r>
        <w:rPr>
          <w:rFonts w:ascii="Times New Roman" w:cs="Times New Roman" w:eastAsia="Times New Roman" w:hAnsi="Times New Roman"/>
          <w:sz w:val="20"/>
          <w:szCs w:val="20"/>
          <w:b w:val="1"/>
          <w:bCs w:val="1"/>
          <w:color w:val="auto"/>
        </w:rPr>
        <w:t>Data</w:t>
      </w:r>
      <w:r>
        <w:rPr>
          <w:rFonts w:ascii="Times New Roman" w:cs="Times New Roman" w:eastAsia="Times New Roman" w:hAnsi="Times New Roman"/>
          <w:sz w:val="20"/>
          <w:szCs w:val="20"/>
          <w:color w:val="auto"/>
        </w:rPr>
        <w:t>”). The Optionee further understands and acknowledges that the Company and/or its Subsidiaries will transfer Data among themselves as necessary for the purpose of implementation, administration and management of the Optionee’s participation in the Plan and that the Company and/or any Subsidiary may each further transfer Data to any third party assisting the Company in the implementation, administration and management of the Plan. The Optionee understands and acknowledges that the recipients of Data may be located in the United States or elsewhere. The Optionee authorizes such recipients to receive, possess, use, retain and transfer Data, in electronic or other form, for the purpose of administering the Optionee’s participation in the Plan, including a transfer to any broker or other third party with whom the Optionee elects to deposit Shares acquired under the Plan of such Data as may be required for the administration of the Plan and/or the subsequent holding of Shares on the Optionee’s behalf. The Optionee may, at any time, view the Data, require any necessary modifications of Data or withdraw the consents set forth in this Subsection (i) by contacting the Company in writing.</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240"/>
          </w:cols>
          <w:pgMar w:left="320" w:top="265" w:right="339" w:bottom="1440" w:gutter="0" w:footer="0" w:header="0"/>
        </w:sectPr>
      </w:pPr>
    </w:p>
    <w:bookmarkStart w:id="279" w:name="page280"/>
    <w:bookmarkEnd w:id="279"/>
    <w:p>
      <w:pPr>
        <w:spacing w:after="0"/>
        <w:tabs>
          <w:tab w:leader="none" w:pos="1380" w:val="left"/>
        </w:tabs>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SECTION 14.</w:t>
      </w:r>
      <w:r>
        <w:rPr>
          <w:sz w:val="20"/>
          <w:szCs w:val="20"/>
          <w:color w:val="auto"/>
        </w:rPr>
        <w:tab/>
      </w:r>
      <w:r>
        <w:rPr>
          <w:rFonts w:ascii="Times New Roman" w:cs="Times New Roman" w:eastAsia="Times New Roman" w:hAnsi="Times New Roman"/>
          <w:sz w:val="19"/>
          <w:szCs w:val="19"/>
          <w:b w:val="1"/>
          <w:bCs w:val="1"/>
          <w:color w:val="auto"/>
        </w:rPr>
        <w:t>DEFINITIONS.</w:t>
      </w:r>
    </w:p>
    <w:p>
      <w:pPr>
        <w:spacing w:after="0" w:line="216" w:lineRule="exact"/>
        <w:rPr>
          <w:sz w:val="20"/>
          <w:szCs w:val="20"/>
          <w:color w:val="auto"/>
        </w:rPr>
      </w:pPr>
    </w:p>
    <w:p>
      <w:pPr>
        <w:ind w:left="1400" w:hanging="606"/>
        <w:spacing w:after="0"/>
        <w:tabs>
          <w:tab w:leader="none" w:pos="1400" w:val="left"/>
        </w:tabs>
        <w:numPr>
          <w:ilvl w:val="0"/>
          <w:numId w:val="2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Agreement</w:t>
      </w:r>
      <w:r>
        <w:rPr>
          <w:rFonts w:ascii="Times New Roman" w:cs="Times New Roman" w:eastAsia="Times New Roman" w:hAnsi="Times New Roman"/>
          <w:sz w:val="20"/>
          <w:szCs w:val="20"/>
          <w:color w:val="auto"/>
        </w:rPr>
        <w:t>” shall mean this Stock Option Agreement.</w:t>
      </w:r>
    </w:p>
    <w:p>
      <w:pPr>
        <w:spacing w:after="0" w:line="215" w:lineRule="exact"/>
        <w:rPr>
          <w:rFonts w:ascii="Times New Roman" w:cs="Times New Roman" w:eastAsia="Times New Roman" w:hAnsi="Times New Roman"/>
          <w:sz w:val="20"/>
          <w:szCs w:val="20"/>
          <w:color w:val="auto"/>
        </w:rPr>
      </w:pPr>
    </w:p>
    <w:p>
      <w:pPr>
        <w:ind w:firstLine="794"/>
        <w:spacing w:after="0" w:line="273" w:lineRule="auto"/>
        <w:tabs>
          <w:tab w:leader="none" w:pos="1642" w:val="left"/>
        </w:tabs>
        <w:numPr>
          <w:ilvl w:val="0"/>
          <w:numId w:val="2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Board of Directors</w:t>
      </w:r>
      <w:r>
        <w:rPr>
          <w:rFonts w:ascii="Times New Roman" w:cs="Times New Roman" w:eastAsia="Times New Roman" w:hAnsi="Times New Roman"/>
          <w:sz w:val="20"/>
          <w:szCs w:val="20"/>
          <w:color w:val="auto"/>
        </w:rPr>
        <w:t>” shall mean the Board of Directors of the Company, as constituted from time to time or, if a Committee has been appointed, such Committee.</w:t>
      </w:r>
    </w:p>
    <w:p>
      <w:pPr>
        <w:spacing w:after="0" w:line="151" w:lineRule="exact"/>
        <w:rPr>
          <w:rFonts w:ascii="Times New Roman" w:cs="Times New Roman" w:eastAsia="Times New Roman" w:hAnsi="Times New Roman"/>
          <w:sz w:val="20"/>
          <w:szCs w:val="20"/>
          <w:color w:val="auto"/>
        </w:rPr>
      </w:pPr>
    </w:p>
    <w:p>
      <w:pPr>
        <w:ind w:left="1400" w:hanging="606"/>
        <w:spacing w:after="0"/>
        <w:tabs>
          <w:tab w:leader="none" w:pos="1400" w:val="left"/>
        </w:tabs>
        <w:numPr>
          <w:ilvl w:val="0"/>
          <w:numId w:val="2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 shall mean Tarsus Pharmaceuticals, Inc., a Delaware corporation.</w:t>
      </w:r>
    </w:p>
    <w:p>
      <w:pPr>
        <w:spacing w:after="0" w:line="215" w:lineRule="exact"/>
        <w:rPr>
          <w:rFonts w:ascii="Times New Roman" w:cs="Times New Roman" w:eastAsia="Times New Roman" w:hAnsi="Times New Roman"/>
          <w:sz w:val="20"/>
          <w:szCs w:val="20"/>
          <w:color w:val="auto"/>
        </w:rPr>
      </w:pPr>
    </w:p>
    <w:p>
      <w:pPr>
        <w:ind w:firstLine="794"/>
        <w:spacing w:after="0" w:line="273" w:lineRule="auto"/>
        <w:tabs>
          <w:tab w:leader="none" w:pos="1710" w:val="left"/>
        </w:tabs>
        <w:numPr>
          <w:ilvl w:val="0"/>
          <w:numId w:val="2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Immediate Family</w:t>
      </w:r>
      <w:r>
        <w:rPr>
          <w:rFonts w:ascii="Times New Roman" w:cs="Times New Roman" w:eastAsia="Times New Roman" w:hAnsi="Times New Roman"/>
          <w:sz w:val="20"/>
          <w:szCs w:val="20"/>
          <w:color w:val="auto"/>
        </w:rPr>
        <w:t>” shall mean any child, stepchild, grandchild, parent, stepparent, grandparent, spouse, sibling, mother-in-law, father-in-law, son-in-law, daughter-in-law, brother-in-law or sister-in-law and shall include adoptive relationships.</w:t>
      </w:r>
    </w:p>
    <w:p>
      <w:pPr>
        <w:spacing w:after="0" w:line="151" w:lineRule="exact"/>
        <w:rPr>
          <w:rFonts w:ascii="Times New Roman" w:cs="Times New Roman" w:eastAsia="Times New Roman" w:hAnsi="Times New Roman"/>
          <w:sz w:val="20"/>
          <w:szCs w:val="20"/>
          <w:color w:val="auto"/>
        </w:rPr>
      </w:pPr>
    </w:p>
    <w:p>
      <w:pPr>
        <w:ind w:left="1400" w:hanging="606"/>
        <w:spacing w:after="0"/>
        <w:tabs>
          <w:tab w:leader="none" w:pos="1400" w:val="left"/>
        </w:tabs>
        <w:numPr>
          <w:ilvl w:val="0"/>
          <w:numId w:val="2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Optionee</w:t>
      </w:r>
      <w:r>
        <w:rPr>
          <w:rFonts w:ascii="Times New Roman" w:cs="Times New Roman" w:eastAsia="Times New Roman" w:hAnsi="Times New Roman"/>
          <w:sz w:val="20"/>
          <w:szCs w:val="20"/>
          <w:color w:val="auto"/>
        </w:rPr>
        <w:t>” shall mean the person named in the Notice of Stock Option Grant.</w:t>
      </w:r>
    </w:p>
    <w:p>
      <w:pPr>
        <w:spacing w:after="0" w:line="215" w:lineRule="exact"/>
        <w:rPr>
          <w:rFonts w:ascii="Times New Roman" w:cs="Times New Roman" w:eastAsia="Times New Roman" w:hAnsi="Times New Roman"/>
          <w:sz w:val="20"/>
          <w:szCs w:val="20"/>
          <w:color w:val="auto"/>
        </w:rPr>
      </w:pPr>
    </w:p>
    <w:p>
      <w:pPr>
        <w:ind w:left="1380" w:hanging="586"/>
        <w:spacing w:after="0"/>
        <w:tabs>
          <w:tab w:leader="none" w:pos="1380" w:val="left"/>
        </w:tabs>
        <w:numPr>
          <w:ilvl w:val="0"/>
          <w:numId w:val="2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Plan</w:t>
      </w:r>
      <w:r>
        <w:rPr>
          <w:rFonts w:ascii="Times New Roman" w:cs="Times New Roman" w:eastAsia="Times New Roman" w:hAnsi="Times New Roman"/>
          <w:sz w:val="20"/>
          <w:szCs w:val="20"/>
          <w:color w:val="auto"/>
        </w:rPr>
        <w:t>” shall mean the Tarsus Pharmaceuticals, Inc. 2016 Stock Plan, as in effect on the Date of Grant.</w:t>
      </w:r>
    </w:p>
    <w:p>
      <w:pPr>
        <w:spacing w:after="0" w:line="215" w:lineRule="exact"/>
        <w:rPr>
          <w:rFonts w:ascii="Times New Roman" w:cs="Times New Roman" w:eastAsia="Times New Roman" w:hAnsi="Times New Roman"/>
          <w:sz w:val="20"/>
          <w:szCs w:val="20"/>
          <w:color w:val="auto"/>
        </w:rPr>
      </w:pPr>
    </w:p>
    <w:p>
      <w:pPr>
        <w:ind w:left="1520" w:hanging="726"/>
        <w:spacing w:after="0"/>
        <w:tabs>
          <w:tab w:leader="none" w:pos="1520" w:val="left"/>
        </w:tabs>
        <w:numPr>
          <w:ilvl w:val="0"/>
          <w:numId w:val="2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Purchase Price</w:t>
      </w:r>
      <w:r>
        <w:rPr>
          <w:rFonts w:ascii="Times New Roman" w:cs="Times New Roman" w:eastAsia="Times New Roman" w:hAnsi="Times New Roman"/>
          <w:sz w:val="20"/>
          <w:szCs w:val="20"/>
          <w:color w:val="auto"/>
        </w:rPr>
        <w:t>” shall mean the Exercise Price multiplied by the number of Shares with respect to which this option is</w:t>
      </w:r>
    </w:p>
    <w:p>
      <w:pPr>
        <w:spacing w:after="0" w:line="25"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being exercised.</w:t>
      </w:r>
    </w:p>
    <w:p>
      <w:pPr>
        <w:spacing w:after="0" w:line="189" w:lineRule="exact"/>
        <w:rPr>
          <w:rFonts w:ascii="Times New Roman" w:cs="Times New Roman" w:eastAsia="Times New Roman" w:hAnsi="Times New Roman"/>
          <w:sz w:val="20"/>
          <w:szCs w:val="20"/>
          <w:color w:val="auto"/>
        </w:rPr>
      </w:pPr>
    </w:p>
    <w:p>
      <w:pPr>
        <w:ind w:left="1420" w:hanging="626"/>
        <w:spacing w:after="0"/>
        <w:tabs>
          <w:tab w:leader="none" w:pos="1420" w:val="left"/>
        </w:tabs>
        <w:numPr>
          <w:ilvl w:val="0"/>
          <w:numId w:val="2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Right of First Refusal</w:t>
      </w:r>
      <w:r>
        <w:rPr>
          <w:rFonts w:ascii="Times New Roman" w:cs="Times New Roman" w:eastAsia="Times New Roman" w:hAnsi="Times New Roman"/>
          <w:sz w:val="20"/>
          <w:szCs w:val="20"/>
          <w:color w:val="auto"/>
        </w:rPr>
        <w:t>” shall mean the Company’s right of first refusal described in Section 7.</w:t>
      </w:r>
    </w:p>
    <w:p>
      <w:pPr>
        <w:spacing w:after="0" w:line="215" w:lineRule="exact"/>
        <w:rPr>
          <w:rFonts w:ascii="Times New Roman" w:cs="Times New Roman" w:eastAsia="Times New Roman" w:hAnsi="Times New Roman"/>
          <w:sz w:val="20"/>
          <w:szCs w:val="20"/>
          <w:color w:val="auto"/>
        </w:rPr>
      </w:pPr>
    </w:p>
    <w:p>
      <w:pPr>
        <w:ind w:left="1380" w:hanging="586"/>
        <w:spacing w:after="0"/>
        <w:tabs>
          <w:tab w:leader="none" w:pos="1380" w:val="left"/>
        </w:tabs>
        <w:numPr>
          <w:ilvl w:val="0"/>
          <w:numId w:val="2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Service</w:t>
      </w:r>
      <w:r>
        <w:rPr>
          <w:rFonts w:ascii="Times New Roman" w:cs="Times New Roman" w:eastAsia="Times New Roman" w:hAnsi="Times New Roman"/>
          <w:sz w:val="20"/>
          <w:szCs w:val="20"/>
          <w:color w:val="auto"/>
        </w:rPr>
        <w:t>” shall mean service as an Employee, Outside Director or Consultant.</w:t>
      </w:r>
    </w:p>
    <w:p>
      <w:pPr>
        <w:spacing w:after="0" w:line="215" w:lineRule="exact"/>
        <w:rPr>
          <w:rFonts w:ascii="Times New Roman" w:cs="Times New Roman" w:eastAsia="Times New Roman" w:hAnsi="Times New Roman"/>
          <w:sz w:val="20"/>
          <w:szCs w:val="20"/>
          <w:color w:val="auto"/>
        </w:rPr>
      </w:pPr>
    </w:p>
    <w:p>
      <w:pPr>
        <w:ind w:left="1460" w:hanging="666"/>
        <w:spacing w:after="0"/>
        <w:tabs>
          <w:tab w:leader="none" w:pos="1460" w:val="left"/>
        </w:tabs>
        <w:numPr>
          <w:ilvl w:val="0"/>
          <w:numId w:val="23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Transferee</w:t>
      </w:r>
      <w:r>
        <w:rPr>
          <w:rFonts w:ascii="Times New Roman" w:cs="Times New Roman" w:eastAsia="Times New Roman" w:hAnsi="Times New Roman"/>
          <w:sz w:val="19"/>
          <w:szCs w:val="19"/>
          <w:color w:val="auto"/>
        </w:rPr>
        <w:t>” shall mean any person to whom the Optionee has directly or indirectly transferred any Share acquired under</w:t>
      </w:r>
    </w:p>
    <w:p>
      <w:pPr>
        <w:spacing w:after="0" w:line="37" w:lineRule="exact"/>
        <w:rPr>
          <w:rFonts w:ascii="Times New Roman" w:cs="Times New Roman" w:eastAsia="Times New Roman" w:hAnsi="Times New Roman"/>
          <w:sz w:val="19"/>
          <w:szCs w:val="19"/>
          <w:color w:val="auto"/>
        </w:rPr>
      </w:pP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this Agreement.</w:t>
      </w:r>
    </w:p>
    <w:p>
      <w:pPr>
        <w:spacing w:after="0" w:line="189" w:lineRule="exact"/>
        <w:rPr>
          <w:rFonts w:ascii="Times New Roman" w:cs="Times New Roman" w:eastAsia="Times New Roman" w:hAnsi="Times New Roman"/>
          <w:sz w:val="19"/>
          <w:szCs w:val="19"/>
          <w:color w:val="auto"/>
        </w:rPr>
      </w:pPr>
    </w:p>
    <w:p>
      <w:pPr>
        <w:ind w:left="1420" w:hanging="626"/>
        <w:spacing w:after="0"/>
        <w:tabs>
          <w:tab w:leader="none" w:pos="1420" w:val="left"/>
        </w:tabs>
        <w:numPr>
          <w:ilvl w:val="0"/>
          <w:numId w:val="2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Transfer Notice</w:t>
      </w:r>
      <w:r>
        <w:rPr>
          <w:rFonts w:ascii="Times New Roman" w:cs="Times New Roman" w:eastAsia="Times New Roman" w:hAnsi="Times New Roman"/>
          <w:sz w:val="20"/>
          <w:szCs w:val="20"/>
          <w:color w:val="auto"/>
        </w:rPr>
        <w:t>” shall mean the notice of a proposed transfer of Shares described in Section 7.</w:t>
      </w:r>
    </w:p>
    <w:p>
      <w:pPr>
        <w:spacing w:after="0" w:line="215" w:lineRule="exact"/>
        <w:rPr>
          <w:rFonts w:ascii="Times New Roman" w:cs="Times New Roman" w:eastAsia="Times New Roman" w:hAnsi="Times New Roman"/>
          <w:sz w:val="20"/>
          <w:szCs w:val="20"/>
          <w:color w:val="auto"/>
        </w:rPr>
      </w:pPr>
    </w:p>
    <w:p>
      <w:pPr>
        <w:jc w:val="both"/>
        <w:ind w:firstLine="794"/>
        <w:spacing w:after="0" w:line="256" w:lineRule="auto"/>
        <w:tabs>
          <w:tab w:leader="none" w:pos="1396" w:val="left"/>
        </w:tabs>
        <w:numPr>
          <w:ilvl w:val="0"/>
          <w:numId w:val="2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U.S. Person</w:t>
      </w:r>
      <w:r>
        <w:rPr>
          <w:rFonts w:ascii="Times New Roman" w:cs="Times New Roman" w:eastAsia="Times New Roman" w:hAnsi="Times New Roman"/>
          <w:sz w:val="20"/>
          <w:szCs w:val="20"/>
          <w:color w:val="auto"/>
        </w:rPr>
        <w:t>” shall mean a person described in Rule 902(k) of Regulation S of the Securities Act (or any successor rule or provision), which generally defines a U.S. person as any natural person resident in the United States, any estate of which any executor or administrator is a U.S. Person, or any trust of which of any trustee is a U.S. Person.</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240"/>
          </w:cols>
          <w:pgMar w:left="320" w:top="261" w:right="339" w:bottom="1440" w:gutter="0" w:footer="0" w:header="0"/>
        </w:sectPr>
      </w:pPr>
    </w:p>
    <w:bookmarkStart w:id="280" w:name="page281"/>
    <w:bookmarkEnd w:id="280"/>
    <w:p>
      <w:pPr>
        <w:jc w:val="center"/>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w:t>
      </w:r>
      <w:r>
        <w:rPr>
          <w:rFonts w:ascii="Times New Roman" w:cs="Times New Roman" w:eastAsia="Times New Roman" w:hAnsi="Times New Roman"/>
          <w:sz w:val="16"/>
          <w:szCs w:val="16"/>
          <w:b w:val="1"/>
          <w:bCs w:val="1"/>
          <w:color w:val="auto"/>
        </w:rPr>
        <w:t>ARSUS</w:t>
      </w:r>
      <w:r>
        <w:rPr>
          <w:rFonts w:ascii="Times New Roman" w:cs="Times New Roman" w:eastAsia="Times New Roman" w:hAnsi="Times New Roman"/>
          <w:sz w:val="20"/>
          <w:szCs w:val="20"/>
          <w:b w:val="1"/>
          <w:bCs w:val="1"/>
          <w:color w:val="auto"/>
        </w:rPr>
        <w:t xml:space="preserve"> P</w:t>
      </w:r>
      <w:r>
        <w:rPr>
          <w:rFonts w:ascii="Times New Roman" w:cs="Times New Roman" w:eastAsia="Times New Roman" w:hAnsi="Times New Roman"/>
          <w:sz w:val="16"/>
          <w:szCs w:val="16"/>
          <w:b w:val="1"/>
          <w:bCs w:val="1"/>
          <w:color w:val="auto"/>
        </w:rPr>
        <w:t>HARMACEUTICALS</w:t>
      </w:r>
      <w:r>
        <w:rPr>
          <w:rFonts w:ascii="Times New Roman" w:cs="Times New Roman" w:eastAsia="Times New Roman" w:hAnsi="Times New Roman"/>
          <w:sz w:val="20"/>
          <w:szCs w:val="20"/>
          <w:b w:val="1"/>
          <w:bCs w:val="1"/>
          <w:color w:val="auto"/>
        </w:rPr>
        <w:t>, I</w:t>
      </w:r>
      <w:r>
        <w:rPr>
          <w:rFonts w:ascii="Times New Roman" w:cs="Times New Roman" w:eastAsia="Times New Roman" w:hAnsi="Times New Roman"/>
          <w:sz w:val="16"/>
          <w:szCs w:val="16"/>
          <w:b w:val="1"/>
          <w:bCs w:val="1"/>
          <w:color w:val="auto"/>
        </w:rPr>
        <w:t>NC</w:t>
      </w:r>
      <w:r>
        <w:rPr>
          <w:rFonts w:ascii="Times New Roman" w:cs="Times New Roman" w:eastAsia="Times New Roman" w:hAnsi="Times New Roman"/>
          <w:sz w:val="20"/>
          <w:szCs w:val="20"/>
          <w:b w:val="1"/>
          <w:bCs w:val="1"/>
          <w:color w:val="auto"/>
        </w:rPr>
        <w:t>. 2016 S</w:t>
      </w:r>
      <w:r>
        <w:rPr>
          <w:rFonts w:ascii="Times New Roman" w:cs="Times New Roman" w:eastAsia="Times New Roman" w:hAnsi="Times New Roman"/>
          <w:sz w:val="16"/>
          <w:szCs w:val="16"/>
          <w:b w:val="1"/>
          <w:bCs w:val="1"/>
          <w:color w:val="auto"/>
        </w:rPr>
        <w:t>TOCK</w:t>
      </w:r>
      <w:r>
        <w:rPr>
          <w:rFonts w:ascii="Times New Roman" w:cs="Times New Roman" w:eastAsia="Times New Roman" w:hAnsi="Times New Roman"/>
          <w:sz w:val="20"/>
          <w:szCs w:val="20"/>
          <w:b w:val="1"/>
          <w:bCs w:val="1"/>
          <w:color w:val="auto"/>
        </w:rPr>
        <w:t xml:space="preserve"> P</w:t>
      </w:r>
      <w:r>
        <w:rPr>
          <w:rFonts w:ascii="Times New Roman" w:cs="Times New Roman" w:eastAsia="Times New Roman" w:hAnsi="Times New Roman"/>
          <w:sz w:val="16"/>
          <w:szCs w:val="16"/>
          <w:b w:val="1"/>
          <w:bCs w:val="1"/>
          <w:color w:val="auto"/>
        </w:rPr>
        <w:t>LAN</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w:t>
      </w:r>
      <w:r>
        <w:rPr>
          <w:rFonts w:ascii="Times New Roman" w:cs="Times New Roman" w:eastAsia="Times New Roman" w:hAnsi="Times New Roman"/>
          <w:sz w:val="16"/>
          <w:szCs w:val="16"/>
          <w:b w:val="1"/>
          <w:bCs w:val="1"/>
          <w:color w:val="auto"/>
        </w:rPr>
        <w:t>OTICE OF</w:t>
      </w:r>
      <w:r>
        <w:rPr>
          <w:rFonts w:ascii="Times New Roman" w:cs="Times New Roman" w:eastAsia="Times New Roman" w:hAnsi="Times New Roman"/>
          <w:sz w:val="20"/>
          <w:szCs w:val="20"/>
          <w:b w:val="1"/>
          <w:bCs w:val="1"/>
          <w:color w:val="auto"/>
        </w:rPr>
        <w:t xml:space="preserve"> S</w:t>
      </w:r>
      <w:r>
        <w:rPr>
          <w:rFonts w:ascii="Times New Roman" w:cs="Times New Roman" w:eastAsia="Times New Roman" w:hAnsi="Times New Roman"/>
          <w:sz w:val="16"/>
          <w:szCs w:val="16"/>
          <w:b w:val="1"/>
          <w:bCs w:val="1"/>
          <w:color w:val="auto"/>
        </w:rPr>
        <w:t>TOCK</w:t>
      </w:r>
      <w:r>
        <w:rPr>
          <w:rFonts w:ascii="Times New Roman" w:cs="Times New Roman" w:eastAsia="Times New Roman" w:hAnsi="Times New Roman"/>
          <w:sz w:val="20"/>
          <w:szCs w:val="20"/>
          <w:b w:val="1"/>
          <w:bCs w:val="1"/>
          <w:color w:val="auto"/>
        </w:rPr>
        <w:t xml:space="preserve"> O</w:t>
      </w:r>
      <w:r>
        <w:rPr>
          <w:rFonts w:ascii="Times New Roman" w:cs="Times New Roman" w:eastAsia="Times New Roman" w:hAnsi="Times New Roman"/>
          <w:sz w:val="16"/>
          <w:szCs w:val="16"/>
          <w:b w:val="1"/>
          <w:bCs w:val="1"/>
          <w:color w:val="auto"/>
        </w:rPr>
        <w:t>PTION</w:t>
      </w:r>
      <w:r>
        <w:rPr>
          <w:rFonts w:ascii="Times New Roman" w:cs="Times New Roman" w:eastAsia="Times New Roman" w:hAnsi="Times New Roman"/>
          <w:sz w:val="20"/>
          <w:szCs w:val="20"/>
          <w:b w:val="1"/>
          <w:bCs w:val="1"/>
          <w:color w:val="auto"/>
        </w:rPr>
        <w:t xml:space="preserve"> G</w:t>
      </w:r>
      <w:r>
        <w:rPr>
          <w:rFonts w:ascii="Times New Roman" w:cs="Times New Roman" w:eastAsia="Times New Roman" w:hAnsi="Times New Roman"/>
          <w:sz w:val="16"/>
          <w:szCs w:val="16"/>
          <w:b w:val="1"/>
          <w:bCs w:val="1"/>
          <w:color w:val="auto"/>
        </w:rPr>
        <w:t>RANT</w:t>
      </w:r>
      <w:r>
        <w:rPr>
          <w:rFonts w:ascii="Times New Roman" w:cs="Times New Roman" w:eastAsia="Times New Roman" w:hAnsi="Times New Roman"/>
          <w:sz w:val="20"/>
          <w:szCs w:val="20"/>
          <w:b w:val="1"/>
          <w:bCs w:val="1"/>
          <w:color w:val="auto"/>
        </w:rPr>
        <w:t xml:space="preserve"> (E</w:t>
      </w:r>
      <w:r>
        <w:rPr>
          <w:rFonts w:ascii="Times New Roman" w:cs="Times New Roman" w:eastAsia="Times New Roman" w:hAnsi="Times New Roman"/>
          <w:sz w:val="16"/>
          <w:szCs w:val="16"/>
          <w:b w:val="1"/>
          <w:bCs w:val="1"/>
          <w:color w:val="auto"/>
        </w:rPr>
        <w:t>ARLY</w:t>
      </w:r>
      <w:r>
        <w:rPr>
          <w:rFonts w:ascii="Times New Roman" w:cs="Times New Roman" w:eastAsia="Times New Roman" w:hAnsi="Times New Roman"/>
          <w:sz w:val="20"/>
          <w:szCs w:val="20"/>
          <w:b w:val="1"/>
          <w:bCs w:val="1"/>
          <w:color w:val="auto"/>
        </w:rPr>
        <w:t xml:space="preserve"> E</w:t>
      </w:r>
      <w:r>
        <w:rPr>
          <w:rFonts w:ascii="Times New Roman" w:cs="Times New Roman" w:eastAsia="Times New Roman" w:hAnsi="Times New Roman"/>
          <w:sz w:val="16"/>
          <w:szCs w:val="16"/>
          <w:b w:val="1"/>
          <w:bCs w:val="1"/>
          <w:color w:val="auto"/>
        </w:rPr>
        <w:t>XERCISE</w:t>
      </w:r>
      <w:r>
        <w:rPr>
          <w:rFonts w:ascii="Times New Roman" w:cs="Times New Roman" w:eastAsia="Times New Roman" w:hAnsi="Times New Roman"/>
          <w:sz w:val="20"/>
          <w:szCs w:val="20"/>
          <w:b w:val="1"/>
          <w:bCs w:val="1"/>
          <w:color w:val="auto"/>
        </w:rPr>
        <w:t>)</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Optionee has been granted the following option to purchase shares of the Common Stock of Tarsus Pharmaceuticals, Inc.:</w:t>
      </w:r>
    </w:p>
    <w:p>
      <w:pPr>
        <w:sectPr>
          <w:pgSz w:w="11900" w:h="16838" w:orient="portrait"/>
          <w:cols w:equalWidth="0" w:num="1">
            <w:col w:w="11240"/>
          </w:cols>
          <w:pgMar w:left="320" w:top="261" w:right="339" w:bottom="1440" w:gutter="0" w:footer="0" w:header="0"/>
        </w:sectPr>
      </w:pPr>
    </w:p>
    <w:p>
      <w:pPr>
        <w:spacing w:after="0" w:line="36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9"/>
          <w:szCs w:val="19"/>
          <w:color w:val="auto"/>
        </w:rPr>
        <w:t>Name of Optionee:</w:t>
      </w:r>
    </w:p>
    <w:p>
      <w:pPr>
        <w:spacing w:after="0" w:line="20" w:lineRule="exact"/>
        <w:rPr>
          <w:sz w:val="20"/>
          <w:szCs w:val="20"/>
          <w:color w:val="auto"/>
        </w:rPr>
      </w:pPr>
      <w:r>
        <w:rPr>
          <w:sz w:val="20"/>
          <w:szCs w:val="20"/>
          <w:color w:val="auto"/>
        </w:rPr>
        <w:br w:type="column"/>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w:t>
      </w:r>
    </w:p>
    <w:p>
      <w:pPr>
        <w:spacing w:after="0" w:line="108" w:lineRule="exact"/>
        <w:rPr>
          <w:sz w:val="20"/>
          <w:szCs w:val="20"/>
          <w:color w:val="auto"/>
        </w:rPr>
      </w:pPr>
    </w:p>
    <w:p>
      <w:pPr>
        <w:sectPr>
          <w:pgSz w:w="11900" w:h="16838" w:orient="portrait"/>
          <w:cols w:equalWidth="0" w:num="2">
            <w:col w:w="4600" w:space="720"/>
            <w:col w:w="5920"/>
          </w:cols>
          <w:pgMar w:left="320" w:top="261" w:right="339" w:bottom="1440" w:gutter="0" w:footer="0" w:header="0"/>
          <w:type w:val="continuous"/>
        </w:sectPr>
      </w:pPr>
    </w:p>
    <w:p>
      <w:pPr>
        <w:ind w:left="460"/>
        <w:spacing w:after="0"/>
        <w:rPr>
          <w:sz w:val="20"/>
          <w:szCs w:val="20"/>
          <w:color w:val="auto"/>
        </w:rPr>
      </w:pPr>
      <w:r>
        <w:rPr>
          <w:rFonts w:ascii="Times New Roman" w:cs="Times New Roman" w:eastAsia="Times New Roman" w:hAnsi="Times New Roman"/>
          <w:sz w:val="19"/>
          <w:szCs w:val="19"/>
          <w:color w:val="auto"/>
        </w:rPr>
        <w:t>Total Number of Shares: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9"/>
          <w:szCs w:val="19"/>
          <w:color w:val="auto"/>
        </w:rPr>
        <w:t>«TotalShares»</w:t>
      </w:r>
    </w:p>
    <w:p>
      <w:pPr>
        <w:spacing w:after="0" w:line="119" w:lineRule="exact"/>
        <w:rPr>
          <w:sz w:val="20"/>
          <w:szCs w:val="20"/>
          <w:color w:val="auto"/>
        </w:rPr>
      </w:pPr>
    </w:p>
    <w:p>
      <w:pPr>
        <w:sectPr>
          <w:pgSz w:w="11900" w:h="16838" w:orient="portrait"/>
          <w:cols w:equalWidth="0" w:num="2">
            <w:col w:w="4600" w:space="720"/>
            <w:col w:w="5920"/>
          </w:cols>
          <w:pgMar w:left="320" w:top="261" w:right="339" w:bottom="1440" w:gutter="0" w:footer="0" w:header="0"/>
          <w:type w:val="continuous"/>
        </w:sectPr>
      </w:pPr>
    </w:p>
    <w:p>
      <w:pPr>
        <w:ind w:left="460"/>
        <w:spacing w:after="0"/>
        <w:rPr>
          <w:sz w:val="20"/>
          <w:szCs w:val="20"/>
          <w:color w:val="auto"/>
        </w:rPr>
      </w:pPr>
      <w:r>
        <w:rPr>
          <w:rFonts w:ascii="Times New Roman" w:cs="Times New Roman" w:eastAsia="Times New Roman" w:hAnsi="Times New Roman"/>
          <w:sz w:val="19"/>
          <w:szCs w:val="19"/>
          <w:color w:val="auto"/>
        </w:rPr>
        <w:t>Type of Option: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9"/>
          <w:szCs w:val="19"/>
          <w:color w:val="auto"/>
        </w:rPr>
        <w:t>«ISO»Incentive Stock Option (ISO)</w:t>
      </w:r>
    </w:p>
    <w:p>
      <w:pPr>
        <w:spacing w:after="0" w:line="115" w:lineRule="exact"/>
        <w:rPr>
          <w:sz w:val="20"/>
          <w:szCs w:val="20"/>
          <w:color w:val="auto"/>
        </w:rPr>
      </w:pPr>
    </w:p>
    <w:p>
      <w:pPr>
        <w:sectPr>
          <w:pgSz w:w="11900" w:h="16838" w:orient="portrait"/>
          <w:cols w:equalWidth="0" w:num="2">
            <w:col w:w="4600" w:space="720"/>
            <w:col w:w="5920"/>
          </w:cols>
          <w:pgMar w:left="320" w:top="261" w:right="339" w:bottom="1440" w:gutter="0" w:footer="0" w:header="0"/>
          <w:type w:val="continuous"/>
        </w:sectPr>
      </w:pPr>
    </w:p>
    <w:p>
      <w:pPr>
        <w:ind w:left="5320"/>
        <w:spacing w:after="0"/>
        <w:rPr>
          <w:sz w:val="20"/>
          <w:szCs w:val="20"/>
          <w:color w:val="auto"/>
        </w:rPr>
      </w:pPr>
      <w:r>
        <w:rPr>
          <w:rFonts w:ascii="Times New Roman" w:cs="Times New Roman" w:eastAsia="Times New Roman" w:hAnsi="Times New Roman"/>
          <w:sz w:val="19"/>
          <w:szCs w:val="19"/>
          <w:b w:val="1"/>
          <w:bCs w:val="1"/>
          <w:color w:val="auto"/>
        </w:rPr>
        <w:t>«NSO»Nonstatutory Stock Option (NSO)</w:t>
      </w:r>
    </w:p>
    <w:p>
      <w:pPr>
        <w:sectPr>
          <w:pgSz w:w="11900" w:h="16838" w:orient="portrait"/>
          <w:cols w:equalWidth="0" w:num="1">
            <w:col w:w="11240"/>
          </w:cols>
          <w:pgMar w:left="320" w:top="261" w:right="339" w:bottom="1440" w:gutter="0" w:footer="0" w:header="0"/>
          <w:type w:val="continuous"/>
        </w:sectPr>
      </w:pPr>
    </w:p>
    <w:p>
      <w:pPr>
        <w:spacing w:after="0" w:line="1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9"/>
          <w:szCs w:val="19"/>
          <w:color w:val="auto"/>
        </w:rPr>
        <w:t>Exercise Price per Share:</w:t>
      </w:r>
    </w:p>
    <w:p>
      <w:pPr>
        <w:spacing w:after="0" w:line="20" w:lineRule="exact"/>
        <w:rPr>
          <w:sz w:val="20"/>
          <w:szCs w:val="20"/>
          <w:color w:val="auto"/>
        </w:rPr>
      </w:pPr>
      <w:r>
        <w:rPr>
          <w:sz w:val="20"/>
          <w:szCs w:val="20"/>
          <w:color w:val="auto"/>
        </w:rPr>
        <w:br w:type="column"/>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$«PricePerShare»</w:t>
      </w:r>
    </w:p>
    <w:p>
      <w:pPr>
        <w:spacing w:after="0" w:line="119" w:lineRule="exact"/>
        <w:rPr>
          <w:sz w:val="20"/>
          <w:szCs w:val="20"/>
          <w:color w:val="auto"/>
        </w:rPr>
      </w:pPr>
    </w:p>
    <w:p>
      <w:pPr>
        <w:sectPr>
          <w:pgSz w:w="11900" w:h="16838" w:orient="portrait"/>
          <w:cols w:equalWidth="0" w:num="2">
            <w:col w:w="4600" w:space="720"/>
            <w:col w:w="5920"/>
          </w:cols>
          <w:pgMar w:left="320" w:top="261" w:right="339" w:bottom="1440" w:gutter="0" w:footer="0" w:header="0"/>
          <w:type w:val="continuous"/>
        </w:sectPr>
      </w:pPr>
    </w:p>
    <w:p>
      <w:pPr>
        <w:ind w:left="460"/>
        <w:spacing w:after="0"/>
        <w:rPr>
          <w:sz w:val="20"/>
          <w:szCs w:val="20"/>
          <w:color w:val="auto"/>
        </w:rPr>
      </w:pPr>
      <w:r>
        <w:rPr>
          <w:rFonts w:ascii="Times New Roman" w:cs="Times New Roman" w:eastAsia="Times New Roman" w:hAnsi="Times New Roman"/>
          <w:sz w:val="19"/>
          <w:szCs w:val="19"/>
          <w:color w:val="auto"/>
        </w:rPr>
        <w:t>Date of Grant: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9"/>
          <w:szCs w:val="19"/>
          <w:color w:val="auto"/>
        </w:rPr>
        <w:t>«DateGrant»</w:t>
      </w:r>
    </w:p>
    <w:p>
      <w:pPr>
        <w:spacing w:after="0" w:line="119" w:lineRule="exact"/>
        <w:rPr>
          <w:sz w:val="20"/>
          <w:szCs w:val="20"/>
          <w:color w:val="auto"/>
        </w:rPr>
      </w:pPr>
    </w:p>
    <w:p>
      <w:pPr>
        <w:sectPr>
          <w:pgSz w:w="11900" w:h="16838" w:orient="portrait"/>
          <w:cols w:equalWidth="0" w:num="2">
            <w:col w:w="4600" w:space="720"/>
            <w:col w:w="5920"/>
          </w:cols>
          <w:pgMar w:left="320" w:top="261" w:right="339" w:bottom="1440" w:gutter="0" w:footer="0" w:header="0"/>
          <w:type w:val="continuous"/>
        </w:sectPr>
      </w:pPr>
    </w:p>
    <w:p>
      <w:pPr>
        <w:ind w:left="460"/>
        <w:spacing w:after="0"/>
        <w:rPr>
          <w:sz w:val="20"/>
          <w:szCs w:val="20"/>
          <w:color w:val="auto"/>
        </w:rPr>
      </w:pPr>
      <w:r>
        <w:rPr>
          <w:rFonts w:ascii="Times New Roman" w:cs="Times New Roman" w:eastAsia="Times New Roman" w:hAnsi="Times New Roman"/>
          <w:sz w:val="19"/>
          <w:szCs w:val="19"/>
          <w:color w:val="auto"/>
        </w:rPr>
        <w:t>Date Exercisable:</w:t>
      </w:r>
    </w:p>
    <w:p>
      <w:pPr>
        <w:spacing w:after="0" w:line="20" w:lineRule="exact"/>
        <w:rPr>
          <w:sz w:val="20"/>
          <w:szCs w:val="20"/>
          <w:color w:val="auto"/>
        </w:rPr>
      </w:pPr>
      <w:r>
        <w:rPr>
          <w:sz w:val="20"/>
          <w:szCs w:val="20"/>
          <w:color w:val="auto"/>
        </w:rPr>
        <w:br w:type="column"/>
      </w:r>
    </w:p>
    <w:p>
      <w:pPr>
        <w:ind w:right="460"/>
        <w:spacing w:after="0" w:line="282" w:lineRule="auto"/>
        <w:rPr>
          <w:sz w:val="20"/>
          <w:szCs w:val="20"/>
          <w:color w:val="auto"/>
        </w:rPr>
      </w:pPr>
      <w:r>
        <w:rPr>
          <w:rFonts w:ascii="Times New Roman" w:cs="Times New Roman" w:eastAsia="Times New Roman" w:hAnsi="Times New Roman"/>
          <w:sz w:val="18"/>
          <w:szCs w:val="18"/>
          <w:color w:val="auto"/>
        </w:rPr>
        <w:t>This option may be exercised at any time after the Date of Grant for all or any part of the Shares subject to this option.</w:t>
      </w:r>
    </w:p>
    <w:p>
      <w:pPr>
        <w:spacing w:after="0" w:line="49" w:lineRule="exact"/>
        <w:rPr>
          <w:sz w:val="20"/>
          <w:szCs w:val="20"/>
          <w:color w:val="auto"/>
        </w:rPr>
      </w:pPr>
    </w:p>
    <w:p>
      <w:pPr>
        <w:sectPr>
          <w:pgSz w:w="11900" w:h="16838" w:orient="portrait"/>
          <w:cols w:equalWidth="0" w:num="2">
            <w:col w:w="4600" w:space="720"/>
            <w:col w:w="5920"/>
          </w:cols>
          <w:pgMar w:left="320" w:top="261" w:right="339" w:bottom="1440" w:gutter="0" w:footer="0" w:header="0"/>
          <w:type w:val="continuous"/>
        </w:sectPr>
      </w:pPr>
    </w:p>
    <w:p>
      <w:pPr>
        <w:ind w:left="460"/>
        <w:spacing w:after="0"/>
        <w:rPr>
          <w:sz w:val="20"/>
          <w:szCs w:val="20"/>
          <w:color w:val="auto"/>
        </w:rPr>
      </w:pPr>
      <w:r>
        <w:rPr>
          <w:rFonts w:ascii="Times New Roman" w:cs="Times New Roman" w:eastAsia="Times New Roman" w:hAnsi="Times New Roman"/>
          <w:sz w:val="19"/>
          <w:szCs w:val="19"/>
          <w:color w:val="auto"/>
        </w:rPr>
        <w:t>Vesting Commencement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9"/>
          <w:szCs w:val="19"/>
          <w:color w:val="auto"/>
        </w:rPr>
        <w:t>«VestComDate»</w:t>
      </w:r>
    </w:p>
    <w:p>
      <w:pPr>
        <w:spacing w:after="0" w:line="124" w:lineRule="exact"/>
        <w:rPr>
          <w:sz w:val="20"/>
          <w:szCs w:val="20"/>
          <w:color w:val="auto"/>
        </w:rPr>
      </w:pPr>
    </w:p>
    <w:p>
      <w:pPr>
        <w:sectPr>
          <w:pgSz w:w="11900" w:h="16838" w:orient="portrait"/>
          <w:cols w:equalWidth="0" w:num="2">
            <w:col w:w="4600" w:space="720"/>
            <w:col w:w="5920"/>
          </w:cols>
          <w:pgMar w:left="320" w:top="261" w:right="339" w:bottom="1440" w:gutter="0" w:footer="0" w:header="0"/>
          <w:type w:val="continuous"/>
        </w:sectPr>
      </w:pPr>
    </w:p>
    <w:p>
      <w:pPr>
        <w:ind w:left="460"/>
        <w:spacing w:after="0"/>
        <w:rPr>
          <w:sz w:val="20"/>
          <w:szCs w:val="20"/>
          <w:color w:val="auto"/>
        </w:rPr>
      </w:pPr>
      <w:r>
        <w:rPr>
          <w:rFonts w:ascii="Times New Roman" w:cs="Times New Roman" w:eastAsia="Times New Roman" w:hAnsi="Times New Roman"/>
          <w:sz w:val="17"/>
          <w:szCs w:val="17"/>
          <w:color w:val="auto"/>
        </w:rPr>
        <w:t>Vesting Schedule:</w:t>
      </w:r>
    </w:p>
    <w:p>
      <w:pPr>
        <w:spacing w:after="0" w:line="20" w:lineRule="exact"/>
        <w:rPr>
          <w:sz w:val="20"/>
          <w:szCs w:val="20"/>
          <w:color w:val="auto"/>
        </w:rPr>
      </w:pPr>
      <w:r>
        <w:rPr>
          <w:sz w:val="20"/>
          <w:szCs w:val="20"/>
          <w:color w:val="auto"/>
        </w:rPr>
        <w:br w:type="column"/>
      </w:r>
    </w:p>
    <w:p>
      <w:pPr>
        <w:jc w:val="both"/>
        <w:ind w:right="460"/>
        <w:spacing w:after="0" w:line="255" w:lineRule="auto"/>
        <w:rPr>
          <w:sz w:val="20"/>
          <w:szCs w:val="20"/>
          <w:color w:val="auto"/>
        </w:rPr>
      </w:pPr>
      <w:r>
        <w:rPr>
          <w:rFonts w:ascii="Times New Roman" w:cs="Times New Roman" w:eastAsia="Times New Roman" w:hAnsi="Times New Roman"/>
          <w:sz w:val="18"/>
          <w:szCs w:val="18"/>
          <w:color w:val="auto"/>
        </w:rPr>
        <w:t>The Right of Repurchase shall lapse with respect to the first «Percent»% of the Shares subject to this option when the Optionee completes «CliffPeriod» months of continuous Service beginning with the Vesting Commencement Date set forth above. The Right of Repurchase shall lapse with respect to an additional «Fraction»% of the Shares subject to this option when the Optionee completes each month of continuous Service thereafter.</w:t>
      </w:r>
    </w:p>
    <w:p>
      <w:pPr>
        <w:spacing w:after="0" w:line="76" w:lineRule="exact"/>
        <w:rPr>
          <w:sz w:val="20"/>
          <w:szCs w:val="20"/>
          <w:color w:val="auto"/>
        </w:rPr>
      </w:pPr>
    </w:p>
    <w:p>
      <w:pPr>
        <w:sectPr>
          <w:pgSz w:w="11900" w:h="16838" w:orient="portrait"/>
          <w:cols w:equalWidth="0" w:num="2">
            <w:col w:w="4600" w:space="720"/>
            <w:col w:w="5920"/>
          </w:cols>
          <w:pgMar w:left="320" w:top="261" w:right="339" w:bottom="1440" w:gutter="0" w:footer="0" w:header="0"/>
          <w:type w:val="continuous"/>
        </w:sectPr>
      </w:pPr>
    </w:p>
    <w:p>
      <w:pPr>
        <w:ind w:left="460"/>
        <w:spacing w:after="0"/>
        <w:rPr>
          <w:sz w:val="20"/>
          <w:szCs w:val="20"/>
          <w:color w:val="auto"/>
        </w:rPr>
      </w:pPr>
      <w:r>
        <w:rPr>
          <w:rFonts w:ascii="Times New Roman" w:cs="Times New Roman" w:eastAsia="Times New Roman" w:hAnsi="Times New Roman"/>
          <w:sz w:val="19"/>
          <w:szCs w:val="19"/>
          <w:color w:val="auto"/>
        </w:rPr>
        <w:t>Expiration Date:</w:t>
      </w:r>
    </w:p>
    <w:p>
      <w:pPr>
        <w:spacing w:after="0" w:line="20" w:lineRule="exact"/>
        <w:rPr>
          <w:sz w:val="20"/>
          <w:szCs w:val="20"/>
          <w:color w:val="auto"/>
        </w:rPr>
      </w:pPr>
      <w:r>
        <w:rPr>
          <w:sz w:val="20"/>
          <w:szCs w:val="20"/>
          <w:color w:val="auto"/>
        </w:rPr>
        <w:br w:type="column"/>
      </w:r>
    </w:p>
    <w:p>
      <w:pPr>
        <w:ind w:right="840"/>
        <w:spacing w:after="0" w:line="249" w:lineRule="auto"/>
        <w:rPr>
          <w:sz w:val="20"/>
          <w:szCs w:val="20"/>
          <w:color w:val="auto"/>
        </w:rPr>
      </w:pPr>
      <w:r>
        <w:rPr>
          <w:rFonts w:ascii="Times New Roman" w:cs="Times New Roman" w:eastAsia="Times New Roman" w:hAnsi="Times New Roman"/>
          <w:sz w:val="20"/>
          <w:szCs w:val="20"/>
          <w:color w:val="auto"/>
        </w:rPr>
        <w:t>«ExpDate». This option expires earlier if the Optionee’s Service terminates earlier, as provided in Section 6 of the Stock Option Agreement, or if the Company engages in certain corporate transactions, as provided in Section 8(b) of the Plan.</w:t>
      </w:r>
    </w:p>
    <w:p>
      <w:pPr>
        <w:spacing w:after="0" w:line="184" w:lineRule="exact"/>
        <w:rPr>
          <w:sz w:val="20"/>
          <w:szCs w:val="20"/>
          <w:color w:val="auto"/>
        </w:rPr>
      </w:pPr>
    </w:p>
    <w:p>
      <w:pPr>
        <w:sectPr>
          <w:pgSz w:w="11900" w:h="16838" w:orient="portrait"/>
          <w:cols w:equalWidth="0" w:num="2">
            <w:col w:w="4600" w:space="720"/>
            <w:col w:w="5920"/>
          </w:cols>
          <w:pgMar w:left="320" w:top="261" w:right="339" w:bottom="1440" w:gutter="0" w:footer="0" w:header="0"/>
          <w:type w:val="continuous"/>
        </w:sect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By signing below, the Optionee and the Company agree that this option is granted under, and governed by the terms and conditions of, the 2016 Stock Plan and the Stock Option Agreement. Both of these documents are attached to, and made a part of, this Notice of Stock Option Grant. </w:t>
      </w:r>
      <w:r>
        <w:rPr>
          <w:rFonts w:ascii="Times New Roman" w:cs="Times New Roman" w:eastAsia="Times New Roman" w:hAnsi="Times New Roman"/>
          <w:sz w:val="18"/>
          <w:szCs w:val="18"/>
          <w:b w:val="1"/>
          <w:bCs w:val="1"/>
          <w:color w:val="auto"/>
        </w:rPr>
        <w:t>Section 14 of the Stock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Option Agreement includes important acknowledgements of the Optionee</w:t>
      </w:r>
      <w:r>
        <w:rPr>
          <w:rFonts w:ascii="Times New Roman" w:cs="Times New Roman" w:eastAsia="Times New Roman" w:hAnsi="Times New Roman"/>
          <w:sz w:val="18"/>
          <w:szCs w:val="18"/>
          <w:color w:val="auto"/>
        </w:rPr>
        <w:t>.</w:t>
      </w:r>
    </w:p>
    <w:p>
      <w:pPr>
        <w:spacing w:after="0" w:line="167" w:lineRule="exact"/>
        <w:rPr>
          <w:sz w:val="20"/>
          <w:szCs w:val="20"/>
          <w:color w:val="auto"/>
        </w:rPr>
      </w:pPr>
    </w:p>
    <w:p>
      <w:pPr>
        <w:spacing w:after="0"/>
        <w:tabs>
          <w:tab w:leader="none" w:pos="5560" w:val="left"/>
        </w:tabs>
        <w:rPr>
          <w:sz w:val="20"/>
          <w:szCs w:val="20"/>
          <w:color w:val="auto"/>
        </w:rPr>
      </w:pPr>
      <w:r>
        <w:rPr>
          <w:rFonts w:ascii="Times New Roman" w:cs="Times New Roman" w:eastAsia="Times New Roman" w:hAnsi="Times New Roman"/>
          <w:sz w:val="20"/>
          <w:szCs w:val="20"/>
          <w:b w:val="1"/>
          <w:bCs w:val="1"/>
          <w:color w:val="auto"/>
        </w:rPr>
        <w:t>O</w:t>
      </w:r>
      <w:r>
        <w:rPr>
          <w:rFonts w:ascii="Times New Roman" w:cs="Times New Roman" w:eastAsia="Times New Roman" w:hAnsi="Times New Roman"/>
          <w:sz w:val="16"/>
          <w:szCs w:val="16"/>
          <w:b w:val="1"/>
          <w:bCs w:val="1"/>
          <w:color w:val="auto"/>
        </w:rPr>
        <w:t>PTIONEE</w:t>
      </w:r>
      <w:r>
        <w:rPr>
          <w:rFonts w:ascii="Times New Roman" w:cs="Times New Roman" w:eastAsia="Times New Roman" w:hAnsi="Times New Roman"/>
          <w:sz w:val="20"/>
          <w:szCs w:val="20"/>
          <w:b w:val="1"/>
          <w:bCs w:val="1"/>
          <w:color w:val="auto"/>
        </w:rPr>
        <w:t>:</w:t>
      </w:r>
      <w:r>
        <w:rPr>
          <w:sz w:val="20"/>
          <w:szCs w:val="20"/>
          <w:color w:val="auto"/>
        </w:rPr>
        <w:tab/>
      </w:r>
      <w:r>
        <w:rPr>
          <w:rFonts w:ascii="Times New Roman" w:cs="Times New Roman" w:eastAsia="Times New Roman" w:hAnsi="Times New Roman"/>
          <w:sz w:val="20"/>
          <w:szCs w:val="20"/>
          <w:b w:val="1"/>
          <w:bCs w:val="1"/>
          <w:color w:val="auto"/>
        </w:rPr>
        <w:t>T</w:t>
      </w:r>
      <w:r>
        <w:rPr>
          <w:rFonts w:ascii="Times New Roman" w:cs="Times New Roman" w:eastAsia="Times New Roman" w:hAnsi="Times New Roman"/>
          <w:sz w:val="16"/>
          <w:szCs w:val="16"/>
          <w:b w:val="1"/>
          <w:bCs w:val="1"/>
          <w:color w:val="auto"/>
        </w:rPr>
        <w:t>ARSUS</w:t>
      </w:r>
      <w:r>
        <w:rPr>
          <w:rFonts w:ascii="Times New Roman" w:cs="Times New Roman" w:eastAsia="Times New Roman" w:hAnsi="Times New Roman"/>
          <w:sz w:val="20"/>
          <w:szCs w:val="20"/>
          <w:b w:val="1"/>
          <w:bCs w:val="1"/>
          <w:color w:val="auto"/>
        </w:rPr>
        <w:t xml:space="preserve"> P</w:t>
      </w:r>
      <w:r>
        <w:rPr>
          <w:rFonts w:ascii="Times New Roman" w:cs="Times New Roman" w:eastAsia="Times New Roman" w:hAnsi="Times New Roman"/>
          <w:sz w:val="16"/>
          <w:szCs w:val="16"/>
          <w:b w:val="1"/>
          <w:bCs w:val="1"/>
          <w:color w:val="auto"/>
        </w:rPr>
        <w:t>HARMACEUTICALS</w:t>
      </w:r>
      <w:r>
        <w:rPr>
          <w:rFonts w:ascii="Times New Roman" w:cs="Times New Roman" w:eastAsia="Times New Roman" w:hAnsi="Times New Roman"/>
          <w:sz w:val="20"/>
          <w:szCs w:val="20"/>
          <w:b w:val="1"/>
          <w:bCs w:val="1"/>
          <w:color w:val="auto"/>
        </w:rPr>
        <w:t>, I</w:t>
      </w:r>
      <w:r>
        <w:rPr>
          <w:rFonts w:ascii="Times New Roman" w:cs="Times New Roman" w:eastAsia="Times New Roman" w:hAnsi="Times New Roman"/>
          <w:sz w:val="16"/>
          <w:szCs w:val="16"/>
          <w:b w:val="1"/>
          <w:bCs w:val="1"/>
          <w:color w:val="auto"/>
        </w:rPr>
        <w:t>NC</w:t>
      </w:r>
      <w:r>
        <w:rPr>
          <w:rFonts w:ascii="Times New Roman" w:cs="Times New Roman" w:eastAsia="Times New Roman" w:hAnsi="Times New Roman"/>
          <w:sz w:val="20"/>
          <w:szCs w:val="20"/>
          <w:b w:val="1"/>
          <w:bCs w:val="1"/>
          <w:color w:val="auto"/>
        </w:rPr>
        <w:t>.</w:t>
      </w:r>
    </w:p>
    <w:p>
      <w:pPr>
        <w:spacing w:after="0" w:line="22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132320" cy="88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4445</wp:posOffset>
            </wp:positionV>
            <wp:extent cx="3326130"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3326130" cy="8255"/>
                    </a:xfrm>
                    <a:prstGeom prst="rect">
                      <a:avLst/>
                    </a:prstGeom>
                    <a:noFill/>
                  </pic:spPr>
                </pic:pic>
              </a:graphicData>
            </a:graphic>
          </wp:anchor>
        </w:drawing>
      </w:r>
    </w:p>
    <w:p>
      <w:pPr>
        <w:sectPr>
          <w:pgSz w:w="11900" w:h="16838" w:orient="portrait"/>
          <w:cols w:equalWidth="0" w:num="1">
            <w:col w:w="11240"/>
          </w:cols>
          <w:pgMar w:left="320" w:top="261" w:right="339" w:bottom="1440" w:gutter="0" w:footer="0" w:header="0"/>
          <w:type w:val="continuous"/>
        </w:sectPr>
      </w:pPr>
    </w:p>
    <w:bookmarkStart w:id="281" w:name="page282"/>
    <w:bookmarkEnd w:id="281"/>
    <w:p>
      <w:pPr>
        <w:ind w:right="160"/>
        <w:spacing w:after="0" w:line="262"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OPTION GRANTED PURSUANT TO THIS AGREEMENT AND THE SHARES ISSUABLE UPON THE EXERCISE THEREOF HAVE NOT BEEN REGISTERED UNDER THE SECURITIES ACT OF 1933, AS AMENDED, AND MAY NOT BE SOLD, PLEDGED, OR OTHERWISE TRANSFERRED WITHOUT AN EFFECTIVE REGISTRATION THEREOF UNDER SUCH ACT OR AN OPINION OF COUNSEL, SATISFACTORY TO THE COMPANY AND ITS COUNSEL, THAT SUCH REGISTRATION IS NOT REQUIRED.</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w:t>
      </w:r>
      <w:r>
        <w:rPr>
          <w:rFonts w:ascii="Times New Roman" w:cs="Times New Roman" w:eastAsia="Times New Roman" w:hAnsi="Times New Roman"/>
          <w:sz w:val="16"/>
          <w:szCs w:val="16"/>
          <w:b w:val="1"/>
          <w:bCs w:val="1"/>
          <w:color w:val="auto"/>
        </w:rPr>
        <w:t>ARSUS</w:t>
      </w:r>
      <w:r>
        <w:rPr>
          <w:rFonts w:ascii="Times New Roman" w:cs="Times New Roman" w:eastAsia="Times New Roman" w:hAnsi="Times New Roman"/>
          <w:sz w:val="20"/>
          <w:szCs w:val="20"/>
          <w:b w:val="1"/>
          <w:bCs w:val="1"/>
          <w:color w:val="auto"/>
        </w:rPr>
        <w:t xml:space="preserve"> P</w:t>
      </w:r>
      <w:r>
        <w:rPr>
          <w:rFonts w:ascii="Times New Roman" w:cs="Times New Roman" w:eastAsia="Times New Roman" w:hAnsi="Times New Roman"/>
          <w:sz w:val="16"/>
          <w:szCs w:val="16"/>
          <w:b w:val="1"/>
          <w:bCs w:val="1"/>
          <w:color w:val="auto"/>
        </w:rPr>
        <w:t>HARMACEUTICALS</w:t>
      </w:r>
      <w:r>
        <w:rPr>
          <w:rFonts w:ascii="Times New Roman" w:cs="Times New Roman" w:eastAsia="Times New Roman" w:hAnsi="Times New Roman"/>
          <w:sz w:val="20"/>
          <w:szCs w:val="20"/>
          <w:b w:val="1"/>
          <w:bCs w:val="1"/>
          <w:color w:val="auto"/>
        </w:rPr>
        <w:t>, I</w:t>
      </w:r>
      <w:r>
        <w:rPr>
          <w:rFonts w:ascii="Times New Roman" w:cs="Times New Roman" w:eastAsia="Times New Roman" w:hAnsi="Times New Roman"/>
          <w:sz w:val="16"/>
          <w:szCs w:val="16"/>
          <w:b w:val="1"/>
          <w:bCs w:val="1"/>
          <w:color w:val="auto"/>
        </w:rPr>
        <w:t>NC</w:t>
      </w:r>
      <w:r>
        <w:rPr>
          <w:rFonts w:ascii="Times New Roman" w:cs="Times New Roman" w:eastAsia="Times New Roman" w:hAnsi="Times New Roman"/>
          <w:sz w:val="20"/>
          <w:szCs w:val="20"/>
          <w:b w:val="1"/>
          <w:bCs w:val="1"/>
          <w:color w:val="auto"/>
        </w:rPr>
        <w:t>. 2016 S</w:t>
      </w:r>
      <w:r>
        <w:rPr>
          <w:rFonts w:ascii="Times New Roman" w:cs="Times New Roman" w:eastAsia="Times New Roman" w:hAnsi="Times New Roman"/>
          <w:sz w:val="16"/>
          <w:szCs w:val="16"/>
          <w:b w:val="1"/>
          <w:bCs w:val="1"/>
          <w:color w:val="auto"/>
        </w:rPr>
        <w:t>TOCK</w:t>
      </w:r>
      <w:r>
        <w:rPr>
          <w:rFonts w:ascii="Times New Roman" w:cs="Times New Roman" w:eastAsia="Times New Roman" w:hAnsi="Times New Roman"/>
          <w:sz w:val="20"/>
          <w:szCs w:val="20"/>
          <w:b w:val="1"/>
          <w:bCs w:val="1"/>
          <w:color w:val="auto"/>
        </w:rPr>
        <w:t xml:space="preserve"> P</w:t>
      </w:r>
      <w:r>
        <w:rPr>
          <w:rFonts w:ascii="Times New Roman" w:cs="Times New Roman" w:eastAsia="Times New Roman" w:hAnsi="Times New Roman"/>
          <w:sz w:val="16"/>
          <w:szCs w:val="16"/>
          <w:b w:val="1"/>
          <w:bCs w:val="1"/>
          <w:color w:val="auto"/>
        </w:rPr>
        <w:t>LAN</w:t>
      </w:r>
      <w:r>
        <w:rPr>
          <w:rFonts w:ascii="Times New Roman" w:cs="Times New Roman" w:eastAsia="Times New Roman" w:hAnsi="Times New Roman"/>
          <w:sz w:val="20"/>
          <w:szCs w:val="20"/>
          <w:b w:val="1"/>
          <w:bCs w:val="1"/>
          <w:color w:val="auto"/>
        </w:rPr>
        <w:t>:</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w:t>
      </w:r>
      <w:r>
        <w:rPr>
          <w:rFonts w:ascii="Times New Roman" w:cs="Times New Roman" w:eastAsia="Times New Roman" w:hAnsi="Times New Roman"/>
          <w:sz w:val="16"/>
          <w:szCs w:val="16"/>
          <w:b w:val="1"/>
          <w:bCs w:val="1"/>
          <w:color w:val="auto"/>
        </w:rPr>
        <w:t>TOCK</w:t>
      </w:r>
      <w:r>
        <w:rPr>
          <w:rFonts w:ascii="Times New Roman" w:cs="Times New Roman" w:eastAsia="Times New Roman" w:hAnsi="Times New Roman"/>
          <w:sz w:val="20"/>
          <w:szCs w:val="20"/>
          <w:b w:val="1"/>
          <w:bCs w:val="1"/>
          <w:color w:val="auto"/>
        </w:rPr>
        <w:t xml:space="preserve"> O</w:t>
      </w:r>
      <w:r>
        <w:rPr>
          <w:rFonts w:ascii="Times New Roman" w:cs="Times New Roman" w:eastAsia="Times New Roman" w:hAnsi="Times New Roman"/>
          <w:sz w:val="16"/>
          <w:szCs w:val="16"/>
          <w:b w:val="1"/>
          <w:bCs w:val="1"/>
          <w:color w:val="auto"/>
        </w:rPr>
        <w:t>PTION</w:t>
      </w:r>
      <w:r>
        <w:rPr>
          <w:rFonts w:ascii="Times New Roman" w:cs="Times New Roman" w:eastAsia="Times New Roman" w:hAnsi="Times New Roman"/>
          <w:sz w:val="20"/>
          <w:szCs w:val="20"/>
          <w:b w:val="1"/>
          <w:bCs w:val="1"/>
          <w:color w:val="auto"/>
        </w:rPr>
        <w:t xml:space="preserve"> A</w:t>
      </w:r>
      <w:r>
        <w:rPr>
          <w:rFonts w:ascii="Times New Roman" w:cs="Times New Roman" w:eastAsia="Times New Roman" w:hAnsi="Times New Roman"/>
          <w:sz w:val="16"/>
          <w:szCs w:val="16"/>
          <w:b w:val="1"/>
          <w:bCs w:val="1"/>
          <w:color w:val="auto"/>
        </w:rPr>
        <w:t>GREEMENT</w:t>
      </w:r>
      <w:r>
        <w:rPr>
          <w:rFonts w:ascii="Times New Roman" w:cs="Times New Roman" w:eastAsia="Times New Roman" w:hAnsi="Times New Roman"/>
          <w:sz w:val="20"/>
          <w:szCs w:val="20"/>
          <w:b w:val="1"/>
          <w:bCs w:val="1"/>
          <w:color w:val="auto"/>
        </w:rPr>
        <w:t xml:space="preserve"> (E</w:t>
      </w:r>
      <w:r>
        <w:rPr>
          <w:rFonts w:ascii="Times New Roman" w:cs="Times New Roman" w:eastAsia="Times New Roman" w:hAnsi="Times New Roman"/>
          <w:sz w:val="16"/>
          <w:szCs w:val="16"/>
          <w:b w:val="1"/>
          <w:bCs w:val="1"/>
          <w:color w:val="auto"/>
        </w:rPr>
        <w:t>ARLY</w:t>
      </w:r>
      <w:r>
        <w:rPr>
          <w:rFonts w:ascii="Times New Roman" w:cs="Times New Roman" w:eastAsia="Times New Roman" w:hAnsi="Times New Roman"/>
          <w:sz w:val="20"/>
          <w:szCs w:val="20"/>
          <w:b w:val="1"/>
          <w:bCs w:val="1"/>
          <w:color w:val="auto"/>
        </w:rPr>
        <w:t xml:space="preserve"> E</w:t>
      </w:r>
      <w:r>
        <w:rPr>
          <w:rFonts w:ascii="Times New Roman" w:cs="Times New Roman" w:eastAsia="Times New Roman" w:hAnsi="Times New Roman"/>
          <w:sz w:val="16"/>
          <w:szCs w:val="16"/>
          <w:b w:val="1"/>
          <w:bCs w:val="1"/>
          <w:color w:val="auto"/>
        </w:rPr>
        <w:t>XERCISE</w:t>
      </w:r>
      <w:r>
        <w:rPr>
          <w:rFonts w:ascii="Times New Roman" w:cs="Times New Roman" w:eastAsia="Times New Roman" w:hAnsi="Times New Roman"/>
          <w:sz w:val="20"/>
          <w:szCs w:val="20"/>
          <w:b w:val="1"/>
          <w:bCs w:val="1"/>
          <w:color w:val="auto"/>
        </w:rPr>
        <w:t>)</w:t>
      </w:r>
    </w:p>
    <w:p>
      <w:pPr>
        <w:spacing w:after="0" w:line="200" w:lineRule="exact"/>
        <w:rPr>
          <w:sz w:val="20"/>
          <w:szCs w:val="20"/>
          <w:color w:val="auto"/>
        </w:rPr>
      </w:pPr>
    </w:p>
    <w:p>
      <w:pPr>
        <w:spacing w:after="0" w:line="314" w:lineRule="exact"/>
        <w:rPr>
          <w:sz w:val="20"/>
          <w:szCs w:val="20"/>
          <w:color w:val="auto"/>
        </w:rPr>
      </w:pPr>
    </w:p>
    <w:p>
      <w:pPr>
        <w:spacing w:after="0"/>
        <w:tabs>
          <w:tab w:leader="none" w:pos="1320" w:val="left"/>
        </w:tabs>
        <w:rPr>
          <w:sz w:val="20"/>
          <w:szCs w:val="20"/>
          <w:color w:val="auto"/>
        </w:rPr>
      </w:pPr>
      <w:r>
        <w:rPr>
          <w:rFonts w:ascii="Times New Roman" w:cs="Times New Roman" w:eastAsia="Times New Roman" w:hAnsi="Times New Roman"/>
          <w:sz w:val="20"/>
          <w:szCs w:val="20"/>
          <w:b w:val="1"/>
          <w:bCs w:val="1"/>
          <w:color w:val="auto"/>
        </w:rPr>
        <w:t>SECTION 1.</w:t>
      </w:r>
      <w:r>
        <w:rPr>
          <w:sz w:val="20"/>
          <w:szCs w:val="20"/>
          <w:color w:val="auto"/>
        </w:rPr>
        <w:tab/>
      </w:r>
      <w:r>
        <w:rPr>
          <w:rFonts w:ascii="Times New Roman" w:cs="Times New Roman" w:eastAsia="Times New Roman" w:hAnsi="Times New Roman"/>
          <w:sz w:val="19"/>
          <w:szCs w:val="19"/>
          <w:b w:val="1"/>
          <w:bCs w:val="1"/>
          <w:color w:val="auto"/>
        </w:rPr>
        <w:t>GRANT OF OPTION.</w:t>
      </w:r>
    </w:p>
    <w:p>
      <w:pPr>
        <w:spacing w:after="0" w:line="216" w:lineRule="exact"/>
        <w:rPr>
          <w:sz w:val="20"/>
          <w:szCs w:val="20"/>
          <w:color w:val="auto"/>
        </w:rPr>
      </w:pPr>
    </w:p>
    <w:p>
      <w:pPr>
        <w:jc w:val="both"/>
        <w:ind w:firstLine="794"/>
        <w:spacing w:after="0" w:line="247" w:lineRule="auto"/>
        <w:tabs>
          <w:tab w:leader="none" w:pos="1401" w:val="left"/>
        </w:tabs>
        <w:numPr>
          <w:ilvl w:val="0"/>
          <w:numId w:val="2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Option</w:t>
      </w:r>
      <w:r>
        <w:rPr>
          <w:rFonts w:ascii="Times New Roman" w:cs="Times New Roman" w:eastAsia="Times New Roman" w:hAnsi="Times New Roman"/>
          <w:sz w:val="20"/>
          <w:szCs w:val="20"/>
          <w:color w:val="auto"/>
        </w:rPr>
        <w:t>. On the terms and conditions set forth in the Notice of Stock Option Grant and this Agreement, the Company grants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to the Optionee on the Date of Grant the option to purchase at the Exercise Price the number of Shares set forth in the Notice of Stock Option Grant. The Exercise Price is agreed to be at least 100% of the Fair Market Value per Share on the Date of Grant (110% of Fair Market Value if this option is designated as an ISO in the Notice of Stock Option Grant and Section 3(b) of the Plan applies). This option is intended to be an ISO or an NSO, as provided in the Notice of Stock Option Grant.</w:t>
      </w:r>
    </w:p>
    <w:p>
      <w:pPr>
        <w:spacing w:after="0" w:line="180" w:lineRule="exact"/>
        <w:rPr>
          <w:rFonts w:ascii="Times New Roman" w:cs="Times New Roman" w:eastAsia="Times New Roman" w:hAnsi="Times New Roman"/>
          <w:sz w:val="20"/>
          <w:szCs w:val="20"/>
          <w:color w:val="auto"/>
        </w:rPr>
      </w:pPr>
    </w:p>
    <w:p>
      <w:pPr>
        <w:ind w:firstLine="794"/>
        <w:spacing w:after="0" w:line="273" w:lineRule="auto"/>
        <w:tabs>
          <w:tab w:leader="none" w:pos="1412" w:val="left"/>
        </w:tabs>
        <w:numPr>
          <w:ilvl w:val="0"/>
          <w:numId w:val="2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$100,000 Limitation</w:t>
      </w:r>
      <w:r>
        <w:rPr>
          <w:rFonts w:ascii="Times New Roman" w:cs="Times New Roman" w:eastAsia="Times New Roman" w:hAnsi="Times New Roman"/>
          <w:sz w:val="20"/>
          <w:szCs w:val="20"/>
          <w:color w:val="auto"/>
        </w:rPr>
        <w:t>. Even if this option is designated as an ISO in the Notice of Stock Option Grant, it shall be deemed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be an NSO to the extent (and only to the extent) required by the $100,000 annual limitation under Section 422(d) of the Code.</w:t>
      </w:r>
    </w:p>
    <w:p>
      <w:pPr>
        <w:spacing w:after="0" w:line="151" w:lineRule="exact"/>
        <w:rPr>
          <w:rFonts w:ascii="Times New Roman" w:cs="Times New Roman" w:eastAsia="Times New Roman" w:hAnsi="Times New Roman"/>
          <w:sz w:val="20"/>
          <w:szCs w:val="20"/>
          <w:color w:val="auto"/>
        </w:rPr>
      </w:pPr>
    </w:p>
    <w:p>
      <w:pPr>
        <w:jc w:val="both"/>
        <w:ind w:firstLine="794"/>
        <w:spacing w:after="0" w:line="256" w:lineRule="auto"/>
        <w:tabs>
          <w:tab w:leader="none" w:pos="1455" w:val="left"/>
        </w:tabs>
        <w:numPr>
          <w:ilvl w:val="0"/>
          <w:numId w:val="2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Stock Plan and Defined Terms</w:t>
      </w:r>
      <w:r>
        <w:rPr>
          <w:rFonts w:ascii="Times New Roman" w:cs="Times New Roman" w:eastAsia="Times New Roman" w:hAnsi="Times New Roman"/>
          <w:sz w:val="20"/>
          <w:szCs w:val="20"/>
          <w:color w:val="auto"/>
        </w:rPr>
        <w:t>. This option is granted pursuant to the Plan, a copy of which the Optionee acknowledges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having received. The provisions of the Plan are incorporated into this Agreement by this reference. Except as otherwise defined in this Agreement (including without limitation Section 15 hereof), capitalized terms shall have the meaning ascribed to such terms in the Plan.</w:t>
      </w:r>
    </w:p>
    <w:p>
      <w:pPr>
        <w:spacing w:after="0" w:line="169" w:lineRule="exact"/>
        <w:rPr>
          <w:sz w:val="20"/>
          <w:szCs w:val="20"/>
          <w:color w:val="auto"/>
        </w:rPr>
      </w:pPr>
    </w:p>
    <w:p>
      <w:pPr>
        <w:spacing w:after="0"/>
        <w:tabs>
          <w:tab w:leader="none" w:pos="1320" w:val="left"/>
        </w:tabs>
        <w:rPr>
          <w:sz w:val="20"/>
          <w:szCs w:val="20"/>
          <w:color w:val="auto"/>
        </w:rPr>
      </w:pPr>
      <w:r>
        <w:rPr>
          <w:rFonts w:ascii="Times New Roman" w:cs="Times New Roman" w:eastAsia="Times New Roman" w:hAnsi="Times New Roman"/>
          <w:sz w:val="20"/>
          <w:szCs w:val="20"/>
          <w:b w:val="1"/>
          <w:bCs w:val="1"/>
          <w:color w:val="auto"/>
        </w:rPr>
        <w:t>SECTION 2.</w:t>
      </w:r>
      <w:r>
        <w:rPr>
          <w:sz w:val="20"/>
          <w:szCs w:val="20"/>
          <w:color w:val="auto"/>
        </w:rPr>
        <w:tab/>
      </w:r>
      <w:r>
        <w:rPr>
          <w:rFonts w:ascii="Times New Roman" w:cs="Times New Roman" w:eastAsia="Times New Roman" w:hAnsi="Times New Roman"/>
          <w:sz w:val="19"/>
          <w:szCs w:val="19"/>
          <w:b w:val="1"/>
          <w:bCs w:val="1"/>
          <w:color w:val="auto"/>
        </w:rPr>
        <w:t>RIGHT TO EXERCISE.</w:t>
      </w:r>
    </w:p>
    <w:p>
      <w:pPr>
        <w:spacing w:after="0" w:line="216" w:lineRule="exact"/>
        <w:rPr>
          <w:sz w:val="20"/>
          <w:szCs w:val="20"/>
          <w:color w:val="auto"/>
        </w:rPr>
      </w:pPr>
    </w:p>
    <w:p>
      <w:pPr>
        <w:jc w:val="both"/>
        <w:ind w:right="20" w:firstLine="794"/>
        <w:spacing w:after="0" w:line="256" w:lineRule="auto"/>
        <w:tabs>
          <w:tab w:leader="none" w:pos="1536" w:val="left"/>
        </w:tabs>
        <w:numPr>
          <w:ilvl w:val="0"/>
          <w:numId w:val="2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Exercisability</w:t>
      </w:r>
      <w:r>
        <w:rPr>
          <w:rFonts w:ascii="Times New Roman" w:cs="Times New Roman" w:eastAsia="Times New Roman" w:hAnsi="Times New Roman"/>
          <w:sz w:val="20"/>
          <w:szCs w:val="20"/>
          <w:color w:val="auto"/>
        </w:rPr>
        <w:t>. Subject to Subsection (b) below and the other conditions set forth in this Agreement, all or part of this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option may be exercised prior to its expiration at the time or times set forth in the Notice of Stock Option Grant. Shares purchased by exercising this option may be subject to the Right of Repurchase under Section 7.</w:t>
      </w:r>
    </w:p>
    <w:p>
      <w:pPr>
        <w:spacing w:after="0" w:line="168" w:lineRule="exact"/>
        <w:rPr>
          <w:rFonts w:ascii="Times New Roman" w:cs="Times New Roman" w:eastAsia="Times New Roman" w:hAnsi="Times New Roman"/>
          <w:sz w:val="20"/>
          <w:szCs w:val="20"/>
          <w:color w:val="auto"/>
        </w:rPr>
      </w:pPr>
    </w:p>
    <w:p>
      <w:pPr>
        <w:ind w:firstLine="794"/>
        <w:spacing w:after="0" w:line="273" w:lineRule="auto"/>
        <w:tabs>
          <w:tab w:leader="none" w:pos="1669" w:val="left"/>
        </w:tabs>
        <w:numPr>
          <w:ilvl w:val="0"/>
          <w:numId w:val="2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Stockholder Approval</w:t>
      </w:r>
      <w:r>
        <w:rPr>
          <w:rFonts w:ascii="Times New Roman" w:cs="Times New Roman" w:eastAsia="Times New Roman" w:hAnsi="Times New Roman"/>
          <w:sz w:val="20"/>
          <w:szCs w:val="20"/>
          <w:color w:val="auto"/>
        </w:rPr>
        <w:t>. Any other provision of this Agreement notwithstanding, no portion of this option shall be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exercisable at any time prior to the approval of the Plan by the Company’s stockholders.</w:t>
      </w:r>
    </w:p>
    <w:p>
      <w:pPr>
        <w:spacing w:after="0" w:line="152" w:lineRule="exact"/>
        <w:rPr>
          <w:sz w:val="20"/>
          <w:szCs w:val="20"/>
          <w:color w:val="auto"/>
        </w:rPr>
      </w:pPr>
    </w:p>
    <w:p>
      <w:pPr>
        <w:spacing w:after="0"/>
        <w:tabs>
          <w:tab w:leader="none" w:pos="1320" w:val="left"/>
        </w:tabs>
        <w:rPr>
          <w:sz w:val="20"/>
          <w:szCs w:val="20"/>
          <w:color w:val="auto"/>
        </w:rPr>
      </w:pPr>
      <w:r>
        <w:rPr>
          <w:rFonts w:ascii="Times New Roman" w:cs="Times New Roman" w:eastAsia="Times New Roman" w:hAnsi="Times New Roman"/>
          <w:sz w:val="20"/>
          <w:szCs w:val="20"/>
          <w:b w:val="1"/>
          <w:bCs w:val="1"/>
          <w:color w:val="auto"/>
        </w:rPr>
        <w:t>SECTION 3.</w:t>
      </w:r>
      <w:r>
        <w:rPr>
          <w:sz w:val="20"/>
          <w:szCs w:val="20"/>
          <w:color w:val="auto"/>
        </w:rPr>
        <w:tab/>
      </w:r>
      <w:r>
        <w:rPr>
          <w:rFonts w:ascii="Times New Roman" w:cs="Times New Roman" w:eastAsia="Times New Roman" w:hAnsi="Times New Roman"/>
          <w:sz w:val="19"/>
          <w:szCs w:val="19"/>
          <w:b w:val="1"/>
          <w:bCs w:val="1"/>
          <w:color w:val="auto"/>
        </w:rPr>
        <w:t>NO TRANSFER OR ASSIGNMENT OF OPTION.</w:t>
      </w:r>
    </w:p>
    <w:p>
      <w:pPr>
        <w:spacing w:after="0" w:line="220" w:lineRule="exact"/>
        <w:rPr>
          <w:sz w:val="20"/>
          <w:szCs w:val="20"/>
          <w:color w:val="auto"/>
        </w:rPr>
      </w:pPr>
    </w:p>
    <w:p>
      <w:pPr>
        <w:jc w:val="both"/>
        <w:ind w:firstLine="786"/>
        <w:spacing w:after="0" w:line="254" w:lineRule="auto"/>
        <w:rPr>
          <w:sz w:val="20"/>
          <w:szCs w:val="20"/>
          <w:color w:val="auto"/>
        </w:rPr>
      </w:pPr>
      <w:r>
        <w:rPr>
          <w:rFonts w:ascii="Times New Roman" w:cs="Times New Roman" w:eastAsia="Times New Roman" w:hAnsi="Times New Roman"/>
          <w:sz w:val="20"/>
          <w:szCs w:val="20"/>
          <w:color w:val="auto"/>
        </w:rPr>
        <w:t>Except as otherwise provided in this Agreement, this option and the rights and privileges conferred hereby shall not be sold, pledged or otherwise transferred (whether by operation of law or otherwise) and shall not be subject to sale under execution, attachment, levy or similar process.</w:t>
      </w:r>
    </w:p>
    <w:p>
      <w:pPr>
        <w:sectPr>
          <w:pgSz w:w="11900" w:h="16838" w:orient="portrait"/>
          <w:cols w:equalWidth="0" w:num="1">
            <w:col w:w="11240"/>
          </w:cols>
          <w:pgMar w:left="320" w:top="266" w:right="339" w:bottom="1440" w:gutter="0" w:footer="0" w:header="0"/>
        </w:sectPr>
      </w:pPr>
    </w:p>
    <w:bookmarkStart w:id="282" w:name="page283"/>
    <w:bookmarkEnd w:id="282"/>
    <w:p>
      <w:pPr>
        <w:spacing w:after="0"/>
        <w:tabs>
          <w:tab w:leader="none" w:pos="1320" w:val="left"/>
        </w:tabs>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SECTION 4.</w:t>
      </w:r>
      <w:r>
        <w:rPr>
          <w:sz w:val="20"/>
          <w:szCs w:val="20"/>
          <w:color w:val="auto"/>
        </w:rPr>
        <w:tab/>
      </w:r>
      <w:r>
        <w:rPr>
          <w:rFonts w:ascii="Times New Roman" w:cs="Times New Roman" w:eastAsia="Times New Roman" w:hAnsi="Times New Roman"/>
          <w:sz w:val="19"/>
          <w:szCs w:val="19"/>
          <w:b w:val="1"/>
          <w:bCs w:val="1"/>
          <w:color w:val="auto"/>
        </w:rPr>
        <w:t>EXERCISE PROCEDURES.</w:t>
      </w:r>
    </w:p>
    <w:p>
      <w:pPr>
        <w:spacing w:after="0" w:line="216" w:lineRule="exact"/>
        <w:rPr>
          <w:sz w:val="20"/>
          <w:szCs w:val="20"/>
          <w:color w:val="auto"/>
        </w:rPr>
      </w:pPr>
    </w:p>
    <w:p>
      <w:pPr>
        <w:jc w:val="both"/>
        <w:ind w:firstLine="794"/>
        <w:spacing w:after="0" w:line="245" w:lineRule="auto"/>
        <w:tabs>
          <w:tab w:leader="none" w:pos="1469" w:val="left"/>
        </w:tabs>
        <w:numPr>
          <w:ilvl w:val="0"/>
          <w:numId w:val="2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Notice of Exercise</w:t>
      </w:r>
      <w:r>
        <w:rPr>
          <w:rFonts w:ascii="Times New Roman" w:cs="Times New Roman" w:eastAsia="Times New Roman" w:hAnsi="Times New Roman"/>
          <w:sz w:val="20"/>
          <w:szCs w:val="20"/>
          <w:color w:val="auto"/>
        </w:rPr>
        <w:t>. The Optionee or the Optionee’s representative may exercise this option by: (i) signing and delivering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written notice to the Company pursuant to Section 13(c) specifying the election to exercise this option, the number of Shares for which it is being exercised and the form of payment and (ii) delivering payment, in a form permissible under Section 5, for the full amount of the Purchase Price (together with any applicable withholding taxes under Subsection (b)). In the event that this option is being exercised by the representative of the Optionee, the notice shall be accompanied by proof (satisfactory to the Company) of the representative’s right to exercise this option. In the event of a partial exercise of this option, Shares shall be deemed to have been purchased in the order in which they vest in accordance with the Notice of Stock Option Grant.</w:t>
      </w:r>
    </w:p>
    <w:p>
      <w:pPr>
        <w:spacing w:after="0" w:line="179" w:lineRule="exact"/>
        <w:rPr>
          <w:rFonts w:ascii="Times New Roman" w:cs="Times New Roman" w:eastAsia="Times New Roman" w:hAnsi="Times New Roman"/>
          <w:sz w:val="20"/>
          <w:szCs w:val="20"/>
          <w:color w:val="auto"/>
        </w:rPr>
      </w:pPr>
    </w:p>
    <w:p>
      <w:pPr>
        <w:jc w:val="both"/>
        <w:ind w:firstLine="794"/>
        <w:spacing w:after="0" w:line="245" w:lineRule="auto"/>
        <w:tabs>
          <w:tab w:leader="none" w:pos="1507" w:val="left"/>
        </w:tabs>
        <w:numPr>
          <w:ilvl w:val="0"/>
          <w:numId w:val="2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Withholding Taxes</w:t>
      </w:r>
      <w:r>
        <w:rPr>
          <w:rFonts w:ascii="Times New Roman" w:cs="Times New Roman" w:eastAsia="Times New Roman" w:hAnsi="Times New Roman"/>
          <w:sz w:val="20"/>
          <w:szCs w:val="20"/>
          <w:color w:val="auto"/>
        </w:rPr>
        <w:t>. In the event that the Company determines that it is required to withhold any tax (including without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limitation any income tax, social insurance contributions, payroll tax, payment on account or other tax-related items arising in connection with the Optionee’s participation in the Plan and legally applicable to the Optionee (the “</w:t>
      </w:r>
      <w:r>
        <w:rPr>
          <w:rFonts w:ascii="Times New Roman" w:cs="Times New Roman" w:eastAsia="Times New Roman" w:hAnsi="Times New Roman"/>
          <w:sz w:val="20"/>
          <w:szCs w:val="20"/>
          <w:b w:val="1"/>
          <w:bCs w:val="1"/>
          <w:color w:val="auto"/>
        </w:rPr>
        <w:t>Tax-Related Items</w:t>
      </w:r>
      <w:r>
        <w:rPr>
          <w:rFonts w:ascii="Times New Roman" w:cs="Times New Roman" w:eastAsia="Times New Roman" w:hAnsi="Times New Roman"/>
          <w:sz w:val="20"/>
          <w:szCs w:val="20"/>
          <w:color w:val="auto"/>
        </w:rPr>
        <w:t>”)) as a result of the grant, vesting or exercise of this option, or as a result of the vesting or transfer of shares acquired upon exercise of this option, the Optionee, as a condition of this option, shall make arrangements satisfactory to the Company to enable it to satisfy all Tax-Related Items. The Optionee acknowledges that the responsibility for all Tax-Related Items is the Optionee’s and may exceed the amount actually withheld by the Company (or its affiliate or agent).</w:t>
      </w:r>
    </w:p>
    <w:p>
      <w:pPr>
        <w:spacing w:after="0" w:line="179" w:lineRule="exact"/>
        <w:rPr>
          <w:rFonts w:ascii="Times New Roman" w:cs="Times New Roman" w:eastAsia="Times New Roman" w:hAnsi="Times New Roman"/>
          <w:sz w:val="20"/>
          <w:szCs w:val="20"/>
          <w:color w:val="auto"/>
        </w:rPr>
      </w:pPr>
    </w:p>
    <w:p>
      <w:pPr>
        <w:jc w:val="both"/>
        <w:ind w:firstLine="794"/>
        <w:spacing w:after="0" w:line="244" w:lineRule="auto"/>
        <w:tabs>
          <w:tab w:leader="none" w:pos="1428" w:val="left"/>
        </w:tabs>
        <w:numPr>
          <w:ilvl w:val="0"/>
          <w:numId w:val="2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Issuance of Shares</w:t>
      </w:r>
      <w:r>
        <w:rPr>
          <w:rFonts w:ascii="Times New Roman" w:cs="Times New Roman" w:eastAsia="Times New Roman" w:hAnsi="Times New Roman"/>
          <w:sz w:val="20"/>
          <w:szCs w:val="20"/>
          <w:color w:val="auto"/>
        </w:rPr>
        <w:t>. After satisfying all requirements for exercise of this option, the Company shall cause to be issued one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or more certificates evidencing the Shares for which this option has been exercised. Such Shares shall be registered (i) in the name of the person exercising this option, (ii) in the names of such person and his or her spouse as community property or as joint tenants with the right of survivorship or (iii) with the Company’s consent, in the name of a revocable trust. Until the issuance of the Shares has been entered into the books and records of the Company or a duly authorized transfer agent of the Company, no right to vote, receive dividends or any other right as a stockholder will exist with respect to such Shares. In the case of Restricted Shares, the Company shall cause such certificates to be deposited in escrow under Section 7(c). In the case of other Shares, the Company shall cause such certificates to be delivered to or upon the order of the person exercising this option.</w:t>
      </w:r>
    </w:p>
    <w:p>
      <w:pPr>
        <w:spacing w:after="0" w:line="182" w:lineRule="exact"/>
        <w:rPr>
          <w:sz w:val="20"/>
          <w:szCs w:val="20"/>
          <w:color w:val="auto"/>
        </w:rPr>
      </w:pPr>
    </w:p>
    <w:p>
      <w:pPr>
        <w:spacing w:after="0"/>
        <w:tabs>
          <w:tab w:leader="none" w:pos="1320" w:val="left"/>
        </w:tabs>
        <w:rPr>
          <w:sz w:val="20"/>
          <w:szCs w:val="20"/>
          <w:color w:val="auto"/>
        </w:rPr>
      </w:pPr>
      <w:r>
        <w:rPr>
          <w:rFonts w:ascii="Times New Roman" w:cs="Times New Roman" w:eastAsia="Times New Roman" w:hAnsi="Times New Roman"/>
          <w:sz w:val="20"/>
          <w:szCs w:val="20"/>
          <w:b w:val="1"/>
          <w:bCs w:val="1"/>
          <w:color w:val="auto"/>
        </w:rPr>
        <w:t>SECTION 5.</w:t>
      </w:r>
      <w:r>
        <w:rPr>
          <w:sz w:val="20"/>
          <w:szCs w:val="20"/>
          <w:color w:val="auto"/>
        </w:rPr>
        <w:tab/>
      </w:r>
      <w:r>
        <w:rPr>
          <w:rFonts w:ascii="Times New Roman" w:cs="Times New Roman" w:eastAsia="Times New Roman" w:hAnsi="Times New Roman"/>
          <w:sz w:val="19"/>
          <w:szCs w:val="19"/>
          <w:b w:val="1"/>
          <w:bCs w:val="1"/>
          <w:color w:val="auto"/>
        </w:rPr>
        <w:t>PAYMENT FOR STOCK.</w:t>
      </w:r>
    </w:p>
    <w:p>
      <w:pPr>
        <w:spacing w:after="0" w:line="216" w:lineRule="exact"/>
        <w:rPr>
          <w:sz w:val="20"/>
          <w:szCs w:val="20"/>
          <w:color w:val="auto"/>
        </w:rPr>
      </w:pPr>
    </w:p>
    <w:p>
      <w:pPr>
        <w:ind w:left="1400" w:hanging="606"/>
        <w:spacing w:after="0"/>
        <w:tabs>
          <w:tab w:leader="none" w:pos="1400" w:val="left"/>
        </w:tabs>
        <w:numPr>
          <w:ilvl w:val="0"/>
          <w:numId w:val="2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Cash</w:t>
      </w:r>
      <w:r>
        <w:rPr>
          <w:rFonts w:ascii="Times New Roman" w:cs="Times New Roman" w:eastAsia="Times New Roman" w:hAnsi="Times New Roman"/>
          <w:sz w:val="20"/>
          <w:szCs w:val="20"/>
          <w:color w:val="auto"/>
        </w:rPr>
        <w:t>. All or part of the Purchase Price may be paid in cash or cash equivalents.</w:t>
      </w:r>
    </w:p>
    <w:p>
      <w:pPr>
        <w:spacing w:after="0" w:line="215" w:lineRule="exact"/>
        <w:rPr>
          <w:rFonts w:ascii="Times New Roman" w:cs="Times New Roman" w:eastAsia="Times New Roman" w:hAnsi="Times New Roman"/>
          <w:sz w:val="20"/>
          <w:szCs w:val="20"/>
          <w:color w:val="auto"/>
        </w:rPr>
      </w:pPr>
    </w:p>
    <w:p>
      <w:pPr>
        <w:jc w:val="both"/>
        <w:ind w:firstLine="794"/>
        <w:spacing w:after="0" w:line="256" w:lineRule="auto"/>
        <w:tabs>
          <w:tab w:leader="none" w:pos="1561" w:val="left"/>
        </w:tabs>
        <w:numPr>
          <w:ilvl w:val="0"/>
          <w:numId w:val="2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Surrender of Stock</w:t>
      </w:r>
      <w:r>
        <w:rPr>
          <w:rFonts w:ascii="Times New Roman" w:cs="Times New Roman" w:eastAsia="Times New Roman" w:hAnsi="Times New Roman"/>
          <w:sz w:val="20"/>
          <w:szCs w:val="20"/>
          <w:color w:val="auto"/>
        </w:rPr>
        <w:t>. At the discretion of the Board of Directors, all or any part of the Purchase Price may be paid by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surrendering, or attesting to the ownership of, Shares that are already owned by the Optionee. Such Shares shall be surrendered to the Company in good form for transfer and shall be valued at their Fair Market Value as of the date when this option is exercised.</w:t>
      </w:r>
    </w:p>
    <w:p>
      <w:pPr>
        <w:spacing w:after="0" w:line="168" w:lineRule="exact"/>
        <w:rPr>
          <w:rFonts w:ascii="Times New Roman" w:cs="Times New Roman" w:eastAsia="Times New Roman" w:hAnsi="Times New Roman"/>
          <w:sz w:val="20"/>
          <w:szCs w:val="20"/>
          <w:color w:val="auto"/>
        </w:rPr>
      </w:pPr>
    </w:p>
    <w:p>
      <w:pPr>
        <w:jc w:val="both"/>
        <w:ind w:firstLine="794"/>
        <w:spacing w:after="0" w:line="250" w:lineRule="auto"/>
        <w:tabs>
          <w:tab w:leader="none" w:pos="1617" w:val="left"/>
        </w:tabs>
        <w:numPr>
          <w:ilvl w:val="0"/>
          <w:numId w:val="2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Exercise/Sale</w:t>
      </w:r>
      <w:r>
        <w:rPr>
          <w:rFonts w:ascii="Times New Roman" w:cs="Times New Roman" w:eastAsia="Times New Roman" w:hAnsi="Times New Roman"/>
          <w:sz w:val="20"/>
          <w:szCs w:val="20"/>
          <w:color w:val="auto"/>
        </w:rPr>
        <w:t>. All or part of the Purchase Price and any withholding taxes may be paid by the delivery (on a form</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prescribed by the Company) of an irrevocable direction to a securities broker approved by the Company to sell Shares and to deliver all or part of the sales proceeds to the Company. However, payment pursuant to this Subsection (c) shall be permitted only if (i) Stock then is publicly traded and (ii) such payment does not violate applicable law.</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261" w:right="339" w:bottom="1440" w:gutter="0" w:footer="0" w:header="0"/>
        </w:sectPr>
      </w:pPr>
    </w:p>
    <w:bookmarkStart w:id="283" w:name="page284"/>
    <w:bookmarkEnd w:id="283"/>
    <w:p>
      <w:pPr>
        <w:spacing w:after="0"/>
        <w:tabs>
          <w:tab w:leader="none" w:pos="1380" w:val="left"/>
        </w:tabs>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SECTION 6.</w:t>
      </w:r>
      <w:r>
        <w:rPr>
          <w:sz w:val="20"/>
          <w:szCs w:val="20"/>
          <w:color w:val="auto"/>
        </w:rPr>
        <w:tab/>
      </w:r>
      <w:r>
        <w:rPr>
          <w:rFonts w:ascii="Times New Roman" w:cs="Times New Roman" w:eastAsia="Times New Roman" w:hAnsi="Times New Roman"/>
          <w:sz w:val="19"/>
          <w:szCs w:val="19"/>
          <w:b w:val="1"/>
          <w:bCs w:val="1"/>
          <w:color w:val="auto"/>
        </w:rPr>
        <w:t>TERM AND EXPIRATION.</w:t>
      </w:r>
    </w:p>
    <w:p>
      <w:pPr>
        <w:spacing w:after="0" w:line="216" w:lineRule="exact"/>
        <w:rPr>
          <w:sz w:val="20"/>
          <w:szCs w:val="20"/>
          <w:color w:val="auto"/>
        </w:rPr>
      </w:pPr>
    </w:p>
    <w:p>
      <w:pPr>
        <w:jc w:val="both"/>
        <w:ind w:firstLine="794"/>
        <w:spacing w:after="0" w:line="256" w:lineRule="auto"/>
        <w:tabs>
          <w:tab w:leader="none" w:pos="1523" w:val="left"/>
        </w:tabs>
        <w:numPr>
          <w:ilvl w:val="0"/>
          <w:numId w:val="2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Basic Term</w:t>
      </w:r>
      <w:r>
        <w:rPr>
          <w:rFonts w:ascii="Times New Roman" w:cs="Times New Roman" w:eastAsia="Times New Roman" w:hAnsi="Times New Roman"/>
          <w:sz w:val="20"/>
          <w:szCs w:val="20"/>
          <w:color w:val="auto"/>
        </w:rPr>
        <w:t>. This option shall in any event expire on the expiration date set forth in the Notice of Stock Option Grant,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which date is 10 years after the Date of Grant (five years after the Date of Grant if this option is designated as an ISO in the Notice of Stock Option Grant and Section 3(b) of the Plan applies).</w:t>
      </w:r>
    </w:p>
    <w:p>
      <w:pPr>
        <w:spacing w:after="0" w:line="168" w:lineRule="exact"/>
        <w:rPr>
          <w:rFonts w:ascii="Times New Roman" w:cs="Times New Roman" w:eastAsia="Times New Roman" w:hAnsi="Times New Roman"/>
          <w:sz w:val="20"/>
          <w:szCs w:val="20"/>
          <w:color w:val="auto"/>
        </w:rPr>
      </w:pPr>
    </w:p>
    <w:p>
      <w:pPr>
        <w:ind w:firstLine="794"/>
        <w:spacing w:after="0" w:line="273" w:lineRule="auto"/>
        <w:tabs>
          <w:tab w:leader="none" w:pos="1439" w:val="left"/>
        </w:tabs>
        <w:numPr>
          <w:ilvl w:val="0"/>
          <w:numId w:val="2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Termination of Service (Except by Death)</w:t>
      </w:r>
      <w:r>
        <w:rPr>
          <w:rFonts w:ascii="Times New Roman" w:cs="Times New Roman" w:eastAsia="Times New Roman" w:hAnsi="Times New Roman"/>
          <w:sz w:val="20"/>
          <w:szCs w:val="20"/>
          <w:color w:val="auto"/>
        </w:rPr>
        <w:t>. If the Optionee’s Service terminates for any reason other than death, then this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option shall expire on the earliest of the following occasions:</w:t>
      </w:r>
    </w:p>
    <w:p>
      <w:pPr>
        <w:spacing w:after="0" w:line="155" w:lineRule="exact"/>
        <w:rPr>
          <w:rFonts w:ascii="Times New Roman" w:cs="Times New Roman" w:eastAsia="Times New Roman" w:hAnsi="Times New Roman"/>
          <w:sz w:val="20"/>
          <w:szCs w:val="20"/>
          <w:color w:val="auto"/>
        </w:rPr>
      </w:pPr>
    </w:p>
    <w:p>
      <w:pPr>
        <w:ind w:left="1680" w:hanging="577"/>
        <w:spacing w:after="0"/>
        <w:tabs>
          <w:tab w:leader="none" w:pos="1680" w:val="left"/>
        </w:tabs>
        <w:numPr>
          <w:ilvl w:val="1"/>
          <w:numId w:val="2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expiration date determined pursuant to Subsection (a) above;</w:t>
      </w:r>
    </w:p>
    <w:p>
      <w:pPr>
        <w:spacing w:after="0" w:line="215" w:lineRule="exact"/>
        <w:rPr>
          <w:rFonts w:ascii="Times New Roman" w:cs="Times New Roman" w:eastAsia="Times New Roman" w:hAnsi="Times New Roman"/>
          <w:sz w:val="20"/>
          <w:szCs w:val="20"/>
          <w:color w:val="auto"/>
        </w:rPr>
      </w:pPr>
    </w:p>
    <w:p>
      <w:pPr>
        <w:ind w:left="1740" w:hanging="637"/>
        <w:spacing w:after="0"/>
        <w:tabs>
          <w:tab w:leader="none" w:pos="1740" w:val="left"/>
        </w:tabs>
        <w:numPr>
          <w:ilvl w:val="1"/>
          <w:numId w:val="2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date three months after the termination of the Optionee’s Service for any reason other than Disability; or</w:t>
      </w:r>
    </w:p>
    <w:p>
      <w:pPr>
        <w:spacing w:after="0" w:line="215" w:lineRule="exact"/>
        <w:rPr>
          <w:rFonts w:ascii="Times New Roman" w:cs="Times New Roman" w:eastAsia="Times New Roman" w:hAnsi="Times New Roman"/>
          <w:sz w:val="20"/>
          <w:szCs w:val="20"/>
          <w:color w:val="auto"/>
        </w:rPr>
      </w:pPr>
    </w:p>
    <w:p>
      <w:pPr>
        <w:ind w:left="1800" w:hanging="697"/>
        <w:spacing w:after="0"/>
        <w:tabs>
          <w:tab w:leader="none" w:pos="1800" w:val="left"/>
        </w:tabs>
        <w:numPr>
          <w:ilvl w:val="1"/>
          <w:numId w:val="2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date six months after the termination of the Optionee’s Service by reason of Disability.</w:t>
      </w:r>
    </w:p>
    <w:p>
      <w:pPr>
        <w:spacing w:after="0" w:line="216"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The Optionee may exercise all or part of this option at any time before its expiration under the preceding sentence, but only to the extent that this option is exercisable for vested Shares on or before the date when the Optionee’s Service terminates. When the Optionee’s Service terminates, this option shall expire immediately with respect to the number of Shares for which this option is not yet exercisable and with respect to any Restricted Shares. In the event that the Optionee dies after termination of Service but before the expiration of this option, all or part of this option may be exercised (prior to expiration) by the executors or administrators of the Optionee’s estate or by any person who has acquired this option directly from the Optionee by beneficiary designation, bequest or inheritance, but only to the extent that this option was exercisable for vested Shares on or before the date when the Optionee’s Service terminated. Once this option (or portion thereof) has terminated, the Optionee shall have no further rights with respect to the option (or portion thereof) or to the underlying Shares.</w:t>
      </w:r>
    </w:p>
    <w:p>
      <w:pPr>
        <w:spacing w:after="0" w:line="185" w:lineRule="exact"/>
        <w:rPr>
          <w:sz w:val="20"/>
          <w:szCs w:val="20"/>
          <w:color w:val="auto"/>
        </w:rPr>
      </w:pPr>
    </w:p>
    <w:p>
      <w:pPr>
        <w:ind w:left="1480" w:hanging="686"/>
        <w:spacing w:after="0"/>
        <w:tabs>
          <w:tab w:leader="none" w:pos="1480" w:val="left"/>
        </w:tabs>
        <w:numPr>
          <w:ilvl w:val="0"/>
          <w:numId w:val="2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Death of the Optionee</w:t>
      </w:r>
      <w:r>
        <w:rPr>
          <w:rFonts w:ascii="Times New Roman" w:cs="Times New Roman" w:eastAsia="Times New Roman" w:hAnsi="Times New Roman"/>
          <w:sz w:val="20"/>
          <w:szCs w:val="20"/>
          <w:color w:val="auto"/>
        </w:rPr>
        <w:t>. If the Optionee dies while in Service, then this option shall expire on the earlier of the following</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dates:</w:t>
      </w:r>
    </w:p>
    <w:p>
      <w:pPr>
        <w:spacing w:after="0" w:line="194" w:lineRule="exact"/>
        <w:rPr>
          <w:sz w:val="20"/>
          <w:szCs w:val="20"/>
          <w:color w:val="auto"/>
        </w:rPr>
      </w:pPr>
    </w:p>
    <w:p>
      <w:pPr>
        <w:ind w:left="1680" w:hanging="577"/>
        <w:spacing w:after="0"/>
        <w:tabs>
          <w:tab w:leader="none" w:pos="1680" w:val="left"/>
        </w:tabs>
        <w:numPr>
          <w:ilvl w:val="0"/>
          <w:numId w:val="2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expiration date determined pursuant to Subsection (a) above; or</w:t>
      </w:r>
    </w:p>
    <w:p>
      <w:pPr>
        <w:spacing w:after="0" w:line="215" w:lineRule="exact"/>
        <w:rPr>
          <w:rFonts w:ascii="Times New Roman" w:cs="Times New Roman" w:eastAsia="Times New Roman" w:hAnsi="Times New Roman"/>
          <w:sz w:val="20"/>
          <w:szCs w:val="20"/>
          <w:color w:val="auto"/>
        </w:rPr>
      </w:pPr>
    </w:p>
    <w:p>
      <w:pPr>
        <w:ind w:left="1740" w:hanging="637"/>
        <w:spacing w:after="0"/>
        <w:tabs>
          <w:tab w:leader="none" w:pos="1740" w:val="left"/>
        </w:tabs>
        <w:numPr>
          <w:ilvl w:val="0"/>
          <w:numId w:val="2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date 12 months after the Optionee’s death.</w:t>
      </w:r>
    </w:p>
    <w:p>
      <w:pPr>
        <w:spacing w:after="0" w:line="216"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All or part of this option may be exercised at any time before its expiration under the preceding sentence by the executors or administrators of the Optionee’s estate or by any person who has acquired this option directly from the Optionee by beneficiary designation, bequest or inheritance, but only to the extent that this option is exercisable for vested Shares on or before the date of the Optionee’s death. When the Optionee dies, this option shall expire immediately with respect to the number of Shares for which this option is not yet exercisable and with respect to any Restricted Shares. Once this option (or portion thereof) has terminated, the Optionee shall have no further rights with respect to the option (or portion thereof) or to the underlying Shares.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261" w:right="339" w:bottom="1440" w:gutter="0" w:footer="0" w:header="0"/>
        </w:sectPr>
      </w:pPr>
    </w:p>
    <w:bookmarkStart w:id="284" w:name="page285"/>
    <w:bookmarkEnd w:id="284"/>
    <w:p>
      <w:pPr>
        <w:jc w:val="both"/>
        <w:ind w:firstLine="794"/>
        <w:spacing w:after="0" w:line="253" w:lineRule="auto"/>
        <w:tabs>
          <w:tab w:leader="none" w:pos="1534" w:val="left"/>
        </w:tabs>
        <w:numPr>
          <w:ilvl w:val="1"/>
          <w:numId w:val="2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Extension of Post-Termination Exercise Periods</w:t>
      </w:r>
      <w:r>
        <w:rPr>
          <w:rFonts w:ascii="Times New Roman" w:cs="Times New Roman" w:eastAsia="Times New Roman" w:hAnsi="Times New Roman"/>
          <w:sz w:val="20"/>
          <w:szCs w:val="20"/>
          <w:color w:val="auto"/>
        </w:rPr>
        <w:t>. Following the date on which the Company’s Stock is first listed for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trading on an established securities market, if during any part of the exercise period described in Subsections (b)(ii) or (iii) or Subsection (c)</w:t>
      </w:r>
    </w:p>
    <w:p>
      <w:pPr>
        <w:jc w:val="both"/>
        <w:ind w:firstLine="8"/>
        <w:spacing w:after="0"/>
        <w:tabs>
          <w:tab w:leader="none" w:pos="327" w:val="left"/>
        </w:tabs>
        <w:numPr>
          <w:ilvl w:val="0"/>
          <w:numId w:val="2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above the exercise of this option would be prohibited solely because the issuance of Shares upon such exercise would violate the registration requirements under the Securities Act or a similar provision of other applicable law, then instead of terminating at the end of such prescribed period, the then-vested portion of this option will instead remain outstanding and not expire until the earlier of (i) the expiration date determined pursuant to Section 6(a) above or (ii) the date on which the then-vested portion of this option has been exercisable without violation of applicable law for the aggregate period (which need not be consecutive) after termination of the Optionee’s Service specified in the applicable Subsection above.</w:t>
      </w:r>
    </w:p>
    <w:p>
      <w:pPr>
        <w:spacing w:after="0" w:line="187" w:lineRule="exact"/>
        <w:rPr>
          <w:rFonts w:ascii="Times New Roman" w:cs="Times New Roman" w:eastAsia="Times New Roman" w:hAnsi="Times New Roman"/>
          <w:sz w:val="20"/>
          <w:szCs w:val="20"/>
          <w:color w:val="auto"/>
        </w:rPr>
      </w:pPr>
    </w:p>
    <w:p>
      <w:pPr>
        <w:jc w:val="both"/>
        <w:ind w:firstLine="794"/>
        <w:spacing w:after="0" w:line="244" w:lineRule="auto"/>
        <w:tabs>
          <w:tab w:leader="none" w:pos="1577" w:val="left"/>
        </w:tabs>
        <w:numPr>
          <w:ilvl w:val="1"/>
          <w:numId w:val="2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Part-Time Employment and Leaves of Absence</w:t>
      </w:r>
      <w:r>
        <w:rPr>
          <w:rFonts w:ascii="Times New Roman" w:cs="Times New Roman" w:eastAsia="Times New Roman" w:hAnsi="Times New Roman"/>
          <w:sz w:val="20"/>
          <w:szCs w:val="20"/>
          <w:color w:val="auto"/>
        </w:rPr>
        <w:t>. If the Optionee commences working on a part-time basis, then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Company may adjust the vesting schedule set forth in the Notice of Stock Option Grant. If the Optionee goes on a leave of absence, then the Company may adjust the vesting schedule set forth in the Notice of Stock Option Grant in accordance with the Company’s leave of absence policy or the terms of such leave. Except as provided in the preceding sentence, Service shall be deemed to continue for any purpose under this Agreement while the Optionee is on a </w:t>
      </w:r>
      <w:r>
        <w:rPr>
          <w:rFonts w:ascii="Times New Roman" w:cs="Times New Roman" w:eastAsia="Times New Roman" w:hAnsi="Times New Roman"/>
          <w:sz w:val="20"/>
          <w:szCs w:val="20"/>
          <w:i w:val="1"/>
          <w:iCs w:val="1"/>
          <w:color w:val="auto"/>
        </w:rPr>
        <w:t>bona fide</w:t>
      </w:r>
      <w:r>
        <w:rPr>
          <w:rFonts w:ascii="Times New Roman" w:cs="Times New Roman" w:eastAsia="Times New Roman" w:hAnsi="Times New Roman"/>
          <w:sz w:val="20"/>
          <w:szCs w:val="20"/>
          <w:color w:val="auto"/>
        </w:rPr>
        <w:t xml:space="preserve"> leave of absence, if (i) such leave was approved by the Company in writing and</w:t>
      </w:r>
    </w:p>
    <w:p>
      <w:pPr>
        <w:spacing w:after="0" w:line="4" w:lineRule="exact"/>
        <w:rPr>
          <w:rFonts w:ascii="Times New Roman" w:cs="Times New Roman" w:eastAsia="Times New Roman" w:hAnsi="Times New Roman"/>
          <w:sz w:val="20"/>
          <w:szCs w:val="20"/>
          <w:color w:val="auto"/>
        </w:rPr>
      </w:pPr>
    </w:p>
    <w:p>
      <w:pPr>
        <w:ind w:firstLine="8"/>
        <w:spacing w:after="0" w:line="246" w:lineRule="auto"/>
        <w:tabs>
          <w:tab w:leader="none" w:pos="302" w:val="left"/>
        </w:tabs>
        <w:numPr>
          <w:ilvl w:val="0"/>
          <w:numId w:val="2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continued crediting of Service for such purpose is expressly required by the terms of such leave or by applicable law (as determined by the Company). Service shall be deemed to terminate when such leave ends, unless the Optionee immediately returns to active work.</w:t>
      </w:r>
    </w:p>
    <w:p>
      <w:pPr>
        <w:spacing w:after="0" w:line="177" w:lineRule="exact"/>
        <w:rPr>
          <w:rFonts w:ascii="Times New Roman" w:cs="Times New Roman" w:eastAsia="Times New Roman" w:hAnsi="Times New Roman"/>
          <w:sz w:val="20"/>
          <w:szCs w:val="20"/>
          <w:color w:val="auto"/>
        </w:rPr>
      </w:pPr>
    </w:p>
    <w:p>
      <w:pPr>
        <w:ind w:firstLine="794"/>
        <w:spacing w:after="0" w:line="273" w:lineRule="auto"/>
        <w:tabs>
          <w:tab w:leader="none" w:pos="1488" w:val="left"/>
        </w:tabs>
        <w:numPr>
          <w:ilvl w:val="1"/>
          <w:numId w:val="2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Notice Concerning ISO Treatment</w:t>
      </w:r>
      <w:r>
        <w:rPr>
          <w:rFonts w:ascii="Times New Roman" w:cs="Times New Roman" w:eastAsia="Times New Roman" w:hAnsi="Times New Roman"/>
          <w:sz w:val="20"/>
          <w:szCs w:val="20"/>
          <w:color w:val="auto"/>
        </w:rPr>
        <w:t>. Even if this option is designated as an ISO in the Notice of Stock Option Grant, it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ceases to qualify for favorable tax treatment as an ISO to the extent that it is exercised:</w:t>
      </w:r>
    </w:p>
    <w:p>
      <w:pPr>
        <w:spacing w:after="0" w:line="155" w:lineRule="exact"/>
        <w:rPr>
          <w:rFonts w:ascii="Times New Roman" w:cs="Times New Roman" w:eastAsia="Times New Roman" w:hAnsi="Times New Roman"/>
          <w:sz w:val="20"/>
          <w:szCs w:val="20"/>
          <w:color w:val="auto"/>
        </w:rPr>
      </w:pPr>
    </w:p>
    <w:p>
      <w:pPr>
        <w:ind w:left="560" w:firstLine="543"/>
        <w:spacing w:after="0" w:line="269" w:lineRule="auto"/>
        <w:tabs>
          <w:tab w:leader="none" w:pos="1739" w:val="left"/>
        </w:tabs>
        <w:numPr>
          <w:ilvl w:val="2"/>
          <w:numId w:val="2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More than three months after the date when the Optionee ceases to be an Employee for any reason other than death or permanent and total disability (as defined in Section 22(e)(3) of the Code);</w:t>
      </w:r>
    </w:p>
    <w:p>
      <w:pPr>
        <w:spacing w:after="0" w:line="159" w:lineRule="exact"/>
        <w:rPr>
          <w:rFonts w:ascii="Times New Roman" w:cs="Times New Roman" w:eastAsia="Times New Roman" w:hAnsi="Times New Roman"/>
          <w:sz w:val="20"/>
          <w:szCs w:val="20"/>
          <w:color w:val="auto"/>
        </w:rPr>
      </w:pPr>
    </w:p>
    <w:p>
      <w:pPr>
        <w:ind w:left="560" w:right="20" w:firstLine="543"/>
        <w:spacing w:after="0" w:line="269" w:lineRule="auto"/>
        <w:tabs>
          <w:tab w:leader="none" w:pos="1854" w:val="left"/>
        </w:tabs>
        <w:numPr>
          <w:ilvl w:val="2"/>
          <w:numId w:val="2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More than 12 months after the date when the Optionee ceases to be an Employee by reason of permanent and total disability (as defined in Section 22(e)(3) of the Code); or</w:t>
      </w:r>
    </w:p>
    <w:p>
      <w:pPr>
        <w:spacing w:after="0" w:line="159" w:lineRule="exact"/>
        <w:rPr>
          <w:rFonts w:ascii="Times New Roman" w:cs="Times New Roman" w:eastAsia="Times New Roman" w:hAnsi="Times New Roman"/>
          <w:sz w:val="20"/>
          <w:szCs w:val="20"/>
          <w:color w:val="auto"/>
        </w:rPr>
      </w:pPr>
    </w:p>
    <w:p>
      <w:pPr>
        <w:ind w:left="560" w:firstLine="543"/>
        <w:spacing w:after="0" w:line="269" w:lineRule="auto"/>
        <w:tabs>
          <w:tab w:leader="none" w:pos="1842" w:val="left"/>
        </w:tabs>
        <w:numPr>
          <w:ilvl w:val="2"/>
          <w:numId w:val="2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More than three months after the date when the Optionee has been on a leave of absence for three months, unless the Optionee’s reemployment rights following such leave were guaranteed by statute or by contract.</w:t>
      </w:r>
    </w:p>
    <w:p>
      <w:pPr>
        <w:spacing w:after="0" w:line="155" w:lineRule="exact"/>
        <w:rPr>
          <w:sz w:val="20"/>
          <w:szCs w:val="20"/>
          <w:color w:val="auto"/>
        </w:rPr>
      </w:pPr>
    </w:p>
    <w:p>
      <w:pPr>
        <w:spacing w:after="0"/>
        <w:tabs>
          <w:tab w:leader="none" w:pos="1320" w:val="left"/>
        </w:tabs>
        <w:rPr>
          <w:sz w:val="20"/>
          <w:szCs w:val="20"/>
          <w:color w:val="auto"/>
        </w:rPr>
      </w:pPr>
      <w:r>
        <w:rPr>
          <w:rFonts w:ascii="Times New Roman" w:cs="Times New Roman" w:eastAsia="Times New Roman" w:hAnsi="Times New Roman"/>
          <w:sz w:val="20"/>
          <w:szCs w:val="20"/>
          <w:b w:val="1"/>
          <w:bCs w:val="1"/>
          <w:color w:val="auto"/>
        </w:rPr>
        <w:t>SECTION 7.</w:t>
      </w:r>
      <w:r>
        <w:rPr>
          <w:sz w:val="20"/>
          <w:szCs w:val="20"/>
          <w:color w:val="auto"/>
        </w:rPr>
        <w:tab/>
      </w:r>
      <w:r>
        <w:rPr>
          <w:rFonts w:ascii="Times New Roman" w:cs="Times New Roman" w:eastAsia="Times New Roman" w:hAnsi="Times New Roman"/>
          <w:sz w:val="19"/>
          <w:szCs w:val="19"/>
          <w:b w:val="1"/>
          <w:bCs w:val="1"/>
          <w:color w:val="auto"/>
        </w:rPr>
        <w:t>RIGHT OF REPURCHASE.</w:t>
      </w:r>
    </w:p>
    <w:p>
      <w:pPr>
        <w:spacing w:after="0" w:line="216" w:lineRule="exact"/>
        <w:rPr>
          <w:sz w:val="20"/>
          <w:szCs w:val="20"/>
          <w:color w:val="auto"/>
        </w:rPr>
      </w:pPr>
    </w:p>
    <w:p>
      <w:pPr>
        <w:jc w:val="both"/>
        <w:ind w:firstLine="794"/>
        <w:spacing w:after="0" w:line="245" w:lineRule="auto"/>
        <w:tabs>
          <w:tab w:leader="none" w:pos="1563" w:val="left"/>
        </w:tabs>
        <w:numPr>
          <w:ilvl w:val="0"/>
          <w:numId w:val="2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Scope of Repurchase Right</w:t>
      </w:r>
      <w:r>
        <w:rPr>
          <w:rFonts w:ascii="Times New Roman" w:cs="Times New Roman" w:eastAsia="Times New Roman" w:hAnsi="Times New Roman"/>
          <w:sz w:val="20"/>
          <w:szCs w:val="20"/>
          <w:color w:val="auto"/>
        </w:rPr>
        <w:t>. Until they vest in accordance with the Notice of Stock Option Grant and Subsection (b)</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below, the Shares acquired under this Agreement shall be Restricted Shares and shall be subject to the Company’s Right of Repurchase. The Company, however, may decline to exercise its Right of Repurchase or may exercise its Right of Repurchase only with respect to a portion of the Restricted Shares. The Company may exercise its Right of Repurchase only during the Repurchase Period following the termination of the Optionee’s Service, but the Right of Repurchase may be exercised automatically under Subsection (d) below. If the Right of Repurchase is exercised, the Company shall pay the Optionee an amount equal to the lower of (i) the Exercise Price of each Restricted Share being repurchased or (ii) the Fair Market Value of such Restricted Share at the time the Right of Repurchase is exercised.</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261" w:right="339" w:bottom="1440" w:gutter="0" w:footer="0" w:header="0"/>
        </w:sectPr>
      </w:pPr>
    </w:p>
    <w:bookmarkStart w:id="285" w:name="page286"/>
    <w:bookmarkEnd w:id="285"/>
    <w:p>
      <w:pPr>
        <w:ind w:right="20" w:firstLine="794"/>
        <w:spacing w:after="0" w:line="273" w:lineRule="auto"/>
        <w:tabs>
          <w:tab w:leader="none" w:pos="1439" w:val="left"/>
        </w:tabs>
        <w:numPr>
          <w:ilvl w:val="0"/>
          <w:numId w:val="2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Lapse of Repurchase Right</w:t>
      </w:r>
      <w:r>
        <w:rPr>
          <w:rFonts w:ascii="Times New Roman" w:cs="Times New Roman" w:eastAsia="Times New Roman" w:hAnsi="Times New Roman"/>
          <w:sz w:val="20"/>
          <w:szCs w:val="20"/>
          <w:color w:val="auto"/>
        </w:rPr>
        <w:t>. The Right of Repurchase shall lapse with respect to the Restricted Shares in accordance with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vesting schedule set forth in the Notice of Stock Option Grant.</w:t>
      </w:r>
    </w:p>
    <w:p>
      <w:pPr>
        <w:spacing w:after="0" w:line="151" w:lineRule="exact"/>
        <w:rPr>
          <w:rFonts w:ascii="Times New Roman" w:cs="Times New Roman" w:eastAsia="Times New Roman" w:hAnsi="Times New Roman"/>
          <w:sz w:val="20"/>
          <w:szCs w:val="20"/>
          <w:color w:val="auto"/>
        </w:rPr>
      </w:pPr>
    </w:p>
    <w:p>
      <w:pPr>
        <w:jc w:val="both"/>
        <w:ind w:firstLine="794"/>
        <w:spacing w:after="0" w:line="243" w:lineRule="auto"/>
        <w:tabs>
          <w:tab w:leader="none" w:pos="1401" w:val="left"/>
        </w:tabs>
        <w:numPr>
          <w:ilvl w:val="0"/>
          <w:numId w:val="2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Escrow</w:t>
      </w:r>
      <w:r>
        <w:rPr>
          <w:rFonts w:ascii="Times New Roman" w:cs="Times New Roman" w:eastAsia="Times New Roman" w:hAnsi="Times New Roman"/>
          <w:sz w:val="20"/>
          <w:szCs w:val="20"/>
          <w:color w:val="auto"/>
        </w:rPr>
        <w:t>. Upon issuance, the certificate(s) for Restricted Shares shall be deposited in escrow with the Company to be held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accordance with the provisions of this Agreement. Any additional or exchanged securities or other property described in Subsection (f) below shall immediately be delivered to the Company to be held in escrow. All ordinary cash dividends on Restricted Shares (or on other securities held in escrow) shall be paid directly to the Optionee and shall not be held in escrow. Restricted Shares, together with any other assets held in escrow under this Agreement, shall be (i) surrendered to the Company for repurchase upon exercise of the Right of Repurchase or the Right of First Refusal or (ii) released to the Optionee upon his or her request to the extent that the Shares have ceased to be Restricted Shares (but not more frequently than once every six months). In any event, all Shares that have ceased to be Restricted Shares, together with any other vested assets held in escrow under this Agreement, shall be released within 90 days after the earlier of (i) the termination of the Optionee’s Service or (ii) the lapse of the Right of First Refusal.</w:t>
      </w:r>
    </w:p>
    <w:p>
      <w:pPr>
        <w:spacing w:after="0" w:line="185" w:lineRule="exact"/>
        <w:rPr>
          <w:rFonts w:ascii="Times New Roman" w:cs="Times New Roman" w:eastAsia="Times New Roman" w:hAnsi="Times New Roman"/>
          <w:sz w:val="20"/>
          <w:szCs w:val="20"/>
          <w:color w:val="auto"/>
        </w:rPr>
      </w:pPr>
    </w:p>
    <w:p>
      <w:pPr>
        <w:jc w:val="both"/>
        <w:ind w:firstLine="794"/>
        <w:spacing w:after="0" w:line="245" w:lineRule="auto"/>
        <w:tabs>
          <w:tab w:leader="none" w:pos="1412" w:val="left"/>
        </w:tabs>
        <w:numPr>
          <w:ilvl w:val="0"/>
          <w:numId w:val="2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Exercise of Repurchase Right</w:t>
      </w:r>
      <w:r>
        <w:rPr>
          <w:rFonts w:ascii="Times New Roman" w:cs="Times New Roman" w:eastAsia="Times New Roman" w:hAnsi="Times New Roman"/>
          <w:sz w:val="20"/>
          <w:szCs w:val="20"/>
          <w:color w:val="auto"/>
        </w:rPr>
        <w:t>. The Company shall be deemed to have exercised its Right of Repurchase automatically for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all Restricted Shares as of the commencement of the Repurchase Period, unless the Company during the Repurchase Period notifies the holder of the Restricted Shares pursuant to Section 13(c) that it will not exercise its Right of Repurchase for some or all of the Restricted Shares. The Company shall pay to the holder of the Restricted Shares the purchase price determined under Subsection (a) above for the Restricted Shares being repurchased. Payment shall be made in cash or cash equivalents and/or by canceling indebtedness to the Company incurred by the Optionee in the purchase of the Restricted Shares. The certificate(s) representing the Restricted Shares being repurchased shall be delivered to the Company.</w:t>
      </w:r>
    </w:p>
    <w:p>
      <w:pPr>
        <w:spacing w:after="0" w:line="179" w:lineRule="exact"/>
        <w:rPr>
          <w:rFonts w:ascii="Times New Roman" w:cs="Times New Roman" w:eastAsia="Times New Roman" w:hAnsi="Times New Roman"/>
          <w:sz w:val="20"/>
          <w:szCs w:val="20"/>
          <w:color w:val="auto"/>
        </w:rPr>
      </w:pPr>
    </w:p>
    <w:p>
      <w:pPr>
        <w:jc w:val="both"/>
        <w:ind w:firstLine="794"/>
        <w:spacing w:after="0" w:line="247" w:lineRule="auto"/>
        <w:tabs>
          <w:tab w:leader="none" w:pos="1455" w:val="left"/>
        </w:tabs>
        <w:numPr>
          <w:ilvl w:val="0"/>
          <w:numId w:val="2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Termination of Rights as Stockholder</w:t>
      </w:r>
      <w:r>
        <w:rPr>
          <w:rFonts w:ascii="Times New Roman" w:cs="Times New Roman" w:eastAsia="Times New Roman" w:hAnsi="Times New Roman"/>
          <w:sz w:val="20"/>
          <w:szCs w:val="20"/>
          <w:color w:val="auto"/>
        </w:rPr>
        <w:t>. If the Right of Repurchase is exercised in accordance with this Section 7 and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Company makes available the consideration for the Restricted Shares being repurchased, then the person from whom the Restricted Shares are repurchased shall no longer have any rights as a holder of the Restricted Shares (other than the right to receive payment of such consideration). Such Restricted Shares shall be deemed to have been repurchased pursuant to this Section 7, whether or not the certificate(s) for such Restricted Shares have been delivered to the Company or the consideration for such Restricted Shares has been accepted.</w:t>
      </w:r>
    </w:p>
    <w:p>
      <w:pPr>
        <w:spacing w:after="0" w:line="180" w:lineRule="exact"/>
        <w:rPr>
          <w:rFonts w:ascii="Times New Roman" w:cs="Times New Roman" w:eastAsia="Times New Roman" w:hAnsi="Times New Roman"/>
          <w:sz w:val="20"/>
          <w:szCs w:val="20"/>
          <w:color w:val="auto"/>
        </w:rPr>
      </w:pPr>
    </w:p>
    <w:p>
      <w:pPr>
        <w:jc w:val="both"/>
        <w:ind w:firstLine="794"/>
        <w:spacing w:after="0" w:line="243" w:lineRule="auto"/>
        <w:tabs>
          <w:tab w:leader="none" w:pos="1393" w:val="left"/>
        </w:tabs>
        <w:numPr>
          <w:ilvl w:val="0"/>
          <w:numId w:val="2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Additional or Exchanged Securities and Property</w:t>
      </w:r>
      <w:r>
        <w:rPr>
          <w:rFonts w:ascii="Times New Roman" w:cs="Times New Roman" w:eastAsia="Times New Roman" w:hAnsi="Times New Roman"/>
          <w:sz w:val="20"/>
          <w:szCs w:val="20"/>
          <w:color w:val="auto"/>
        </w:rPr>
        <w:t>. In the event of a merger or consolidation of the Company, a sale of all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or substantially all of the Company’s stock or assets, any other corporate reorganization, a stock split, the declaration of a stock dividend, the declaration of an extraordinary dividend payable in a form other than stock, a spin-off, an adjustment in conversion ratio, a recapitalization or a similar transaction affecting the Company’s outstanding securities, any securities or other property (including cash or cash equivalents) that are by reason of such transaction exchanged for, or distributed with respect to, any Restricted Shares shall immediately be subject to the Right of Repurchase. Appropriate adjustments to reflect the exchange or distribution of such securities or property shall be made to the number and/or class of the Restricted Shares. Appropriate adjustments shall also be made to the price per share to be paid upon the exercise of the Right of Repurchase, provided that the aggregate purchase price payable for the Restricted Shares shall remain the same. In the event of any transaction described in Section 8(b) of the Plan or any other corporate reorganization, the Right of Repurchase may be exercised by the Company’s successor.</w:t>
      </w:r>
    </w:p>
    <w:p>
      <w:pPr>
        <w:spacing w:after="0" w:line="182" w:lineRule="exact"/>
        <w:rPr>
          <w:rFonts w:ascii="Times New Roman" w:cs="Times New Roman" w:eastAsia="Times New Roman" w:hAnsi="Times New Roman"/>
          <w:sz w:val="20"/>
          <w:szCs w:val="20"/>
          <w:color w:val="auto"/>
        </w:rPr>
      </w:pPr>
    </w:p>
    <w:p>
      <w:pPr>
        <w:jc w:val="both"/>
        <w:ind w:firstLine="794"/>
        <w:spacing w:after="0" w:line="256" w:lineRule="auto"/>
        <w:tabs>
          <w:tab w:leader="none" w:pos="1480" w:val="left"/>
        </w:tabs>
        <w:numPr>
          <w:ilvl w:val="0"/>
          <w:numId w:val="2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Transfer of Restricted Shares</w:t>
      </w:r>
      <w:r>
        <w:rPr>
          <w:rFonts w:ascii="Times New Roman" w:cs="Times New Roman" w:eastAsia="Times New Roman" w:hAnsi="Times New Roman"/>
          <w:sz w:val="20"/>
          <w:szCs w:val="20"/>
          <w:color w:val="auto"/>
        </w:rPr>
        <w:t>. The Optionee shall not transfer, assign, encumber or otherwise dispose of any Restricted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Shares without the Company’s written consent, except as provided in the following sentence. The Optionee may transfer Restricted Shares to one or more members of the Optionee’s Immediate Family or to a trust established by the Optionee for the benefit of</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261" w:right="339" w:bottom="1440" w:gutter="0" w:footer="0" w:header="0"/>
        </w:sectPr>
      </w:pPr>
    </w:p>
    <w:bookmarkStart w:id="286" w:name="page287"/>
    <w:bookmarkEnd w:id="286"/>
    <w:p>
      <w:pPr>
        <w:jc w:val="both"/>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Optionee and/or one or more members of the Optionee’s Immediate Family, provided in either case that the Transferee agrees in writing on a form prescribed by the Company to be bound by all provisions of this Agreement. If the Optionee transfers any Restricted Shares, then this Agreement shall apply to the Transferee to the same extent as to the Optionee.</w:t>
      </w:r>
    </w:p>
    <w:p>
      <w:pPr>
        <w:spacing w:after="0" w:line="167" w:lineRule="exact"/>
        <w:rPr>
          <w:sz w:val="20"/>
          <w:szCs w:val="20"/>
          <w:color w:val="auto"/>
        </w:rPr>
      </w:pPr>
    </w:p>
    <w:p>
      <w:pPr>
        <w:jc w:val="both"/>
        <w:ind w:firstLine="794"/>
        <w:spacing w:after="0" w:line="256" w:lineRule="auto"/>
        <w:tabs>
          <w:tab w:leader="none" w:pos="1574" w:val="left"/>
        </w:tabs>
        <w:numPr>
          <w:ilvl w:val="0"/>
          <w:numId w:val="2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Assignment of Repurchase Right</w:t>
      </w:r>
      <w:r>
        <w:rPr>
          <w:rFonts w:ascii="Times New Roman" w:cs="Times New Roman" w:eastAsia="Times New Roman" w:hAnsi="Times New Roman"/>
          <w:sz w:val="20"/>
          <w:szCs w:val="20"/>
          <w:color w:val="auto"/>
        </w:rPr>
        <w:t>. The Board of Directors may freely assign the Company’s Right of Repurchase,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whole or in part. Any person who accepts an assignment of the Right of Repurchase from the Company shall assume all of the Company’s rights and obligations under this Section 7.</w:t>
      </w:r>
    </w:p>
    <w:p>
      <w:pPr>
        <w:spacing w:after="0" w:line="169" w:lineRule="exact"/>
        <w:rPr>
          <w:sz w:val="20"/>
          <w:szCs w:val="20"/>
          <w:color w:val="auto"/>
        </w:rPr>
      </w:pPr>
    </w:p>
    <w:p>
      <w:pPr>
        <w:spacing w:after="0"/>
        <w:tabs>
          <w:tab w:leader="none" w:pos="1320" w:val="left"/>
        </w:tabs>
        <w:rPr>
          <w:sz w:val="20"/>
          <w:szCs w:val="20"/>
          <w:color w:val="auto"/>
        </w:rPr>
      </w:pPr>
      <w:r>
        <w:rPr>
          <w:rFonts w:ascii="Times New Roman" w:cs="Times New Roman" w:eastAsia="Times New Roman" w:hAnsi="Times New Roman"/>
          <w:sz w:val="20"/>
          <w:szCs w:val="20"/>
          <w:b w:val="1"/>
          <w:bCs w:val="1"/>
          <w:color w:val="auto"/>
        </w:rPr>
        <w:t>SECTION 8.</w:t>
      </w:r>
      <w:r>
        <w:rPr>
          <w:sz w:val="20"/>
          <w:szCs w:val="20"/>
          <w:color w:val="auto"/>
        </w:rPr>
        <w:tab/>
      </w:r>
      <w:r>
        <w:rPr>
          <w:rFonts w:ascii="Times New Roman" w:cs="Times New Roman" w:eastAsia="Times New Roman" w:hAnsi="Times New Roman"/>
          <w:sz w:val="19"/>
          <w:szCs w:val="19"/>
          <w:b w:val="1"/>
          <w:bCs w:val="1"/>
          <w:color w:val="auto"/>
        </w:rPr>
        <w:t>RIGHT OF FIRST REFUSAL.</w:t>
      </w:r>
    </w:p>
    <w:p>
      <w:pPr>
        <w:spacing w:after="0" w:line="216" w:lineRule="exact"/>
        <w:rPr>
          <w:sz w:val="20"/>
          <w:szCs w:val="20"/>
          <w:color w:val="auto"/>
        </w:rPr>
      </w:pPr>
    </w:p>
    <w:p>
      <w:pPr>
        <w:jc w:val="both"/>
        <w:ind w:firstLine="794"/>
        <w:spacing w:after="0" w:line="243" w:lineRule="auto"/>
        <w:tabs>
          <w:tab w:leader="none" w:pos="1509" w:val="left"/>
        </w:tabs>
        <w:numPr>
          <w:ilvl w:val="0"/>
          <w:numId w:val="2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Right of First Refusal</w:t>
      </w:r>
      <w:r>
        <w:rPr>
          <w:rFonts w:ascii="Times New Roman" w:cs="Times New Roman" w:eastAsia="Times New Roman" w:hAnsi="Times New Roman"/>
          <w:sz w:val="20"/>
          <w:szCs w:val="20"/>
          <w:color w:val="auto"/>
        </w:rPr>
        <w:t>. In the event that the Optionee proposes to sell, pledge or otherwise transfer to a third party 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Shares acquired under this Agreement, or any interest in such Shares, the Company shall have the Right of First Refusal with respect to all (and not less than all) of such Shares. If the Optionee desires to transfer Shares acquired under this Agreement, the Optionee shall give a written Transfer Notice to the Company describing fully the proposed transfer, including the number of Shares proposed to be transferred, the proposed transfer price, the name and address of the proposed Transferee and proof satisfactory to the Company that the proposed sale or transfer will not violate any applicable federal, State or foreign securities laws. The Transfer Notice shall be signed both by the Optionee and by the proposed Transferee and must constitute a binding commitment of both parties to the transfer of the Shares. The Company shall have the right to purchase all, and not less than all, of the Shares on the terms of the proposal described in the Transfer Notice (subject, however, to any change in such terms permitted under Subsection (b) below) by delivery of a notice of exercise of the Right of First Refusal within 30 days after the date when the Transfer Notice was received by the Company.</w:t>
      </w:r>
    </w:p>
    <w:p>
      <w:pPr>
        <w:spacing w:after="0" w:line="182" w:lineRule="exact"/>
        <w:rPr>
          <w:rFonts w:ascii="Times New Roman" w:cs="Times New Roman" w:eastAsia="Times New Roman" w:hAnsi="Times New Roman"/>
          <w:sz w:val="20"/>
          <w:szCs w:val="20"/>
          <w:color w:val="auto"/>
        </w:rPr>
      </w:pPr>
    </w:p>
    <w:p>
      <w:pPr>
        <w:jc w:val="both"/>
        <w:ind w:firstLine="794"/>
        <w:spacing w:after="0" w:line="256" w:lineRule="auto"/>
        <w:tabs>
          <w:tab w:leader="none" w:pos="1588" w:val="left"/>
        </w:tabs>
        <w:numPr>
          <w:ilvl w:val="0"/>
          <w:numId w:val="24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Transfer of Shares</w:t>
      </w:r>
      <w:r>
        <w:rPr>
          <w:rFonts w:ascii="Times New Roman" w:cs="Times New Roman" w:eastAsia="Times New Roman" w:hAnsi="Times New Roman"/>
          <w:sz w:val="19"/>
          <w:szCs w:val="19"/>
          <w:color w:val="auto"/>
        </w:rPr>
        <w:t>. If the Company fails to exercise its Right of First Refusal within 30 days after the date when it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received the Transfer Notice, the Optionee may, not later than 90 days following receipt of the Transfer Notice by the Company, conclude a transfer of the Shares subject to the Transfer Notice on the terms and conditions described in the Transfer Notice, provided that any such sale is made in compliance with applicable federal, State and foreign securities laws and not in violation of any other contractual restrictions to which the Optionee is bound. Any proposed transfer on terms and conditions different from those described in the Transfer Notice, as well as any subsequent proposed transfer by the Optionee, shall again be subject to the Right of First Refusal and shall require compliance with the procedure described in Subsection (a) above. If the Company exercises its Right of First Refusal, the parties shall consummate the sale of the Shares on the terms set forth in the Transfer Notice within 60 days after the date when the Company received the Transfer Notice (or within such longer period as may have been specified in the Transfer Notice); provided, however, that in the event the Transfer Notice provided that payment for the Shares was to be made in a form other than cash or cash equivalents paid at the time of transfer, the Company shall have the option of paying for the Shares with cash or cash equivalents equal to the present value of the consideration described in the Transfer Notice.</w:t>
      </w:r>
    </w:p>
    <w:p>
      <w:pPr>
        <w:spacing w:after="0" w:line="177" w:lineRule="exact"/>
        <w:rPr>
          <w:rFonts w:ascii="Times New Roman" w:cs="Times New Roman" w:eastAsia="Times New Roman" w:hAnsi="Times New Roman"/>
          <w:sz w:val="19"/>
          <w:szCs w:val="19"/>
          <w:color w:val="auto"/>
        </w:rPr>
      </w:pPr>
    </w:p>
    <w:p>
      <w:pPr>
        <w:jc w:val="both"/>
        <w:ind w:firstLine="794"/>
        <w:spacing w:after="0" w:line="245" w:lineRule="auto"/>
        <w:tabs>
          <w:tab w:leader="none" w:pos="1401" w:val="left"/>
        </w:tabs>
        <w:numPr>
          <w:ilvl w:val="0"/>
          <w:numId w:val="2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Additional or Exchanged Securities and Property</w:t>
      </w:r>
      <w:r>
        <w:rPr>
          <w:rFonts w:ascii="Times New Roman" w:cs="Times New Roman" w:eastAsia="Times New Roman" w:hAnsi="Times New Roman"/>
          <w:sz w:val="20"/>
          <w:szCs w:val="20"/>
          <w:color w:val="auto"/>
        </w:rPr>
        <w:t>. In the event of a merger or consolidation of the Company, a sale of all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or substantially all of the Company’s stock or assets, any other corporate reorganization, a stock split, the declaration of a stock dividend, the declaration of an extraordinary dividend payable in a form other than stock, a spin-off, an adjustment in conversion ratio, a recapitalization or a similar transaction affecting the Company’s outstanding securities, any securities or other property (including cash or cash equivalents) that are by reason of such transaction exchanged for, or distributed with respect to, any Shares subject to this Section 8 shall immediately be subject to the Right of First Refusal. Appropriate adjustments to reflect the exchange or distribution of such securities or property shall be made to the number and/or class of the Shares subject to this Section 8.</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40"/>
          </w:cols>
          <w:pgMar w:left="320" w:top="270" w:right="339" w:bottom="1440" w:gutter="0" w:footer="0" w:header="0"/>
        </w:sectPr>
      </w:pPr>
    </w:p>
    <w:bookmarkStart w:id="287" w:name="page288"/>
    <w:bookmarkEnd w:id="287"/>
    <w:p>
      <w:pPr>
        <w:jc w:val="both"/>
        <w:ind w:firstLine="794"/>
        <w:spacing w:after="0" w:line="256" w:lineRule="auto"/>
        <w:tabs>
          <w:tab w:leader="none" w:pos="1453" w:val="left"/>
        </w:tabs>
        <w:numPr>
          <w:ilvl w:val="0"/>
          <w:numId w:val="2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Termination of Right of First Refusal</w:t>
      </w:r>
      <w:r>
        <w:rPr>
          <w:rFonts w:ascii="Times New Roman" w:cs="Times New Roman" w:eastAsia="Times New Roman" w:hAnsi="Times New Roman"/>
          <w:sz w:val="20"/>
          <w:szCs w:val="20"/>
          <w:color w:val="auto"/>
        </w:rPr>
        <w:t>. Any other provision of this Section 8 notwithstanding, in the event that the Stock</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is readily tradable on an established securities market when the Optionee desires to transfer Shares, the Company shall have no Right of First Refusal, and the Optionee shall have no obligation to comply with the procedures prescribed by Subsections (a) and (b) above.</w:t>
      </w:r>
    </w:p>
    <w:p>
      <w:pPr>
        <w:spacing w:after="0" w:line="168" w:lineRule="exact"/>
        <w:rPr>
          <w:rFonts w:ascii="Times New Roman" w:cs="Times New Roman" w:eastAsia="Times New Roman" w:hAnsi="Times New Roman"/>
          <w:sz w:val="20"/>
          <w:szCs w:val="20"/>
          <w:color w:val="auto"/>
        </w:rPr>
      </w:pPr>
    </w:p>
    <w:p>
      <w:pPr>
        <w:jc w:val="both"/>
        <w:ind w:firstLine="794"/>
        <w:spacing w:after="0" w:line="246" w:lineRule="auto"/>
        <w:tabs>
          <w:tab w:leader="none" w:pos="1415" w:val="left"/>
        </w:tabs>
        <w:numPr>
          <w:ilvl w:val="0"/>
          <w:numId w:val="2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Permitted Transfers</w:t>
      </w:r>
      <w:r>
        <w:rPr>
          <w:rFonts w:ascii="Times New Roman" w:cs="Times New Roman" w:eastAsia="Times New Roman" w:hAnsi="Times New Roman"/>
          <w:sz w:val="20"/>
          <w:szCs w:val="20"/>
          <w:color w:val="auto"/>
        </w:rPr>
        <w:t>. This Section 8 shall not apply to (i) a transfer by beneficiary designation, will or intestate succession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or (ii) a transfer to one or more members of the Optionee’s Immediate Family or to a trust established by the Optionee for the benefit of the Optionee and/or one or more members of the Optionee’s Immediate Family, provided in either case that the Transferee agrees in writing on a form prescribed by the Company to be bound by all provisions of this Agreement. If the Optionee transfers any Shares acquired under this Agreement, either under this Subsection (e) or after the Company has failed to exercise the Right of First Refusal, then this Agreement shall apply to the Transferee to the same extent as to the Optionee.</w:t>
      </w:r>
    </w:p>
    <w:p>
      <w:pPr>
        <w:spacing w:after="0" w:line="178" w:lineRule="exact"/>
        <w:rPr>
          <w:rFonts w:ascii="Times New Roman" w:cs="Times New Roman" w:eastAsia="Times New Roman" w:hAnsi="Times New Roman"/>
          <w:sz w:val="20"/>
          <w:szCs w:val="20"/>
          <w:color w:val="auto"/>
        </w:rPr>
      </w:pPr>
    </w:p>
    <w:p>
      <w:pPr>
        <w:jc w:val="both"/>
        <w:ind w:firstLine="794"/>
        <w:spacing w:after="0" w:line="264" w:lineRule="auto"/>
        <w:tabs>
          <w:tab w:leader="none" w:pos="1393" w:val="left"/>
        </w:tabs>
        <w:numPr>
          <w:ilvl w:val="0"/>
          <w:numId w:val="24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Termination of Rights as Stockholder</w:t>
      </w:r>
      <w:r>
        <w:rPr>
          <w:rFonts w:ascii="Times New Roman" w:cs="Times New Roman" w:eastAsia="Times New Roman" w:hAnsi="Times New Roman"/>
          <w:sz w:val="19"/>
          <w:szCs w:val="19"/>
          <w:color w:val="auto"/>
        </w:rPr>
        <w:t>. If the Company makes available, at the time and place and in the amount and form</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provided in this Agreement, the consideration for the Shares to be purchased in accordance with this Section 8, then after such time the person from whom such Shares are to be purchased shall no longer have any rights as a holder of such Shares (other than the right to receive payment of such consideration in accordance with this Agreement). Such Shares shall be deemed to have been purchased in accordance with the applicable provisions hereof, whether or not the certificate(s) therefor have been delivered as required by this Agreement.</w:t>
      </w:r>
    </w:p>
    <w:p>
      <w:pPr>
        <w:spacing w:after="0" w:line="161" w:lineRule="exact"/>
        <w:rPr>
          <w:rFonts w:ascii="Times New Roman" w:cs="Times New Roman" w:eastAsia="Times New Roman" w:hAnsi="Times New Roman"/>
          <w:sz w:val="19"/>
          <w:szCs w:val="19"/>
          <w:color w:val="auto"/>
        </w:rPr>
      </w:pPr>
    </w:p>
    <w:p>
      <w:pPr>
        <w:jc w:val="both"/>
        <w:ind w:firstLine="794"/>
        <w:spacing w:after="0" w:line="256" w:lineRule="auto"/>
        <w:tabs>
          <w:tab w:leader="none" w:pos="1426" w:val="left"/>
        </w:tabs>
        <w:numPr>
          <w:ilvl w:val="0"/>
          <w:numId w:val="2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Assignment of Right of First Refusal</w:t>
      </w:r>
      <w:r>
        <w:rPr>
          <w:rFonts w:ascii="Times New Roman" w:cs="Times New Roman" w:eastAsia="Times New Roman" w:hAnsi="Times New Roman"/>
          <w:sz w:val="20"/>
          <w:szCs w:val="20"/>
          <w:color w:val="auto"/>
        </w:rPr>
        <w:t>. The Board of Directors may freely assign the Company’s Right of First Refusal,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whole or in part. Any person who accepts an assignment of the Right of First Refusal from the Company shall assume all of the Company’s rights and obligations under this Section 8.</w:t>
      </w:r>
    </w:p>
    <w:p>
      <w:pPr>
        <w:spacing w:after="0" w:line="169" w:lineRule="exact"/>
        <w:rPr>
          <w:sz w:val="20"/>
          <w:szCs w:val="20"/>
          <w:color w:val="auto"/>
        </w:rPr>
      </w:pPr>
    </w:p>
    <w:p>
      <w:pPr>
        <w:spacing w:after="0"/>
        <w:tabs>
          <w:tab w:leader="none" w:pos="1320" w:val="left"/>
        </w:tabs>
        <w:rPr>
          <w:sz w:val="20"/>
          <w:szCs w:val="20"/>
          <w:color w:val="auto"/>
        </w:rPr>
      </w:pPr>
      <w:r>
        <w:rPr>
          <w:rFonts w:ascii="Times New Roman" w:cs="Times New Roman" w:eastAsia="Times New Roman" w:hAnsi="Times New Roman"/>
          <w:sz w:val="20"/>
          <w:szCs w:val="20"/>
          <w:b w:val="1"/>
          <w:bCs w:val="1"/>
          <w:color w:val="auto"/>
        </w:rPr>
        <w:t>SECTION 9.</w:t>
      </w:r>
      <w:r>
        <w:rPr>
          <w:sz w:val="20"/>
          <w:szCs w:val="20"/>
          <w:color w:val="auto"/>
        </w:rPr>
        <w:tab/>
      </w:r>
      <w:r>
        <w:rPr>
          <w:rFonts w:ascii="Times New Roman" w:cs="Times New Roman" w:eastAsia="Times New Roman" w:hAnsi="Times New Roman"/>
          <w:sz w:val="19"/>
          <w:szCs w:val="19"/>
          <w:b w:val="1"/>
          <w:bCs w:val="1"/>
          <w:color w:val="auto"/>
        </w:rPr>
        <w:t>LEGALITY OF INITIAL ISSUANCE.</w:t>
      </w:r>
    </w:p>
    <w:p>
      <w:pPr>
        <w:spacing w:after="0" w:line="220"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0"/>
          <w:szCs w:val="20"/>
          <w:color w:val="auto"/>
        </w:rPr>
        <w:t>No Shares shall be issued upon the exercise of this option unless and until the Company has determined that:</w:t>
      </w:r>
    </w:p>
    <w:p>
      <w:pPr>
        <w:spacing w:after="0" w:line="216" w:lineRule="exact"/>
        <w:rPr>
          <w:sz w:val="20"/>
          <w:szCs w:val="20"/>
          <w:color w:val="auto"/>
        </w:rPr>
      </w:pPr>
    </w:p>
    <w:p>
      <w:pPr>
        <w:ind w:left="560" w:firstLine="543"/>
        <w:spacing w:after="0" w:line="269" w:lineRule="auto"/>
        <w:tabs>
          <w:tab w:leader="none" w:pos="1855" w:val="left"/>
        </w:tabs>
        <w:numPr>
          <w:ilvl w:val="0"/>
          <w:numId w:val="2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It and the Optionee have taken any actions required to register the Shares under the Securities Act or to perfect an exemption from the registration requirements thereof;</w:t>
      </w:r>
    </w:p>
    <w:p>
      <w:pPr>
        <w:spacing w:after="0" w:line="159" w:lineRule="exact"/>
        <w:rPr>
          <w:rFonts w:ascii="Times New Roman" w:cs="Times New Roman" w:eastAsia="Times New Roman" w:hAnsi="Times New Roman"/>
          <w:sz w:val="20"/>
          <w:szCs w:val="20"/>
          <w:color w:val="auto"/>
        </w:rPr>
      </w:pPr>
    </w:p>
    <w:p>
      <w:pPr>
        <w:ind w:left="1780" w:hanging="677"/>
        <w:spacing w:after="0"/>
        <w:tabs>
          <w:tab w:leader="none" w:pos="1780" w:val="left"/>
        </w:tabs>
        <w:numPr>
          <w:ilvl w:val="0"/>
          <w:numId w:val="2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applicable listing requirement of any stock exchange or other securities market on which Stock is listed has been</w:t>
      </w:r>
    </w:p>
    <w:p>
      <w:pPr>
        <w:spacing w:after="0" w:line="21" w:lineRule="exact"/>
        <w:rPr>
          <w:rFonts w:ascii="Times New Roman" w:cs="Times New Roman" w:eastAsia="Times New Roman" w:hAnsi="Times New Roman"/>
          <w:sz w:val="20"/>
          <w:szCs w:val="20"/>
          <w:color w:val="auto"/>
        </w:rPr>
      </w:pPr>
    </w:p>
    <w:p>
      <w:pPr>
        <w:ind w:left="5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satisfied; and</w:t>
      </w:r>
    </w:p>
    <w:p>
      <w:pPr>
        <w:spacing w:after="0" w:line="193" w:lineRule="exact"/>
        <w:rPr>
          <w:rFonts w:ascii="Times New Roman" w:cs="Times New Roman" w:eastAsia="Times New Roman" w:hAnsi="Times New Roman"/>
          <w:sz w:val="20"/>
          <w:szCs w:val="20"/>
          <w:color w:val="auto"/>
        </w:rPr>
      </w:pPr>
    </w:p>
    <w:p>
      <w:pPr>
        <w:ind w:left="1700" w:hanging="597"/>
        <w:spacing w:after="0"/>
        <w:tabs>
          <w:tab w:leader="none" w:pos="1700" w:val="left"/>
        </w:tabs>
        <w:numPr>
          <w:ilvl w:val="0"/>
          <w:numId w:val="2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other applicable provision of federal, State or foreign law has been satisfied.</w:t>
      </w:r>
    </w:p>
    <w:p>
      <w:pPr>
        <w:spacing w:after="0" w:line="212" w:lineRule="exact"/>
        <w:rPr>
          <w:sz w:val="20"/>
          <w:szCs w:val="20"/>
          <w:color w:val="auto"/>
        </w:rPr>
      </w:pPr>
    </w:p>
    <w:p>
      <w:pPr>
        <w:spacing w:after="0"/>
        <w:tabs>
          <w:tab w:leader="none" w:pos="1420" w:val="left"/>
        </w:tabs>
        <w:rPr>
          <w:sz w:val="20"/>
          <w:szCs w:val="20"/>
          <w:color w:val="auto"/>
        </w:rPr>
      </w:pPr>
      <w:r>
        <w:rPr>
          <w:rFonts w:ascii="Times New Roman" w:cs="Times New Roman" w:eastAsia="Times New Roman" w:hAnsi="Times New Roman"/>
          <w:sz w:val="20"/>
          <w:szCs w:val="20"/>
          <w:b w:val="1"/>
          <w:bCs w:val="1"/>
          <w:color w:val="auto"/>
        </w:rPr>
        <w:t>SECTION 10.</w:t>
      </w:r>
      <w:r>
        <w:rPr>
          <w:sz w:val="20"/>
          <w:szCs w:val="20"/>
          <w:color w:val="auto"/>
        </w:rPr>
        <w:tab/>
      </w:r>
      <w:r>
        <w:rPr>
          <w:rFonts w:ascii="Times New Roman" w:cs="Times New Roman" w:eastAsia="Times New Roman" w:hAnsi="Times New Roman"/>
          <w:sz w:val="19"/>
          <w:szCs w:val="19"/>
          <w:b w:val="1"/>
          <w:bCs w:val="1"/>
          <w:color w:val="auto"/>
        </w:rPr>
        <w:t>NO REGISTRATION RIGHTS.</w:t>
      </w:r>
    </w:p>
    <w:p>
      <w:pPr>
        <w:spacing w:after="0" w:line="220" w:lineRule="exact"/>
        <w:rPr>
          <w:sz w:val="20"/>
          <w:szCs w:val="20"/>
          <w:color w:val="auto"/>
        </w:rPr>
      </w:pPr>
    </w:p>
    <w:p>
      <w:pPr>
        <w:jc w:val="both"/>
        <w:ind w:firstLine="786"/>
        <w:spacing w:after="0" w:line="254" w:lineRule="auto"/>
        <w:rPr>
          <w:sz w:val="20"/>
          <w:szCs w:val="20"/>
          <w:color w:val="auto"/>
        </w:rPr>
      </w:pPr>
      <w:r>
        <w:rPr>
          <w:rFonts w:ascii="Times New Roman" w:cs="Times New Roman" w:eastAsia="Times New Roman" w:hAnsi="Times New Roman"/>
          <w:sz w:val="20"/>
          <w:szCs w:val="20"/>
          <w:color w:val="auto"/>
        </w:rPr>
        <w:t>The Company may, but shall not be obligated to, register or qualify the sale of Shares under the Securities Act or any other applicable law. The Company shall not be obligated to take any affirmative action in order to cause the sale of Shares under this Agreement to comply with any law.</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40"/>
          </w:cols>
          <w:pgMar w:left="320" w:top="261" w:right="339" w:bottom="1440" w:gutter="0" w:footer="0" w:header="0"/>
        </w:sectPr>
      </w:pPr>
    </w:p>
    <w:bookmarkStart w:id="288" w:name="page289"/>
    <w:bookmarkEnd w:id="288"/>
    <w:p>
      <w:pPr>
        <w:spacing w:after="0"/>
        <w:tabs>
          <w:tab w:leader="none" w:pos="1420" w:val="left"/>
        </w:tabs>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SECTION 11.</w:t>
      </w:r>
      <w:r>
        <w:rPr>
          <w:sz w:val="20"/>
          <w:szCs w:val="20"/>
          <w:color w:val="auto"/>
        </w:rPr>
        <w:tab/>
      </w:r>
      <w:r>
        <w:rPr>
          <w:rFonts w:ascii="Times New Roman" w:cs="Times New Roman" w:eastAsia="Times New Roman" w:hAnsi="Times New Roman"/>
          <w:sz w:val="19"/>
          <w:szCs w:val="19"/>
          <w:b w:val="1"/>
          <w:bCs w:val="1"/>
          <w:color w:val="auto"/>
        </w:rPr>
        <w:t>RESTRICTIONS ON TRANSFER OF SHARES.</w:t>
      </w:r>
    </w:p>
    <w:p>
      <w:pPr>
        <w:spacing w:after="0" w:line="216" w:lineRule="exact"/>
        <w:rPr>
          <w:sz w:val="20"/>
          <w:szCs w:val="20"/>
          <w:color w:val="auto"/>
        </w:rPr>
      </w:pPr>
    </w:p>
    <w:p>
      <w:pPr>
        <w:jc w:val="both"/>
        <w:ind w:firstLine="794"/>
        <w:spacing w:after="0" w:line="260" w:lineRule="auto"/>
        <w:tabs>
          <w:tab w:leader="none" w:pos="1415" w:val="left"/>
        </w:tabs>
        <w:numPr>
          <w:ilvl w:val="0"/>
          <w:numId w:val="24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Securities Law Restrictions</w:t>
      </w:r>
      <w:r>
        <w:rPr>
          <w:rFonts w:ascii="Times New Roman" w:cs="Times New Roman" w:eastAsia="Times New Roman" w:hAnsi="Times New Roman"/>
          <w:sz w:val="19"/>
          <w:szCs w:val="19"/>
          <w:color w:val="auto"/>
        </w:rPr>
        <w:t>. Regardless of whether the offer and sale of Shares under the Plan have been registered under</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the Securities Act or have been registered or qualified under the securities laws of any State or other relevant jurisdiction, the Company at its discretion may impose restrictions upon the sale, pledge or other transfer of such Shares (including the placement of appropriate legends on the stock certificates (or electronic equivalent) or the imposition of stop-transfer instructions) and may refuse (or may be required to refuse) to transfer Shares acquired hereunder (or Shares proposed to be transferred in a subsequent transfer) if, in the judgment of the Company, such restrictions, legends or refusal are necessary or appropriate to achieve compliance with the Securities Act or other relevant securities or other laws, including without limitation under Regulation S of the Securities Act or pursuant to another available exemption from registration.</w:t>
      </w:r>
    </w:p>
    <w:p>
      <w:pPr>
        <w:spacing w:after="0" w:line="165" w:lineRule="exact"/>
        <w:rPr>
          <w:rFonts w:ascii="Times New Roman" w:cs="Times New Roman" w:eastAsia="Times New Roman" w:hAnsi="Times New Roman"/>
          <w:sz w:val="19"/>
          <w:szCs w:val="19"/>
          <w:color w:val="auto"/>
        </w:rPr>
      </w:pPr>
    </w:p>
    <w:p>
      <w:pPr>
        <w:jc w:val="both"/>
        <w:ind w:firstLine="794"/>
        <w:spacing w:after="0" w:line="241" w:lineRule="auto"/>
        <w:tabs>
          <w:tab w:leader="none" w:pos="1466" w:val="left"/>
        </w:tabs>
        <w:numPr>
          <w:ilvl w:val="0"/>
          <w:numId w:val="2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Market Stand-Off</w:t>
      </w:r>
      <w:r>
        <w:rPr>
          <w:rFonts w:ascii="Times New Roman" w:cs="Times New Roman" w:eastAsia="Times New Roman" w:hAnsi="Times New Roman"/>
          <w:sz w:val="20"/>
          <w:szCs w:val="20"/>
          <w:color w:val="auto"/>
        </w:rPr>
        <w:t>. In connection with any underwritten public offering by the Company of its equity securities pursuant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to an effective registration statement filed under the Securities Act, including the Company’s initial public offering, the Optionee or a Transferee shall not directly or indirectly sell, make any short sale of, loan, hypothecate, pledge, offer, grant or sell any option or other contract for the purchase of, purchase any option or other contract for the sale of, or otherwise dispose of or transfer, or agree to engage in any of the foregoing transactions with respect to, any Shares acquired under this Agreement without the prior written consent of the Company or its managing underwriter. Such restriction (the “Market Stand-Off”) shall be in effect for such period of time following the date of the final prospectus for the offering as may be requested by the Company or such underwriter. In no event, however, shall such period exceed 180 days plus such additional period as may reasonably be requested by the Company or such underwriter to accommodate regulatory restrictions on (i) the publication or other distribution of research reports or (ii) analyst recommendations and opinions, including (without limitation) the restrictions set forth in Rule 2711(f)(4) of the National Association of Securities Dealers and Rule 472(f)(4) of the New York Stock Exchange, as amended, or any similar successor rules. The Market Stand-Off shall in any event terminate two years after the date of the Company’s initial public offering. In the event of the declaration of a stock dividend, a spin-off, a stock split, an adjustment in conversion ratio, a recapitalization or a similar transaction affecting the Company’s outstanding securities without receipt of consideration, any new, substituted or additional securities which are by reason of such transaction distributed with respect to any Shares subject to the Market Stand-Off, or into which such Shares thereby become convertible, shall immediately be subject to the Market Stand-Off. In order to enforce the Market Stand-Off, the Company may impose stop-transfer instructions with respect to the Shares acquired under this Agreement until the end of the applicable stand-off period. The Company’s underwriters shall be beneficiaries of the agreement set forth in this Subsection (b). This Subsection (b) shall not apply to Shares registered in the public offering under the Securities Act.</w:t>
      </w:r>
    </w:p>
    <w:p>
      <w:pPr>
        <w:spacing w:after="0" w:line="190" w:lineRule="exact"/>
        <w:rPr>
          <w:rFonts w:ascii="Times New Roman" w:cs="Times New Roman" w:eastAsia="Times New Roman" w:hAnsi="Times New Roman"/>
          <w:sz w:val="20"/>
          <w:szCs w:val="20"/>
          <w:color w:val="auto"/>
        </w:rPr>
      </w:pPr>
    </w:p>
    <w:p>
      <w:pPr>
        <w:ind w:firstLine="794"/>
        <w:spacing w:after="0" w:line="273" w:lineRule="auto"/>
        <w:tabs>
          <w:tab w:leader="none" w:pos="1401" w:val="left"/>
        </w:tabs>
        <w:numPr>
          <w:ilvl w:val="0"/>
          <w:numId w:val="2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Investment Intent at Grant</w:t>
      </w:r>
      <w:r>
        <w:rPr>
          <w:rFonts w:ascii="Times New Roman" w:cs="Times New Roman" w:eastAsia="Times New Roman" w:hAnsi="Times New Roman"/>
          <w:sz w:val="20"/>
          <w:szCs w:val="20"/>
          <w:color w:val="auto"/>
        </w:rPr>
        <w:t>. The Optionee represents and agrees that the Shares to be acquired upon exercising this option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will be acquired for investment, and not with a view to the sale or distribution thereof.</w:t>
      </w:r>
    </w:p>
    <w:p>
      <w:pPr>
        <w:spacing w:after="0" w:line="151" w:lineRule="exact"/>
        <w:rPr>
          <w:rFonts w:ascii="Times New Roman" w:cs="Times New Roman" w:eastAsia="Times New Roman" w:hAnsi="Times New Roman"/>
          <w:sz w:val="20"/>
          <w:szCs w:val="20"/>
          <w:color w:val="auto"/>
        </w:rPr>
      </w:pPr>
    </w:p>
    <w:p>
      <w:pPr>
        <w:jc w:val="both"/>
        <w:ind w:firstLine="794"/>
        <w:spacing w:after="0" w:line="245" w:lineRule="auto"/>
        <w:tabs>
          <w:tab w:leader="none" w:pos="1426" w:val="left"/>
        </w:tabs>
        <w:numPr>
          <w:ilvl w:val="0"/>
          <w:numId w:val="2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Investment Intent at Exercise</w:t>
      </w:r>
      <w:r>
        <w:rPr>
          <w:rFonts w:ascii="Times New Roman" w:cs="Times New Roman" w:eastAsia="Times New Roman" w:hAnsi="Times New Roman"/>
          <w:sz w:val="20"/>
          <w:szCs w:val="20"/>
          <w:color w:val="auto"/>
        </w:rPr>
        <w:t>. In the event that the sale of Shares under the Plan is not registered under the Securities Act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but an exemption is available that requires an investment representation or other representation, the Optionee shall represent and agree at the time of exercise that the Shares being acquired upon exercising this option are being acquired for investment, and not with a view to the sale or distribution thereof, and shall make such other representations as are deemed necessary or appropriate by the Company and its counsel, including (if applicable because the Company is relying on Regulation S under the Securities Act) that as of the date of exercise the Optionee is (i) not a U.S. Person; (ii) not acquiring the Shares on behalf, or for the account or benefit, of a U.S. Person; and (iii) is not exercising the option in the United States.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40"/>
          </w:cols>
          <w:pgMar w:left="320" w:top="261" w:right="339" w:bottom="1440" w:gutter="0" w:footer="0" w:header="0"/>
        </w:sectPr>
      </w:pPr>
    </w:p>
    <w:bookmarkStart w:id="289" w:name="page290"/>
    <w:bookmarkEnd w:id="289"/>
    <w:p>
      <w:pPr>
        <w:ind w:left="1400" w:hanging="606"/>
        <w:spacing w:after="0"/>
        <w:tabs>
          <w:tab w:leader="none" w:pos="1400" w:val="left"/>
        </w:tabs>
        <w:numPr>
          <w:ilvl w:val="0"/>
          <w:numId w:val="2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Legends</w:t>
      </w:r>
      <w:r>
        <w:rPr>
          <w:rFonts w:ascii="Times New Roman" w:cs="Times New Roman" w:eastAsia="Times New Roman" w:hAnsi="Times New Roman"/>
          <w:sz w:val="20"/>
          <w:szCs w:val="20"/>
          <w:color w:val="auto"/>
        </w:rPr>
        <w:t>. All certificates evidencing Shares purchased under this Agreement shall bear the following legend:</w:t>
      </w:r>
    </w:p>
    <w:p>
      <w:pPr>
        <w:spacing w:after="0" w:line="220" w:lineRule="exact"/>
        <w:rPr>
          <w:sz w:val="20"/>
          <w:szCs w:val="20"/>
          <w:color w:val="auto"/>
        </w:rPr>
      </w:pPr>
    </w:p>
    <w:p>
      <w:pPr>
        <w:jc w:val="both"/>
        <w:ind w:left="560"/>
        <w:spacing w:after="0" w:line="256" w:lineRule="auto"/>
        <w:rPr>
          <w:sz w:val="20"/>
          <w:szCs w:val="20"/>
          <w:color w:val="auto"/>
        </w:rPr>
      </w:pPr>
      <w:r>
        <w:rPr>
          <w:rFonts w:ascii="Times New Roman" w:cs="Times New Roman" w:eastAsia="Times New Roman" w:hAnsi="Times New Roman"/>
          <w:sz w:val="19"/>
          <w:szCs w:val="19"/>
          <w:color w:val="auto"/>
        </w:rPr>
        <w:t>“THE SHARES REPRESENTED HEREBY MAY NOT BE SOLD, ASSIGNED, TRANSFERRED, ENCUMBERED OR IN ANY MANNER DISPOSED OF, EXCEPT IN COMPLIANCE WITH THE TERMS OF A WRITTEN AGREEMENT BETWEEN THE COMPANY AND THE REGISTERED HOLDER OF THE SHARES (OR THE PREDECESSOR IN INTEREST TO THE SHARES). SUCH AGREEMENT GRANTS TO THE COMPANY CERTAIN RIGHTS OF FIRST REFUSAL UPON AN ATTEMPTED TRANSFER OF THE SHARES AND CERTAIN REPURCHASE RIGHTS UPON TERMINATION OF SERVICE WITH THE COMPANY. IN ADDITION, THE SHARES ARE SUBJECT TO RESTRICTIONS ON TRANSFER FOR A LIMITED PERIOD FOLLOWING THE EFFECTIVE DATE OF THE UNDERWRITTEN PUBLIC OFFERING OF THE COMPANY’S SECURITIES AND MAY NOT BE SOLD OR OTHERWISE DISPOSED OF BY THE HOLDER WITHOUT THE CONSENT OF THE COMPANY OR THE MANAGING UNDERWRITER. THE SECRETARY OF THE COMPANY WILL UPON WRITTEN REQUEST FURNISH A COPY OF SUCH AGREEMENT TO THE HOLDER HEREOF WITHOUT CHARGE.”</w:t>
      </w:r>
    </w:p>
    <w:p>
      <w:pPr>
        <w:spacing w:after="0" w:line="181"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20"/>
          <w:szCs w:val="20"/>
          <w:color w:val="auto"/>
        </w:rPr>
        <w:t>All certificates evidencing Shares purchased under this Agreement in an unregistered transaction shall bear the following legend (and such other restrictive legends as are required or deemed advisable under the provisions of any applicable law):</w:t>
      </w:r>
    </w:p>
    <w:p>
      <w:pPr>
        <w:spacing w:after="0" w:line="159" w:lineRule="exact"/>
        <w:rPr>
          <w:sz w:val="20"/>
          <w:szCs w:val="20"/>
          <w:color w:val="auto"/>
        </w:rPr>
      </w:pPr>
    </w:p>
    <w:p>
      <w:pPr>
        <w:jc w:val="both"/>
        <w:ind w:left="560"/>
        <w:spacing w:after="0" w:line="242" w:lineRule="auto"/>
        <w:rPr>
          <w:sz w:val="20"/>
          <w:szCs w:val="20"/>
          <w:color w:val="auto"/>
        </w:rPr>
      </w:pPr>
      <w:r>
        <w:rPr>
          <w:rFonts w:ascii="Times New Roman" w:cs="Times New Roman" w:eastAsia="Times New Roman" w:hAnsi="Times New Roman"/>
          <w:sz w:val="20"/>
          <w:szCs w:val="20"/>
          <w:color w:val="auto"/>
        </w:rPr>
        <w:t>“THE SHARES REPRESENTED HEREBY HAVE NOT BEEN REGISTERED UNDER THE SECURITIES ACT OF 1933, AS AMENDED (THE “ACT”) OR ANY SECURITIES LAWS OF ANY U.S. STATE, AND MAY NOT BE SOLD, REOFFERED, PLEDGED, ASSIGNED, ENCUMBERED OR OTHERWISE TRANSFERRED OR DISPOSED WITHOUT AN EFFECTIVE REGISTRATION THEREOF UNDER SUCH ACT OR AN OPINION OF COUNSEL, SATISFACTORY TO THE COMPANY AND ITS COUNSEL, THAT SUCH REGISTRATION IS NOT REQUIRED. IN THE ABSENCE OF REGISTRATION OR THE AVAILABILITY (CONFIRMED BY OPINION OF COUNSEL) OF AN ALTERNATIVE EXEMPTION FROM REGISTRATION UNDER THE ACT (INCLUDING WITHOUT LIMITATION IN ACCORDANCE WITH REGULATION S UNDER THE ACT), THESE SHARES MAY NOT BE SOLD, REOFFERED, PLEDGED, ASSIGNED, ENCUMBERED OR OTHERWISE TRANSFERRED OR DISPOSED OF. HEDGING TRANSACTIONS INVOLVING THESE SHARES MAY NOT BE CONDUCTED UNLESS IN COMPLIANCE WITH THE ACT.”</w:t>
      </w:r>
    </w:p>
    <w:p>
      <w:pPr>
        <w:spacing w:after="0" w:line="188" w:lineRule="exact"/>
        <w:rPr>
          <w:sz w:val="20"/>
          <w:szCs w:val="20"/>
          <w:color w:val="auto"/>
        </w:rPr>
      </w:pPr>
    </w:p>
    <w:p>
      <w:pPr>
        <w:jc w:val="both"/>
        <w:ind w:firstLine="794"/>
        <w:spacing w:after="0" w:line="256" w:lineRule="auto"/>
        <w:tabs>
          <w:tab w:leader="none" w:pos="1650" w:val="left"/>
        </w:tabs>
        <w:numPr>
          <w:ilvl w:val="0"/>
          <w:numId w:val="2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Removal of Legends</w:t>
      </w:r>
      <w:r>
        <w:rPr>
          <w:rFonts w:ascii="Times New Roman" w:cs="Times New Roman" w:eastAsia="Times New Roman" w:hAnsi="Times New Roman"/>
          <w:sz w:val="20"/>
          <w:szCs w:val="20"/>
          <w:color w:val="auto"/>
        </w:rPr>
        <w:t>. If, in the opinion of the Company and its counsel, any legend placed on a stock certificate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representing Shares sold under this Agreement is no longer required, the holder of such certificate shall be entitled to exchange such certificate for a certificate representing the same number of Shares but without such legend.</w:t>
      </w:r>
    </w:p>
    <w:p>
      <w:pPr>
        <w:spacing w:after="0" w:line="168" w:lineRule="exact"/>
        <w:rPr>
          <w:rFonts w:ascii="Times New Roman" w:cs="Times New Roman" w:eastAsia="Times New Roman" w:hAnsi="Times New Roman"/>
          <w:sz w:val="20"/>
          <w:szCs w:val="20"/>
          <w:color w:val="auto"/>
        </w:rPr>
      </w:pPr>
    </w:p>
    <w:p>
      <w:pPr>
        <w:ind w:firstLine="794"/>
        <w:spacing w:after="0" w:line="273" w:lineRule="auto"/>
        <w:tabs>
          <w:tab w:leader="none" w:pos="1429" w:val="left"/>
        </w:tabs>
        <w:numPr>
          <w:ilvl w:val="0"/>
          <w:numId w:val="2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Administration</w:t>
      </w:r>
      <w:r>
        <w:rPr>
          <w:rFonts w:ascii="Times New Roman" w:cs="Times New Roman" w:eastAsia="Times New Roman" w:hAnsi="Times New Roman"/>
          <w:sz w:val="20"/>
          <w:szCs w:val="20"/>
          <w:color w:val="auto"/>
        </w:rPr>
        <w:t>. Any determination by the Company and its counsel in connection with any of the matters set forth in this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Section 11 shall be conclusive and binding on the Optionee and all other persons.</w:t>
      </w: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240"/>
          </w:cols>
          <w:pgMar w:left="320" w:top="261" w:right="339" w:bottom="1440" w:gutter="0" w:footer="0" w:header="0"/>
        </w:sectPr>
      </w:pPr>
    </w:p>
    <w:bookmarkStart w:id="290" w:name="page291"/>
    <w:bookmarkEnd w:id="290"/>
    <w:p>
      <w:pPr>
        <w:spacing w:after="0"/>
        <w:tabs>
          <w:tab w:leader="none" w:pos="1420" w:val="left"/>
        </w:tabs>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SECTION 12.</w:t>
      </w:r>
      <w:r>
        <w:rPr>
          <w:sz w:val="20"/>
          <w:szCs w:val="20"/>
          <w:color w:val="auto"/>
        </w:rPr>
        <w:tab/>
      </w:r>
      <w:r>
        <w:rPr>
          <w:rFonts w:ascii="Times New Roman" w:cs="Times New Roman" w:eastAsia="Times New Roman" w:hAnsi="Times New Roman"/>
          <w:sz w:val="19"/>
          <w:szCs w:val="19"/>
          <w:b w:val="1"/>
          <w:bCs w:val="1"/>
          <w:color w:val="auto"/>
        </w:rPr>
        <w:t>ADJUSTMENT OF SHARES.</w:t>
      </w:r>
    </w:p>
    <w:p>
      <w:pPr>
        <w:spacing w:after="0" w:line="220" w:lineRule="exact"/>
        <w:rPr>
          <w:sz w:val="20"/>
          <w:szCs w:val="20"/>
          <w:color w:val="auto"/>
        </w:rPr>
      </w:pPr>
    </w:p>
    <w:p>
      <w:pPr>
        <w:jc w:val="both"/>
        <w:ind w:firstLine="786"/>
        <w:spacing w:after="0" w:line="266" w:lineRule="auto"/>
        <w:rPr>
          <w:sz w:val="20"/>
          <w:szCs w:val="20"/>
          <w:color w:val="auto"/>
        </w:rPr>
      </w:pPr>
      <w:r>
        <w:rPr>
          <w:rFonts w:ascii="Times New Roman" w:cs="Times New Roman" w:eastAsia="Times New Roman" w:hAnsi="Times New Roman"/>
          <w:sz w:val="19"/>
          <w:szCs w:val="19"/>
          <w:color w:val="auto"/>
        </w:rPr>
        <w:t>In the event of any transaction described in Section 8(a) of the Plan, the terms of this option (including, without limitation, the number and kind of Shares subject to this option and the Exercise Price) shall be adjusted as set forth in Section 8(a) of the Plan. In the event that the Company is a party to a merger or consolidation or in the event of a sale of all or substantially all of the Company’s stock or assets, this option shall be subject to the treatment provided by the Board of Directors in its sole discretion, as provided in Section 8(b) of the Plan.</w:t>
      </w:r>
    </w:p>
    <w:p>
      <w:pPr>
        <w:spacing w:after="0" w:line="161" w:lineRule="exact"/>
        <w:rPr>
          <w:sz w:val="20"/>
          <w:szCs w:val="20"/>
          <w:color w:val="auto"/>
        </w:rPr>
      </w:pPr>
    </w:p>
    <w:p>
      <w:pPr>
        <w:spacing w:after="0"/>
        <w:tabs>
          <w:tab w:leader="none" w:pos="1420" w:val="left"/>
        </w:tabs>
        <w:rPr>
          <w:sz w:val="20"/>
          <w:szCs w:val="20"/>
          <w:color w:val="auto"/>
        </w:rPr>
      </w:pPr>
      <w:r>
        <w:rPr>
          <w:rFonts w:ascii="Times New Roman" w:cs="Times New Roman" w:eastAsia="Times New Roman" w:hAnsi="Times New Roman"/>
          <w:sz w:val="20"/>
          <w:szCs w:val="20"/>
          <w:b w:val="1"/>
          <w:bCs w:val="1"/>
          <w:color w:val="auto"/>
        </w:rPr>
        <w:t>SECTION 13.</w:t>
      </w:r>
      <w:r>
        <w:rPr>
          <w:sz w:val="20"/>
          <w:szCs w:val="20"/>
          <w:color w:val="auto"/>
        </w:rPr>
        <w:tab/>
      </w:r>
      <w:r>
        <w:rPr>
          <w:rFonts w:ascii="Times New Roman" w:cs="Times New Roman" w:eastAsia="Times New Roman" w:hAnsi="Times New Roman"/>
          <w:sz w:val="19"/>
          <w:szCs w:val="19"/>
          <w:b w:val="1"/>
          <w:bCs w:val="1"/>
          <w:color w:val="auto"/>
        </w:rPr>
        <w:t>MISCELLANEOUS PROVISIONS.</w:t>
      </w:r>
    </w:p>
    <w:p>
      <w:pPr>
        <w:spacing w:after="0" w:line="216" w:lineRule="exact"/>
        <w:rPr>
          <w:sz w:val="20"/>
          <w:szCs w:val="20"/>
          <w:color w:val="auto"/>
        </w:rPr>
      </w:pPr>
    </w:p>
    <w:p>
      <w:pPr>
        <w:jc w:val="both"/>
        <w:ind w:firstLine="794"/>
        <w:spacing w:after="0" w:line="256" w:lineRule="auto"/>
        <w:tabs>
          <w:tab w:leader="none" w:pos="1401" w:val="left"/>
        </w:tabs>
        <w:numPr>
          <w:ilvl w:val="1"/>
          <w:numId w:val="2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Rights as a Stockholder</w:t>
      </w:r>
      <w:r>
        <w:rPr>
          <w:rFonts w:ascii="Times New Roman" w:cs="Times New Roman" w:eastAsia="Times New Roman" w:hAnsi="Times New Roman"/>
          <w:sz w:val="20"/>
          <w:szCs w:val="20"/>
          <w:color w:val="auto"/>
        </w:rPr>
        <w:t>. Neither the Optionee nor the Optionee’s representative shall have any rights as a stockholder with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respect to any Shares subject to this option until the Optionee or the Optionee’s representative becomes entitled to receive such Shares by filing a notice of exercise and paying the Purchase Price pursuant to Sections 4 and 5.</w:t>
      </w:r>
    </w:p>
    <w:p>
      <w:pPr>
        <w:spacing w:after="0" w:line="168" w:lineRule="exact"/>
        <w:rPr>
          <w:rFonts w:ascii="Times New Roman" w:cs="Times New Roman" w:eastAsia="Times New Roman" w:hAnsi="Times New Roman"/>
          <w:sz w:val="20"/>
          <w:szCs w:val="20"/>
          <w:color w:val="auto"/>
        </w:rPr>
      </w:pPr>
    </w:p>
    <w:p>
      <w:pPr>
        <w:jc w:val="both"/>
        <w:ind w:firstLine="794"/>
        <w:spacing w:after="0" w:line="250" w:lineRule="auto"/>
        <w:tabs>
          <w:tab w:leader="none" w:pos="1439" w:val="left"/>
        </w:tabs>
        <w:numPr>
          <w:ilvl w:val="1"/>
          <w:numId w:val="2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No Retention Rights</w:t>
      </w:r>
      <w:r>
        <w:rPr>
          <w:rFonts w:ascii="Times New Roman" w:cs="Times New Roman" w:eastAsia="Times New Roman" w:hAnsi="Times New Roman"/>
          <w:sz w:val="20"/>
          <w:szCs w:val="20"/>
          <w:color w:val="auto"/>
        </w:rPr>
        <w:t>. Nothing in this option or in the Plan shall confer upon the Optionee any right to continue in Service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for any period of specific duration or interfere with or otherwise restrict in any way the rights of the Company (or any Parent or Subsidiary employing or retaining the Optionee) or of the Optionee, which rights are hereby expressly reserved by each, to terminate his or her Service at any time and for any reason, with or without cause.</w:t>
      </w:r>
    </w:p>
    <w:p>
      <w:pPr>
        <w:spacing w:after="0" w:line="175" w:lineRule="exact"/>
        <w:rPr>
          <w:rFonts w:ascii="Times New Roman" w:cs="Times New Roman" w:eastAsia="Times New Roman" w:hAnsi="Times New Roman"/>
          <w:sz w:val="20"/>
          <w:szCs w:val="20"/>
          <w:color w:val="auto"/>
        </w:rPr>
      </w:pPr>
    </w:p>
    <w:p>
      <w:pPr>
        <w:ind w:left="1520" w:hanging="726"/>
        <w:spacing w:after="0"/>
        <w:tabs>
          <w:tab w:leader="none" w:pos="1520" w:val="left"/>
        </w:tabs>
        <w:numPr>
          <w:ilvl w:val="1"/>
          <w:numId w:val="2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Notice</w:t>
      </w:r>
      <w:r>
        <w:rPr>
          <w:rFonts w:ascii="Times New Roman" w:cs="Times New Roman" w:eastAsia="Times New Roman" w:hAnsi="Times New Roman"/>
          <w:sz w:val="20"/>
          <w:szCs w:val="20"/>
          <w:color w:val="auto"/>
        </w:rPr>
        <w:t>. Any notice required by the terms of this Agreement shall be given in writing. It shall be deemed effective upon</w:t>
      </w:r>
    </w:p>
    <w:p>
      <w:pPr>
        <w:spacing w:after="0" w:line="25" w:lineRule="exact"/>
        <w:rPr>
          <w:rFonts w:ascii="Times New Roman" w:cs="Times New Roman" w:eastAsia="Times New Roman" w:hAnsi="Times New Roman"/>
          <w:sz w:val="20"/>
          <w:szCs w:val="20"/>
          <w:color w:val="auto"/>
        </w:rPr>
      </w:pPr>
    </w:p>
    <w:p>
      <w:pPr>
        <w:ind w:left="280" w:hanging="272"/>
        <w:spacing w:after="0"/>
        <w:tabs>
          <w:tab w:leader="none" w:pos="280" w:val="left"/>
        </w:tabs>
        <w:numPr>
          <w:ilvl w:val="0"/>
          <w:numId w:val="2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personal delivery, (ii) deposit with the United States Postal Service, by registered or certified mail, with postage and fees prepaid,</w:t>
      </w:r>
    </w:p>
    <w:p>
      <w:pPr>
        <w:jc w:val="both"/>
        <w:ind w:firstLine="8"/>
        <w:spacing w:after="0" w:line="242" w:lineRule="auto"/>
        <w:tabs>
          <w:tab w:leader="none" w:pos="348" w:val="left"/>
        </w:tabs>
        <w:numPr>
          <w:ilvl w:val="0"/>
          <w:numId w:val="2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deposit with Federal Express Corporation, with shipping charges prepaid or (iv) deposit with any internationally recognized express mail courier service. Notice shall be addressed to the Company at its principal executive office and to the Optionee at the address that he or she most recently provided to the Company in accordance with this Subsection (c).</w:t>
      </w:r>
    </w:p>
    <w:p>
      <w:pPr>
        <w:spacing w:after="0" w:line="182" w:lineRule="exact"/>
        <w:rPr>
          <w:rFonts w:ascii="Times New Roman" w:cs="Times New Roman" w:eastAsia="Times New Roman" w:hAnsi="Times New Roman"/>
          <w:sz w:val="20"/>
          <w:szCs w:val="20"/>
          <w:color w:val="auto"/>
        </w:rPr>
      </w:pPr>
    </w:p>
    <w:p>
      <w:pPr>
        <w:jc w:val="both"/>
        <w:ind w:firstLine="794"/>
        <w:spacing w:after="0" w:line="250" w:lineRule="auto"/>
        <w:tabs>
          <w:tab w:leader="none" w:pos="1709" w:val="left"/>
        </w:tabs>
        <w:numPr>
          <w:ilvl w:val="1"/>
          <w:numId w:val="2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Modifications and Waivers</w:t>
      </w:r>
      <w:r>
        <w:rPr>
          <w:rFonts w:ascii="Times New Roman" w:cs="Times New Roman" w:eastAsia="Times New Roman" w:hAnsi="Times New Roman"/>
          <w:sz w:val="20"/>
          <w:szCs w:val="20"/>
          <w:color w:val="auto"/>
        </w:rPr>
        <w:t>. No provision of this Agreement shall be modified, waived or discharged unless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modification, waiver or discharge is agreed to in writing and signed by the Optionee and by an authorized officer of the Company (other than the Optionee). No waiver by either party of any breach of, or of compliance with, any condition or provision of this Agreement by the other party shall be considered a waiver of any other condition or provision or of the same condition or provision at another time.</w:t>
      </w:r>
    </w:p>
    <w:p>
      <w:pPr>
        <w:spacing w:after="0" w:line="175" w:lineRule="exact"/>
        <w:rPr>
          <w:rFonts w:ascii="Times New Roman" w:cs="Times New Roman" w:eastAsia="Times New Roman" w:hAnsi="Times New Roman"/>
          <w:sz w:val="20"/>
          <w:szCs w:val="20"/>
          <w:color w:val="auto"/>
        </w:rPr>
      </w:pPr>
    </w:p>
    <w:p>
      <w:pPr>
        <w:jc w:val="both"/>
        <w:ind w:firstLine="794"/>
        <w:spacing w:after="0" w:line="256" w:lineRule="auto"/>
        <w:tabs>
          <w:tab w:leader="none" w:pos="1455" w:val="left"/>
        </w:tabs>
        <w:numPr>
          <w:ilvl w:val="1"/>
          <w:numId w:val="2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Entire Agreement</w:t>
      </w:r>
      <w:r>
        <w:rPr>
          <w:rFonts w:ascii="Times New Roman" w:cs="Times New Roman" w:eastAsia="Times New Roman" w:hAnsi="Times New Roman"/>
          <w:sz w:val="20"/>
          <w:szCs w:val="20"/>
          <w:color w:val="auto"/>
        </w:rPr>
        <w:t>. The Notice of Stock Option Grant, this Agreement and the Plan constitute the entire contract between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parties hereto with regard to the subject matter hereof. They supersede any other agreements, representations or understandings (whether oral or written and whether express or implied) that relate to the subject matter hereof.</w:t>
      </w:r>
    </w:p>
    <w:p>
      <w:pPr>
        <w:spacing w:after="0" w:line="168" w:lineRule="exact"/>
        <w:rPr>
          <w:rFonts w:ascii="Times New Roman" w:cs="Times New Roman" w:eastAsia="Times New Roman" w:hAnsi="Times New Roman"/>
          <w:sz w:val="20"/>
          <w:szCs w:val="20"/>
          <w:color w:val="auto"/>
        </w:rPr>
      </w:pPr>
    </w:p>
    <w:p>
      <w:pPr>
        <w:ind w:firstLine="794"/>
        <w:spacing w:after="0" w:line="273" w:lineRule="auto"/>
        <w:tabs>
          <w:tab w:leader="none" w:pos="1393" w:val="left"/>
        </w:tabs>
        <w:numPr>
          <w:ilvl w:val="1"/>
          <w:numId w:val="2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Choice of Law</w:t>
      </w:r>
      <w:r>
        <w:rPr>
          <w:rFonts w:ascii="Times New Roman" w:cs="Times New Roman" w:eastAsia="Times New Roman" w:hAnsi="Times New Roman"/>
          <w:sz w:val="20"/>
          <w:szCs w:val="20"/>
          <w:color w:val="auto"/>
        </w:rPr>
        <w:t>. This Agreement shall be governed by, and construed in accordance with, the laws of the State of Delaware,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as such laws are applied to contracts entered into and performed in such State.</w:t>
      </w:r>
    </w:p>
    <w:p>
      <w:pPr>
        <w:spacing w:after="0" w:line="152" w:lineRule="exact"/>
        <w:rPr>
          <w:sz w:val="20"/>
          <w:szCs w:val="20"/>
          <w:color w:val="auto"/>
        </w:rPr>
      </w:pPr>
    </w:p>
    <w:p>
      <w:pPr>
        <w:spacing w:after="0"/>
        <w:tabs>
          <w:tab w:leader="none" w:pos="1420" w:val="left"/>
        </w:tabs>
        <w:rPr>
          <w:sz w:val="20"/>
          <w:szCs w:val="20"/>
          <w:color w:val="auto"/>
        </w:rPr>
      </w:pPr>
      <w:r>
        <w:rPr>
          <w:rFonts w:ascii="Times New Roman" w:cs="Times New Roman" w:eastAsia="Times New Roman" w:hAnsi="Times New Roman"/>
          <w:sz w:val="20"/>
          <w:szCs w:val="20"/>
          <w:b w:val="1"/>
          <w:bCs w:val="1"/>
          <w:color w:val="auto"/>
        </w:rPr>
        <w:t>SECTION 14.</w:t>
      </w:r>
      <w:r>
        <w:rPr>
          <w:sz w:val="20"/>
          <w:szCs w:val="20"/>
          <w:color w:val="auto"/>
        </w:rPr>
        <w:tab/>
      </w:r>
      <w:r>
        <w:rPr>
          <w:rFonts w:ascii="Times New Roman" w:cs="Times New Roman" w:eastAsia="Times New Roman" w:hAnsi="Times New Roman"/>
          <w:sz w:val="19"/>
          <w:szCs w:val="19"/>
          <w:b w:val="1"/>
          <w:bCs w:val="1"/>
          <w:color w:val="auto"/>
        </w:rPr>
        <w:t>ACKNOWLEDGEMENTS OF THE OPTIONEE.</w:t>
      </w:r>
    </w:p>
    <w:p>
      <w:pPr>
        <w:spacing w:after="0" w:line="220" w:lineRule="exact"/>
        <w:rPr>
          <w:sz w:val="20"/>
          <w:szCs w:val="20"/>
          <w:color w:val="auto"/>
        </w:rPr>
      </w:pPr>
    </w:p>
    <w:p>
      <w:pPr>
        <w:jc w:val="both"/>
        <w:ind w:firstLine="786"/>
        <w:spacing w:after="0" w:line="249" w:lineRule="auto"/>
        <w:rPr>
          <w:sz w:val="20"/>
          <w:szCs w:val="20"/>
          <w:color w:val="auto"/>
        </w:rPr>
      </w:pPr>
      <w:r>
        <w:rPr>
          <w:rFonts w:ascii="Times New Roman" w:cs="Times New Roman" w:eastAsia="Times New Roman" w:hAnsi="Times New Roman"/>
          <w:sz w:val="20"/>
          <w:szCs w:val="20"/>
          <w:color w:val="auto"/>
        </w:rPr>
        <w:t>In addition to the other terms, conditions and restrictions imposed on this option and the Shares issuable under this option pursuant to this Agreement and the Plan, the Optionee expressly acknowledges being subject to Sections 7 (Right of Repurchase), 8 (Right of First Refusal), 9 (Legality of Initial Issuance) and 11 (Restrictions on Transfer of Shares, including without limitation the Market Stand-Off), as well as the following provisions: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240"/>
          </w:cols>
          <w:pgMar w:left="320" w:top="261" w:right="339" w:bottom="1440" w:gutter="0" w:footer="0" w:header="0"/>
        </w:sectPr>
      </w:pPr>
    </w:p>
    <w:bookmarkStart w:id="291" w:name="page292"/>
    <w:bookmarkEnd w:id="291"/>
    <w:p>
      <w:pPr>
        <w:jc w:val="both"/>
        <w:ind w:firstLine="794"/>
        <w:spacing w:after="0" w:line="243" w:lineRule="auto"/>
        <w:tabs>
          <w:tab w:leader="none" w:pos="1506" w:val="left"/>
        </w:tabs>
        <w:numPr>
          <w:ilvl w:val="0"/>
          <w:numId w:val="2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Tax Consequences</w:t>
      </w:r>
      <w:r>
        <w:rPr>
          <w:rFonts w:ascii="Times New Roman" w:cs="Times New Roman" w:eastAsia="Times New Roman" w:hAnsi="Times New Roman"/>
          <w:sz w:val="20"/>
          <w:szCs w:val="20"/>
          <w:color w:val="auto"/>
        </w:rPr>
        <w:t>. The Optionee agrees that the Company does not have a duty to design or administer the Plan or its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other compensation programs in a manner that minimizes the Optionee’s tax liabilities. The Optionee shall not make any claim against the Company or its Board of Directors, officers or employees related to tax liabilities arising from this option or the Optionee’s other compensation. In particular, any Optionee subject to U.S. taxation acknowledges that this option is exempt from Section 409A of the Code only if the Exercise Price is at least equal to the Fair Market Value per Share on the Date of Grant. Since Shares are not traded on an established securities market, the determination of their Fair Market Value is made by the Board of Directors or by an independent valuation firm retained by the Company. The Optionee acknowledges that there is no guarantee in either case that the Internal Revenue Service will agree with the valuation, and the Optionee shall not make any claim against the Company or its Board of Directors, officers or employees in the event that the Internal Revenue Service asserts that the valuation was too low.</w:t>
      </w:r>
    </w:p>
    <w:p>
      <w:pPr>
        <w:spacing w:after="0" w:line="185" w:lineRule="exact"/>
        <w:rPr>
          <w:rFonts w:ascii="Times New Roman" w:cs="Times New Roman" w:eastAsia="Times New Roman" w:hAnsi="Times New Roman"/>
          <w:sz w:val="20"/>
          <w:szCs w:val="20"/>
          <w:color w:val="auto"/>
        </w:rPr>
      </w:pPr>
    </w:p>
    <w:p>
      <w:pPr>
        <w:jc w:val="both"/>
        <w:ind w:firstLine="794"/>
        <w:spacing w:after="0" w:line="244" w:lineRule="auto"/>
        <w:tabs>
          <w:tab w:leader="none" w:pos="1499" w:val="left"/>
        </w:tabs>
        <w:numPr>
          <w:ilvl w:val="0"/>
          <w:numId w:val="2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Electronic Delivery of Documents</w:t>
      </w:r>
      <w:r>
        <w:rPr>
          <w:rFonts w:ascii="Times New Roman" w:cs="Times New Roman" w:eastAsia="Times New Roman" w:hAnsi="Times New Roman"/>
          <w:sz w:val="20"/>
          <w:szCs w:val="20"/>
          <w:color w:val="auto"/>
        </w:rPr>
        <w:t>. The Optionee agrees to accept by email all documents relating to the Company,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Plan or this option and all other documents that the Company is required to deliver to its security holders (including, without limitation, disclosures that may be required by the Securities and Exchange Commission). The Optionee also agrees that the Company may deliver these documents by posting them on a website maintained by the Company or by a third party under contract with the Company. If the Company posts these documents on a website, it shall notify the Optionee by email of their availability. The Optionee acknowledges that he or she may incur costs in connection with electronic delivery, including the cost of accessing the internet and printing fees, and that an interruption of internet access may interfere with his or her ability to access the documents. This consent shall remain in effect until this option expires or until the Optionee gives the Company written notice that it should deliver paper documents.</w:t>
      </w:r>
    </w:p>
    <w:p>
      <w:pPr>
        <w:spacing w:after="0" w:line="181" w:lineRule="exact"/>
        <w:rPr>
          <w:rFonts w:ascii="Times New Roman" w:cs="Times New Roman" w:eastAsia="Times New Roman" w:hAnsi="Times New Roman"/>
          <w:sz w:val="20"/>
          <w:szCs w:val="20"/>
          <w:color w:val="auto"/>
        </w:rPr>
      </w:pPr>
    </w:p>
    <w:p>
      <w:pPr>
        <w:jc w:val="both"/>
        <w:ind w:firstLine="794"/>
        <w:spacing w:after="0" w:line="246" w:lineRule="auto"/>
        <w:tabs>
          <w:tab w:leader="none" w:pos="1408" w:val="left"/>
        </w:tabs>
        <w:numPr>
          <w:ilvl w:val="0"/>
          <w:numId w:val="2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No Notice of Expiration Date</w:t>
      </w:r>
      <w:r>
        <w:rPr>
          <w:rFonts w:ascii="Times New Roman" w:cs="Times New Roman" w:eastAsia="Times New Roman" w:hAnsi="Times New Roman"/>
          <w:sz w:val="20"/>
          <w:szCs w:val="20"/>
          <w:color w:val="auto"/>
        </w:rPr>
        <w:t>. The Optionee agrees that the Company and its officers, employees, attorneys and agents do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not have any obligation to notify him or her prior to the expiration of this option pursuant to Section 6, regardless of whether this option will expire at the end of its full term or on an earlier date related to the termination of the Optionee’s Service. The Optionee further agrees that he or she has the sole responsibility for monitoring the expiration of this option and for exercising this option, if at all, before it expires. This Subsection (c) shall supersede any contrary representation that may have been made, orally or in writing, by the Company or by an officer, employee, attorney or agent of the Company.</w:t>
      </w:r>
    </w:p>
    <w:p>
      <w:pPr>
        <w:spacing w:after="0" w:line="178" w:lineRule="exact"/>
        <w:rPr>
          <w:rFonts w:ascii="Times New Roman" w:cs="Times New Roman" w:eastAsia="Times New Roman" w:hAnsi="Times New Roman"/>
          <w:sz w:val="20"/>
          <w:szCs w:val="20"/>
          <w:color w:val="auto"/>
        </w:rPr>
      </w:pPr>
    </w:p>
    <w:p>
      <w:pPr>
        <w:jc w:val="both"/>
        <w:ind w:firstLine="794"/>
        <w:spacing w:after="0" w:line="245" w:lineRule="auto"/>
        <w:tabs>
          <w:tab w:leader="none" w:pos="1476" w:val="left"/>
        </w:tabs>
        <w:numPr>
          <w:ilvl w:val="0"/>
          <w:numId w:val="2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Waiver of Statutory Information Rights</w:t>
      </w:r>
      <w:r>
        <w:rPr>
          <w:rFonts w:ascii="Times New Roman" w:cs="Times New Roman" w:eastAsia="Times New Roman" w:hAnsi="Times New Roman"/>
          <w:sz w:val="20"/>
          <w:szCs w:val="20"/>
          <w:color w:val="auto"/>
        </w:rPr>
        <w:t>. The Optionee acknowledges and agrees that, upon exercise of this option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until the first sale of the Company’s Stock to the general public pursuant to a registration statement filed under the Securities Act, he or she will be deemed to have waived any rights the Optionee might otherwise have had under Section 220 of the Delaware General Corporation Law (or under similar rights under other applicable law) to inspect for any proper purpose and to make copies and extracts from the Company’s stock ledger, a list of its stockholders and its other books and records or the books and records of any subsidiary. This waiver applies only in the Optionee’s capacity as a stockholder and does not affect any other inspection rights the Optionee may have under other law or pursuant to a written agreement with the Company.</w:t>
      </w:r>
    </w:p>
    <w:p>
      <w:pPr>
        <w:spacing w:after="0" w:line="179" w:lineRule="exact"/>
        <w:rPr>
          <w:rFonts w:ascii="Times New Roman" w:cs="Times New Roman" w:eastAsia="Times New Roman" w:hAnsi="Times New Roman"/>
          <w:sz w:val="20"/>
          <w:szCs w:val="20"/>
          <w:color w:val="auto"/>
        </w:rPr>
      </w:pPr>
    </w:p>
    <w:p>
      <w:pPr>
        <w:jc w:val="both"/>
        <w:ind w:firstLine="794"/>
        <w:spacing w:after="0" w:line="264" w:lineRule="auto"/>
        <w:tabs>
          <w:tab w:leader="none" w:pos="1653" w:val="left"/>
        </w:tabs>
        <w:numPr>
          <w:ilvl w:val="0"/>
          <w:numId w:val="25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Plan Discretionary</w:t>
      </w:r>
      <w:r>
        <w:rPr>
          <w:rFonts w:ascii="Times New Roman" w:cs="Times New Roman" w:eastAsia="Times New Roman" w:hAnsi="Times New Roman"/>
          <w:sz w:val="19"/>
          <w:szCs w:val="19"/>
          <w:color w:val="auto"/>
        </w:rPr>
        <w:t>. The Optionee understands and acknowledges that (i) the Plan is entirely discretionary, (ii)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Company and the Optionee’s employer have reserved the right to amend, suspend or terminate the Plan at any time, (iii) the grant of an option does not in any way create any contractual or other right to receive additional grants of options (or benefits in lieu of options) at any time or in any amount and (iv) all determinations with respect to any additional grants, including (without limitation) the times when options will be granted, the number of Shares offered, the Exercise Price and the vesting schedule, will be at the sole discretion of the Company.</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240"/>
          </w:cols>
          <w:pgMar w:left="320" w:top="261" w:right="339" w:bottom="1440" w:gutter="0" w:footer="0" w:header="0"/>
        </w:sectPr>
      </w:pPr>
    </w:p>
    <w:bookmarkStart w:id="292" w:name="page293"/>
    <w:bookmarkEnd w:id="292"/>
    <w:p>
      <w:pPr>
        <w:ind w:firstLine="794"/>
        <w:spacing w:after="0" w:line="273" w:lineRule="auto"/>
        <w:tabs>
          <w:tab w:leader="none" w:pos="1709" w:val="left"/>
        </w:tabs>
        <w:numPr>
          <w:ilvl w:val="0"/>
          <w:numId w:val="2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Termination of Service</w:t>
      </w:r>
      <w:r>
        <w:rPr>
          <w:rFonts w:ascii="Times New Roman" w:cs="Times New Roman" w:eastAsia="Times New Roman" w:hAnsi="Times New Roman"/>
          <w:sz w:val="20"/>
          <w:szCs w:val="20"/>
          <w:color w:val="auto"/>
        </w:rPr>
        <w:t>. The Optionee understands and acknowledges that participation in the Plan ceases upon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termination of his or her Service for any reason, except as may explicitly be provided otherwise in the Plan or this Agreement.</w:t>
      </w:r>
    </w:p>
    <w:p>
      <w:pPr>
        <w:spacing w:after="0" w:line="151" w:lineRule="exact"/>
        <w:rPr>
          <w:rFonts w:ascii="Times New Roman" w:cs="Times New Roman" w:eastAsia="Times New Roman" w:hAnsi="Times New Roman"/>
          <w:sz w:val="20"/>
          <w:szCs w:val="20"/>
          <w:color w:val="auto"/>
        </w:rPr>
      </w:pPr>
    </w:p>
    <w:p>
      <w:pPr>
        <w:jc w:val="both"/>
        <w:ind w:firstLine="794"/>
        <w:spacing w:after="0" w:line="250" w:lineRule="auto"/>
        <w:tabs>
          <w:tab w:leader="none" w:pos="1448" w:val="left"/>
        </w:tabs>
        <w:numPr>
          <w:ilvl w:val="0"/>
          <w:numId w:val="2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Extraordinary Compensation</w:t>
      </w:r>
      <w:r>
        <w:rPr>
          <w:rFonts w:ascii="Times New Roman" w:cs="Times New Roman" w:eastAsia="Times New Roman" w:hAnsi="Times New Roman"/>
          <w:sz w:val="20"/>
          <w:szCs w:val="20"/>
          <w:color w:val="auto"/>
        </w:rPr>
        <w:t>. The value of this option shall be an extraordinary item of compensation outside the scope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 the Optionee’s employment contract, if any, and shall not be considered a part of his or her normal or expected compensation for purposes of calculating severance, resignation, redundancy or end-of-service payments, bonuses, long-service awards, pension or retirement benefits or similar payments.</w:t>
      </w:r>
    </w:p>
    <w:p>
      <w:pPr>
        <w:spacing w:after="0" w:line="175" w:lineRule="exact"/>
        <w:rPr>
          <w:rFonts w:ascii="Times New Roman" w:cs="Times New Roman" w:eastAsia="Times New Roman" w:hAnsi="Times New Roman"/>
          <w:sz w:val="20"/>
          <w:szCs w:val="20"/>
          <w:color w:val="auto"/>
        </w:rPr>
      </w:pPr>
    </w:p>
    <w:p>
      <w:pPr>
        <w:jc w:val="both"/>
        <w:ind w:firstLine="794"/>
        <w:spacing w:after="0" w:line="250" w:lineRule="auto"/>
        <w:tabs>
          <w:tab w:leader="none" w:pos="1658" w:val="left"/>
        </w:tabs>
        <w:numPr>
          <w:ilvl w:val="0"/>
          <w:numId w:val="2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Authorization to Disclose</w:t>
      </w:r>
      <w:r>
        <w:rPr>
          <w:rFonts w:ascii="Times New Roman" w:cs="Times New Roman" w:eastAsia="Times New Roman" w:hAnsi="Times New Roman"/>
          <w:sz w:val="20"/>
          <w:szCs w:val="20"/>
          <w:color w:val="auto"/>
        </w:rPr>
        <w:t>. The Optionee hereby authorizes and directs the Optionee’s employer to disclose to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Company or any Subsidiary any information regarding the Optionee’s employment, the nature and amount of the Optionee’s compensation and the fact and conditions of the Optionee’s participation in the Plan, as the Optionee’s employer deems necessary or appropriate to facilitate the administration of the Plan.</w:t>
      </w:r>
    </w:p>
    <w:p>
      <w:pPr>
        <w:spacing w:after="0" w:line="175" w:lineRule="exact"/>
        <w:rPr>
          <w:rFonts w:ascii="Times New Roman" w:cs="Times New Roman" w:eastAsia="Times New Roman" w:hAnsi="Times New Roman"/>
          <w:sz w:val="20"/>
          <w:szCs w:val="20"/>
          <w:color w:val="auto"/>
        </w:rPr>
      </w:pPr>
    </w:p>
    <w:p>
      <w:pPr>
        <w:jc w:val="both"/>
        <w:ind w:firstLine="794"/>
        <w:spacing w:after="0" w:line="241" w:lineRule="auto"/>
        <w:tabs>
          <w:tab w:leader="none" w:pos="1454" w:val="left"/>
        </w:tabs>
        <w:numPr>
          <w:ilvl w:val="0"/>
          <w:numId w:val="2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Personal Data Authorization</w:t>
      </w:r>
      <w:r>
        <w:rPr>
          <w:rFonts w:ascii="Times New Roman" w:cs="Times New Roman" w:eastAsia="Times New Roman" w:hAnsi="Times New Roman"/>
          <w:sz w:val="20"/>
          <w:szCs w:val="20"/>
          <w:color w:val="auto"/>
        </w:rPr>
        <w:t>. The Optionee consents to the collection, use and transfer of personal data as described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this Subsection (i). The Optionee understands and acknowledges that the Company, the Optionee’s employer and the Company’s other Subsidiaries hold certain personal information regarding the Optionee for the purpose of managing and administering the Plan, including (without limitation) the Optionee’s name, home address, telephone number, date of birth, social insurance number, salary, nationality, job title, any Shares or directorships held in the Company and details of all options or any other entitlements to Shares awarded, canceled, exercised, vested, unvested or outstanding in the Optionee’s favor (the “</w:t>
      </w:r>
      <w:r>
        <w:rPr>
          <w:rFonts w:ascii="Times New Roman" w:cs="Times New Roman" w:eastAsia="Times New Roman" w:hAnsi="Times New Roman"/>
          <w:sz w:val="20"/>
          <w:szCs w:val="20"/>
          <w:b w:val="1"/>
          <w:bCs w:val="1"/>
          <w:color w:val="auto"/>
        </w:rPr>
        <w:t>Data</w:t>
      </w:r>
      <w:r>
        <w:rPr>
          <w:rFonts w:ascii="Times New Roman" w:cs="Times New Roman" w:eastAsia="Times New Roman" w:hAnsi="Times New Roman"/>
          <w:sz w:val="20"/>
          <w:szCs w:val="20"/>
          <w:color w:val="auto"/>
        </w:rPr>
        <w:t>”). The Optionee further understands and acknowledges that the Company and/or its Subsidiaries will transfer Data among themselves as necessary for the purpose of implementation, administration and management of the Optionee’s participation in the Plan and that the Company and/or any Subsidiary may each further transfer Data to any third party assisting the Company in the implementation, administration and management of the Plan. The Optionee understands and acknowledges that the recipients of Data may be located in the United States or elsewhere. The Optionee authorizes such recipients to receive, possess, use, retain and transfer Data, in electronic or other form, for the purpose of administering the Optionee’s participation in the Plan, including a transfer to any broker or other third party with whom the Optionee elects to deposit Shares acquired under the Plan of such Data as may be required for the administration of the Plan and/or the subsequent holding of Shares on the Optionee’s behalf. The Optionee may, at any time, view the Data, require any necessary modifications of Data or withdraw the consents set forth in this Subsection (i) by contacting the Company in writing.</w:t>
      </w:r>
    </w:p>
    <w:p>
      <w:pPr>
        <w:spacing w:after="0" w:line="194" w:lineRule="exact"/>
        <w:rPr>
          <w:sz w:val="20"/>
          <w:szCs w:val="20"/>
          <w:color w:val="auto"/>
        </w:rPr>
      </w:pPr>
    </w:p>
    <w:p>
      <w:pPr>
        <w:spacing w:after="0"/>
        <w:tabs>
          <w:tab w:leader="none" w:pos="1420" w:val="left"/>
        </w:tabs>
        <w:rPr>
          <w:sz w:val="20"/>
          <w:szCs w:val="20"/>
          <w:color w:val="auto"/>
        </w:rPr>
      </w:pPr>
      <w:r>
        <w:rPr>
          <w:rFonts w:ascii="Times New Roman" w:cs="Times New Roman" w:eastAsia="Times New Roman" w:hAnsi="Times New Roman"/>
          <w:sz w:val="20"/>
          <w:szCs w:val="20"/>
          <w:b w:val="1"/>
          <w:bCs w:val="1"/>
          <w:color w:val="auto"/>
        </w:rPr>
        <w:t>SECTION 15.</w:t>
      </w:r>
      <w:r>
        <w:rPr>
          <w:sz w:val="20"/>
          <w:szCs w:val="20"/>
          <w:color w:val="auto"/>
        </w:rPr>
        <w:tab/>
      </w:r>
      <w:r>
        <w:rPr>
          <w:rFonts w:ascii="Times New Roman" w:cs="Times New Roman" w:eastAsia="Times New Roman" w:hAnsi="Times New Roman"/>
          <w:sz w:val="19"/>
          <w:szCs w:val="19"/>
          <w:b w:val="1"/>
          <w:bCs w:val="1"/>
          <w:color w:val="auto"/>
        </w:rPr>
        <w:t>DEFINITIONS.</w:t>
      </w:r>
    </w:p>
    <w:p>
      <w:pPr>
        <w:spacing w:after="0" w:line="216" w:lineRule="exact"/>
        <w:rPr>
          <w:sz w:val="20"/>
          <w:szCs w:val="20"/>
          <w:color w:val="auto"/>
        </w:rPr>
      </w:pPr>
    </w:p>
    <w:p>
      <w:pPr>
        <w:ind w:left="1400" w:hanging="606"/>
        <w:spacing w:after="0"/>
        <w:tabs>
          <w:tab w:leader="none" w:pos="1400" w:val="left"/>
        </w:tabs>
        <w:numPr>
          <w:ilvl w:val="0"/>
          <w:numId w:val="2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Agreement</w:t>
      </w:r>
      <w:r>
        <w:rPr>
          <w:rFonts w:ascii="Times New Roman" w:cs="Times New Roman" w:eastAsia="Times New Roman" w:hAnsi="Times New Roman"/>
          <w:sz w:val="20"/>
          <w:szCs w:val="20"/>
          <w:color w:val="auto"/>
        </w:rPr>
        <w:t>” shall mean this Stock Option Agreement.</w:t>
      </w:r>
    </w:p>
    <w:p>
      <w:pPr>
        <w:spacing w:after="0" w:line="215" w:lineRule="exact"/>
        <w:rPr>
          <w:rFonts w:ascii="Times New Roman" w:cs="Times New Roman" w:eastAsia="Times New Roman" w:hAnsi="Times New Roman"/>
          <w:sz w:val="20"/>
          <w:szCs w:val="20"/>
          <w:color w:val="auto"/>
        </w:rPr>
      </w:pPr>
    </w:p>
    <w:p>
      <w:pPr>
        <w:ind w:firstLine="794"/>
        <w:spacing w:after="0" w:line="273" w:lineRule="auto"/>
        <w:tabs>
          <w:tab w:leader="none" w:pos="1642" w:val="left"/>
        </w:tabs>
        <w:numPr>
          <w:ilvl w:val="0"/>
          <w:numId w:val="2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Board of Directors</w:t>
      </w:r>
      <w:r>
        <w:rPr>
          <w:rFonts w:ascii="Times New Roman" w:cs="Times New Roman" w:eastAsia="Times New Roman" w:hAnsi="Times New Roman"/>
          <w:sz w:val="20"/>
          <w:szCs w:val="20"/>
          <w:color w:val="auto"/>
        </w:rPr>
        <w:t>” shall mean the Board of Directors of the Company, as constituted from time to time or, if a Committee has been appointed, such Committee.</w:t>
      </w:r>
    </w:p>
    <w:p>
      <w:pPr>
        <w:spacing w:after="0" w:line="151" w:lineRule="exact"/>
        <w:rPr>
          <w:rFonts w:ascii="Times New Roman" w:cs="Times New Roman" w:eastAsia="Times New Roman" w:hAnsi="Times New Roman"/>
          <w:sz w:val="20"/>
          <w:szCs w:val="20"/>
          <w:color w:val="auto"/>
        </w:rPr>
      </w:pPr>
    </w:p>
    <w:p>
      <w:pPr>
        <w:ind w:left="1400" w:hanging="606"/>
        <w:spacing w:after="0"/>
        <w:tabs>
          <w:tab w:leader="none" w:pos="1400" w:val="left"/>
        </w:tabs>
        <w:numPr>
          <w:ilvl w:val="0"/>
          <w:numId w:val="2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 shall mean Tarsus Pharmaceuticals, Inc., a Delaware corporation.</w:t>
      </w:r>
    </w:p>
    <w:p>
      <w:pPr>
        <w:spacing w:after="0" w:line="215" w:lineRule="exact"/>
        <w:rPr>
          <w:rFonts w:ascii="Times New Roman" w:cs="Times New Roman" w:eastAsia="Times New Roman" w:hAnsi="Times New Roman"/>
          <w:sz w:val="20"/>
          <w:szCs w:val="20"/>
          <w:color w:val="auto"/>
        </w:rPr>
      </w:pPr>
    </w:p>
    <w:p>
      <w:pPr>
        <w:ind w:firstLine="794"/>
        <w:spacing w:after="0" w:line="273" w:lineRule="auto"/>
        <w:tabs>
          <w:tab w:leader="none" w:pos="1710" w:val="left"/>
        </w:tabs>
        <w:numPr>
          <w:ilvl w:val="0"/>
          <w:numId w:val="2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Immediate Family</w:t>
      </w:r>
      <w:r>
        <w:rPr>
          <w:rFonts w:ascii="Times New Roman" w:cs="Times New Roman" w:eastAsia="Times New Roman" w:hAnsi="Times New Roman"/>
          <w:sz w:val="20"/>
          <w:szCs w:val="20"/>
          <w:color w:val="auto"/>
        </w:rPr>
        <w:t>” shall mean any child, stepchild, grandchild, parent, stepparent, grandparent, spouse, sibling, mother-in-law, father-in-law, son-in-law, daughter-in-law, brother-in-law or sister-in-law and shall include adoptive relationships.</w:t>
      </w:r>
    </w:p>
    <w:p>
      <w:pPr>
        <w:spacing w:after="0" w:line="151" w:lineRule="exact"/>
        <w:rPr>
          <w:rFonts w:ascii="Times New Roman" w:cs="Times New Roman" w:eastAsia="Times New Roman" w:hAnsi="Times New Roman"/>
          <w:sz w:val="20"/>
          <w:szCs w:val="20"/>
          <w:color w:val="auto"/>
        </w:rPr>
      </w:pPr>
    </w:p>
    <w:p>
      <w:pPr>
        <w:ind w:left="1400" w:hanging="606"/>
        <w:spacing w:after="0"/>
        <w:tabs>
          <w:tab w:leader="none" w:pos="1400" w:val="left"/>
        </w:tabs>
        <w:numPr>
          <w:ilvl w:val="0"/>
          <w:numId w:val="2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Optionee</w:t>
      </w:r>
      <w:r>
        <w:rPr>
          <w:rFonts w:ascii="Times New Roman" w:cs="Times New Roman" w:eastAsia="Times New Roman" w:hAnsi="Times New Roman"/>
          <w:sz w:val="20"/>
          <w:szCs w:val="20"/>
          <w:color w:val="auto"/>
        </w:rPr>
        <w:t>” shall mean the person named in the Notice of Stock Option Grant.</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240"/>
          </w:cols>
          <w:pgMar w:left="320" w:top="261" w:right="339" w:bottom="1440" w:gutter="0" w:footer="0" w:header="0"/>
        </w:sectPr>
      </w:pPr>
    </w:p>
    <w:bookmarkStart w:id="293" w:name="page294"/>
    <w:bookmarkEnd w:id="293"/>
    <w:p>
      <w:pPr>
        <w:ind w:left="1380" w:hanging="586"/>
        <w:spacing w:after="0"/>
        <w:tabs>
          <w:tab w:leader="none" w:pos="1380" w:val="left"/>
        </w:tabs>
        <w:numPr>
          <w:ilvl w:val="0"/>
          <w:numId w:val="2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Times New Roman" w:cs="Times New Roman" w:eastAsia="Times New Roman" w:hAnsi="Times New Roman"/>
          <w:sz w:val="20"/>
          <w:szCs w:val="20"/>
          <w:b w:val="1"/>
          <w:bCs w:val="1"/>
          <w:color w:val="auto"/>
        </w:rPr>
        <w:t>Plan</w:t>
      </w:r>
      <w:r>
        <w:rPr>
          <w:rFonts w:ascii="Times New Roman" w:cs="Times New Roman" w:eastAsia="Times New Roman" w:hAnsi="Times New Roman"/>
          <w:sz w:val="20"/>
          <w:szCs w:val="20"/>
          <w:color w:val="auto"/>
        </w:rPr>
        <w:t>” shall mean the Tarsus Pharmaceuticals, Inc. 2016 Stock Plan, as in effect on the Date of Grant.</w:t>
      </w:r>
    </w:p>
    <w:p>
      <w:pPr>
        <w:spacing w:after="0" w:line="215" w:lineRule="exact"/>
        <w:rPr>
          <w:rFonts w:ascii="Times New Roman" w:cs="Times New Roman" w:eastAsia="Times New Roman" w:hAnsi="Times New Roman"/>
          <w:sz w:val="20"/>
          <w:szCs w:val="20"/>
          <w:color w:val="auto"/>
        </w:rPr>
      </w:pPr>
    </w:p>
    <w:p>
      <w:pPr>
        <w:ind w:left="1520" w:hanging="726"/>
        <w:spacing w:after="0"/>
        <w:tabs>
          <w:tab w:leader="none" w:pos="1520" w:val="left"/>
        </w:tabs>
        <w:numPr>
          <w:ilvl w:val="0"/>
          <w:numId w:val="2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Purchase Price</w:t>
      </w:r>
      <w:r>
        <w:rPr>
          <w:rFonts w:ascii="Times New Roman" w:cs="Times New Roman" w:eastAsia="Times New Roman" w:hAnsi="Times New Roman"/>
          <w:sz w:val="20"/>
          <w:szCs w:val="20"/>
          <w:color w:val="auto"/>
        </w:rPr>
        <w:t>” shall mean the Exercise Price multiplied by the number of Shares with respect to which this option is</w:t>
      </w:r>
    </w:p>
    <w:p>
      <w:pPr>
        <w:spacing w:after="0" w:line="25"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being exercised.</w:t>
      </w:r>
    </w:p>
    <w:p>
      <w:pPr>
        <w:spacing w:after="0" w:line="189" w:lineRule="exact"/>
        <w:rPr>
          <w:rFonts w:ascii="Times New Roman" w:cs="Times New Roman" w:eastAsia="Times New Roman" w:hAnsi="Times New Roman"/>
          <w:sz w:val="20"/>
          <w:szCs w:val="20"/>
          <w:color w:val="auto"/>
        </w:rPr>
      </w:pPr>
    </w:p>
    <w:p>
      <w:pPr>
        <w:ind w:firstLine="794"/>
        <w:spacing w:after="0" w:line="273" w:lineRule="auto"/>
        <w:tabs>
          <w:tab w:leader="none" w:pos="1494" w:val="left"/>
        </w:tabs>
        <w:numPr>
          <w:ilvl w:val="0"/>
          <w:numId w:val="2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Repurchase Period</w:t>
      </w:r>
      <w:r>
        <w:rPr>
          <w:rFonts w:ascii="Times New Roman" w:cs="Times New Roman" w:eastAsia="Times New Roman" w:hAnsi="Times New Roman"/>
          <w:sz w:val="20"/>
          <w:szCs w:val="20"/>
          <w:color w:val="auto"/>
        </w:rPr>
        <w:t>” shall mean a period of 90 consecutive days commencing on the date when the Optionee’s Service terminates for any reason, including (without limitation) death or disability.</w:t>
      </w:r>
    </w:p>
    <w:p>
      <w:pPr>
        <w:spacing w:after="0" w:line="151" w:lineRule="exact"/>
        <w:rPr>
          <w:rFonts w:ascii="Times New Roman" w:cs="Times New Roman" w:eastAsia="Times New Roman" w:hAnsi="Times New Roman"/>
          <w:sz w:val="20"/>
          <w:szCs w:val="20"/>
          <w:color w:val="auto"/>
        </w:rPr>
      </w:pPr>
    </w:p>
    <w:p>
      <w:pPr>
        <w:ind w:left="1380" w:hanging="586"/>
        <w:spacing w:after="0"/>
        <w:tabs>
          <w:tab w:leader="none" w:pos="1380" w:val="left"/>
        </w:tabs>
        <w:numPr>
          <w:ilvl w:val="0"/>
          <w:numId w:val="2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Restricted Share</w:t>
      </w:r>
      <w:r>
        <w:rPr>
          <w:rFonts w:ascii="Times New Roman" w:cs="Times New Roman" w:eastAsia="Times New Roman" w:hAnsi="Times New Roman"/>
          <w:sz w:val="20"/>
          <w:szCs w:val="20"/>
          <w:color w:val="auto"/>
        </w:rPr>
        <w:t>” shall mean a Share that is subject to the Right of Repurchase.</w:t>
      </w:r>
    </w:p>
    <w:p>
      <w:pPr>
        <w:spacing w:after="0" w:line="215" w:lineRule="exact"/>
        <w:rPr>
          <w:rFonts w:ascii="Times New Roman" w:cs="Times New Roman" w:eastAsia="Times New Roman" w:hAnsi="Times New Roman"/>
          <w:sz w:val="20"/>
          <w:szCs w:val="20"/>
          <w:color w:val="auto"/>
        </w:rPr>
      </w:pPr>
    </w:p>
    <w:p>
      <w:pPr>
        <w:ind w:left="1380" w:hanging="586"/>
        <w:spacing w:after="0"/>
        <w:tabs>
          <w:tab w:leader="none" w:pos="1380" w:val="left"/>
        </w:tabs>
        <w:numPr>
          <w:ilvl w:val="0"/>
          <w:numId w:val="2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Right of First Refusal</w:t>
      </w:r>
      <w:r>
        <w:rPr>
          <w:rFonts w:ascii="Times New Roman" w:cs="Times New Roman" w:eastAsia="Times New Roman" w:hAnsi="Times New Roman"/>
          <w:sz w:val="20"/>
          <w:szCs w:val="20"/>
          <w:color w:val="auto"/>
        </w:rPr>
        <w:t>” shall mean the Company’s right of first refusal described in Section 8.</w:t>
      </w:r>
    </w:p>
    <w:p>
      <w:pPr>
        <w:spacing w:after="0" w:line="215" w:lineRule="exact"/>
        <w:rPr>
          <w:rFonts w:ascii="Times New Roman" w:cs="Times New Roman" w:eastAsia="Times New Roman" w:hAnsi="Times New Roman"/>
          <w:sz w:val="20"/>
          <w:szCs w:val="20"/>
          <w:color w:val="auto"/>
        </w:rPr>
      </w:pPr>
    </w:p>
    <w:p>
      <w:pPr>
        <w:ind w:left="1420" w:hanging="626"/>
        <w:spacing w:after="0"/>
        <w:tabs>
          <w:tab w:leader="none" w:pos="1420" w:val="left"/>
        </w:tabs>
        <w:numPr>
          <w:ilvl w:val="0"/>
          <w:numId w:val="2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Right of Repurchase</w:t>
      </w:r>
      <w:r>
        <w:rPr>
          <w:rFonts w:ascii="Times New Roman" w:cs="Times New Roman" w:eastAsia="Times New Roman" w:hAnsi="Times New Roman"/>
          <w:sz w:val="20"/>
          <w:szCs w:val="20"/>
          <w:color w:val="auto"/>
        </w:rPr>
        <w:t>” shall mean the Company’s right of repurchase described in Section 7.</w:t>
      </w:r>
    </w:p>
    <w:p>
      <w:pPr>
        <w:spacing w:after="0" w:line="215" w:lineRule="exact"/>
        <w:rPr>
          <w:rFonts w:ascii="Times New Roman" w:cs="Times New Roman" w:eastAsia="Times New Roman" w:hAnsi="Times New Roman"/>
          <w:sz w:val="20"/>
          <w:szCs w:val="20"/>
          <w:color w:val="auto"/>
        </w:rPr>
      </w:pPr>
    </w:p>
    <w:p>
      <w:pPr>
        <w:ind w:left="1380" w:hanging="586"/>
        <w:spacing w:after="0"/>
        <w:tabs>
          <w:tab w:leader="none" w:pos="1380" w:val="left"/>
        </w:tabs>
        <w:numPr>
          <w:ilvl w:val="0"/>
          <w:numId w:val="2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Service</w:t>
      </w:r>
      <w:r>
        <w:rPr>
          <w:rFonts w:ascii="Times New Roman" w:cs="Times New Roman" w:eastAsia="Times New Roman" w:hAnsi="Times New Roman"/>
          <w:sz w:val="20"/>
          <w:szCs w:val="20"/>
          <w:color w:val="auto"/>
        </w:rPr>
        <w:t>” shall mean service as an Employee, Outside Director or Consultant.</w:t>
      </w:r>
    </w:p>
    <w:p>
      <w:pPr>
        <w:spacing w:after="0" w:line="215" w:lineRule="exact"/>
        <w:rPr>
          <w:rFonts w:ascii="Times New Roman" w:cs="Times New Roman" w:eastAsia="Times New Roman" w:hAnsi="Times New Roman"/>
          <w:sz w:val="20"/>
          <w:szCs w:val="20"/>
          <w:color w:val="auto"/>
        </w:rPr>
      </w:pPr>
    </w:p>
    <w:p>
      <w:pPr>
        <w:ind w:left="1500" w:hanging="706"/>
        <w:spacing w:after="0"/>
        <w:tabs>
          <w:tab w:leader="none" w:pos="1500" w:val="left"/>
        </w:tabs>
        <w:numPr>
          <w:ilvl w:val="0"/>
          <w:numId w:val="25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Transferee</w:t>
      </w:r>
      <w:r>
        <w:rPr>
          <w:rFonts w:ascii="Times New Roman" w:cs="Times New Roman" w:eastAsia="Times New Roman" w:hAnsi="Times New Roman"/>
          <w:sz w:val="19"/>
          <w:szCs w:val="19"/>
          <w:color w:val="auto"/>
        </w:rPr>
        <w:t>” shall mean any person to whom the Optionee has directly or indirectly transferred any Share acquired under</w:t>
      </w:r>
    </w:p>
    <w:p>
      <w:pPr>
        <w:spacing w:after="0" w:line="37" w:lineRule="exact"/>
        <w:rPr>
          <w:rFonts w:ascii="Times New Roman" w:cs="Times New Roman" w:eastAsia="Times New Roman" w:hAnsi="Times New Roman"/>
          <w:sz w:val="19"/>
          <w:szCs w:val="19"/>
          <w:color w:val="auto"/>
        </w:rPr>
      </w:pP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this Agreement.</w:t>
      </w:r>
    </w:p>
    <w:p>
      <w:pPr>
        <w:spacing w:after="0" w:line="189" w:lineRule="exact"/>
        <w:rPr>
          <w:rFonts w:ascii="Times New Roman" w:cs="Times New Roman" w:eastAsia="Times New Roman" w:hAnsi="Times New Roman"/>
          <w:sz w:val="19"/>
          <w:szCs w:val="19"/>
          <w:color w:val="auto"/>
        </w:rPr>
      </w:pPr>
    </w:p>
    <w:p>
      <w:pPr>
        <w:ind w:left="1420" w:hanging="626"/>
        <w:spacing w:after="0"/>
        <w:tabs>
          <w:tab w:leader="none" w:pos="1420" w:val="left"/>
        </w:tabs>
        <w:numPr>
          <w:ilvl w:val="0"/>
          <w:numId w:val="2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Transfer Notice</w:t>
      </w:r>
      <w:r>
        <w:rPr>
          <w:rFonts w:ascii="Times New Roman" w:cs="Times New Roman" w:eastAsia="Times New Roman" w:hAnsi="Times New Roman"/>
          <w:sz w:val="20"/>
          <w:szCs w:val="20"/>
          <w:color w:val="auto"/>
        </w:rPr>
        <w:t>” shall mean the notice of a proposed transfer of Shares described in Section 8.</w:t>
      </w:r>
    </w:p>
    <w:p>
      <w:pPr>
        <w:spacing w:after="0" w:line="215" w:lineRule="exact"/>
        <w:rPr>
          <w:rFonts w:ascii="Times New Roman" w:cs="Times New Roman" w:eastAsia="Times New Roman" w:hAnsi="Times New Roman"/>
          <w:sz w:val="20"/>
          <w:szCs w:val="20"/>
          <w:color w:val="auto"/>
        </w:rPr>
      </w:pPr>
    </w:p>
    <w:p>
      <w:pPr>
        <w:jc w:val="both"/>
        <w:ind w:firstLine="794"/>
        <w:spacing w:after="0" w:line="256" w:lineRule="auto"/>
        <w:tabs>
          <w:tab w:leader="none" w:pos="1426" w:val="left"/>
        </w:tabs>
        <w:numPr>
          <w:ilvl w:val="0"/>
          <w:numId w:val="2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U.S. Person</w:t>
      </w:r>
      <w:r>
        <w:rPr>
          <w:rFonts w:ascii="Times New Roman" w:cs="Times New Roman" w:eastAsia="Times New Roman" w:hAnsi="Times New Roman"/>
          <w:sz w:val="20"/>
          <w:szCs w:val="20"/>
          <w:color w:val="auto"/>
        </w:rPr>
        <w:t>” shall mean a person described in Rule 902(k) of Regulation S of the Securities Act (or any successor rule or provision), which generally defines a U.S. person as any natural person resident in the United States, any estate of which any executor or administrator is a U.S. Person, or any trust of which of any trustee is a U.S. Person.</w:t>
      </w:r>
    </w:p>
    <w:p>
      <w:pPr>
        <w:spacing w:after="0" w:line="1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240"/>
          </w:cols>
          <w:pgMar w:left="320" w:top="261" w:right="339" w:bottom="1440" w:gutter="0" w:footer="0" w:header="0"/>
        </w:sectPr>
      </w:pPr>
    </w:p>
    <w:bookmarkStart w:id="294" w:name="page295"/>
    <w:bookmarkEnd w:id="294"/>
    <w:p>
      <w:pPr>
        <w:jc w:val="center"/>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w:t>
      </w:r>
      <w:r>
        <w:rPr>
          <w:rFonts w:ascii="Times New Roman" w:cs="Times New Roman" w:eastAsia="Times New Roman" w:hAnsi="Times New Roman"/>
          <w:sz w:val="16"/>
          <w:szCs w:val="16"/>
          <w:b w:val="1"/>
          <w:bCs w:val="1"/>
          <w:color w:val="auto"/>
        </w:rPr>
        <w:t>ARSUS</w:t>
      </w:r>
      <w:r>
        <w:rPr>
          <w:rFonts w:ascii="Times New Roman" w:cs="Times New Roman" w:eastAsia="Times New Roman" w:hAnsi="Times New Roman"/>
          <w:sz w:val="20"/>
          <w:szCs w:val="20"/>
          <w:b w:val="1"/>
          <w:bCs w:val="1"/>
          <w:color w:val="auto"/>
        </w:rPr>
        <w:t xml:space="preserve"> P</w:t>
      </w:r>
      <w:r>
        <w:rPr>
          <w:rFonts w:ascii="Times New Roman" w:cs="Times New Roman" w:eastAsia="Times New Roman" w:hAnsi="Times New Roman"/>
          <w:sz w:val="16"/>
          <w:szCs w:val="16"/>
          <w:b w:val="1"/>
          <w:bCs w:val="1"/>
          <w:color w:val="auto"/>
        </w:rPr>
        <w:t>HARMACEUTICALS</w:t>
      </w:r>
      <w:r>
        <w:rPr>
          <w:rFonts w:ascii="Times New Roman" w:cs="Times New Roman" w:eastAsia="Times New Roman" w:hAnsi="Times New Roman"/>
          <w:sz w:val="20"/>
          <w:szCs w:val="20"/>
          <w:b w:val="1"/>
          <w:bCs w:val="1"/>
          <w:color w:val="auto"/>
        </w:rPr>
        <w:t>, I</w:t>
      </w:r>
      <w:r>
        <w:rPr>
          <w:rFonts w:ascii="Times New Roman" w:cs="Times New Roman" w:eastAsia="Times New Roman" w:hAnsi="Times New Roman"/>
          <w:sz w:val="16"/>
          <w:szCs w:val="16"/>
          <w:b w:val="1"/>
          <w:bCs w:val="1"/>
          <w:color w:val="auto"/>
        </w:rPr>
        <w:t>NC</w:t>
      </w:r>
      <w:r>
        <w:rPr>
          <w:rFonts w:ascii="Times New Roman" w:cs="Times New Roman" w:eastAsia="Times New Roman" w:hAnsi="Times New Roman"/>
          <w:sz w:val="20"/>
          <w:szCs w:val="20"/>
          <w:b w:val="1"/>
          <w:bCs w:val="1"/>
          <w:color w:val="auto"/>
        </w:rPr>
        <w:t>. 2016 S</w:t>
      </w:r>
      <w:r>
        <w:rPr>
          <w:rFonts w:ascii="Times New Roman" w:cs="Times New Roman" w:eastAsia="Times New Roman" w:hAnsi="Times New Roman"/>
          <w:sz w:val="16"/>
          <w:szCs w:val="16"/>
          <w:b w:val="1"/>
          <w:bCs w:val="1"/>
          <w:color w:val="auto"/>
        </w:rPr>
        <w:t>TOCK</w:t>
      </w:r>
      <w:r>
        <w:rPr>
          <w:rFonts w:ascii="Times New Roman" w:cs="Times New Roman" w:eastAsia="Times New Roman" w:hAnsi="Times New Roman"/>
          <w:sz w:val="20"/>
          <w:szCs w:val="20"/>
          <w:b w:val="1"/>
          <w:bCs w:val="1"/>
          <w:color w:val="auto"/>
        </w:rPr>
        <w:t xml:space="preserve"> P</w:t>
      </w:r>
      <w:r>
        <w:rPr>
          <w:rFonts w:ascii="Times New Roman" w:cs="Times New Roman" w:eastAsia="Times New Roman" w:hAnsi="Times New Roman"/>
          <w:sz w:val="16"/>
          <w:szCs w:val="16"/>
          <w:b w:val="1"/>
          <w:bCs w:val="1"/>
          <w:color w:val="auto"/>
        </w:rPr>
        <w:t>LAN</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w:t>
      </w:r>
      <w:r>
        <w:rPr>
          <w:rFonts w:ascii="Times New Roman" w:cs="Times New Roman" w:eastAsia="Times New Roman" w:hAnsi="Times New Roman"/>
          <w:sz w:val="16"/>
          <w:szCs w:val="16"/>
          <w:b w:val="1"/>
          <w:bCs w:val="1"/>
          <w:color w:val="auto"/>
        </w:rPr>
        <w:t>OTICE OF</w:t>
      </w:r>
      <w:r>
        <w:rPr>
          <w:rFonts w:ascii="Times New Roman" w:cs="Times New Roman" w:eastAsia="Times New Roman" w:hAnsi="Times New Roman"/>
          <w:sz w:val="20"/>
          <w:szCs w:val="20"/>
          <w:b w:val="1"/>
          <w:bCs w:val="1"/>
          <w:color w:val="auto"/>
        </w:rPr>
        <w:t xml:space="preserve"> S</w:t>
      </w:r>
      <w:r>
        <w:rPr>
          <w:rFonts w:ascii="Times New Roman" w:cs="Times New Roman" w:eastAsia="Times New Roman" w:hAnsi="Times New Roman"/>
          <w:sz w:val="16"/>
          <w:szCs w:val="16"/>
          <w:b w:val="1"/>
          <w:bCs w:val="1"/>
          <w:color w:val="auto"/>
        </w:rPr>
        <w:t>TOCK</w:t>
      </w:r>
      <w:r>
        <w:rPr>
          <w:rFonts w:ascii="Times New Roman" w:cs="Times New Roman" w:eastAsia="Times New Roman" w:hAnsi="Times New Roman"/>
          <w:sz w:val="20"/>
          <w:szCs w:val="20"/>
          <w:b w:val="1"/>
          <w:bCs w:val="1"/>
          <w:color w:val="auto"/>
        </w:rPr>
        <w:t xml:space="preserve"> O</w:t>
      </w:r>
      <w:r>
        <w:rPr>
          <w:rFonts w:ascii="Times New Roman" w:cs="Times New Roman" w:eastAsia="Times New Roman" w:hAnsi="Times New Roman"/>
          <w:sz w:val="16"/>
          <w:szCs w:val="16"/>
          <w:b w:val="1"/>
          <w:bCs w:val="1"/>
          <w:color w:val="auto"/>
        </w:rPr>
        <w:t>PTION</w:t>
      </w:r>
      <w:r>
        <w:rPr>
          <w:rFonts w:ascii="Times New Roman" w:cs="Times New Roman" w:eastAsia="Times New Roman" w:hAnsi="Times New Roman"/>
          <w:sz w:val="20"/>
          <w:szCs w:val="20"/>
          <w:b w:val="1"/>
          <w:bCs w:val="1"/>
          <w:color w:val="auto"/>
        </w:rPr>
        <w:t xml:space="preserve"> E</w:t>
      </w:r>
      <w:r>
        <w:rPr>
          <w:rFonts w:ascii="Times New Roman" w:cs="Times New Roman" w:eastAsia="Times New Roman" w:hAnsi="Times New Roman"/>
          <w:sz w:val="16"/>
          <w:szCs w:val="16"/>
          <w:b w:val="1"/>
          <w:bCs w:val="1"/>
          <w:color w:val="auto"/>
        </w:rPr>
        <w:t>XERCISE</w:t>
      </w:r>
      <w:r>
        <w:rPr>
          <w:rFonts w:ascii="Times New Roman" w:cs="Times New Roman" w:eastAsia="Times New Roman" w:hAnsi="Times New Roman"/>
          <w:sz w:val="20"/>
          <w:szCs w:val="20"/>
          <w:b w:val="1"/>
          <w:bCs w:val="1"/>
          <w:color w:val="auto"/>
        </w:rPr>
        <w:t xml:space="preserve"> (I</w:t>
      </w:r>
      <w:r>
        <w:rPr>
          <w:rFonts w:ascii="Times New Roman" w:cs="Times New Roman" w:eastAsia="Times New Roman" w:hAnsi="Times New Roman"/>
          <w:sz w:val="16"/>
          <w:szCs w:val="16"/>
          <w:b w:val="1"/>
          <w:bCs w:val="1"/>
          <w:color w:val="auto"/>
        </w:rPr>
        <w:t>NSTALLMENT</w:t>
      </w:r>
      <w:r>
        <w:rPr>
          <w:rFonts w:ascii="Times New Roman" w:cs="Times New Roman" w:eastAsia="Times New Roman" w:hAnsi="Times New Roman"/>
          <w:sz w:val="20"/>
          <w:szCs w:val="20"/>
          <w:b w:val="1"/>
          <w:bCs w:val="1"/>
          <w:color w:val="auto"/>
        </w:rPr>
        <w:t xml:space="preserve"> E</w:t>
      </w:r>
      <w:r>
        <w:rPr>
          <w:rFonts w:ascii="Times New Roman" w:cs="Times New Roman" w:eastAsia="Times New Roman" w:hAnsi="Times New Roman"/>
          <w:sz w:val="16"/>
          <w:szCs w:val="16"/>
          <w:b w:val="1"/>
          <w:bCs w:val="1"/>
          <w:color w:val="auto"/>
        </w:rPr>
        <w:t>XERCISE</w:t>
      </w:r>
      <w:r>
        <w:rPr>
          <w:rFonts w:ascii="Times New Roman" w:cs="Times New Roman" w:eastAsia="Times New Roman" w:hAnsi="Times New Roman"/>
          <w:sz w:val="20"/>
          <w:szCs w:val="20"/>
          <w:b w:val="1"/>
          <w:bCs w:val="1"/>
          <w:color w:val="auto"/>
        </w:rPr>
        <w:t>)</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i w:val="1"/>
          <w:iCs w:val="1"/>
          <w:color w:val="auto"/>
        </w:rPr>
        <w:t>You must sign this Notice on Page 3 before submitting it to the Company.</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398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O</w:t>
            </w:r>
            <w:r>
              <w:rPr>
                <w:rFonts w:ascii="Times New Roman" w:cs="Times New Roman" w:eastAsia="Times New Roman" w:hAnsi="Times New Roman"/>
                <w:sz w:val="16"/>
                <w:szCs w:val="16"/>
                <w:b w:val="1"/>
                <w:bCs w:val="1"/>
                <w:color w:val="auto"/>
              </w:rPr>
              <w:t>PTIONEE</w:t>
            </w:r>
            <w:r>
              <w:rPr>
                <w:rFonts w:ascii="Times New Roman" w:cs="Times New Roman" w:eastAsia="Times New Roman" w:hAnsi="Times New Roman"/>
                <w:sz w:val="20"/>
                <w:szCs w:val="20"/>
                <w:b w:val="1"/>
                <w:bCs w:val="1"/>
                <w:color w:val="auto"/>
              </w:rPr>
              <w:t xml:space="preserve"> I</w:t>
            </w:r>
            <w:r>
              <w:rPr>
                <w:rFonts w:ascii="Times New Roman" w:cs="Times New Roman" w:eastAsia="Times New Roman" w:hAnsi="Times New Roman"/>
                <w:sz w:val="16"/>
                <w:szCs w:val="16"/>
                <w:b w:val="1"/>
                <w:bCs w:val="1"/>
                <w:color w:val="auto"/>
              </w:rPr>
              <w:t>NFORMATION</w:t>
            </w:r>
            <w:r>
              <w:rPr>
                <w:rFonts w:ascii="Times New Roman" w:cs="Times New Roman" w:eastAsia="Times New Roman" w:hAnsi="Times New Roman"/>
                <w:sz w:val="20"/>
                <w:szCs w:val="20"/>
                <w:b w:val="1"/>
                <w:bCs w:val="1"/>
                <w:color w:val="auto"/>
              </w:rPr>
              <w:t>:</w:t>
            </w:r>
          </w:p>
        </w:tc>
        <w:tc>
          <w:tcPr>
            <w:tcW w:w="1000" w:type="dxa"/>
            <w:vAlign w:val="bottom"/>
          </w:tcPr>
          <w:p>
            <w:pPr>
              <w:spacing w:after="0"/>
              <w:rPr>
                <w:sz w:val="22"/>
                <w:szCs w:val="22"/>
                <w:color w:val="auto"/>
              </w:rPr>
            </w:pPr>
          </w:p>
        </w:tc>
        <w:tc>
          <w:tcPr>
            <w:tcW w:w="2340" w:type="dxa"/>
            <w:vAlign w:val="bottom"/>
          </w:tcPr>
          <w:p>
            <w:pPr>
              <w:spacing w:after="0"/>
              <w:rPr>
                <w:sz w:val="22"/>
                <w:szCs w:val="22"/>
                <w:color w:val="auto"/>
              </w:rPr>
            </w:pPr>
          </w:p>
        </w:tc>
        <w:tc>
          <w:tcPr>
            <w:tcW w:w="3920" w:type="dxa"/>
            <w:vAlign w:val="bottom"/>
          </w:tcPr>
          <w:p>
            <w:pPr>
              <w:spacing w:after="0"/>
              <w:rPr>
                <w:sz w:val="22"/>
                <w:szCs w:val="22"/>
                <w:color w:val="auto"/>
              </w:rPr>
            </w:pPr>
          </w:p>
        </w:tc>
      </w:tr>
      <w:tr>
        <w:trPr>
          <w:trHeight w:val="467"/>
        </w:trPr>
        <w:tc>
          <w:tcPr>
            <w:tcW w:w="39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Name:</w:t>
            </w:r>
          </w:p>
        </w:tc>
        <w:tc>
          <w:tcPr>
            <w:tcW w:w="1000" w:type="dxa"/>
            <w:vAlign w:val="bottom"/>
          </w:tcPr>
          <w:p>
            <w:pPr>
              <w:spacing w:after="0"/>
              <w:rPr>
                <w:sz w:val="24"/>
                <w:szCs w:val="24"/>
                <w:color w:val="auto"/>
              </w:rPr>
            </w:pPr>
          </w:p>
        </w:tc>
        <w:tc>
          <w:tcPr>
            <w:tcW w:w="626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Social Security Number:</w:t>
            </w:r>
          </w:p>
        </w:tc>
      </w:tr>
      <w:tr>
        <w:trPr>
          <w:trHeight w:val="223"/>
        </w:trPr>
        <w:tc>
          <w:tcPr>
            <w:tcW w:w="800" w:type="dxa"/>
            <w:vAlign w:val="bottom"/>
          </w:tcPr>
          <w:p>
            <w:pPr>
              <w:spacing w:after="0" w:line="223" w:lineRule="exact"/>
              <w:rPr>
                <w:sz w:val="20"/>
                <w:szCs w:val="20"/>
                <w:color w:val="auto"/>
              </w:rPr>
            </w:pPr>
            <w:r>
              <w:rPr>
                <w:rFonts w:ascii="Times New Roman" w:cs="Times New Roman" w:eastAsia="Times New Roman" w:hAnsi="Times New Roman"/>
                <w:sz w:val="20"/>
                <w:szCs w:val="20"/>
                <w:color w:val="auto"/>
              </w:rPr>
              <w:t>Address:</w:t>
            </w:r>
          </w:p>
        </w:tc>
        <w:tc>
          <w:tcPr>
            <w:tcW w:w="318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spacing w:after="0"/>
              <w:rPr>
                <w:sz w:val="19"/>
                <w:szCs w:val="19"/>
                <w:color w:val="auto"/>
              </w:rPr>
            </w:pPr>
          </w:p>
        </w:tc>
        <w:tc>
          <w:tcPr>
            <w:tcW w:w="2340" w:type="dxa"/>
            <w:vAlign w:val="bottom"/>
          </w:tcPr>
          <w:p>
            <w:pPr>
              <w:ind w:left="100"/>
              <w:spacing w:after="0" w:line="223" w:lineRule="exact"/>
              <w:rPr>
                <w:sz w:val="20"/>
                <w:szCs w:val="20"/>
                <w:color w:val="auto"/>
              </w:rPr>
            </w:pPr>
            <w:r>
              <w:rPr>
                <w:rFonts w:ascii="Times New Roman" w:cs="Times New Roman" w:eastAsia="Times New Roman" w:hAnsi="Times New Roman"/>
                <w:sz w:val="20"/>
                <w:szCs w:val="20"/>
                <w:color w:val="auto"/>
              </w:rPr>
              <w:t>Employee Number:</w:t>
            </w:r>
          </w:p>
        </w:tc>
        <w:tc>
          <w:tcPr>
            <w:tcW w:w="3920" w:type="dxa"/>
            <w:vAlign w:val="bottom"/>
            <w:tcBorders>
              <w:top w:val="single" w:sz="8" w:color="auto"/>
              <w:bottom w:val="single" w:sz="8" w:color="auto"/>
            </w:tcBorders>
          </w:tcPr>
          <w:p>
            <w:pPr>
              <w:spacing w:after="0"/>
              <w:rPr>
                <w:sz w:val="19"/>
                <w:szCs w:val="19"/>
                <w:color w:val="auto"/>
              </w:rPr>
            </w:pPr>
          </w:p>
        </w:tc>
      </w:tr>
      <w:tr>
        <w:trPr>
          <w:trHeight w:val="223"/>
        </w:trPr>
        <w:tc>
          <w:tcPr>
            <w:tcW w:w="800" w:type="dxa"/>
            <w:vAlign w:val="bottom"/>
          </w:tcPr>
          <w:p>
            <w:pPr>
              <w:spacing w:after="0"/>
              <w:rPr>
                <w:sz w:val="19"/>
                <w:szCs w:val="19"/>
                <w:color w:val="auto"/>
              </w:rPr>
            </w:pPr>
          </w:p>
        </w:tc>
        <w:tc>
          <w:tcPr>
            <w:tcW w:w="3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2340" w:type="dxa"/>
            <w:vAlign w:val="bottom"/>
          </w:tcPr>
          <w:p>
            <w:pPr>
              <w:spacing w:after="0"/>
              <w:rPr>
                <w:sz w:val="19"/>
                <w:szCs w:val="19"/>
                <w:color w:val="auto"/>
              </w:rPr>
            </w:pPr>
          </w:p>
        </w:tc>
        <w:tc>
          <w:tcPr>
            <w:tcW w:w="3920" w:type="dxa"/>
            <w:vAlign w:val="bottom"/>
          </w:tcPr>
          <w:p>
            <w:pPr>
              <w:spacing w:after="0"/>
              <w:rPr>
                <w:sz w:val="19"/>
                <w:szCs w:val="19"/>
                <w:color w:val="auto"/>
              </w:rPr>
            </w:pPr>
          </w:p>
        </w:tc>
      </w:tr>
      <w:tr>
        <w:trPr>
          <w:trHeight w:val="445"/>
        </w:trPr>
        <w:tc>
          <w:tcPr>
            <w:tcW w:w="398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O</w:t>
            </w:r>
            <w:r>
              <w:rPr>
                <w:rFonts w:ascii="Times New Roman" w:cs="Times New Roman" w:eastAsia="Times New Roman" w:hAnsi="Times New Roman"/>
                <w:sz w:val="16"/>
                <w:szCs w:val="16"/>
                <w:b w:val="1"/>
                <w:bCs w:val="1"/>
                <w:color w:val="auto"/>
              </w:rPr>
              <w:t>PTION</w:t>
            </w:r>
            <w:r>
              <w:rPr>
                <w:rFonts w:ascii="Times New Roman" w:cs="Times New Roman" w:eastAsia="Times New Roman" w:hAnsi="Times New Roman"/>
                <w:sz w:val="20"/>
                <w:szCs w:val="20"/>
                <w:b w:val="1"/>
                <w:bCs w:val="1"/>
                <w:color w:val="auto"/>
              </w:rPr>
              <w:t xml:space="preserve"> I</w:t>
            </w:r>
            <w:r>
              <w:rPr>
                <w:rFonts w:ascii="Times New Roman" w:cs="Times New Roman" w:eastAsia="Times New Roman" w:hAnsi="Times New Roman"/>
                <w:sz w:val="16"/>
                <w:szCs w:val="16"/>
                <w:b w:val="1"/>
                <w:bCs w:val="1"/>
                <w:color w:val="auto"/>
              </w:rPr>
              <w:t>NFORMATION</w:t>
            </w:r>
            <w:r>
              <w:rPr>
                <w:rFonts w:ascii="Times New Roman" w:cs="Times New Roman" w:eastAsia="Times New Roman" w:hAnsi="Times New Roman"/>
                <w:sz w:val="20"/>
                <w:szCs w:val="20"/>
                <w:b w:val="1"/>
                <w:bCs w:val="1"/>
                <w:color w:val="auto"/>
              </w:rPr>
              <w:t>:</w:t>
            </w:r>
          </w:p>
        </w:tc>
        <w:tc>
          <w:tcPr>
            <w:tcW w:w="100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3920" w:type="dxa"/>
            <w:vAlign w:val="bottom"/>
          </w:tcPr>
          <w:p>
            <w:pPr>
              <w:spacing w:after="0"/>
              <w:rPr>
                <w:sz w:val="24"/>
                <w:szCs w:val="24"/>
                <w:color w:val="auto"/>
              </w:rPr>
            </w:pPr>
          </w:p>
        </w:tc>
      </w:tr>
      <w:tr>
        <w:trPr>
          <w:trHeight w:val="426"/>
        </w:trPr>
        <w:tc>
          <w:tcPr>
            <w:tcW w:w="39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Date of Grant: _____________ ___, 20__</w:t>
            </w:r>
          </w:p>
        </w:tc>
        <w:tc>
          <w:tcPr>
            <w:tcW w:w="1000" w:type="dxa"/>
            <w:vAlign w:val="bottom"/>
          </w:tcPr>
          <w:p>
            <w:pPr>
              <w:spacing w:after="0"/>
              <w:rPr>
                <w:sz w:val="24"/>
                <w:szCs w:val="24"/>
                <w:color w:val="auto"/>
              </w:rPr>
            </w:pPr>
          </w:p>
        </w:tc>
        <w:tc>
          <w:tcPr>
            <w:tcW w:w="6260" w:type="dxa"/>
            <w:vAlign w:val="bottom"/>
            <w:gridSpan w:val="2"/>
          </w:tcPr>
          <w:p>
            <w:pPr>
              <w:ind w:left="880"/>
              <w:spacing w:after="0"/>
              <w:rPr>
                <w:sz w:val="20"/>
                <w:szCs w:val="20"/>
                <w:color w:val="auto"/>
              </w:rPr>
            </w:pPr>
            <w:r>
              <w:rPr>
                <w:rFonts w:ascii="Times New Roman" w:cs="Times New Roman" w:eastAsia="Times New Roman" w:hAnsi="Times New Roman"/>
                <w:sz w:val="20"/>
                <w:szCs w:val="20"/>
                <w:color w:val="auto"/>
              </w:rPr>
              <w:t>Type of Stock Option:</w:t>
            </w:r>
          </w:p>
        </w:tc>
      </w:tr>
      <w:tr>
        <w:trPr>
          <w:trHeight w:val="243"/>
        </w:trPr>
        <w:tc>
          <w:tcPr>
            <w:tcW w:w="39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Exercise Price per Share: $________</w:t>
            </w:r>
          </w:p>
        </w:tc>
        <w:tc>
          <w:tcPr>
            <w:tcW w:w="1000" w:type="dxa"/>
            <w:vAlign w:val="bottom"/>
          </w:tcPr>
          <w:p>
            <w:pPr>
              <w:spacing w:after="0"/>
              <w:rPr>
                <w:sz w:val="21"/>
                <w:szCs w:val="21"/>
                <w:color w:val="auto"/>
              </w:rPr>
            </w:pPr>
          </w:p>
        </w:tc>
        <w:tc>
          <w:tcPr>
            <w:tcW w:w="6260" w:type="dxa"/>
            <w:vAlign w:val="bottom"/>
            <w:gridSpan w:val="2"/>
          </w:tcPr>
          <w:p>
            <w:pPr>
              <w:ind w:left="880"/>
              <w:spacing w:after="0" w:line="230" w:lineRule="exact"/>
              <w:rPr>
                <w:sz w:val="20"/>
                <w:szCs w:val="20"/>
                <w:color w:val="auto"/>
              </w:rPr>
            </w:pP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 xml:space="preserve"> Nonstatutory (NSO)</w:t>
            </w:r>
          </w:p>
        </w:tc>
      </w:tr>
      <w:tr>
        <w:trPr>
          <w:trHeight w:val="269"/>
        </w:trPr>
        <w:tc>
          <w:tcPr>
            <w:tcW w:w="39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Total   number   of   shares   of   Common</w:t>
            </w:r>
          </w:p>
        </w:tc>
        <w:tc>
          <w:tcPr>
            <w:tcW w:w="7260" w:type="dxa"/>
            <w:vAlign w:val="bottom"/>
            <w:gridSpan w:val="3"/>
          </w:tcPr>
          <w:p>
            <w:pPr>
              <w:ind w:left="120"/>
              <w:spacing w:after="0" w:line="230" w:lineRule="exact"/>
              <w:rPr>
                <w:sz w:val="20"/>
                <w:szCs w:val="20"/>
                <w:color w:val="auto"/>
              </w:rPr>
            </w:pPr>
            <w:r>
              <w:rPr>
                <w:rFonts w:ascii="Times New Roman" w:cs="Times New Roman" w:eastAsia="Times New Roman" w:hAnsi="Times New Roman"/>
                <w:sz w:val="20"/>
                <w:szCs w:val="20"/>
                <w:color w:val="auto"/>
              </w:rPr>
              <w:t xml:space="preserve">Stock   of   Tarsus </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 xml:space="preserve"> Incentive (ISO)</w:t>
            </w:r>
          </w:p>
        </w:tc>
      </w:tr>
    </w:tbl>
    <w:p>
      <w:pPr>
        <w:spacing w:after="0"/>
        <w:tabs>
          <w:tab w:leader="none" w:pos="1500" w:val="left"/>
          <w:tab w:leader="none" w:pos="1960" w:val="left"/>
          <w:tab w:leader="none" w:pos="2440" w:val="left"/>
          <w:tab w:leader="none" w:pos="3600" w:val="left"/>
          <w:tab w:leader="none" w:pos="4400" w:val="left"/>
          <w:tab w:leader="none" w:pos="4760" w:val="left"/>
          <w:tab w:leader="none" w:pos="5160" w:val="left"/>
        </w:tabs>
        <w:rPr>
          <w:sz w:val="20"/>
          <w:szCs w:val="20"/>
          <w:color w:val="auto"/>
        </w:rPr>
      </w:pPr>
      <w:r>
        <w:rPr>
          <w:rFonts w:ascii="Times New Roman" w:cs="Times New Roman" w:eastAsia="Times New Roman" w:hAnsi="Times New Roman"/>
          <w:sz w:val="20"/>
          <w:szCs w:val="20"/>
          <w:color w:val="auto"/>
        </w:rPr>
        <w:t>Pharmaceuticals,</w:t>
        <w:tab/>
        <w:t>Inc.</w:t>
        <w:tab/>
        <w:t>(the</w:t>
        <w:tab/>
        <w:t>“Company”)</w:t>
        <w:tab/>
        <w:t>covered</w:t>
        <w:tab/>
        <w:t>by</w:t>
        <w:tab/>
        <w:t>the</w:t>
      </w:r>
      <w:r>
        <w:rPr>
          <w:sz w:val="20"/>
          <w:szCs w:val="20"/>
          <w:color w:val="auto"/>
        </w:rPr>
        <w:tab/>
      </w:r>
      <w:r>
        <w:rPr>
          <w:rFonts w:ascii="Times New Roman" w:cs="Times New Roman" w:eastAsia="Times New Roman" w:hAnsi="Times New Roman"/>
          <w:sz w:val="19"/>
          <w:szCs w:val="19"/>
          <w:color w:val="auto"/>
        </w:rPr>
        <w:t>option:</w:t>
      </w:r>
    </w:p>
    <w:p>
      <w:pPr>
        <w:spacing w:after="0"/>
        <w:rPr>
          <w:sz w:val="20"/>
          <w:szCs w:val="20"/>
          <w:color w:val="auto"/>
        </w:rPr>
      </w:pPr>
      <w:r>
        <w:rPr>
          <w:rFonts w:ascii="Times New Roman" w:cs="Times New Roman" w:eastAsia="Times New Roman" w:hAnsi="Times New Roman"/>
          <w:sz w:val="20"/>
          <w:szCs w:val="20"/>
          <w:color w:val="auto"/>
        </w:rPr>
        <w:t>__________________</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w:t>
      </w:r>
      <w:r>
        <w:rPr>
          <w:rFonts w:ascii="Times New Roman" w:cs="Times New Roman" w:eastAsia="Times New Roman" w:hAnsi="Times New Roman"/>
          <w:sz w:val="16"/>
          <w:szCs w:val="16"/>
          <w:b w:val="1"/>
          <w:bCs w:val="1"/>
          <w:color w:val="auto"/>
        </w:rPr>
        <w:t>XERCISE</w:t>
      </w:r>
      <w:r>
        <w:rPr>
          <w:rFonts w:ascii="Times New Roman" w:cs="Times New Roman" w:eastAsia="Times New Roman" w:hAnsi="Times New Roman"/>
          <w:sz w:val="20"/>
          <w:szCs w:val="20"/>
          <w:b w:val="1"/>
          <w:bCs w:val="1"/>
          <w:color w:val="auto"/>
        </w:rPr>
        <w:t xml:space="preserve"> I</w:t>
      </w:r>
      <w:r>
        <w:rPr>
          <w:rFonts w:ascii="Times New Roman" w:cs="Times New Roman" w:eastAsia="Times New Roman" w:hAnsi="Times New Roman"/>
          <w:sz w:val="16"/>
          <w:szCs w:val="16"/>
          <w:b w:val="1"/>
          <w:bCs w:val="1"/>
          <w:color w:val="auto"/>
        </w:rPr>
        <w:t>NFORMATION</w:t>
      </w:r>
      <w:r>
        <w:rPr>
          <w:rFonts w:ascii="Times New Roman" w:cs="Times New Roman" w:eastAsia="Times New Roman" w:hAnsi="Times New Roman"/>
          <w:sz w:val="20"/>
          <w:szCs w:val="20"/>
          <w:b w:val="1"/>
          <w:bCs w:val="1"/>
          <w:color w:val="auto"/>
        </w:rPr>
        <w:t>:</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Number of shares of Common Stock of the Company for which the option is being exercised now: ________________. (These shares are</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referred to below as the “Purchased Shares.”)</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Total Exercise Price for the Purchased Shares: $____________</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Form of payment enclosed </w:t>
      </w:r>
      <w:r>
        <w:rPr>
          <w:rFonts w:ascii="Times New Roman" w:cs="Times New Roman" w:eastAsia="Times New Roman" w:hAnsi="Times New Roman"/>
          <w:sz w:val="20"/>
          <w:szCs w:val="20"/>
          <w:b w:val="1"/>
          <w:bCs w:val="1"/>
          <w:i w:val="1"/>
          <w:iCs w:val="1"/>
          <w:color w:val="auto"/>
        </w:rPr>
        <w:t>[check all that apply]</w:t>
      </w:r>
      <w:r>
        <w:rPr>
          <w:rFonts w:ascii="Times New Roman" w:cs="Times New Roman" w:eastAsia="Times New Roman" w:hAnsi="Times New Roman"/>
          <w:sz w:val="20"/>
          <w:szCs w:val="20"/>
          <w:color w:val="auto"/>
        </w:rPr>
        <w:t>:</w:t>
      </w:r>
    </w:p>
    <w:p>
      <w:pPr>
        <w:spacing w:after="0" w:line="32" w:lineRule="exact"/>
        <w:rPr>
          <w:sz w:val="20"/>
          <w:szCs w:val="20"/>
          <w:color w:val="auto"/>
        </w:rPr>
      </w:pPr>
    </w:p>
    <w:p>
      <w:pPr>
        <w:ind w:left="380" w:hanging="372"/>
        <w:spacing w:after="0"/>
        <w:tabs>
          <w:tab w:leader="none" w:pos="380" w:val="left"/>
        </w:tabs>
        <w:numPr>
          <w:ilvl w:val="0"/>
          <w:numId w:val="258"/>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Checkfor $____________, payable to “Tarsus Pharmaceuticals, Inc.”</w:t>
      </w:r>
    </w:p>
    <w:p>
      <w:pPr>
        <w:spacing w:after="0" w:line="20" w:lineRule="exact"/>
        <w:rPr>
          <w:rFonts w:ascii="MS PGothic" w:cs="MS PGothic" w:eastAsia="MS PGothic" w:hAnsi="MS PGothic"/>
          <w:sz w:val="20"/>
          <w:szCs w:val="20"/>
          <w:color w:val="auto"/>
        </w:rPr>
      </w:pPr>
    </w:p>
    <w:p>
      <w:pPr>
        <w:ind w:left="400" w:hanging="392"/>
        <w:spacing w:after="0" w:line="243" w:lineRule="auto"/>
        <w:tabs>
          <w:tab w:leader="none" w:pos="404" w:val="left"/>
        </w:tabs>
        <w:numPr>
          <w:ilvl w:val="0"/>
          <w:numId w:val="258"/>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 xml:space="preserve">Certificate(s)for ________________ shares of Common Stock of the Company. These shares will be valued as of the date this notice is received by the Company. </w:t>
      </w:r>
      <w:r>
        <w:rPr>
          <w:rFonts w:ascii="Times New Roman" w:cs="Times New Roman" w:eastAsia="Times New Roman" w:hAnsi="Times New Roman"/>
          <w:sz w:val="20"/>
          <w:szCs w:val="20"/>
          <w:b w:val="1"/>
          <w:bCs w:val="1"/>
          <w:i w:val="1"/>
          <w:iCs w:val="1"/>
          <w:color w:val="auto"/>
        </w:rPr>
        <w:t>[Requires Company consent.]</w:t>
      </w:r>
    </w:p>
    <w:p>
      <w:pPr>
        <w:ind w:left="400" w:hanging="392"/>
        <w:spacing w:after="0" w:line="253" w:lineRule="auto"/>
        <w:tabs>
          <w:tab w:leader="none" w:pos="388" w:val="left"/>
        </w:tabs>
        <w:numPr>
          <w:ilvl w:val="0"/>
          <w:numId w:val="258"/>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 xml:space="preserve">AttestationForm covering ________________ shares of Common Stock of the Company. These shares will be valued as of the date this notice is received by the Company. </w:t>
      </w:r>
      <w:r>
        <w:rPr>
          <w:rFonts w:ascii="Times New Roman" w:cs="Times New Roman" w:eastAsia="Times New Roman" w:hAnsi="Times New Roman"/>
          <w:sz w:val="20"/>
          <w:szCs w:val="20"/>
          <w:b w:val="1"/>
          <w:bCs w:val="1"/>
          <w:i w:val="1"/>
          <w:iCs w:val="1"/>
          <w:color w:val="auto"/>
        </w:rPr>
        <w:t>[Requires Company consent.]</w:t>
      </w:r>
    </w:p>
    <w:p>
      <w:pPr>
        <w:spacing w:after="0" w:line="90"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20"/>
          <w:szCs w:val="20"/>
          <w:color w:val="auto"/>
        </w:rPr>
        <w:t xml:space="preserve">Name(s) in which the Purchased Shares should be registered </w:t>
      </w:r>
      <w:r>
        <w:rPr>
          <w:rFonts w:ascii="Times New Roman" w:cs="Times New Roman" w:eastAsia="Times New Roman" w:hAnsi="Times New Roman"/>
          <w:sz w:val="20"/>
          <w:szCs w:val="20"/>
          <w:b w:val="1"/>
          <w:bCs w:val="1"/>
          <w:i w:val="1"/>
          <w:iCs w:val="1"/>
          <w:color w:val="auto"/>
        </w:rPr>
        <w:t>[please review the attached explanation of the available forms of ownership,</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and then check one box]</w:t>
      </w:r>
      <w:r>
        <w:rPr>
          <w:rFonts w:ascii="Times New Roman" w:cs="Times New Roman" w:eastAsia="Times New Roman" w:hAnsi="Times New Roman"/>
          <w:sz w:val="20"/>
          <w:szCs w:val="20"/>
          <w:color w:val="auto"/>
        </w:rPr>
        <w:t>:</w:t>
      </w:r>
    </w:p>
    <w:p>
      <w:pPr>
        <w:spacing w:after="0" w:line="61" w:lineRule="exact"/>
        <w:rPr>
          <w:sz w:val="20"/>
          <w:szCs w:val="20"/>
          <w:color w:val="auto"/>
        </w:rPr>
      </w:pPr>
    </w:p>
    <w:p>
      <w:pPr>
        <w:ind w:left="380" w:hanging="372"/>
        <w:spacing w:after="0"/>
        <w:tabs>
          <w:tab w:leader="none" w:pos="380" w:val="left"/>
        </w:tabs>
        <w:numPr>
          <w:ilvl w:val="0"/>
          <w:numId w:val="259"/>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Inmy name only</w:t>
      </w:r>
    </w:p>
    <w:p>
      <w:pPr>
        <w:spacing w:after="0" w:line="90" w:lineRule="exact"/>
        <w:rPr>
          <w:sz w:val="20"/>
          <w:szCs w:val="20"/>
          <w:color w:val="auto"/>
        </w:rPr>
      </w:pPr>
    </w:p>
    <w:p>
      <w:pPr>
        <w:spacing w:after="0" w:line="230" w:lineRule="exact"/>
        <w:tabs>
          <w:tab w:leader="none" w:pos="360" w:val="left"/>
          <w:tab w:leader="none" w:pos="7760" w:val="left"/>
        </w:tabs>
        <w:rPr>
          <w:sz w:val="20"/>
          <w:szCs w:val="20"/>
          <w:color w:val="auto"/>
        </w:rPr>
      </w:pP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ab/>
        <w:t>Inthe names of my spouse and myself as community property</w:t>
      </w:r>
      <w:r>
        <w:rPr>
          <w:sz w:val="20"/>
          <w:szCs w:val="20"/>
          <w:color w:val="auto"/>
        </w:rPr>
        <w:tab/>
      </w:r>
      <w:r>
        <w:rPr>
          <w:rFonts w:ascii="Times New Roman" w:cs="Times New Roman" w:eastAsia="Times New Roman" w:hAnsi="Times New Roman"/>
          <w:sz w:val="19"/>
          <w:szCs w:val="19"/>
          <w:color w:val="auto"/>
        </w:rPr>
        <w:t>My spouse’s name (if applicable):</w:t>
      </w:r>
    </w:p>
    <w:p>
      <w:pPr>
        <w:spacing w:after="0" w:line="152" w:lineRule="exact"/>
        <w:rPr>
          <w:sz w:val="20"/>
          <w:szCs w:val="20"/>
          <w:color w:val="auto"/>
        </w:rPr>
      </w:pPr>
    </w:p>
    <w:p>
      <w:pPr>
        <w:ind w:left="380" w:hanging="372"/>
        <w:spacing w:after="0"/>
        <w:tabs>
          <w:tab w:leader="none" w:pos="380" w:val="left"/>
        </w:tabs>
        <w:numPr>
          <w:ilvl w:val="0"/>
          <w:numId w:val="260"/>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Inthe names of my spouse and myself as community property with the right of survivorship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4865370</wp:posOffset>
            </wp:positionH>
            <wp:positionV relativeFrom="paragraph">
              <wp:posOffset>13970</wp:posOffset>
            </wp:positionV>
            <wp:extent cx="2271395"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2271395" cy="8255"/>
                    </a:xfrm>
                    <a:prstGeom prst="rect">
                      <a:avLst/>
                    </a:prstGeom>
                    <a:noFill/>
                  </pic:spPr>
                </pic:pic>
              </a:graphicData>
            </a:graphic>
          </wp:anchor>
        </w:drawing>
      </w:r>
    </w:p>
    <w:p>
      <w:pPr>
        <w:sectPr>
          <w:pgSz w:w="11900" w:h="16838" w:orient="portrait"/>
          <w:cols w:equalWidth="0" w:num="1">
            <w:col w:w="11240"/>
          </w:cols>
          <w:pgMar w:left="320" w:top="261" w:right="339" w:bottom="1440" w:gutter="0" w:footer="0" w:header="0"/>
        </w:sectPr>
      </w:pPr>
    </w:p>
    <w:bookmarkStart w:id="295" w:name="page296"/>
    <w:bookmarkEnd w:id="295"/>
    <w:p>
      <w:pPr>
        <w:ind w:left="380" w:hanging="372"/>
        <w:spacing w:after="0"/>
        <w:tabs>
          <w:tab w:leader="none" w:pos="380" w:val="left"/>
        </w:tabs>
        <w:numPr>
          <w:ilvl w:val="0"/>
          <w:numId w:val="261"/>
        </w:numPr>
        <w:rPr>
          <w:rFonts w:ascii="MS PGothic" w:cs="MS PGothic" w:eastAsia="MS PGothic" w:hAnsi="MS PGothic"/>
          <w:sz w:val="19"/>
          <w:szCs w:val="19"/>
          <w:color w:val="auto"/>
        </w:rPr>
      </w:pPr>
      <w:r>
        <w:rPr>
          <w:rFonts w:ascii="Times New Roman" w:cs="Times New Roman" w:eastAsia="Times New Roman" w:hAnsi="Times New Roman"/>
          <w:sz w:val="19"/>
          <w:szCs w:val="19"/>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Inthe names of my spouse and myself as joint tenants with the right of survivorship</w:t>
      </w:r>
    </w:p>
    <w:p>
      <w:pPr>
        <w:spacing w:after="0" w:line="59" w:lineRule="exact"/>
        <w:rPr>
          <w:rFonts w:ascii="MS PGothic" w:cs="MS PGothic" w:eastAsia="MS PGothic" w:hAnsi="MS PGothic"/>
          <w:sz w:val="19"/>
          <w:szCs w:val="19"/>
          <w:color w:val="auto"/>
        </w:rPr>
      </w:pPr>
    </w:p>
    <w:p>
      <w:pPr>
        <w:ind w:left="380" w:hanging="372"/>
        <w:spacing w:after="0"/>
        <w:tabs>
          <w:tab w:leader="none" w:pos="380" w:val="left"/>
        </w:tabs>
        <w:numPr>
          <w:ilvl w:val="0"/>
          <w:numId w:val="261"/>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 xml:space="preserve">Inthe name of an eligible revocable trust </w:t>
      </w:r>
      <w:r>
        <w:rPr>
          <w:rFonts w:ascii="Times New Roman" w:cs="Times New Roman" w:eastAsia="Times New Roman" w:hAnsi="Times New Roman"/>
          <w:sz w:val="20"/>
          <w:szCs w:val="20"/>
          <w:b w:val="1"/>
          <w:bCs w:val="1"/>
          <w:i w:val="1"/>
          <w:iCs w:val="1"/>
          <w:color w:val="auto"/>
        </w:rPr>
        <w:t>[requires Stock Transfer Agreement]</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certificate for the Purchased Shares should be sent to the following address: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Representations and Acknowledgements of the Optionee:</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Full legal name of revocable trust:</w:t>
      </w:r>
    </w:p>
    <w:p>
      <w:pPr>
        <w:spacing w:after="0" w:line="2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9"/>
          <w:szCs w:val="19"/>
          <w:color w:val="auto"/>
        </w:rPr>
        <w:t>_____________________________________</w:t>
      </w:r>
    </w:p>
    <w:p>
      <w:pPr>
        <w:spacing w:after="0" w:line="1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9"/>
          <w:szCs w:val="19"/>
          <w:color w:val="auto"/>
        </w:rPr>
        <w:t>_____________________________________</w:t>
      </w:r>
    </w:p>
    <w:p>
      <w:pPr>
        <w:spacing w:after="0" w:line="1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9"/>
          <w:szCs w:val="19"/>
          <w:color w:val="auto"/>
        </w:rPr>
        <w:t>_____________________________________</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_____________________________________</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_____________________________________</w:t>
      </w:r>
    </w:p>
    <w:p>
      <w:pPr>
        <w:spacing w:after="0"/>
        <w:rPr>
          <w:sz w:val="20"/>
          <w:szCs w:val="20"/>
          <w:color w:val="auto"/>
        </w:rPr>
      </w:pPr>
      <w:r>
        <w:rPr>
          <w:rFonts w:ascii="Times New Roman" w:cs="Times New Roman" w:eastAsia="Times New Roman" w:hAnsi="Times New Roman"/>
          <w:sz w:val="20"/>
          <w:szCs w:val="20"/>
          <w:color w:val="auto"/>
        </w:rPr>
        <w:t>_____________________________________</w:t>
      </w:r>
    </w:p>
    <w:p>
      <w:pPr>
        <w:spacing w:after="0" w:line="544" w:lineRule="exact"/>
        <w:rPr>
          <w:sz w:val="20"/>
          <w:szCs w:val="20"/>
          <w:color w:val="auto"/>
        </w:rPr>
      </w:pPr>
    </w:p>
    <w:p>
      <w:pPr>
        <w:sectPr>
          <w:pgSz w:w="11900" w:h="16838" w:orient="portrait"/>
          <w:cols w:equalWidth="0" w:num="2">
            <w:col w:w="6980" w:space="400"/>
            <w:col w:w="3860"/>
          </w:cols>
          <w:pgMar w:left="320" w:top="279" w:right="339" w:bottom="1440" w:gutter="0" w:footer="0" w:header="0"/>
        </w:sectPr>
      </w:pPr>
    </w:p>
    <w:p>
      <w:pPr>
        <w:jc w:val="both"/>
        <w:ind w:left="560" w:hanging="552"/>
        <w:spacing w:after="0" w:line="254" w:lineRule="auto"/>
        <w:tabs>
          <w:tab w:leader="none" w:pos="560" w:val="left"/>
        </w:tabs>
        <w:numPr>
          <w:ilvl w:val="0"/>
          <w:numId w:val="2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represent and warrant to the Company that I am acquiring and will hold the Purchased Shares for investment for my account only, and not with a view to, or for resale in connection with, any “distribution” of the Purchased Shares within the meaning of the Securities Act of 1933, as amended (the “Securities Act”).</w:t>
      </w:r>
    </w:p>
    <w:p>
      <w:pPr>
        <w:spacing w:after="0" w:line="79" w:lineRule="exact"/>
        <w:rPr>
          <w:rFonts w:ascii="Times New Roman" w:cs="Times New Roman" w:eastAsia="Times New Roman" w:hAnsi="Times New Roman"/>
          <w:sz w:val="20"/>
          <w:szCs w:val="20"/>
          <w:color w:val="auto"/>
        </w:rPr>
      </w:pPr>
    </w:p>
    <w:p>
      <w:pPr>
        <w:jc w:val="both"/>
        <w:ind w:left="560" w:hanging="552"/>
        <w:spacing w:after="0" w:line="249" w:lineRule="auto"/>
        <w:tabs>
          <w:tab w:leader="none" w:pos="560" w:val="left"/>
        </w:tabs>
        <w:numPr>
          <w:ilvl w:val="0"/>
          <w:numId w:val="2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understand that my purchase of the Purchased Shares has not been registered under the Securities Act by reason of a specific exemption therefrom and that the Purchased Shares must be held indefinitely, unless they are subsequently registered under the Securities Act or I obtain an opinion of counsel (in form and substance satisfactory to the Company and its counsel) that registration is not required.</w:t>
      </w:r>
    </w:p>
    <w:p>
      <w:pPr>
        <w:spacing w:after="0" w:line="85" w:lineRule="exact"/>
        <w:rPr>
          <w:rFonts w:ascii="Times New Roman" w:cs="Times New Roman" w:eastAsia="Times New Roman" w:hAnsi="Times New Roman"/>
          <w:sz w:val="20"/>
          <w:szCs w:val="20"/>
          <w:color w:val="auto"/>
        </w:rPr>
      </w:pPr>
    </w:p>
    <w:p>
      <w:pPr>
        <w:ind w:left="560" w:hanging="552"/>
        <w:spacing w:after="0"/>
        <w:tabs>
          <w:tab w:leader="none" w:pos="560" w:val="left"/>
        </w:tabs>
        <w:numPr>
          <w:ilvl w:val="0"/>
          <w:numId w:val="2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acknowledge that the Company is under no obligation to register the Purchased Shares or any sale or transfer thereof.</w:t>
      </w:r>
    </w:p>
    <w:p>
      <w:pPr>
        <w:spacing w:after="0" w:line="121" w:lineRule="exact"/>
        <w:rPr>
          <w:rFonts w:ascii="Times New Roman" w:cs="Times New Roman" w:eastAsia="Times New Roman" w:hAnsi="Times New Roman"/>
          <w:sz w:val="20"/>
          <w:szCs w:val="20"/>
          <w:color w:val="auto"/>
        </w:rPr>
      </w:pPr>
    </w:p>
    <w:p>
      <w:pPr>
        <w:jc w:val="both"/>
        <w:ind w:left="560" w:hanging="552"/>
        <w:spacing w:after="0" w:line="245" w:lineRule="auto"/>
        <w:tabs>
          <w:tab w:leader="none" w:pos="560" w:val="left"/>
        </w:tabs>
        <w:numPr>
          <w:ilvl w:val="0"/>
          <w:numId w:val="2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am aware of Rule 144 under the Securities Act, which permits limited public resales of securities acquired in a non-public offering, subject to the satisfaction of certain conditions. These conditions may include (without limitation) that certain current public information about the issuer be available, that the resale occur only after a holding period required by Rule 144 has been satisfied, that the sale occur through an unsolicited “broker’s transaction” and that the amount of securities being sold during any three-month period not exceed specified limitations. I understand that the conditions for resale set forth in Rule 144 have not been satisfied as of the date set forth below, and that the Company is not required to take action to satisfy any conditions applicable to it.</w:t>
      </w:r>
    </w:p>
    <w:p>
      <w:pPr>
        <w:spacing w:after="0" w:line="89" w:lineRule="exact"/>
        <w:rPr>
          <w:rFonts w:ascii="Times New Roman" w:cs="Times New Roman" w:eastAsia="Times New Roman" w:hAnsi="Times New Roman"/>
          <w:sz w:val="20"/>
          <w:szCs w:val="20"/>
          <w:color w:val="auto"/>
        </w:rPr>
      </w:pPr>
    </w:p>
    <w:p>
      <w:pPr>
        <w:ind w:left="560" w:hanging="552"/>
        <w:spacing w:after="0" w:line="269" w:lineRule="auto"/>
        <w:tabs>
          <w:tab w:leader="none" w:pos="560" w:val="left"/>
        </w:tabs>
        <w:numPr>
          <w:ilvl w:val="0"/>
          <w:numId w:val="2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will not sell, transfer or otherwise dispose of the Purchased Shares in violation of the Securities Act, the Securities Exchange Act of 1934, or the rules promulgated thereunder, including Rule 144 under the Securities Act.</w:t>
      </w:r>
    </w:p>
    <w:p>
      <w:pPr>
        <w:spacing w:after="0" w:line="64" w:lineRule="exact"/>
        <w:rPr>
          <w:rFonts w:ascii="Times New Roman" w:cs="Times New Roman" w:eastAsia="Times New Roman" w:hAnsi="Times New Roman"/>
          <w:sz w:val="20"/>
          <w:szCs w:val="20"/>
          <w:color w:val="auto"/>
        </w:rPr>
      </w:pPr>
    </w:p>
    <w:p>
      <w:pPr>
        <w:jc w:val="both"/>
        <w:ind w:left="560" w:hanging="552"/>
        <w:spacing w:after="0" w:line="254" w:lineRule="auto"/>
        <w:tabs>
          <w:tab w:leader="none" w:pos="560" w:val="left"/>
        </w:tabs>
        <w:numPr>
          <w:ilvl w:val="0"/>
          <w:numId w:val="2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acknowledge that I have received and had access to such information as I consider necessary or appropriate for deciding whether to invest in the Purchased Shares and that I had an opportunity to ask questions and receive answers from the Company regarding the terms and conditions of the issuance of the Purchased Shares.</w:t>
      </w:r>
    </w:p>
    <w:p>
      <w:pPr>
        <w:spacing w:after="0" w:line="79" w:lineRule="exact"/>
        <w:rPr>
          <w:rFonts w:ascii="Times New Roman" w:cs="Times New Roman" w:eastAsia="Times New Roman" w:hAnsi="Times New Roman"/>
          <w:sz w:val="20"/>
          <w:szCs w:val="20"/>
          <w:color w:val="auto"/>
        </w:rPr>
      </w:pPr>
    </w:p>
    <w:p>
      <w:pPr>
        <w:jc w:val="both"/>
        <w:ind w:left="560" w:hanging="552"/>
        <w:spacing w:after="0" w:line="254" w:lineRule="auto"/>
        <w:tabs>
          <w:tab w:leader="none" w:pos="560" w:val="left"/>
        </w:tabs>
        <w:numPr>
          <w:ilvl w:val="0"/>
          <w:numId w:val="2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am aware that my investment in the Company is a speculative investment that has limited liquidity and is subject to the risk of complete loss. I am able, without impairing my financial condition, to hold the Purchased Shares for an indefinite period and to suffer a complete loss of my investment in the Purchased Shares.</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279" w:right="339" w:bottom="1440" w:gutter="0" w:footer="0" w:header="0"/>
          <w:type w:val="continuous"/>
        </w:sectPr>
      </w:pPr>
    </w:p>
    <w:bookmarkStart w:id="296" w:name="page297"/>
    <w:bookmarkEnd w:id="296"/>
    <w:p>
      <w:pPr>
        <w:ind w:left="560" w:hanging="552"/>
        <w:spacing w:after="0" w:line="269" w:lineRule="auto"/>
        <w:tabs>
          <w:tab w:leader="none" w:pos="560" w:val="left"/>
        </w:tabs>
        <w:numPr>
          <w:ilvl w:val="0"/>
          <w:numId w:val="2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 acknowledge that the Purchased Shares remain subject to the Company’s right of first refusal and the market stand-off (sometimes referred to as the “lock-up”), all in accordance with the applicable Notice of Stock Option Grant and Stock Option Agreement.</w:t>
      </w:r>
    </w:p>
    <w:p>
      <w:pPr>
        <w:spacing w:after="0" w:line="64" w:lineRule="exact"/>
        <w:rPr>
          <w:rFonts w:ascii="Times New Roman" w:cs="Times New Roman" w:eastAsia="Times New Roman" w:hAnsi="Times New Roman"/>
          <w:sz w:val="20"/>
          <w:szCs w:val="20"/>
          <w:color w:val="auto"/>
        </w:rPr>
      </w:pPr>
    </w:p>
    <w:p>
      <w:pPr>
        <w:ind w:left="560" w:hanging="552"/>
        <w:spacing w:after="0" w:line="269" w:lineRule="auto"/>
        <w:tabs>
          <w:tab w:leader="none" w:pos="560" w:val="left"/>
        </w:tabs>
        <w:numPr>
          <w:ilvl w:val="0"/>
          <w:numId w:val="2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acknowledge that I am acquiring the Purchased Shares subject to all other terms of the Notice of Stock Option Grant and Stock Option Agreement.</w:t>
      </w:r>
    </w:p>
    <w:p>
      <w:pPr>
        <w:spacing w:after="0" w:line="64" w:lineRule="exact"/>
        <w:rPr>
          <w:rFonts w:ascii="Times New Roman" w:cs="Times New Roman" w:eastAsia="Times New Roman" w:hAnsi="Times New Roman"/>
          <w:sz w:val="20"/>
          <w:szCs w:val="20"/>
          <w:color w:val="auto"/>
        </w:rPr>
      </w:pPr>
    </w:p>
    <w:p>
      <w:pPr>
        <w:jc w:val="both"/>
        <w:ind w:left="560" w:hanging="552"/>
        <w:spacing w:after="0" w:line="245" w:lineRule="auto"/>
        <w:tabs>
          <w:tab w:leader="none" w:pos="560" w:val="left"/>
        </w:tabs>
        <w:numPr>
          <w:ilvl w:val="0"/>
          <w:numId w:val="2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acknowledge that I have received a copy of the Company’s explanation of the forms of ownership available for my Purchased Shares. I acknowledge that the Company has encouraged me to consult my own adviser to determine the form of ownership that is appropriate for me. In the event that I choose to transfer my Purchased Shares to a trust, I agree to sign a Stock Transfer Agreement. In the event that I choose to transfer my Purchased Shares to a trust that does not satisfy the requirements described in the attached explanation (i.e., a trust that is not an eligible revocable trust), I also acknowledge that the transfer will be treated as a “disposition” for tax purposes. As a result, the favorable ISO tax treatment will be unavailable and other unfavorable tax consequences may occur.</w:t>
      </w:r>
    </w:p>
    <w:p>
      <w:pPr>
        <w:spacing w:after="0" w:line="89" w:lineRule="exact"/>
        <w:rPr>
          <w:rFonts w:ascii="Times New Roman" w:cs="Times New Roman" w:eastAsia="Times New Roman" w:hAnsi="Times New Roman"/>
          <w:sz w:val="20"/>
          <w:szCs w:val="20"/>
          <w:color w:val="auto"/>
        </w:rPr>
      </w:pPr>
    </w:p>
    <w:p>
      <w:pPr>
        <w:jc w:val="both"/>
        <w:ind w:left="560" w:hanging="552"/>
        <w:spacing w:after="0" w:line="254" w:lineRule="auto"/>
        <w:tabs>
          <w:tab w:leader="none" w:pos="560" w:val="left"/>
        </w:tabs>
        <w:numPr>
          <w:ilvl w:val="0"/>
          <w:numId w:val="2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acknowledge that I have received a copy of the Company’s explanation of the federal income tax consequences of an option exercise. I acknowledge that the Company has encouraged me to consult my own adviser to determine the tax consequences of acquiring the Purchased Shares at this time.</w:t>
      </w:r>
    </w:p>
    <w:p>
      <w:pPr>
        <w:spacing w:after="0" w:line="79" w:lineRule="exact"/>
        <w:rPr>
          <w:rFonts w:ascii="Times New Roman" w:cs="Times New Roman" w:eastAsia="Times New Roman" w:hAnsi="Times New Roman"/>
          <w:sz w:val="20"/>
          <w:szCs w:val="20"/>
          <w:color w:val="auto"/>
        </w:rPr>
      </w:pPr>
    </w:p>
    <w:p>
      <w:pPr>
        <w:jc w:val="both"/>
        <w:ind w:left="560" w:hanging="552"/>
        <w:spacing w:after="0" w:line="242" w:lineRule="auto"/>
        <w:tabs>
          <w:tab w:leader="none" w:pos="560" w:val="left"/>
        </w:tabs>
        <w:numPr>
          <w:ilvl w:val="0"/>
          <w:numId w:val="2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agree that the Company does not have a duty to design or administer the 2016 Stock Plan or its other compensation programs in a manner that minimizes my tax liabilities. I will not make any claim against the Company or its Board of Directors, officers or employees related to tax liabilities arising from my options or my other compensation. In particular, I acknowledge that my options are exempt from section 409A of the Internal Revenue Code only if the exercise price per share is at least equal to the fair market value per share of the Company’s Common Stock at the time the option was granted by the Company’s Board of Directors. Since shares of the Company’s Common Stock are not traded on an established securities market, the determination of their fair market value was made by the Company’s Board of Directors or by an independent valuation firm retained by the Company. I acknowledge that there is no guarantee in either case that the Internal Revenue Service will agree with the valuation, and I will not make any claim against the Company or its Board of Directors, officers or employees in the event that the Internal Revenue Service asserts that the valuation was too low.</w:t>
      </w:r>
    </w:p>
    <w:p>
      <w:pPr>
        <w:spacing w:after="0" w:line="102" w:lineRule="exact"/>
        <w:rPr>
          <w:rFonts w:ascii="Times New Roman" w:cs="Times New Roman" w:eastAsia="Times New Roman" w:hAnsi="Times New Roman"/>
          <w:sz w:val="20"/>
          <w:szCs w:val="20"/>
          <w:color w:val="auto"/>
        </w:rPr>
      </w:pPr>
    </w:p>
    <w:p>
      <w:pPr>
        <w:ind w:left="460" w:hanging="452"/>
        <w:spacing w:after="0"/>
        <w:tabs>
          <w:tab w:leader="none" w:pos="460" w:val="left"/>
        </w:tabs>
        <w:numPr>
          <w:ilvl w:val="0"/>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agree to seek the consent of my spouse to the extent required by the Company to enforce the foregoing.</w:t>
      </w:r>
    </w:p>
    <w:p>
      <w:pPr>
        <w:spacing w:after="0" w:line="244" w:lineRule="exact"/>
        <w:rPr>
          <w:sz w:val="20"/>
          <w:szCs w:val="20"/>
          <w:color w:val="auto"/>
        </w:rPr>
      </w:pPr>
    </w:p>
    <w:p>
      <w:pPr>
        <w:spacing w:after="0"/>
        <w:tabs>
          <w:tab w:leader="none" w:pos="5840" w:val="left"/>
        </w:tabs>
        <w:rPr>
          <w:sz w:val="20"/>
          <w:szCs w:val="20"/>
          <w:color w:val="auto"/>
        </w:rPr>
      </w:pPr>
      <w:r>
        <w:rPr>
          <w:rFonts w:ascii="Times New Roman" w:cs="Times New Roman" w:eastAsia="Times New Roman" w:hAnsi="Times New Roman"/>
          <w:sz w:val="20"/>
          <w:szCs w:val="20"/>
          <w:b w:val="1"/>
          <w:bCs w:val="1"/>
          <w:color w:val="auto"/>
        </w:rPr>
        <w:t>S</w:t>
      </w:r>
      <w:r>
        <w:rPr>
          <w:rFonts w:ascii="Times New Roman" w:cs="Times New Roman" w:eastAsia="Times New Roman" w:hAnsi="Times New Roman"/>
          <w:sz w:val="16"/>
          <w:szCs w:val="16"/>
          <w:b w:val="1"/>
          <w:bCs w:val="1"/>
          <w:color w:val="auto"/>
        </w:rPr>
        <w:t>IGNATURE</w:t>
      </w:r>
      <w:r>
        <w:rPr>
          <w:rFonts w:ascii="Times New Roman" w:cs="Times New Roman" w:eastAsia="Times New Roman" w:hAnsi="Times New Roman"/>
          <w:sz w:val="20"/>
          <w:szCs w:val="20"/>
          <w:b w:val="1"/>
          <w:bCs w:val="1"/>
          <w:color w:val="auto"/>
        </w:rPr>
        <w:t>:</w:t>
      </w:r>
      <w:r>
        <w:rPr>
          <w:sz w:val="20"/>
          <w:szCs w:val="20"/>
          <w:color w:val="auto"/>
        </w:rPr>
        <w:tab/>
      </w:r>
      <w:r>
        <w:rPr>
          <w:rFonts w:ascii="Times New Roman" w:cs="Times New Roman" w:eastAsia="Times New Roman" w:hAnsi="Times New Roman"/>
          <w:sz w:val="19"/>
          <w:szCs w:val="19"/>
          <w:b w:val="1"/>
          <w:bCs w:val="1"/>
          <w:color w:val="auto"/>
        </w:rPr>
        <w:t>D</w:t>
      </w:r>
      <w:r>
        <w:rPr>
          <w:rFonts w:ascii="Times New Roman" w:cs="Times New Roman" w:eastAsia="Times New Roman" w:hAnsi="Times New Roman"/>
          <w:sz w:val="15"/>
          <w:szCs w:val="15"/>
          <w:b w:val="1"/>
          <w:bCs w:val="1"/>
          <w:color w:val="auto"/>
        </w:rPr>
        <w:t>ATE</w:t>
      </w:r>
      <w:r>
        <w:rPr>
          <w:rFonts w:ascii="Times New Roman" w:cs="Times New Roman" w:eastAsia="Times New Roman" w:hAnsi="Times New Roman"/>
          <w:sz w:val="19"/>
          <w:szCs w:val="19"/>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299720</wp:posOffset>
            </wp:positionV>
            <wp:extent cx="7132320"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265" w:right="339" w:bottom="1440" w:gutter="0" w:footer="0" w:header="0"/>
        </w:sectPr>
      </w:pPr>
    </w:p>
    <w:bookmarkStart w:id="297" w:name="page298"/>
    <w:bookmarkEnd w:id="297"/>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w:t>
      </w:r>
      <w:r>
        <w:rPr>
          <w:rFonts w:ascii="Times New Roman" w:cs="Times New Roman" w:eastAsia="Times New Roman" w:hAnsi="Times New Roman"/>
          <w:sz w:val="16"/>
          <w:szCs w:val="16"/>
          <w:b w:val="1"/>
          <w:bCs w:val="1"/>
          <w:color w:val="auto"/>
        </w:rPr>
        <w:t>XPLANATION OF</w:t>
      </w:r>
      <w:r>
        <w:rPr>
          <w:rFonts w:ascii="Times New Roman" w:cs="Times New Roman" w:eastAsia="Times New Roman" w:hAnsi="Times New Roman"/>
          <w:sz w:val="20"/>
          <w:szCs w:val="20"/>
          <w:b w:val="1"/>
          <w:bCs w:val="1"/>
          <w:color w:val="auto"/>
        </w:rPr>
        <w:t xml:space="preserve"> F</w:t>
      </w:r>
      <w:r>
        <w:rPr>
          <w:rFonts w:ascii="Times New Roman" w:cs="Times New Roman" w:eastAsia="Times New Roman" w:hAnsi="Times New Roman"/>
          <w:sz w:val="16"/>
          <w:szCs w:val="16"/>
          <w:b w:val="1"/>
          <w:bCs w:val="1"/>
          <w:color w:val="auto"/>
        </w:rPr>
        <w:t>ORMS OF</w:t>
      </w:r>
      <w:r>
        <w:rPr>
          <w:rFonts w:ascii="Times New Roman" w:cs="Times New Roman" w:eastAsia="Times New Roman" w:hAnsi="Times New Roman"/>
          <w:sz w:val="20"/>
          <w:szCs w:val="20"/>
          <w:b w:val="1"/>
          <w:bCs w:val="1"/>
          <w:color w:val="auto"/>
        </w:rPr>
        <w:t xml:space="preserve"> S</w:t>
      </w:r>
      <w:r>
        <w:rPr>
          <w:rFonts w:ascii="Times New Roman" w:cs="Times New Roman" w:eastAsia="Times New Roman" w:hAnsi="Times New Roman"/>
          <w:sz w:val="16"/>
          <w:szCs w:val="16"/>
          <w:b w:val="1"/>
          <w:bCs w:val="1"/>
          <w:color w:val="auto"/>
        </w:rPr>
        <w:t>TOCK</w:t>
      </w:r>
      <w:r>
        <w:rPr>
          <w:rFonts w:ascii="Times New Roman" w:cs="Times New Roman" w:eastAsia="Times New Roman" w:hAnsi="Times New Roman"/>
          <w:sz w:val="20"/>
          <w:szCs w:val="20"/>
          <w:b w:val="1"/>
          <w:bCs w:val="1"/>
          <w:color w:val="auto"/>
        </w:rPr>
        <w:t xml:space="preserve"> O</w:t>
      </w:r>
      <w:r>
        <w:rPr>
          <w:rFonts w:ascii="Times New Roman" w:cs="Times New Roman" w:eastAsia="Times New Roman" w:hAnsi="Times New Roman"/>
          <w:sz w:val="16"/>
          <w:szCs w:val="16"/>
          <w:b w:val="1"/>
          <w:bCs w:val="1"/>
          <w:color w:val="auto"/>
        </w:rPr>
        <w:t>WNERSHIP</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Purpose of This Explanation</w:t>
      </w:r>
    </w:p>
    <w:p>
      <w:pPr>
        <w:spacing w:after="0" w:line="220"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The purpose of this explanation is to provide you with a brief summary of the forms of legal ownership available for the shares that you are purchasing (the “Purchased Shares”). For a number of reasons, this explanation is no substitute for personal legal advice:</w:t>
      </w:r>
    </w:p>
    <w:p>
      <w:pPr>
        <w:spacing w:after="0" w:line="191" w:lineRule="exact"/>
        <w:rPr>
          <w:sz w:val="20"/>
          <w:szCs w:val="20"/>
          <w:color w:val="auto"/>
        </w:rPr>
      </w:pPr>
    </w:p>
    <w:p>
      <w:pPr>
        <w:ind w:left="460" w:right="20" w:hanging="452"/>
        <w:spacing w:after="0" w:line="282" w:lineRule="auto"/>
        <w:tabs>
          <w:tab w:leader="none" w:pos="460" w:val="left"/>
        </w:tabs>
        <w:numPr>
          <w:ilvl w:val="0"/>
          <w:numId w:val="26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To make the explanation short and readable, only the highlights are covered. Some legal rules are not addressed, even though they may be important in particular cases.</w:t>
      </w:r>
    </w:p>
    <w:p>
      <w:pPr>
        <w:spacing w:after="0" w:line="188" w:lineRule="exact"/>
        <w:rPr>
          <w:rFonts w:ascii="MS PGothic" w:cs="MS PGothic" w:eastAsia="MS PGothic" w:hAnsi="MS PGothic"/>
          <w:sz w:val="18"/>
          <w:szCs w:val="18"/>
          <w:color w:val="auto"/>
        </w:rPr>
      </w:pPr>
    </w:p>
    <w:p>
      <w:pPr>
        <w:ind w:left="460" w:hanging="452"/>
        <w:spacing w:after="0"/>
        <w:tabs>
          <w:tab w:leader="none" w:pos="460" w:val="left"/>
        </w:tabs>
        <w:numPr>
          <w:ilvl w:val="0"/>
          <w:numId w:val="26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While the summary attempts to deal with the most common situations, your own situation may well be different from the norm.</w:t>
      </w:r>
    </w:p>
    <w:p>
      <w:pPr>
        <w:spacing w:after="0" w:line="252" w:lineRule="exact"/>
        <w:rPr>
          <w:rFonts w:ascii="MS PGothic" w:cs="MS PGothic" w:eastAsia="MS PGothic" w:hAnsi="MS PGothic"/>
          <w:sz w:val="18"/>
          <w:szCs w:val="18"/>
          <w:color w:val="auto"/>
        </w:rPr>
      </w:pPr>
    </w:p>
    <w:p>
      <w:pPr>
        <w:ind w:left="460" w:hanging="452"/>
        <w:spacing w:after="0"/>
        <w:tabs>
          <w:tab w:leader="none" w:pos="460" w:val="left"/>
        </w:tabs>
        <w:numPr>
          <w:ilvl w:val="0"/>
          <w:numId w:val="26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The law may change, and the Company is not responsible for updating this summary.</w:t>
      </w:r>
    </w:p>
    <w:p>
      <w:pPr>
        <w:spacing w:after="0" w:line="250" w:lineRule="exact"/>
        <w:rPr>
          <w:rFonts w:ascii="MS PGothic" w:cs="MS PGothic" w:eastAsia="MS PGothic" w:hAnsi="MS PGothic"/>
          <w:sz w:val="18"/>
          <w:szCs w:val="18"/>
          <w:color w:val="auto"/>
        </w:rPr>
      </w:pPr>
    </w:p>
    <w:p>
      <w:pPr>
        <w:ind w:left="460" w:hanging="452"/>
        <w:spacing w:after="0" w:line="284" w:lineRule="auto"/>
        <w:tabs>
          <w:tab w:leader="none" w:pos="460" w:val="left"/>
        </w:tabs>
        <w:numPr>
          <w:ilvl w:val="0"/>
          <w:numId w:val="26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The form in which you own your shares may have a </w:t>
      </w:r>
      <w:r>
        <w:rPr>
          <w:rFonts w:ascii="Times New Roman" w:cs="Times New Roman" w:eastAsia="Times New Roman" w:hAnsi="Times New Roman"/>
          <w:sz w:val="18"/>
          <w:szCs w:val="18"/>
          <w:i w:val="1"/>
          <w:iCs w:val="1"/>
          <w:color w:val="auto"/>
        </w:rPr>
        <w:t>substantial</w:t>
      </w:r>
      <w:r>
        <w:rPr>
          <w:rFonts w:ascii="Times New Roman" w:cs="Times New Roman" w:eastAsia="Times New Roman" w:hAnsi="Times New Roman"/>
          <w:sz w:val="18"/>
          <w:szCs w:val="18"/>
          <w:color w:val="auto"/>
        </w:rPr>
        <w:t xml:space="preserve"> impact on the estate tax treatment that applies to those shares when you die or the income tax treatment that applies when your survivors sell the shares after your death.</w:t>
      </w:r>
    </w:p>
    <w:p>
      <w:pPr>
        <w:spacing w:after="0" w:line="152" w:lineRule="exact"/>
        <w:rPr>
          <w:sz w:val="20"/>
          <w:szCs w:val="20"/>
          <w:color w:val="auto"/>
        </w:rPr>
      </w:pPr>
    </w:p>
    <w:p>
      <w:pPr>
        <w:ind w:right="220"/>
        <w:spacing w:after="0" w:line="273" w:lineRule="auto"/>
        <w:rPr>
          <w:sz w:val="20"/>
          <w:szCs w:val="20"/>
          <w:color w:val="auto"/>
        </w:rPr>
      </w:pPr>
      <w:r>
        <w:rPr>
          <w:rFonts w:ascii="Times New Roman" w:cs="Times New Roman" w:eastAsia="Times New Roman" w:hAnsi="Times New Roman"/>
          <w:sz w:val="20"/>
          <w:szCs w:val="20"/>
          <w:b w:val="1"/>
          <w:bCs w:val="1"/>
          <w:u w:val="single" w:color="auto"/>
          <w:color w:val="auto"/>
        </w:rPr>
        <w:t>F</w:t>
      </w:r>
      <w:r>
        <w:rPr>
          <w:rFonts w:ascii="Times New Roman" w:cs="Times New Roman" w:eastAsia="Times New Roman" w:hAnsi="Times New Roman"/>
          <w:sz w:val="16"/>
          <w:szCs w:val="16"/>
          <w:b w:val="1"/>
          <w:bCs w:val="1"/>
          <w:u w:val="single" w:color="auto"/>
          <w:color w:val="auto"/>
        </w:rPr>
        <w:t>OR THESE REASONS</w:t>
      </w:r>
      <w:r>
        <w:rPr>
          <w:rFonts w:ascii="Times New Roman" w:cs="Times New Roman" w:eastAsia="Times New Roman" w:hAnsi="Times New Roman"/>
          <w:sz w:val="20"/>
          <w:szCs w:val="20"/>
          <w:b w:val="1"/>
          <w:bCs w:val="1"/>
          <w:u w:val="single" w:color="auto"/>
          <w:color w:val="auto"/>
        </w:rPr>
        <w:t xml:space="preserve">, </w:t>
      </w:r>
      <w:r>
        <w:rPr>
          <w:rFonts w:ascii="Times New Roman" w:cs="Times New Roman" w:eastAsia="Times New Roman" w:hAnsi="Times New Roman"/>
          <w:sz w:val="16"/>
          <w:szCs w:val="16"/>
          <w:b w:val="1"/>
          <w:bCs w:val="1"/>
          <w:u w:val="single" w:color="auto"/>
          <w:color w:val="auto"/>
        </w:rPr>
        <w:t>THE</w:t>
      </w:r>
      <w:r>
        <w:rPr>
          <w:rFonts w:ascii="Times New Roman" w:cs="Times New Roman" w:eastAsia="Times New Roman" w:hAnsi="Times New Roman"/>
          <w:sz w:val="20"/>
          <w:szCs w:val="20"/>
          <w:b w:val="1"/>
          <w:bCs w:val="1"/>
          <w:u w:val="single" w:color="auto"/>
          <w:color w:val="auto"/>
        </w:rPr>
        <w:t xml:space="preserve"> C</w:t>
      </w:r>
      <w:r>
        <w:rPr>
          <w:rFonts w:ascii="Times New Roman" w:cs="Times New Roman" w:eastAsia="Times New Roman" w:hAnsi="Times New Roman"/>
          <w:sz w:val="16"/>
          <w:szCs w:val="16"/>
          <w:b w:val="1"/>
          <w:bCs w:val="1"/>
          <w:u w:val="single" w:color="auto"/>
          <w:color w:val="auto"/>
        </w:rPr>
        <w:t>OMPANY STRONGLY ENCOURAGES YOU TO CONSULT YOUR OWN ADVISER BEFORE EXERCISING YOUR</w:t>
      </w:r>
      <w:r>
        <w:rPr>
          <w:rFonts w:ascii="Times New Roman" w:cs="Times New Roman" w:eastAsia="Times New Roman" w:hAnsi="Times New Roman"/>
          <w:sz w:val="20"/>
          <w:szCs w:val="20"/>
          <w:b w:val="1"/>
          <w:bCs w:val="1"/>
          <w:u w:val="single" w:color="auto"/>
          <w:color w:val="auto"/>
        </w:rPr>
        <w:t xml:space="preserve"> </w:t>
      </w:r>
      <w:r>
        <w:rPr>
          <w:rFonts w:ascii="Times New Roman" w:cs="Times New Roman" w:eastAsia="Times New Roman" w:hAnsi="Times New Roman"/>
          <w:sz w:val="16"/>
          <w:szCs w:val="16"/>
          <w:b w:val="1"/>
          <w:bCs w:val="1"/>
          <w:u w:val="single" w:color="auto"/>
          <w:color w:val="auto"/>
        </w:rPr>
        <w:t>OPTION AND BEFORE MAKING A DECISION ABOUT THE FORM OF OWNERSHIP FOR YOUR SHARES</w:t>
      </w:r>
      <w:r>
        <w:rPr>
          <w:rFonts w:ascii="Times New Roman" w:cs="Times New Roman" w:eastAsia="Times New Roman" w:hAnsi="Times New Roman"/>
          <w:sz w:val="19"/>
          <w:szCs w:val="19"/>
          <w:b w:val="1"/>
          <w:bCs w:val="1"/>
          <w:u w:val="single" w:color="auto"/>
          <w:color w:val="auto"/>
        </w:rPr>
        <w:t>.</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Overview</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Notice of Stock Option Exercise offers five forms of taking title to the Purchased Shares:</w:t>
      </w:r>
    </w:p>
    <w:p>
      <w:pPr>
        <w:spacing w:after="0" w:line="243" w:lineRule="exact"/>
        <w:rPr>
          <w:sz w:val="20"/>
          <w:szCs w:val="20"/>
          <w:color w:val="auto"/>
        </w:rPr>
      </w:pPr>
    </w:p>
    <w:p>
      <w:pPr>
        <w:ind w:left="560" w:hanging="552"/>
        <w:spacing w:after="0"/>
        <w:tabs>
          <w:tab w:leader="none" w:pos="560" w:val="left"/>
        </w:tabs>
        <w:numPr>
          <w:ilvl w:val="0"/>
          <w:numId w:val="265"/>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In your name only,</w:t>
      </w:r>
    </w:p>
    <w:p>
      <w:pPr>
        <w:spacing w:after="0" w:line="256" w:lineRule="exact"/>
        <w:rPr>
          <w:rFonts w:ascii="MS PGothic" w:cs="MS PGothic" w:eastAsia="MS PGothic" w:hAnsi="MS PGothic"/>
          <w:sz w:val="20"/>
          <w:szCs w:val="20"/>
          <w:color w:val="auto"/>
        </w:rPr>
      </w:pPr>
    </w:p>
    <w:p>
      <w:pPr>
        <w:ind w:left="560" w:hanging="552"/>
        <w:spacing w:after="0"/>
        <w:tabs>
          <w:tab w:leader="none" w:pos="560" w:val="left"/>
        </w:tabs>
        <w:numPr>
          <w:ilvl w:val="0"/>
          <w:numId w:val="265"/>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In your name and the name of your spouse as community property,</w:t>
      </w:r>
    </w:p>
    <w:p>
      <w:pPr>
        <w:spacing w:after="0" w:line="256" w:lineRule="exact"/>
        <w:rPr>
          <w:rFonts w:ascii="MS PGothic" w:cs="MS PGothic" w:eastAsia="MS PGothic" w:hAnsi="MS PGothic"/>
          <w:sz w:val="20"/>
          <w:szCs w:val="20"/>
          <w:color w:val="auto"/>
        </w:rPr>
      </w:pPr>
    </w:p>
    <w:p>
      <w:pPr>
        <w:ind w:left="560" w:hanging="552"/>
        <w:spacing w:after="0"/>
        <w:tabs>
          <w:tab w:leader="none" w:pos="560" w:val="left"/>
        </w:tabs>
        <w:numPr>
          <w:ilvl w:val="0"/>
          <w:numId w:val="265"/>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In your name and the name of your spouse as community property with the right of survivorship,</w:t>
      </w:r>
    </w:p>
    <w:p>
      <w:pPr>
        <w:spacing w:after="0" w:line="256" w:lineRule="exact"/>
        <w:rPr>
          <w:rFonts w:ascii="MS PGothic" w:cs="MS PGothic" w:eastAsia="MS PGothic" w:hAnsi="MS PGothic"/>
          <w:sz w:val="20"/>
          <w:szCs w:val="20"/>
          <w:color w:val="auto"/>
        </w:rPr>
      </w:pPr>
    </w:p>
    <w:p>
      <w:pPr>
        <w:ind w:left="560" w:hanging="552"/>
        <w:spacing w:after="0"/>
        <w:tabs>
          <w:tab w:leader="none" w:pos="560" w:val="left"/>
        </w:tabs>
        <w:numPr>
          <w:ilvl w:val="0"/>
          <w:numId w:val="265"/>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In your name and the name of your spouse as joint tenants with the right of survivorship, or</w:t>
      </w:r>
    </w:p>
    <w:p>
      <w:pPr>
        <w:spacing w:after="0" w:line="256" w:lineRule="exact"/>
        <w:rPr>
          <w:rFonts w:ascii="MS PGothic" w:cs="MS PGothic" w:eastAsia="MS PGothic" w:hAnsi="MS PGothic"/>
          <w:sz w:val="20"/>
          <w:szCs w:val="20"/>
          <w:color w:val="auto"/>
        </w:rPr>
      </w:pPr>
    </w:p>
    <w:p>
      <w:pPr>
        <w:ind w:left="560" w:hanging="552"/>
        <w:spacing w:after="0"/>
        <w:tabs>
          <w:tab w:leader="none" w:pos="560" w:val="left"/>
        </w:tabs>
        <w:numPr>
          <w:ilvl w:val="0"/>
          <w:numId w:val="265"/>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In the name of an eligible revocable trust.</w:t>
      </w:r>
    </w:p>
    <w:p>
      <w:pPr>
        <w:spacing w:after="0" w:line="22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Title in the Purchased Shares depends upon (a) your marital status, (b) the marital property laws of your state of residence and (c) any agreement with your spouse altering the existing marital property laws of your state of residence. If you are not married, you generally will take title in your name alone. If you are married, title depends upon the marital property laws of your state of residence. In general, states are classified either as “community property” states or as “common-law property” states. (But individual state law may vary within these classifications.)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Community Property and Joint Tenancy</w:t>
      </w:r>
    </w:p>
    <w:p>
      <w:pPr>
        <w:spacing w:after="0" w:line="22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Community property states include California, Texas, Washington, Arizona, Nevada, New Mexico, Idaho, Louisiana and Wisconsin. In a community property state, property acquired during marriage by either spouse is presumed to be one-half owned by each spouse. All other property is classified as the separate property of the spouse who acquires the property. While either spouse has equal management</w:t>
      </w:r>
    </w:p>
    <w:p>
      <w:pPr>
        <w:spacing w:after="0" w:line="1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261" w:right="339" w:bottom="1440" w:gutter="0" w:footer="0" w:header="0"/>
        </w:sectPr>
      </w:pPr>
    </w:p>
    <w:bookmarkStart w:id="298" w:name="page299"/>
    <w:bookmarkEnd w:id="298"/>
    <w:p>
      <w:pPr>
        <w:jc w:val="both"/>
        <w:spacing w:after="0" w:line="246"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and control over the community property and may sell, spend or encumber all community property, neither spouse may gift community property or partition his/her one-half interest without the consent of the other spouse. Upon divorce, all community property is divided equally among the spouses and each spouse is entitled to retain all of his/her separate property. Upon the death of a spouse, one-half of the community property (and all of the decedent spouse’s separate property) will pass to the decedent spouse’s heirs. The other one-half of the community property remains the property of the surviving spouse.</w:t>
      </w:r>
    </w:p>
    <w:p>
      <w:pPr>
        <w:spacing w:after="0" w:line="185"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Other states are common-law property states. In a common-law property state, each spouse is generally deemed to own whatever he/she earns or acquires.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A married couple may elect to alter the marital property rules by mutually agreeing to take title to property in other forms. For example, a couple residing in a community property state may generally enter into an agreement and transform what otherwise would be community property into the separate property of the spouse who earns or acquires the property.</w:t>
      </w:r>
    </w:p>
    <w:p>
      <w:pPr>
        <w:spacing w:after="0" w:line="17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 xml:space="preserve">In addition, many community property and common-law property states allow married couples to take joint title in property acquired during marriage. For example, California allows a married couple to take title in a joint tenancy with the right of survivorship. In a joint tenancy, each spouse owns a one-half interest in the property as separate property. This means that each spouse may transfer or sell his/her one-half interest in the property while he/she is alive. However, unlike traditional separate property, a spouse cannot transfer his/her one-half interest to heirs at death. Instead, the surviving spouse </w:t>
      </w:r>
      <w:r>
        <w:rPr>
          <w:rFonts w:ascii="Times New Roman" w:cs="Times New Roman" w:eastAsia="Times New Roman" w:hAnsi="Times New Roman"/>
          <w:sz w:val="20"/>
          <w:szCs w:val="20"/>
          <w:i w:val="1"/>
          <w:iCs w:val="1"/>
          <w:color w:val="auto"/>
        </w:rPr>
        <w:t>automatically</w:t>
      </w:r>
      <w:r>
        <w:rPr>
          <w:rFonts w:ascii="Times New Roman" w:cs="Times New Roman" w:eastAsia="Times New Roman" w:hAnsi="Times New Roman"/>
          <w:sz w:val="20"/>
          <w:szCs w:val="20"/>
          <w:color w:val="auto"/>
        </w:rPr>
        <w:t xml:space="preserve"> receives the decedent spouse’s one-half interest and becomes the full owner of the property. (This is called the “right of survivorship.”) Both spouses must consent to taking property in a joint tenancy in lieu of having the community property laws apply.</w:t>
      </w:r>
    </w:p>
    <w:p>
      <w:pPr>
        <w:spacing w:after="0" w:line="18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 xml:space="preserve">California also allows a married couple to take title in the shares as community property with the right of survivorship. This means that the shares are treated like community property while both spouses are alive. However, if one spouse dies, then the other spouse automatically receives the decedent spouse’s one-half interest and becomes the full owner of the shares. In other words, the decedent spouse’s will or trust does </w:t>
      </w:r>
      <w:r>
        <w:rPr>
          <w:rFonts w:ascii="Times New Roman" w:cs="Times New Roman" w:eastAsia="Times New Roman" w:hAnsi="Times New Roman"/>
          <w:sz w:val="20"/>
          <w:szCs w:val="20"/>
          <w:i w:val="1"/>
          <w:iCs w:val="1"/>
          <w:color w:val="auto"/>
        </w:rPr>
        <w:t>not</w:t>
      </w:r>
      <w:r>
        <w:rPr>
          <w:rFonts w:ascii="Times New Roman" w:cs="Times New Roman" w:eastAsia="Times New Roman" w:hAnsi="Times New Roman"/>
          <w:sz w:val="20"/>
          <w:szCs w:val="20"/>
          <w:color w:val="auto"/>
        </w:rPr>
        <w:t xml:space="preserve"> control the disposition of the shares.</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If you have the Purchased Shares issued in a form other than those described above, then the transfer will be treated as a “disposition” for tax purposes. This means that the effect, for tax purposes, will be the same as selling the Purchased Shares. Please refer to the attached tax summary for additional information.</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Trusts</w:t>
      </w:r>
    </w:p>
    <w:p>
      <w:pPr>
        <w:spacing w:after="0" w:line="22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A transfer to a trust generally should not be treated as a “disposition” of the Purchased Shares for tax purposes if the trust satisfies each of the following conditions:</w:t>
      </w:r>
    </w:p>
    <w:p>
      <w:pPr>
        <w:spacing w:after="0" w:line="191" w:lineRule="exact"/>
        <w:rPr>
          <w:sz w:val="20"/>
          <w:szCs w:val="20"/>
          <w:color w:val="auto"/>
        </w:rPr>
      </w:pPr>
    </w:p>
    <w:p>
      <w:pPr>
        <w:ind w:left="460" w:hanging="452"/>
        <w:spacing w:after="0"/>
        <w:tabs>
          <w:tab w:leader="none" w:pos="460" w:val="left"/>
        </w:tabs>
        <w:numPr>
          <w:ilvl w:val="0"/>
          <w:numId w:val="266"/>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You are the sole grantor of the trust,</w:t>
      </w:r>
    </w:p>
    <w:p>
      <w:pPr>
        <w:spacing w:after="0" w:line="252" w:lineRule="exact"/>
        <w:rPr>
          <w:rFonts w:ascii="MS PGothic" w:cs="MS PGothic" w:eastAsia="MS PGothic" w:hAnsi="MS PGothic"/>
          <w:sz w:val="18"/>
          <w:szCs w:val="18"/>
          <w:color w:val="auto"/>
        </w:rPr>
      </w:pPr>
    </w:p>
    <w:p>
      <w:pPr>
        <w:ind w:left="460" w:hanging="452"/>
        <w:spacing w:after="0"/>
        <w:tabs>
          <w:tab w:leader="none" w:pos="460" w:val="left"/>
        </w:tabs>
        <w:numPr>
          <w:ilvl w:val="0"/>
          <w:numId w:val="266"/>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You are the sole trustee, or you and your spouse are the sole co-trustees,</w:t>
      </w:r>
    </w:p>
    <w:p>
      <w:pPr>
        <w:spacing w:after="0" w:line="252" w:lineRule="exact"/>
        <w:rPr>
          <w:rFonts w:ascii="MS PGothic" w:cs="MS PGothic" w:eastAsia="MS PGothic" w:hAnsi="MS PGothic"/>
          <w:sz w:val="18"/>
          <w:szCs w:val="18"/>
          <w:color w:val="auto"/>
        </w:rPr>
      </w:pPr>
    </w:p>
    <w:p>
      <w:pPr>
        <w:ind w:left="460" w:hanging="452"/>
        <w:spacing w:after="0"/>
        <w:tabs>
          <w:tab w:leader="none" w:pos="460" w:val="left"/>
        </w:tabs>
        <w:numPr>
          <w:ilvl w:val="0"/>
          <w:numId w:val="266"/>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The trustee or trustees are not required to distribute the income of the trust to any person other than you and/or your spouse while you are alive, and</w:t>
      </w:r>
    </w:p>
    <w:p>
      <w:pPr>
        <w:spacing w:after="0" w:line="252" w:lineRule="exact"/>
        <w:rPr>
          <w:rFonts w:ascii="MS PGothic" w:cs="MS PGothic" w:eastAsia="MS PGothic" w:hAnsi="MS PGothic"/>
          <w:sz w:val="18"/>
          <w:szCs w:val="18"/>
          <w:color w:val="auto"/>
        </w:rPr>
      </w:pPr>
    </w:p>
    <w:p>
      <w:pPr>
        <w:ind w:left="460" w:right="20" w:hanging="452"/>
        <w:spacing w:after="0" w:line="282" w:lineRule="auto"/>
        <w:tabs>
          <w:tab w:leader="none" w:pos="460" w:val="left"/>
        </w:tabs>
        <w:numPr>
          <w:ilvl w:val="0"/>
          <w:numId w:val="266"/>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The trust permits you to revoke all or part of the trust and to have the trust’s assets returned to you, without the consent of any other person (including your spouse).</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265" w:right="339" w:bottom="1440" w:gutter="0" w:footer="0" w:header="0"/>
        </w:sectPr>
      </w:pPr>
    </w:p>
    <w:bookmarkStart w:id="299" w:name="page300"/>
    <w:bookmarkEnd w:id="299"/>
    <w:p>
      <w:pPr>
        <w:jc w:val="both"/>
        <w:spacing w:after="0" w:line="254"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If you have the Purchased Shares issued to a trust that does not meet these requirements, then the transfer will be treated as a “disposition” for tax purposes. This means that the effect, for tax purposes, will be the same as selling the Purchased Shares. Please refer to the attached tax summary for additional information.</w:t>
      </w:r>
    </w:p>
    <w:p>
      <w:pPr>
        <w:spacing w:after="0" w:line="17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If you have the Purchased Shares issued to any trust, you will be required to sign a Stock Transfer Agreement in your capacity as trustee. Under the Stock Transfer Agreement, the Purchased Shares remain subject to the Company’s right of first refusal in accordance with the applicable Notice of Stock Option Grant and Stock Option Agreement.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T</w:t>
      </w:r>
      <w:r>
        <w:rPr>
          <w:rFonts w:ascii="Times New Roman" w:cs="Times New Roman" w:eastAsia="Times New Roman" w:hAnsi="Times New Roman"/>
          <w:sz w:val="16"/>
          <w:szCs w:val="16"/>
          <w:b w:val="1"/>
          <w:bCs w:val="1"/>
          <w:u w:val="single" w:color="auto"/>
          <w:color w:val="auto"/>
        </w:rPr>
        <w:t>HE</w:t>
      </w:r>
      <w:r>
        <w:rPr>
          <w:rFonts w:ascii="Times New Roman" w:cs="Times New Roman" w:eastAsia="Times New Roman" w:hAnsi="Times New Roman"/>
          <w:sz w:val="20"/>
          <w:szCs w:val="20"/>
          <w:b w:val="1"/>
          <w:bCs w:val="1"/>
          <w:u w:val="single" w:color="auto"/>
          <w:color w:val="auto"/>
        </w:rPr>
        <w:t xml:space="preserve"> C</w:t>
      </w:r>
      <w:r>
        <w:rPr>
          <w:rFonts w:ascii="Times New Roman" w:cs="Times New Roman" w:eastAsia="Times New Roman" w:hAnsi="Times New Roman"/>
          <w:sz w:val="16"/>
          <w:szCs w:val="16"/>
          <w:b w:val="1"/>
          <w:bCs w:val="1"/>
          <w:u w:val="single" w:color="auto"/>
          <w:color w:val="auto"/>
        </w:rPr>
        <w:t>OMPANY WILL NOT CHECK TO DETERMINE WHETHER THE FORM OF OWNERSHIP THAT YOU ELECT IN YOUR</w:t>
      </w:r>
      <w:r>
        <w:rPr>
          <w:rFonts w:ascii="Times New Roman" w:cs="Times New Roman" w:eastAsia="Times New Roman" w:hAnsi="Times New Roman"/>
          <w:sz w:val="20"/>
          <w:szCs w:val="20"/>
          <w:b w:val="1"/>
          <w:bCs w:val="1"/>
          <w:u w:val="single" w:color="auto"/>
          <w:color w:val="auto"/>
        </w:rPr>
        <w:t xml:space="preserve"> N</w:t>
      </w:r>
      <w:r>
        <w:rPr>
          <w:rFonts w:ascii="Times New Roman" w:cs="Times New Roman" w:eastAsia="Times New Roman" w:hAnsi="Times New Roman"/>
          <w:sz w:val="16"/>
          <w:szCs w:val="16"/>
          <w:b w:val="1"/>
          <w:bCs w:val="1"/>
          <w:u w:val="single" w:color="auto"/>
          <w:color w:val="auto"/>
        </w:rPr>
        <w:t>OTICE OF</w:t>
      </w:r>
    </w:p>
    <w:p>
      <w:pPr>
        <w:spacing w:after="0" w:line="26" w:lineRule="exact"/>
        <w:rPr>
          <w:sz w:val="20"/>
          <w:szCs w:val="20"/>
          <w:color w:val="auto"/>
        </w:rPr>
      </w:pPr>
    </w:p>
    <w:p>
      <w:pPr>
        <w:ind w:right="120"/>
        <w:spacing w:after="0" w:line="243" w:lineRule="auto"/>
        <w:rPr>
          <w:sz w:val="20"/>
          <w:szCs w:val="20"/>
          <w:color w:val="auto"/>
        </w:rPr>
      </w:pPr>
      <w:r>
        <w:rPr>
          <w:rFonts w:ascii="Times New Roman" w:cs="Times New Roman" w:eastAsia="Times New Roman" w:hAnsi="Times New Roman"/>
          <w:sz w:val="20"/>
          <w:szCs w:val="20"/>
          <w:b w:val="1"/>
          <w:bCs w:val="1"/>
          <w:u w:val="single" w:color="auto"/>
          <w:color w:val="auto"/>
        </w:rPr>
        <w:t>S</w:t>
      </w:r>
      <w:r>
        <w:rPr>
          <w:rFonts w:ascii="Times New Roman" w:cs="Times New Roman" w:eastAsia="Times New Roman" w:hAnsi="Times New Roman"/>
          <w:sz w:val="16"/>
          <w:szCs w:val="16"/>
          <w:b w:val="1"/>
          <w:bCs w:val="1"/>
          <w:u w:val="single" w:color="auto"/>
          <w:color w:val="auto"/>
        </w:rPr>
        <w:t>TOCK</w:t>
      </w:r>
      <w:r>
        <w:rPr>
          <w:rFonts w:ascii="Times New Roman" w:cs="Times New Roman" w:eastAsia="Times New Roman" w:hAnsi="Times New Roman"/>
          <w:sz w:val="20"/>
          <w:szCs w:val="20"/>
          <w:b w:val="1"/>
          <w:bCs w:val="1"/>
          <w:u w:val="single" w:color="auto"/>
          <w:color w:val="auto"/>
        </w:rPr>
        <w:t xml:space="preserve"> O</w:t>
      </w:r>
      <w:r>
        <w:rPr>
          <w:rFonts w:ascii="Times New Roman" w:cs="Times New Roman" w:eastAsia="Times New Roman" w:hAnsi="Times New Roman"/>
          <w:sz w:val="16"/>
          <w:szCs w:val="16"/>
          <w:b w:val="1"/>
          <w:bCs w:val="1"/>
          <w:u w:val="single" w:color="auto"/>
          <w:color w:val="auto"/>
        </w:rPr>
        <w:t>PTION</w:t>
      </w:r>
      <w:r>
        <w:rPr>
          <w:rFonts w:ascii="Times New Roman" w:cs="Times New Roman" w:eastAsia="Times New Roman" w:hAnsi="Times New Roman"/>
          <w:sz w:val="20"/>
          <w:szCs w:val="20"/>
          <w:b w:val="1"/>
          <w:bCs w:val="1"/>
          <w:u w:val="single" w:color="auto"/>
          <w:color w:val="auto"/>
        </w:rPr>
        <w:t xml:space="preserve"> E</w:t>
      </w:r>
      <w:r>
        <w:rPr>
          <w:rFonts w:ascii="Times New Roman" w:cs="Times New Roman" w:eastAsia="Times New Roman" w:hAnsi="Times New Roman"/>
          <w:sz w:val="16"/>
          <w:szCs w:val="16"/>
          <w:b w:val="1"/>
          <w:bCs w:val="1"/>
          <w:u w:val="single" w:color="auto"/>
          <w:color w:val="auto"/>
        </w:rPr>
        <w:t>XERCISE IS APPROPRIATE</w:t>
      </w:r>
      <w:r>
        <w:rPr>
          <w:rFonts w:ascii="Times New Roman" w:cs="Times New Roman" w:eastAsia="Times New Roman" w:hAnsi="Times New Roman"/>
          <w:sz w:val="20"/>
          <w:szCs w:val="20"/>
          <w:b w:val="1"/>
          <w:bCs w:val="1"/>
          <w:u w:val="single" w:color="auto"/>
          <w:color w:val="auto"/>
        </w:rPr>
        <w:t>. Y</w:t>
      </w:r>
      <w:r>
        <w:rPr>
          <w:rFonts w:ascii="Times New Roman" w:cs="Times New Roman" w:eastAsia="Times New Roman" w:hAnsi="Times New Roman"/>
          <w:sz w:val="16"/>
          <w:szCs w:val="16"/>
          <w:b w:val="1"/>
          <w:bCs w:val="1"/>
          <w:u w:val="single" w:color="auto"/>
          <w:color w:val="auto"/>
        </w:rPr>
        <w:t>OU SHOULD CONSULT YOUR OWN ADVISERS ON THIS SUBJECT</w:t>
      </w:r>
      <w:r>
        <w:rPr>
          <w:rFonts w:ascii="Times New Roman" w:cs="Times New Roman" w:eastAsia="Times New Roman" w:hAnsi="Times New Roman"/>
          <w:sz w:val="20"/>
          <w:szCs w:val="20"/>
          <w:b w:val="1"/>
          <w:bCs w:val="1"/>
          <w:u w:val="single" w:color="auto"/>
          <w:color w:val="auto"/>
        </w:rPr>
        <w:t>. I</w:t>
      </w:r>
      <w:r>
        <w:rPr>
          <w:rFonts w:ascii="Times New Roman" w:cs="Times New Roman" w:eastAsia="Times New Roman" w:hAnsi="Times New Roman"/>
          <w:sz w:val="16"/>
          <w:szCs w:val="16"/>
          <w:b w:val="1"/>
          <w:bCs w:val="1"/>
          <w:u w:val="single" w:color="auto"/>
          <w:color w:val="auto"/>
        </w:rPr>
        <w:t>F AN INAPPROPRIATE</w:t>
      </w:r>
      <w:r>
        <w:rPr>
          <w:rFonts w:ascii="Times New Roman" w:cs="Times New Roman" w:eastAsia="Times New Roman" w:hAnsi="Times New Roman"/>
          <w:sz w:val="20"/>
          <w:szCs w:val="20"/>
          <w:b w:val="1"/>
          <w:bCs w:val="1"/>
          <w:u w:val="single" w:color="auto"/>
          <w:color w:val="auto"/>
        </w:rPr>
        <w:t xml:space="preserve"> </w:t>
      </w:r>
      <w:r>
        <w:rPr>
          <w:rFonts w:ascii="Times New Roman" w:cs="Times New Roman" w:eastAsia="Times New Roman" w:hAnsi="Times New Roman"/>
          <w:sz w:val="16"/>
          <w:szCs w:val="16"/>
          <w:b w:val="1"/>
          <w:bCs w:val="1"/>
          <w:u w:val="single" w:color="auto"/>
          <w:color w:val="auto"/>
        </w:rPr>
        <w:t>ELECTION IS MADE</w:t>
      </w:r>
      <w:r>
        <w:rPr>
          <w:rFonts w:ascii="Times New Roman" w:cs="Times New Roman" w:eastAsia="Times New Roman" w:hAnsi="Times New Roman"/>
          <w:sz w:val="19"/>
          <w:szCs w:val="19"/>
          <w:b w:val="1"/>
          <w:bCs w:val="1"/>
          <w:u w:val="single" w:color="auto"/>
          <w:color w:val="auto"/>
        </w:rPr>
        <w:t>,</w:t>
      </w:r>
      <w:r>
        <w:rPr>
          <w:rFonts w:ascii="Times New Roman" w:cs="Times New Roman" w:eastAsia="Times New Roman" w:hAnsi="Times New Roman"/>
          <w:sz w:val="16"/>
          <w:szCs w:val="16"/>
          <w:b w:val="1"/>
          <w:bCs w:val="1"/>
          <w:u w:val="single" w:color="auto"/>
          <w:color w:val="auto"/>
        </w:rPr>
        <w:t xml:space="preserve"> THE FORM OF OWNERSHIP MAY NOT WITHSTAND LEGAL SCRUTINY OR MAY HAVE ADVERSE TAX CONSEQUENCES</w:t>
      </w:r>
      <w:r>
        <w:rPr>
          <w:rFonts w:ascii="Times New Roman" w:cs="Times New Roman" w:eastAsia="Times New Roman" w:hAnsi="Times New Roman"/>
          <w:sz w:val="19"/>
          <w:szCs w:val="19"/>
          <w:b w:val="1"/>
          <w:bCs w:val="1"/>
          <w:u w:val="single" w:color="auto"/>
          <w:color w:val="auto"/>
        </w:rPr>
        <w:t>.</w:t>
      </w: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40"/>
          </w:cols>
          <w:pgMar w:left="320" w:top="265" w:right="339" w:bottom="1440" w:gutter="0" w:footer="0" w:header="0"/>
        </w:sectPr>
      </w:pPr>
    </w:p>
    <w:bookmarkStart w:id="300" w:name="page301"/>
    <w:bookmarkEnd w:id="300"/>
    <w:p>
      <w:pPr>
        <w:jc w:val="center"/>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w:t>
      </w:r>
      <w:r>
        <w:rPr>
          <w:rFonts w:ascii="Times New Roman" w:cs="Times New Roman" w:eastAsia="Times New Roman" w:hAnsi="Times New Roman"/>
          <w:sz w:val="16"/>
          <w:szCs w:val="16"/>
          <w:b w:val="1"/>
          <w:bCs w:val="1"/>
          <w:color w:val="auto"/>
        </w:rPr>
        <w:t>XPLANATION OF</w:t>
      </w:r>
      <w:r>
        <w:rPr>
          <w:rFonts w:ascii="Times New Roman" w:cs="Times New Roman" w:eastAsia="Times New Roman" w:hAnsi="Times New Roman"/>
          <w:sz w:val="20"/>
          <w:szCs w:val="20"/>
          <w:b w:val="1"/>
          <w:bCs w:val="1"/>
          <w:color w:val="auto"/>
        </w:rPr>
        <w:t xml:space="preserve"> U.S. F</w:t>
      </w:r>
      <w:r>
        <w:rPr>
          <w:rFonts w:ascii="Times New Roman" w:cs="Times New Roman" w:eastAsia="Times New Roman" w:hAnsi="Times New Roman"/>
          <w:sz w:val="16"/>
          <w:szCs w:val="16"/>
          <w:b w:val="1"/>
          <w:bCs w:val="1"/>
          <w:color w:val="auto"/>
        </w:rPr>
        <w:t>EDERAL</w:t>
      </w:r>
      <w:r>
        <w:rPr>
          <w:rFonts w:ascii="Times New Roman" w:cs="Times New Roman" w:eastAsia="Times New Roman" w:hAnsi="Times New Roman"/>
          <w:sz w:val="20"/>
          <w:szCs w:val="20"/>
          <w:b w:val="1"/>
          <w:bCs w:val="1"/>
          <w:color w:val="auto"/>
        </w:rPr>
        <w:t xml:space="preserve"> I</w:t>
      </w:r>
      <w:r>
        <w:rPr>
          <w:rFonts w:ascii="Times New Roman" w:cs="Times New Roman" w:eastAsia="Times New Roman" w:hAnsi="Times New Roman"/>
          <w:sz w:val="16"/>
          <w:szCs w:val="16"/>
          <w:b w:val="1"/>
          <w:bCs w:val="1"/>
          <w:color w:val="auto"/>
        </w:rPr>
        <w:t>NCOME</w:t>
      </w:r>
      <w:r>
        <w:rPr>
          <w:rFonts w:ascii="Times New Roman" w:cs="Times New Roman" w:eastAsia="Times New Roman" w:hAnsi="Times New Roman"/>
          <w:sz w:val="20"/>
          <w:szCs w:val="20"/>
          <w:b w:val="1"/>
          <w:bCs w:val="1"/>
          <w:color w:val="auto"/>
        </w:rPr>
        <w:t xml:space="preserve"> T</w:t>
      </w:r>
      <w:r>
        <w:rPr>
          <w:rFonts w:ascii="Times New Roman" w:cs="Times New Roman" w:eastAsia="Times New Roman" w:hAnsi="Times New Roman"/>
          <w:sz w:val="16"/>
          <w:szCs w:val="16"/>
          <w:b w:val="1"/>
          <w:bCs w:val="1"/>
          <w:color w:val="auto"/>
        </w:rPr>
        <w:t>AX</w:t>
      </w:r>
      <w:r>
        <w:rPr>
          <w:rFonts w:ascii="Times New Roman" w:cs="Times New Roman" w:eastAsia="Times New Roman" w:hAnsi="Times New Roman"/>
          <w:sz w:val="20"/>
          <w:szCs w:val="20"/>
          <w:b w:val="1"/>
          <w:bCs w:val="1"/>
          <w:color w:val="auto"/>
        </w:rPr>
        <w:t xml:space="preserve"> C</w:t>
      </w:r>
      <w:r>
        <w:rPr>
          <w:rFonts w:ascii="Times New Roman" w:cs="Times New Roman" w:eastAsia="Times New Roman" w:hAnsi="Times New Roman"/>
          <w:sz w:val="16"/>
          <w:szCs w:val="16"/>
          <w:b w:val="1"/>
          <w:bCs w:val="1"/>
          <w:color w:val="auto"/>
        </w:rPr>
        <w:t>ONSEQUENCES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(Current as of October 2016)</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Purpose of This Explanation</w:t>
      </w:r>
    </w:p>
    <w:p>
      <w:pPr>
        <w:spacing w:after="0" w:line="220"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The purpose of this explanation is to provide you with a brief summary of the tax consequences of exercising your option. For a number of reasons, this explanation is no substitute for personal tax advice:</w:t>
      </w:r>
    </w:p>
    <w:p>
      <w:pPr>
        <w:spacing w:after="0" w:line="191" w:lineRule="exact"/>
        <w:rPr>
          <w:sz w:val="20"/>
          <w:szCs w:val="20"/>
          <w:color w:val="auto"/>
        </w:rPr>
      </w:pPr>
    </w:p>
    <w:p>
      <w:pPr>
        <w:ind w:left="460" w:right="20" w:hanging="452"/>
        <w:spacing w:after="0" w:line="282" w:lineRule="auto"/>
        <w:tabs>
          <w:tab w:leader="none" w:pos="460" w:val="left"/>
        </w:tabs>
        <w:numPr>
          <w:ilvl w:val="0"/>
          <w:numId w:val="267"/>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To make the explanation short and readable, only the highlights are covered. Some tax rules are not addressed, even though they may be important in particular cases.</w:t>
      </w:r>
    </w:p>
    <w:p>
      <w:pPr>
        <w:spacing w:after="0" w:line="188" w:lineRule="exact"/>
        <w:rPr>
          <w:rFonts w:ascii="MS PGothic" w:cs="MS PGothic" w:eastAsia="MS PGothic" w:hAnsi="MS PGothic"/>
          <w:sz w:val="18"/>
          <w:szCs w:val="18"/>
          <w:color w:val="auto"/>
        </w:rPr>
      </w:pPr>
    </w:p>
    <w:p>
      <w:pPr>
        <w:ind w:left="460" w:hanging="452"/>
        <w:spacing w:after="0"/>
        <w:tabs>
          <w:tab w:leader="none" w:pos="460" w:val="left"/>
        </w:tabs>
        <w:numPr>
          <w:ilvl w:val="0"/>
          <w:numId w:val="267"/>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While the summary attempts to deal with the most common situations, your own tax situation may well be different from the norm.</w:t>
      </w:r>
    </w:p>
    <w:p>
      <w:pPr>
        <w:spacing w:after="0" w:line="252" w:lineRule="exact"/>
        <w:rPr>
          <w:rFonts w:ascii="MS PGothic" w:cs="MS PGothic" w:eastAsia="MS PGothic" w:hAnsi="MS PGothic"/>
          <w:sz w:val="18"/>
          <w:szCs w:val="18"/>
          <w:color w:val="auto"/>
        </w:rPr>
      </w:pPr>
    </w:p>
    <w:p>
      <w:pPr>
        <w:ind w:left="460" w:right="20" w:hanging="452"/>
        <w:spacing w:after="0" w:line="282" w:lineRule="auto"/>
        <w:tabs>
          <w:tab w:leader="none" w:pos="460" w:val="left"/>
        </w:tabs>
        <w:numPr>
          <w:ilvl w:val="0"/>
          <w:numId w:val="267"/>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State and foreign income taxes are not addressed at all, even though they could have a significant impact on your tax planning. Likewise, federal gift and estate taxes and state inheritance taxes are not discussed.</w:t>
      </w:r>
    </w:p>
    <w:p>
      <w:pPr>
        <w:spacing w:after="0" w:line="188" w:lineRule="exact"/>
        <w:rPr>
          <w:rFonts w:ascii="MS PGothic" w:cs="MS PGothic" w:eastAsia="MS PGothic" w:hAnsi="MS PGothic"/>
          <w:sz w:val="18"/>
          <w:szCs w:val="18"/>
          <w:color w:val="auto"/>
        </w:rPr>
      </w:pPr>
    </w:p>
    <w:p>
      <w:pPr>
        <w:ind w:left="460" w:hanging="452"/>
        <w:spacing w:after="0"/>
        <w:tabs>
          <w:tab w:leader="none" w:pos="460" w:val="left"/>
        </w:tabs>
        <w:numPr>
          <w:ilvl w:val="0"/>
          <w:numId w:val="267"/>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Tax planning involving incentive stock options is exceedingly complex, in part because of the possible application of the alternative minimum tax.</w:t>
      </w:r>
    </w:p>
    <w:p>
      <w:pPr>
        <w:spacing w:after="0" w:line="252" w:lineRule="exact"/>
        <w:rPr>
          <w:rFonts w:ascii="MS PGothic" w:cs="MS PGothic" w:eastAsia="MS PGothic" w:hAnsi="MS PGothic"/>
          <w:sz w:val="18"/>
          <w:szCs w:val="18"/>
          <w:color w:val="auto"/>
        </w:rPr>
      </w:pPr>
    </w:p>
    <w:p>
      <w:pPr>
        <w:ind w:left="460" w:hanging="452"/>
        <w:spacing w:after="0" w:line="282" w:lineRule="auto"/>
        <w:tabs>
          <w:tab w:leader="none" w:pos="460" w:val="left"/>
        </w:tabs>
        <w:numPr>
          <w:ilvl w:val="0"/>
          <w:numId w:val="267"/>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This explanation assumes that your option is not subject to section 409A of the Internal Revenue Code. However, the Company cannot be certain that section 409A is inapplicable to your option. (Please refer to the last segment of this summary for more information about section 409A.)</w:t>
      </w:r>
    </w:p>
    <w:p>
      <w:pPr>
        <w:spacing w:after="0" w:line="188" w:lineRule="exact"/>
        <w:rPr>
          <w:rFonts w:ascii="MS PGothic" w:cs="MS PGothic" w:eastAsia="MS PGothic" w:hAnsi="MS PGothic"/>
          <w:sz w:val="18"/>
          <w:szCs w:val="18"/>
          <w:color w:val="auto"/>
        </w:rPr>
      </w:pPr>
    </w:p>
    <w:p>
      <w:pPr>
        <w:ind w:left="460" w:hanging="452"/>
        <w:spacing w:after="0"/>
        <w:tabs>
          <w:tab w:leader="none" w:pos="460" w:val="left"/>
        </w:tabs>
        <w:numPr>
          <w:ilvl w:val="0"/>
          <w:numId w:val="267"/>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The tax rules change often, and the Company is not responsible for updating this summary. (Please refer to the date at the top of this page.)</w:t>
      </w:r>
    </w:p>
    <w:p>
      <w:pPr>
        <w:spacing w:after="0" w:line="217" w:lineRule="exact"/>
        <w:rPr>
          <w:sz w:val="20"/>
          <w:szCs w:val="20"/>
          <w:color w:val="auto"/>
        </w:rPr>
      </w:pPr>
    </w:p>
    <w:p>
      <w:pPr>
        <w:ind w:right="360"/>
        <w:spacing w:after="0" w:line="273" w:lineRule="auto"/>
        <w:rPr>
          <w:sz w:val="20"/>
          <w:szCs w:val="20"/>
          <w:color w:val="auto"/>
        </w:rPr>
      </w:pPr>
      <w:r>
        <w:rPr>
          <w:rFonts w:ascii="Times New Roman" w:cs="Times New Roman" w:eastAsia="Times New Roman" w:hAnsi="Times New Roman"/>
          <w:sz w:val="20"/>
          <w:szCs w:val="20"/>
          <w:b w:val="1"/>
          <w:bCs w:val="1"/>
          <w:u w:val="single" w:color="auto"/>
          <w:color w:val="auto"/>
        </w:rPr>
        <w:t>F</w:t>
      </w:r>
      <w:r>
        <w:rPr>
          <w:rFonts w:ascii="Times New Roman" w:cs="Times New Roman" w:eastAsia="Times New Roman" w:hAnsi="Times New Roman"/>
          <w:sz w:val="16"/>
          <w:szCs w:val="16"/>
          <w:b w:val="1"/>
          <w:bCs w:val="1"/>
          <w:u w:val="single" w:color="auto"/>
          <w:color w:val="auto"/>
        </w:rPr>
        <w:t>OR THESE REASONS</w:t>
      </w:r>
      <w:r>
        <w:rPr>
          <w:rFonts w:ascii="Times New Roman" w:cs="Times New Roman" w:eastAsia="Times New Roman" w:hAnsi="Times New Roman"/>
          <w:sz w:val="20"/>
          <w:szCs w:val="20"/>
          <w:b w:val="1"/>
          <w:bCs w:val="1"/>
          <w:u w:val="single" w:color="auto"/>
          <w:color w:val="auto"/>
        </w:rPr>
        <w:t xml:space="preserve">, </w:t>
      </w:r>
      <w:r>
        <w:rPr>
          <w:rFonts w:ascii="Times New Roman" w:cs="Times New Roman" w:eastAsia="Times New Roman" w:hAnsi="Times New Roman"/>
          <w:sz w:val="16"/>
          <w:szCs w:val="16"/>
          <w:b w:val="1"/>
          <w:bCs w:val="1"/>
          <w:u w:val="single" w:color="auto"/>
          <w:color w:val="auto"/>
        </w:rPr>
        <w:t>THE</w:t>
      </w:r>
      <w:r>
        <w:rPr>
          <w:rFonts w:ascii="Times New Roman" w:cs="Times New Roman" w:eastAsia="Times New Roman" w:hAnsi="Times New Roman"/>
          <w:sz w:val="20"/>
          <w:szCs w:val="20"/>
          <w:b w:val="1"/>
          <w:bCs w:val="1"/>
          <w:u w:val="single" w:color="auto"/>
          <w:color w:val="auto"/>
        </w:rPr>
        <w:t xml:space="preserve"> C</w:t>
      </w:r>
      <w:r>
        <w:rPr>
          <w:rFonts w:ascii="Times New Roman" w:cs="Times New Roman" w:eastAsia="Times New Roman" w:hAnsi="Times New Roman"/>
          <w:sz w:val="16"/>
          <w:szCs w:val="16"/>
          <w:b w:val="1"/>
          <w:bCs w:val="1"/>
          <w:u w:val="single" w:color="auto"/>
          <w:color w:val="auto"/>
        </w:rPr>
        <w:t>OMPANY STRONGLY ENCOURAGES YOU TO CONSULT YOUR OWN TAX ADVISER BEFORE EXERCISING</w:t>
      </w:r>
      <w:r>
        <w:rPr>
          <w:rFonts w:ascii="Times New Roman" w:cs="Times New Roman" w:eastAsia="Times New Roman" w:hAnsi="Times New Roman"/>
          <w:sz w:val="20"/>
          <w:szCs w:val="20"/>
          <w:b w:val="1"/>
          <w:bCs w:val="1"/>
          <w:u w:val="single" w:color="auto"/>
          <w:color w:val="auto"/>
        </w:rPr>
        <w:t xml:space="preserve"> </w:t>
      </w:r>
      <w:r>
        <w:rPr>
          <w:rFonts w:ascii="Times New Roman" w:cs="Times New Roman" w:eastAsia="Times New Roman" w:hAnsi="Times New Roman"/>
          <w:sz w:val="16"/>
          <w:szCs w:val="16"/>
          <w:b w:val="1"/>
          <w:bCs w:val="1"/>
          <w:u w:val="single" w:color="auto"/>
          <w:color w:val="auto"/>
        </w:rPr>
        <w:t>YOUR OPTION</w:t>
      </w:r>
      <w:r>
        <w:rPr>
          <w:rFonts w:ascii="Times New Roman" w:cs="Times New Roman" w:eastAsia="Times New Roman" w:hAnsi="Times New Roman"/>
          <w:sz w:val="19"/>
          <w:szCs w:val="19"/>
          <w:b w:val="1"/>
          <w:bCs w:val="1"/>
          <w:u w:val="single" w:color="auto"/>
          <w:color w:val="auto"/>
        </w:rPr>
        <w:t>.</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Exercise of NSO</w:t>
      </w:r>
    </w:p>
    <w:p>
      <w:pPr>
        <w:spacing w:after="0" w:line="22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If you are exercising an NSO, you will be taxed at the time of exercise. You will recognize ordinary income in an amount equal to the excess of (a) the fair market value of the Purchased Shares on the date of exercise over (b) the exercise price you are paying. If you are an employee or former employee of the Company, this amount is subject to withholding for income and payroll taxes. Your tax basis in the Purchased Shares (to calculate capital gain when you sell the shares) is equal to the sum of the exercise price you paid for the Purchased Shares plus any additional amount you recognized as income on the exercise date.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Disposition of NSO Shares</w:t>
      </w:r>
    </w:p>
    <w:p>
      <w:pPr>
        <w:spacing w:after="0" w:line="22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When you dispose of the Purchased Shares, you will recognize a capital gain equal to the excess of (a) the sale proceeds over (b) your tax basis in the Purchased Shares. If the sale proceeds are less than your tax basis, you will recognize a capital loss. The capital gain or loss will be long-term if you held the Purchased Shares for more than 12 months. The holding period starts when you exercise your NSO. In general, the maximum marginal federal income tax rate on long-term capital gains is 20% under current law, but lower long-term capital gain rates may apply to taxpayers in the 15% and 10% marginal federal income tax brackets.</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40"/>
          </w:cols>
          <w:pgMar w:left="320" w:top="261" w:right="339" w:bottom="1440" w:gutter="0" w:footer="0" w:header="0"/>
        </w:sectPr>
      </w:pPr>
    </w:p>
    <w:bookmarkStart w:id="301" w:name="page302"/>
    <w:bookmarkEnd w:id="301"/>
    <w:p>
      <w:pPr>
        <w:jc w:val="both"/>
        <w:spacing w:after="0" w:line="249"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Effective January 1, 2013, as a result of the Health Care and Education Reconciliation Act of 2010, an additional Medicare contribution tax is imposed at a rate of 3.8% on the “net investment income” of individuals with adjusted gross incomes in excess of $200,000 ($250,000 in the case of a joint return, and $125,000 in the case of a married taxpayer filing separately). “Net investment income” includes income from interest, dividends, and capital gains, reduced by the deductions properly allocated to such income.</w:t>
      </w:r>
    </w:p>
    <w:p>
      <w:pPr>
        <w:spacing w:after="0" w:line="180"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Depending on the level of your adjusted gross income, the additional Medicare contribution tax may be imposed on any short-term and long-term capital gain income and can increase your marginal tax rate.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Limit on ISO Treatment</w:t>
      </w:r>
    </w:p>
    <w:p>
      <w:pPr>
        <w:spacing w:after="0" w:line="22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The Notice of Stock Option Grant indicates whether your option is a nonstatutory stock option (NSO) or an incentive stock option (ISO). The favorable tax treatment for ISOs is limited, regardless of what the Notice of Stock Option Grant indicates. Of the options that become exercisable in any calendar year, only options covering the first $100,000 of stock are eligible for ISO treatment. The excess over $100,000 automatically receives NSO treatment. For this purpose, stock is valued at the time of grant. This means that the value is generally equal to the exercise price.</w:t>
      </w:r>
    </w:p>
    <w:p>
      <w:pPr>
        <w:spacing w:after="0" w:line="18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 xml:space="preserve">For example, assume that you hold an option to buy 60,000 shares for $8 per share. Assume further that the entire option becomes exercisable in four equal annual installments. Only the first 50,000 shares qualify for ISO treatment. (12,500 times $8 equals $100,000.) The remaining 10,000 shares will be treated as if they had been acquired by exercising an NSO. This is true regardless of when the option is </w:t>
      </w:r>
      <w:r>
        <w:rPr>
          <w:rFonts w:ascii="Times New Roman" w:cs="Times New Roman" w:eastAsia="Times New Roman" w:hAnsi="Times New Roman"/>
          <w:sz w:val="20"/>
          <w:szCs w:val="20"/>
          <w:i w:val="1"/>
          <w:iCs w:val="1"/>
          <w:color w:val="auto"/>
        </w:rPr>
        <w:t xml:space="preserve">actually </w:t>
      </w:r>
      <w:r>
        <w:rPr>
          <w:rFonts w:ascii="Times New Roman" w:cs="Times New Roman" w:eastAsia="Times New Roman" w:hAnsi="Times New Roman"/>
          <w:sz w:val="20"/>
          <w:szCs w:val="20"/>
          <w:color w:val="auto"/>
        </w:rPr>
        <w:t>exercised; what matters is when it first</w:t>
      </w:r>
      <w:r>
        <w:rPr>
          <w:rFonts w:ascii="Times New Roman" w:cs="Times New Roman" w:eastAsia="Times New Roman" w:hAnsi="Times New Roman"/>
          <w:sz w:val="20"/>
          <w:szCs w:val="20"/>
          <w:i w:val="1"/>
          <w:iCs w:val="1"/>
          <w:color w:val="auto"/>
        </w:rPr>
        <w:t xml:space="preserve"> could </w:t>
      </w:r>
      <w:r>
        <w:rPr>
          <w:rFonts w:ascii="Times New Roman" w:cs="Times New Roman" w:eastAsia="Times New Roman" w:hAnsi="Times New Roman"/>
          <w:sz w:val="20"/>
          <w:szCs w:val="20"/>
          <w:color w:val="auto"/>
        </w:rPr>
        <w:t>have been exercised.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Exercise of ISO and ISO Holding Periods</w:t>
      </w:r>
    </w:p>
    <w:p>
      <w:pPr>
        <w:spacing w:after="0" w:line="21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auto"/>
        </w:rPr>
        <w:t xml:space="preserve">If you are exercising an ISO, you will not be taxed under the </w:t>
      </w:r>
      <w:r>
        <w:rPr>
          <w:rFonts w:ascii="Times New Roman" w:cs="Times New Roman" w:eastAsia="Times New Roman" w:hAnsi="Times New Roman"/>
          <w:sz w:val="20"/>
          <w:szCs w:val="20"/>
          <w:i w:val="1"/>
          <w:iCs w:val="1"/>
          <w:color w:val="auto"/>
        </w:rPr>
        <w:t>regular</w:t>
      </w:r>
      <w:r>
        <w:rPr>
          <w:rFonts w:ascii="Times New Roman" w:cs="Times New Roman" w:eastAsia="Times New Roman" w:hAnsi="Times New Roman"/>
          <w:sz w:val="20"/>
          <w:szCs w:val="20"/>
          <w:color w:val="auto"/>
        </w:rPr>
        <w:t xml:space="preserve"> tax rules until you dispose of the Purchased Shares.</w:t>
      </w:r>
      <w:r>
        <w:rPr>
          <w:rFonts w:ascii="Times New Roman" w:cs="Times New Roman" w:eastAsia="Times New Roman" w:hAnsi="Times New Roman"/>
          <w:sz w:val="16"/>
          <w:szCs w:val="16"/>
          <w:color w:val="auto"/>
        </w:rPr>
        <w:t>5</w:t>
      </w:r>
      <w:r>
        <w:rPr>
          <w:rFonts w:ascii="Times New Roman" w:cs="Times New Roman" w:eastAsia="Times New Roman" w:hAnsi="Times New Roman"/>
          <w:sz w:val="20"/>
          <w:szCs w:val="20"/>
          <w:color w:val="auto"/>
        </w:rPr>
        <w:t xml:space="preserve"> (The alternative minimum tax rules are described below.) The tax treatment at the time of disposition depends on how long you hold the shares. You will satisfy the ISO holding periods if you hold the Purchased Shares until the </w:t>
      </w:r>
      <w:r>
        <w:rPr>
          <w:rFonts w:ascii="Times New Roman" w:cs="Times New Roman" w:eastAsia="Times New Roman" w:hAnsi="Times New Roman"/>
          <w:sz w:val="20"/>
          <w:szCs w:val="20"/>
          <w:i w:val="1"/>
          <w:iCs w:val="1"/>
          <w:color w:val="auto"/>
        </w:rPr>
        <w:t>later</w:t>
      </w:r>
      <w:r>
        <w:rPr>
          <w:rFonts w:ascii="Times New Roman" w:cs="Times New Roman" w:eastAsia="Times New Roman" w:hAnsi="Times New Roman"/>
          <w:sz w:val="20"/>
          <w:szCs w:val="20"/>
          <w:color w:val="auto"/>
        </w:rPr>
        <w:t xml:space="preserve"> of the following dates:</w:t>
      </w:r>
    </w:p>
    <w:p>
      <w:pPr>
        <w:spacing w:after="0" w:line="204" w:lineRule="exact"/>
        <w:rPr>
          <w:sz w:val="20"/>
          <w:szCs w:val="20"/>
          <w:color w:val="auto"/>
        </w:rPr>
      </w:pPr>
    </w:p>
    <w:p>
      <w:pPr>
        <w:ind w:left="460" w:hanging="452"/>
        <w:spacing w:after="0"/>
        <w:tabs>
          <w:tab w:leader="none" w:pos="460" w:val="left"/>
        </w:tabs>
        <w:numPr>
          <w:ilvl w:val="0"/>
          <w:numId w:val="268"/>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More than two years after the ISO was granted, and</w:t>
      </w:r>
    </w:p>
    <w:p>
      <w:pPr>
        <w:spacing w:after="0" w:line="252" w:lineRule="exact"/>
        <w:rPr>
          <w:rFonts w:ascii="MS PGothic" w:cs="MS PGothic" w:eastAsia="MS PGothic" w:hAnsi="MS PGothic"/>
          <w:sz w:val="18"/>
          <w:szCs w:val="18"/>
          <w:color w:val="auto"/>
        </w:rPr>
      </w:pPr>
    </w:p>
    <w:p>
      <w:pPr>
        <w:ind w:left="460" w:hanging="452"/>
        <w:spacing w:after="0"/>
        <w:tabs>
          <w:tab w:leader="none" w:pos="460" w:val="left"/>
        </w:tabs>
        <w:numPr>
          <w:ilvl w:val="0"/>
          <w:numId w:val="268"/>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More than one year after the ISO is exercised.</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Disposition of ISO Shares</w:t>
      </w:r>
    </w:p>
    <w:p>
      <w:pPr>
        <w:spacing w:after="0" w:line="21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 xml:space="preserve">If you dispose of the Purchased Shares after satisfying </w:t>
      </w:r>
      <w:r>
        <w:rPr>
          <w:rFonts w:ascii="Times New Roman" w:cs="Times New Roman" w:eastAsia="Times New Roman" w:hAnsi="Times New Roman"/>
          <w:sz w:val="20"/>
          <w:szCs w:val="20"/>
          <w:i w:val="1"/>
          <w:iCs w:val="1"/>
          <w:color w:val="auto"/>
        </w:rPr>
        <w:t>both</w:t>
      </w:r>
      <w:r>
        <w:rPr>
          <w:rFonts w:ascii="Times New Roman" w:cs="Times New Roman" w:eastAsia="Times New Roman" w:hAnsi="Times New Roman"/>
          <w:sz w:val="20"/>
          <w:szCs w:val="20"/>
          <w:color w:val="auto"/>
        </w:rPr>
        <w:t xml:space="preserve"> of the ISO holding periods, then you will recognize only a long-term capital gain at the time of disposition. The amount of the capital gain is equal to the excess of (a) the sale proceeds over (b) the exercise price. In general, the maximum marginal federal income tax rate on long-term capital gains is 20% under current law, but lower long-term capital gain rates may apply to taxpayers in the 15% and 10% marginal federal income tax brackets.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88670"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88670" cy="8255"/>
                    </a:xfrm>
                    <a:prstGeom prst="rect">
                      <a:avLst/>
                    </a:prstGeom>
                    <a:noFill/>
                  </pic:spPr>
                </pic:pic>
              </a:graphicData>
            </a:graphic>
          </wp:anchor>
        </w:drawing>
      </w:r>
    </w:p>
    <w:p>
      <w:pPr>
        <w:spacing w:after="0" w:line="254" w:lineRule="exact"/>
        <w:rPr>
          <w:sz w:val="20"/>
          <w:szCs w:val="20"/>
          <w:color w:val="auto"/>
        </w:rPr>
      </w:pPr>
    </w:p>
    <w:p>
      <w:pPr>
        <w:jc w:val="both"/>
        <w:ind w:left="560" w:hanging="552"/>
        <w:spacing w:after="0" w:line="246" w:lineRule="auto"/>
        <w:tabs>
          <w:tab w:leader="none" w:pos="560" w:val="left"/>
        </w:tabs>
        <w:numPr>
          <w:ilvl w:val="0"/>
          <w:numId w:val="269"/>
        </w:numPr>
        <w:rPr>
          <w:rFonts w:ascii="Times New Roman" w:cs="Times New Roman" w:eastAsia="Times New Roman" w:hAnsi="Times New Roman"/>
          <w:sz w:val="17"/>
          <w:szCs w:val="17"/>
          <w:color w:val="auto"/>
        </w:rPr>
      </w:pPr>
      <w:r>
        <w:rPr>
          <w:rFonts w:ascii="Times New Roman" w:cs="Times New Roman" w:eastAsia="Times New Roman" w:hAnsi="Times New Roman"/>
          <w:sz w:val="20"/>
          <w:szCs w:val="20"/>
          <w:color w:val="auto"/>
        </w:rPr>
        <w:t>Generally, a “disposition” of shares purchased under an ISO encompasses any transfer of legal title, such as a transfer by sale, exchange or gift. It generally does not include a transfer to your spouse, a transfer into joint ownership with right of survivorship (if you remain one of the joint owners), a pledge, a transfer by bequest or inheritance, or certain tax-free exchanges permitted under the Internal Revenue Code. A transfer to a trust is a “disposition” unless the trust is an eligible revocable trust, as described in the attached explanation.</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40"/>
          </w:cols>
          <w:pgMar w:left="320" w:top="265" w:right="339" w:bottom="1440" w:gutter="0" w:footer="0" w:header="0"/>
        </w:sectPr>
      </w:pPr>
    </w:p>
    <w:bookmarkStart w:id="302" w:name="page303"/>
    <w:bookmarkEnd w:id="302"/>
    <w:p>
      <w:pPr>
        <w:jc w:val="both"/>
        <w:spacing w:after="0" w:line="249"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Effective January 1, 2013, as a result of the Health Care and Education Reconciliation Act of 2010, an additional Medicare contribution tax is imposed at a rate of 3.8% on the “net investment income” of individuals with adjusted gross incomes in excess of $200,000 ($250,000 in the case of a joint return, and $125,000 in the case of a married taxpayer filing separately). “Net investment income” includes income from interest, dividends, and capital gains, reduced by the deductions properly allocated to such income.</w:t>
      </w:r>
    </w:p>
    <w:p>
      <w:pPr>
        <w:spacing w:after="0" w:line="18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If you dispose of the Purchased Shares before either or both of the ISO holding periods are met, then you will recognize ordinary income at the time of disposition. The amount of ordinary income will be equal to the excess of (a) the fair market value of the Purchased Shares on the date of exercise over (b) the exercise price. But if the disposition is an arm’s length sale to an unrelated party, the amount of ordinary income will not exceed the total gain from the sale. Under current IRS rules, the ordinary income amount will not be subject to withholding for income or payroll taxes.</w:t>
      </w:r>
    </w:p>
    <w:p>
      <w:pPr>
        <w:spacing w:after="0" w:line="18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Your tax basis in the Purchased Shares will be equal to the sum of the exercise price you paid for the Purchased Shares plus any additional amount you recognized as ordinary income. Any gain in excess of your basis will be taxed as a capital gain—either long-term or short-term, depending on how long you held the Purchased Shares after the date of exercise.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Alternative Minimum Tax</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alternative minimum tax (AMT) must be paid to the extent that it exceeds your regular federal income tax for the year. For 2016, the first $186,300 ($93,150 for a married taxpayer filing a separate return) of your alternative minimum taxable income for the year over the allowable exemption amount (see below) is subject to alternative minimum taxation at the rate of 26%. The balance of your alternative minimum taxable income is subject to alternative minimum taxation at the rate of 28%. The dollar thresholds dividing the 26% and 28% rates are indexed for inflation in future years. Your alternative minimum tax base is equal to your alternative minimum taxable income (AMTI) minus your exemption amount.</w:t>
      </w:r>
    </w:p>
    <w:p>
      <w:pPr>
        <w:spacing w:after="0" w:line="202" w:lineRule="exact"/>
        <w:rPr>
          <w:sz w:val="20"/>
          <w:szCs w:val="20"/>
          <w:color w:val="auto"/>
        </w:rPr>
      </w:pPr>
    </w:p>
    <w:p>
      <w:pPr>
        <w:ind w:left="560" w:hanging="552"/>
        <w:spacing w:after="0" w:line="273" w:lineRule="auto"/>
        <w:tabs>
          <w:tab w:leader="none" w:pos="560" w:val="left"/>
        </w:tabs>
        <w:numPr>
          <w:ilvl w:val="0"/>
          <w:numId w:val="270"/>
        </w:numPr>
        <w:rPr>
          <w:rFonts w:ascii="MS PGothic" w:cs="MS PGothic" w:eastAsia="MS PGothic" w:hAnsi="MS PGothic"/>
          <w:sz w:val="20"/>
          <w:szCs w:val="20"/>
          <w:color w:val="auto"/>
        </w:rPr>
      </w:pPr>
      <w:r>
        <w:rPr>
          <w:rFonts w:ascii="Times New Roman" w:cs="Times New Roman" w:eastAsia="Times New Roman" w:hAnsi="Times New Roman"/>
          <w:sz w:val="20"/>
          <w:szCs w:val="20"/>
          <w:b w:val="1"/>
          <w:bCs w:val="1"/>
          <w:color w:val="auto"/>
        </w:rPr>
        <w:t>Alternative Minimum Taxable Income</w:t>
      </w:r>
      <w:r>
        <w:rPr>
          <w:rFonts w:ascii="Times New Roman" w:cs="Times New Roman" w:eastAsia="Times New Roman" w:hAnsi="Times New Roman"/>
          <w:sz w:val="20"/>
          <w:szCs w:val="20"/>
          <w:color w:val="auto"/>
        </w:rPr>
        <w:t>. Your AMTI is equal to your regular taxable income, subject to certain adjustments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increased by items of tax preference. Among the many adjustments made in computing AMTI are the following:</w:t>
      </w:r>
    </w:p>
    <w:p>
      <w:pPr>
        <w:spacing w:after="0" w:line="182" w:lineRule="exact"/>
        <w:rPr>
          <w:rFonts w:ascii="MS PGothic" w:cs="MS PGothic" w:eastAsia="MS PGothic" w:hAnsi="MS PGothic"/>
          <w:sz w:val="20"/>
          <w:szCs w:val="20"/>
          <w:color w:val="auto"/>
        </w:rPr>
      </w:pPr>
    </w:p>
    <w:p>
      <w:pPr>
        <w:ind w:left="1120" w:hanging="559"/>
        <w:spacing w:after="0"/>
        <w:tabs>
          <w:tab w:leader="none" w:pos="1120" w:val="left"/>
        </w:tabs>
        <w:numPr>
          <w:ilvl w:val="1"/>
          <w:numId w:val="270"/>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State and local income and property taxes are not allowed as a deduction.</w:t>
      </w:r>
    </w:p>
    <w:p>
      <w:pPr>
        <w:spacing w:after="0" w:line="256" w:lineRule="exact"/>
        <w:rPr>
          <w:rFonts w:ascii="MS PGothic" w:cs="MS PGothic" w:eastAsia="MS PGothic" w:hAnsi="MS PGothic"/>
          <w:sz w:val="20"/>
          <w:szCs w:val="20"/>
          <w:color w:val="auto"/>
        </w:rPr>
      </w:pPr>
    </w:p>
    <w:p>
      <w:pPr>
        <w:ind w:left="1120" w:hanging="559"/>
        <w:spacing w:after="0"/>
        <w:tabs>
          <w:tab w:leader="none" w:pos="1120" w:val="left"/>
        </w:tabs>
        <w:numPr>
          <w:ilvl w:val="1"/>
          <w:numId w:val="270"/>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Miscellaneous itemized deductions are not allowed.</w:t>
      </w:r>
    </w:p>
    <w:p>
      <w:pPr>
        <w:spacing w:after="0" w:line="256" w:lineRule="exact"/>
        <w:rPr>
          <w:rFonts w:ascii="MS PGothic" w:cs="MS PGothic" w:eastAsia="MS PGothic" w:hAnsi="MS PGothic"/>
          <w:sz w:val="20"/>
          <w:szCs w:val="20"/>
          <w:color w:val="auto"/>
        </w:rPr>
      </w:pPr>
    </w:p>
    <w:p>
      <w:pPr>
        <w:ind w:left="1120" w:hanging="559"/>
        <w:spacing w:after="0"/>
        <w:tabs>
          <w:tab w:leader="none" w:pos="1120" w:val="left"/>
        </w:tabs>
        <w:numPr>
          <w:ilvl w:val="1"/>
          <w:numId w:val="270"/>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Certain interest deductions are not allowed.</w:t>
      </w:r>
    </w:p>
    <w:p>
      <w:pPr>
        <w:spacing w:after="0" w:line="256" w:lineRule="exact"/>
        <w:rPr>
          <w:rFonts w:ascii="MS PGothic" w:cs="MS PGothic" w:eastAsia="MS PGothic" w:hAnsi="MS PGothic"/>
          <w:sz w:val="20"/>
          <w:szCs w:val="20"/>
          <w:color w:val="auto"/>
        </w:rPr>
      </w:pPr>
    </w:p>
    <w:p>
      <w:pPr>
        <w:ind w:left="1120" w:hanging="559"/>
        <w:spacing w:after="0"/>
        <w:tabs>
          <w:tab w:leader="none" w:pos="1120" w:val="left"/>
        </w:tabs>
        <w:numPr>
          <w:ilvl w:val="1"/>
          <w:numId w:val="270"/>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The standard deduction and personal exemptions are not allowed.</w:t>
      </w:r>
    </w:p>
    <w:p>
      <w:pPr>
        <w:spacing w:after="0" w:line="256" w:lineRule="exact"/>
        <w:rPr>
          <w:rFonts w:ascii="MS PGothic" w:cs="MS PGothic" w:eastAsia="MS PGothic" w:hAnsi="MS PGothic"/>
          <w:sz w:val="20"/>
          <w:szCs w:val="20"/>
          <w:color w:val="auto"/>
        </w:rPr>
      </w:pPr>
    </w:p>
    <w:p>
      <w:pPr>
        <w:ind w:left="1120" w:hanging="559"/>
        <w:spacing w:after="0"/>
        <w:tabs>
          <w:tab w:leader="none" w:pos="1120" w:val="left"/>
        </w:tabs>
        <w:numPr>
          <w:ilvl w:val="1"/>
          <w:numId w:val="270"/>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When an ISO is exercised, the spread is added to income for AMT purposes. (See discussion below.)</w:t>
      </w:r>
    </w:p>
    <w:p>
      <w:pPr>
        <w:spacing w:after="0" w:line="252" w:lineRule="exact"/>
        <w:rPr>
          <w:rFonts w:ascii="MS PGothic" w:cs="MS PGothic" w:eastAsia="MS PGothic" w:hAnsi="MS PGothic"/>
          <w:sz w:val="20"/>
          <w:szCs w:val="20"/>
          <w:color w:val="auto"/>
        </w:rPr>
      </w:pPr>
    </w:p>
    <w:p>
      <w:pPr>
        <w:ind w:left="560" w:hanging="552"/>
        <w:spacing w:after="0" w:line="273" w:lineRule="auto"/>
        <w:tabs>
          <w:tab w:leader="none" w:pos="560" w:val="left"/>
        </w:tabs>
        <w:numPr>
          <w:ilvl w:val="0"/>
          <w:numId w:val="270"/>
        </w:numPr>
        <w:rPr>
          <w:rFonts w:ascii="MS PGothic" w:cs="MS PGothic" w:eastAsia="MS PGothic" w:hAnsi="MS PGothic"/>
          <w:sz w:val="20"/>
          <w:szCs w:val="20"/>
          <w:color w:val="auto"/>
        </w:rPr>
      </w:pPr>
      <w:r>
        <w:rPr>
          <w:rFonts w:ascii="Times New Roman" w:cs="Times New Roman" w:eastAsia="Times New Roman" w:hAnsi="Times New Roman"/>
          <w:sz w:val="20"/>
          <w:szCs w:val="20"/>
          <w:b w:val="1"/>
          <w:bCs w:val="1"/>
          <w:color w:val="auto"/>
        </w:rPr>
        <w:t>Exemption Amount</w:t>
      </w:r>
      <w:r>
        <w:rPr>
          <w:rFonts w:ascii="Times New Roman" w:cs="Times New Roman" w:eastAsia="Times New Roman" w:hAnsi="Times New Roman"/>
          <w:sz w:val="20"/>
          <w:szCs w:val="20"/>
          <w:color w:val="auto"/>
        </w:rPr>
        <w:t>. Before AMT is calculated, AMTI is reduced by the exemption amount. Under current law, the exemption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amount is as follows:</w:t>
      </w:r>
    </w:p>
    <w:p>
      <w:pPr>
        <w:spacing w:after="0" w:line="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240"/>
          </w:cols>
          <w:pgMar w:left="320" w:top="265" w:right="339" w:bottom="1440" w:gutter="0" w:footer="0" w:header="0"/>
        </w:sectPr>
      </w:pPr>
    </w:p>
    <w:bookmarkStart w:id="303" w:name="page304"/>
    <w:bookmarkEnd w:id="303"/>
    <w:tbl>
      <w:tblPr>
        <w:tblLayout w:type="fixed"/>
        <w:tblInd w:w="10" w:type="dxa"/>
        <w:tblCellMar>
          <w:top w:w="0" w:type="dxa"/>
          <w:left w:w="0" w:type="dxa"/>
          <w:bottom w:w="0" w:type="dxa"/>
          <w:right w:w="0" w:type="dxa"/>
        </w:tblCellMar>
      </w:tblPr>
      <w:tr>
        <w:trPr>
          <w:trHeight w:val="243"/>
        </w:trPr>
        <w:tc>
          <w:tcPr>
            <w:tcW w:w="2940" w:type="dxa"/>
            <w:vAlign w:val="bottom"/>
            <w:tcBorders>
              <w:top w:val="single" w:sz="8" w:color="auto"/>
              <w:left w:val="single" w:sz="8" w:color="auto"/>
              <w:bottom w:val="single" w:sz="8" w:color="auto"/>
              <w:right w:val="single" w:sz="8" w:color="auto"/>
            </w:tcBorders>
          </w:tcPr>
          <w:p>
            <w:pPr>
              <w:ind w:left="1320"/>
              <w:spacing w:after="0"/>
              <w:rPr>
                <w:sz w:val="20"/>
                <w:szCs w:val="20"/>
                <w:color w:val="auto"/>
              </w:rPr>
            </w:pPr>
            <w:r>
              <w:rPr>
                <w:rFonts w:ascii="Times New Roman" w:cs="Times New Roman" w:eastAsia="Times New Roman" w:hAnsi="Times New Roman"/>
                <w:sz w:val="20"/>
                <w:szCs w:val="20"/>
                <w:b w:val="1"/>
                <w:bCs w:val="1"/>
                <w:color w:val="auto"/>
              </w:rPr>
              <w:t>Year:</w:t>
            </w:r>
          </w:p>
        </w:tc>
        <w:tc>
          <w:tcPr>
            <w:tcW w:w="28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Joint Returns:</w:t>
            </w:r>
          </w:p>
        </w:tc>
        <w:tc>
          <w:tcPr>
            <w:tcW w:w="28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Single Returns:</w:t>
            </w:r>
          </w:p>
        </w:tc>
        <w:tc>
          <w:tcPr>
            <w:tcW w:w="27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Separate Returns:</w:t>
            </w:r>
          </w:p>
        </w:tc>
      </w:tr>
      <w:tr>
        <w:trPr>
          <w:trHeight w:val="209"/>
        </w:trPr>
        <w:tc>
          <w:tcPr>
            <w:tcW w:w="2940" w:type="dxa"/>
            <w:vAlign w:val="bottom"/>
            <w:tcBorders>
              <w:left w:val="single" w:sz="8" w:color="auto"/>
              <w:bottom w:val="single" w:sz="8" w:color="auto"/>
              <w:right w:val="single" w:sz="8" w:color="auto"/>
            </w:tcBorders>
          </w:tcPr>
          <w:p>
            <w:pPr>
              <w:jc w:val="center"/>
              <w:ind w:right="1067"/>
              <w:spacing w:after="0"/>
              <w:rPr>
                <w:sz w:val="20"/>
                <w:szCs w:val="20"/>
                <w:color w:val="auto"/>
              </w:rPr>
            </w:pPr>
            <w:r>
              <w:rPr>
                <w:rFonts w:ascii="Times New Roman" w:cs="Times New Roman" w:eastAsia="Times New Roman" w:hAnsi="Times New Roman"/>
                <w:sz w:val="18"/>
                <w:szCs w:val="18"/>
                <w:color w:val="auto"/>
              </w:rPr>
              <w:t>2015</w:t>
            </w:r>
            <w:r>
              <w:rPr>
                <w:rFonts w:ascii="Times New Roman" w:cs="Times New Roman" w:eastAsia="Times New Roman" w:hAnsi="Times New Roman"/>
                <w:sz w:val="15"/>
                <w:szCs w:val="15"/>
                <w:color w:val="auto"/>
              </w:rPr>
              <w:t>6</w:t>
            </w: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$83,400</w:t>
            </w:r>
          </w:p>
        </w:tc>
        <w:tc>
          <w:tcPr>
            <w:tcW w:w="2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$53,600</w:t>
            </w:r>
          </w:p>
        </w:tc>
        <w:tc>
          <w:tcPr>
            <w:tcW w:w="2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$41,700</w:t>
            </w:r>
          </w:p>
        </w:tc>
      </w:tr>
      <w:tr>
        <w:trPr>
          <w:trHeight w:val="210"/>
        </w:trPr>
        <w:tc>
          <w:tcPr>
            <w:tcW w:w="2940" w:type="dxa"/>
            <w:vAlign w:val="bottom"/>
            <w:tcBorders>
              <w:left w:val="single" w:sz="8" w:color="auto"/>
              <w:bottom w:val="single" w:sz="8" w:color="auto"/>
              <w:right w:val="single" w:sz="8" w:color="auto"/>
            </w:tcBorders>
          </w:tcPr>
          <w:p>
            <w:pPr>
              <w:jc w:val="right"/>
              <w:ind w:right="1127"/>
              <w:spacing w:after="0"/>
              <w:rPr>
                <w:sz w:val="20"/>
                <w:szCs w:val="20"/>
                <w:color w:val="auto"/>
              </w:rPr>
            </w:pPr>
            <w:r>
              <w:rPr>
                <w:rFonts w:ascii="Times New Roman" w:cs="Times New Roman" w:eastAsia="Times New Roman" w:hAnsi="Times New Roman"/>
                <w:sz w:val="18"/>
                <w:szCs w:val="18"/>
                <w:color w:val="auto"/>
              </w:rPr>
              <w:t>2016</w:t>
            </w: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$83,800</w:t>
            </w:r>
          </w:p>
        </w:tc>
        <w:tc>
          <w:tcPr>
            <w:tcW w:w="2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$53,900</w:t>
            </w:r>
          </w:p>
        </w:tc>
        <w:tc>
          <w:tcPr>
            <w:tcW w:w="2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$41,900</w:t>
            </w:r>
          </w:p>
        </w:tc>
      </w:tr>
    </w:tbl>
    <w:p>
      <w:pPr>
        <w:spacing w:after="0" w:line="19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jc w:val="both"/>
        <w:ind w:left="560" w:right="20"/>
        <w:spacing w:after="0" w:line="269" w:lineRule="auto"/>
        <w:rPr>
          <w:sz w:val="20"/>
          <w:szCs w:val="20"/>
          <w:color w:val="auto"/>
        </w:rPr>
      </w:pPr>
      <w:r>
        <w:rPr>
          <w:rFonts w:ascii="Times New Roman" w:cs="Times New Roman" w:eastAsia="Times New Roman" w:hAnsi="Times New Roman"/>
          <w:sz w:val="20"/>
          <w:szCs w:val="20"/>
          <w:color w:val="auto"/>
        </w:rPr>
        <w:t>The allowable exemption amount is reduced by $0.25 for each $1.00 by which alternative minimum taxable income for the year exceeds the following amounts:</w:t>
      </w:r>
    </w:p>
    <w:p>
      <w:pPr>
        <w:spacing w:after="0" w:line="189"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2940" w:type="dxa"/>
            <w:vAlign w:val="bottom"/>
            <w:tcBorders>
              <w:top w:val="single" w:sz="8" w:color="auto"/>
              <w:left w:val="single" w:sz="8" w:color="auto"/>
              <w:bottom w:val="single" w:sz="8" w:color="auto"/>
              <w:right w:val="single" w:sz="8" w:color="auto"/>
            </w:tcBorders>
          </w:tcPr>
          <w:p>
            <w:pPr>
              <w:ind w:left="1320"/>
              <w:spacing w:after="0"/>
              <w:rPr>
                <w:sz w:val="20"/>
                <w:szCs w:val="20"/>
                <w:color w:val="auto"/>
              </w:rPr>
            </w:pPr>
            <w:r>
              <w:rPr>
                <w:rFonts w:ascii="Times New Roman" w:cs="Times New Roman" w:eastAsia="Times New Roman" w:hAnsi="Times New Roman"/>
                <w:sz w:val="20"/>
                <w:szCs w:val="20"/>
                <w:b w:val="1"/>
                <w:bCs w:val="1"/>
                <w:color w:val="auto"/>
              </w:rPr>
              <w:t>Year:</w:t>
            </w:r>
          </w:p>
        </w:tc>
        <w:tc>
          <w:tcPr>
            <w:tcW w:w="28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Joint Returns:</w:t>
            </w:r>
          </w:p>
        </w:tc>
        <w:tc>
          <w:tcPr>
            <w:tcW w:w="28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Single Returns:</w:t>
            </w:r>
          </w:p>
        </w:tc>
        <w:tc>
          <w:tcPr>
            <w:tcW w:w="27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Separate Returns:</w:t>
            </w:r>
          </w:p>
        </w:tc>
      </w:tr>
      <w:tr>
        <w:trPr>
          <w:trHeight w:val="209"/>
        </w:trPr>
        <w:tc>
          <w:tcPr>
            <w:tcW w:w="2940" w:type="dxa"/>
            <w:vAlign w:val="bottom"/>
            <w:tcBorders>
              <w:left w:val="single" w:sz="8" w:color="auto"/>
              <w:bottom w:val="single" w:sz="8" w:color="auto"/>
              <w:right w:val="single" w:sz="8" w:color="auto"/>
            </w:tcBorders>
          </w:tcPr>
          <w:p>
            <w:pPr>
              <w:jc w:val="center"/>
              <w:ind w:right="1067"/>
              <w:spacing w:after="0"/>
              <w:rPr>
                <w:sz w:val="20"/>
                <w:szCs w:val="20"/>
                <w:color w:val="auto"/>
              </w:rPr>
            </w:pPr>
            <w:r>
              <w:rPr>
                <w:rFonts w:ascii="Times New Roman" w:cs="Times New Roman" w:eastAsia="Times New Roman" w:hAnsi="Times New Roman"/>
                <w:sz w:val="18"/>
                <w:szCs w:val="18"/>
                <w:color w:val="auto"/>
              </w:rPr>
              <w:t>2015</w:t>
            </w:r>
            <w:r>
              <w:rPr>
                <w:rFonts w:ascii="Times New Roman" w:cs="Times New Roman" w:eastAsia="Times New Roman" w:hAnsi="Times New Roman"/>
                <w:sz w:val="15"/>
                <w:szCs w:val="15"/>
                <w:color w:val="auto"/>
              </w:rPr>
              <w:t>7</w:t>
            </w: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$158,900</w:t>
            </w:r>
          </w:p>
        </w:tc>
        <w:tc>
          <w:tcPr>
            <w:tcW w:w="2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$119,200</w:t>
            </w:r>
          </w:p>
        </w:tc>
        <w:tc>
          <w:tcPr>
            <w:tcW w:w="2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$79,450</w:t>
            </w:r>
          </w:p>
        </w:tc>
      </w:tr>
      <w:tr>
        <w:trPr>
          <w:trHeight w:val="210"/>
        </w:trPr>
        <w:tc>
          <w:tcPr>
            <w:tcW w:w="2940" w:type="dxa"/>
            <w:vAlign w:val="bottom"/>
            <w:tcBorders>
              <w:left w:val="single" w:sz="8" w:color="auto"/>
              <w:bottom w:val="single" w:sz="8" w:color="auto"/>
              <w:right w:val="single" w:sz="8" w:color="auto"/>
            </w:tcBorders>
          </w:tcPr>
          <w:p>
            <w:pPr>
              <w:jc w:val="right"/>
              <w:ind w:right="1127"/>
              <w:spacing w:after="0"/>
              <w:rPr>
                <w:sz w:val="20"/>
                <w:szCs w:val="20"/>
                <w:color w:val="auto"/>
              </w:rPr>
            </w:pPr>
            <w:r>
              <w:rPr>
                <w:rFonts w:ascii="Times New Roman" w:cs="Times New Roman" w:eastAsia="Times New Roman" w:hAnsi="Times New Roman"/>
                <w:sz w:val="18"/>
                <w:szCs w:val="18"/>
                <w:color w:val="auto"/>
              </w:rPr>
              <w:t>2016</w:t>
            </w: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$159,700</w:t>
            </w:r>
          </w:p>
        </w:tc>
        <w:tc>
          <w:tcPr>
            <w:tcW w:w="2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$119,700</w:t>
            </w:r>
          </w:p>
        </w:tc>
        <w:tc>
          <w:tcPr>
            <w:tcW w:w="2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$79,850</w:t>
            </w:r>
          </w:p>
        </w:tc>
      </w:tr>
    </w:tbl>
    <w:p>
      <w:pPr>
        <w:spacing w:after="0" w:line="193" w:lineRule="exact"/>
        <w:rPr>
          <w:sz w:val="20"/>
          <w:szCs w:val="20"/>
          <w:color w:val="auto"/>
        </w:rPr>
      </w:pPr>
    </w:p>
    <w:p>
      <w:pPr>
        <w:jc w:val="both"/>
        <w:ind w:left="560" w:right="20"/>
        <w:spacing w:after="0" w:line="269" w:lineRule="auto"/>
        <w:rPr>
          <w:sz w:val="20"/>
          <w:szCs w:val="20"/>
          <w:color w:val="auto"/>
        </w:rPr>
      </w:pPr>
      <w:r>
        <w:rPr>
          <w:rFonts w:ascii="Times New Roman" w:cs="Times New Roman" w:eastAsia="Times New Roman" w:hAnsi="Times New Roman"/>
          <w:sz w:val="20"/>
          <w:szCs w:val="20"/>
          <w:color w:val="auto"/>
        </w:rPr>
        <w:t>This means, for example, in 2016, the $83,800 exemption amount is phased out completely for married individuals filing joint returns when their alternative minimum taxable income reaches $494,900 [($83,800 ÷ $0.25) + $159,700].</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Application of AMT When ISO Is Exercised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 noted above, when an ISO is exercised, the spread is included in AMTI at the time of exercise.</w:t>
      </w:r>
    </w:p>
    <w:p>
      <w:pPr>
        <w:spacing w:after="0" w:line="216"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t>A special rule applies if you dispose of the Purchased Shares in the same year in which you exercised the ISO. If the amount you realize on the sale is less than the value of the stock at the time of exercise, then the amount includible in AMTI on account of the ISO exercise is limited to the gain realized on the sale.</w:t>
      </w:r>
      <w:r>
        <w:rPr>
          <w:rFonts w:ascii="Times New Roman" w:cs="Times New Roman" w:eastAsia="Times New Roman" w:hAnsi="Times New Roman"/>
          <w:sz w:val="16"/>
          <w:szCs w:val="16"/>
          <w:color w:val="auto"/>
        </w:rPr>
        <w:t>8</w:t>
      </w:r>
    </w:p>
    <w:p>
      <w:pPr>
        <w:spacing w:after="0" w:line="174"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t>To the extent that your AMT is attributable to the spread on exercising an ISO (and certain other items), you may be able to apply the AMT that you paid as a credit against your income tax liability in future years. But the rules on calculating the available tax credits were amended frequently in recent years and have become extraordinarily complex. On this issue in particular, you must consult your own tax adviser.</w:t>
      </w:r>
    </w:p>
    <w:p>
      <w:pPr>
        <w:spacing w:after="0" w:line="174" w:lineRule="exact"/>
        <w:rPr>
          <w:sz w:val="20"/>
          <w:szCs w:val="20"/>
          <w:color w:val="auto"/>
        </w:rPr>
      </w:pPr>
    </w:p>
    <w:p>
      <w:pPr>
        <w:jc w:val="both"/>
        <w:ind w:right="20"/>
        <w:spacing w:after="0" w:line="245" w:lineRule="auto"/>
        <w:rPr>
          <w:sz w:val="20"/>
          <w:szCs w:val="20"/>
          <w:color w:val="auto"/>
        </w:rPr>
      </w:pPr>
      <w:r>
        <w:rPr>
          <w:rFonts w:ascii="Times New Roman" w:cs="Times New Roman" w:eastAsia="Times New Roman" w:hAnsi="Times New Roman"/>
          <w:sz w:val="20"/>
          <w:szCs w:val="20"/>
          <w:color w:val="auto"/>
        </w:rPr>
        <w:t xml:space="preserve">When Purchased Shares are sold, your basis for purposes of computing the capital gain or loss under the AMT system is increased by the option spread that exists at the time of exercise. Again, an ISO is treated under the AMT system much like an NSO is treated under the regular tax system. But your basis in the ISO shares for purposes of computing gain or loss under the regular tax system does </w:t>
      </w:r>
      <w:r>
        <w:rPr>
          <w:rFonts w:ascii="Times New Roman" w:cs="Times New Roman" w:eastAsia="Times New Roman" w:hAnsi="Times New Roman"/>
          <w:sz w:val="20"/>
          <w:szCs w:val="20"/>
          <w:i w:val="1"/>
          <w:iCs w:val="1"/>
          <w:color w:val="auto"/>
        </w:rPr>
        <w:t>not</w:t>
      </w:r>
      <w:r>
        <w:rPr>
          <w:rFonts w:ascii="Times New Roman" w:cs="Times New Roman" w:eastAsia="Times New Roman" w:hAnsi="Times New Roman"/>
          <w:sz w:val="20"/>
          <w:szCs w:val="20"/>
          <w:color w:val="auto"/>
        </w:rPr>
        <w:t xml:space="preserve"> reflect any AMT that you pay on the spread at exercise. Therefore, if you pay AMT in the year of the ISO exercise and regular income tax in the year of selling the Purchased Shares, you could pay tax twice on the same gain (except to the extent that you can use the AMT credit described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311785</wp:posOffset>
            </wp:positionV>
            <wp:extent cx="788670" cy="88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88670" cy="8890"/>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ind w:left="220" w:hanging="212"/>
        <w:spacing w:after="0"/>
        <w:tabs>
          <w:tab w:leader="none" w:pos="220" w:val="left"/>
        </w:tabs>
        <w:numPr>
          <w:ilvl w:val="0"/>
          <w:numId w:val="271"/>
        </w:numPr>
        <w:rPr>
          <w:rFonts w:ascii="Times New Roman" w:cs="Times New Roman" w:eastAsia="Times New Roman" w:hAnsi="Times New Roman"/>
          <w:sz w:val="17"/>
          <w:szCs w:val="17"/>
          <w:color w:val="auto"/>
        </w:rPr>
      </w:pPr>
      <w:r>
        <w:rPr>
          <w:rFonts w:ascii="Times New Roman" w:cs="Times New Roman" w:eastAsia="Times New Roman" w:hAnsi="Times New Roman"/>
          <w:sz w:val="20"/>
          <w:szCs w:val="20"/>
          <w:color w:val="auto"/>
        </w:rPr>
        <w:t>Amounts are indexed for inflation in future years.</w:t>
      </w:r>
    </w:p>
    <w:p>
      <w:pPr>
        <w:spacing w:after="0" w:line="21"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7  </w:t>
      </w:r>
      <w:r>
        <w:rPr>
          <w:rFonts w:ascii="Times New Roman" w:cs="Times New Roman" w:eastAsia="Times New Roman" w:hAnsi="Times New Roman"/>
          <w:sz w:val="19"/>
          <w:szCs w:val="19"/>
          <w:color w:val="auto"/>
        </w:rPr>
        <w:t>Amounts are indexed for inflation in future years.</w:t>
      </w:r>
    </w:p>
    <w:p>
      <w:pPr>
        <w:spacing w:after="0" w:line="11" w:lineRule="exact"/>
        <w:rPr>
          <w:rFonts w:ascii="Times New Roman" w:cs="Times New Roman" w:eastAsia="Times New Roman" w:hAnsi="Times New Roman"/>
          <w:sz w:val="17"/>
          <w:szCs w:val="17"/>
          <w:color w:val="auto"/>
        </w:rPr>
      </w:pPr>
    </w:p>
    <w:p>
      <w:pPr>
        <w:ind w:left="220" w:right="20" w:hanging="216"/>
        <w:spacing w:after="0" w:line="27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8 </w:t>
      </w:r>
      <w:r>
        <w:rPr>
          <w:rFonts w:ascii="Times New Roman" w:cs="Times New Roman" w:eastAsia="Times New Roman" w:hAnsi="Times New Roman"/>
          <w:sz w:val="19"/>
          <w:szCs w:val="19"/>
          <w:color w:val="auto"/>
        </w:rPr>
        <w:t>This is similar to the rule that applies under the regular tax system in the event of a disqualifying disposition of ISO stock. The amount of</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9"/>
          <w:szCs w:val="19"/>
          <w:color w:val="auto"/>
        </w:rPr>
        <w:t>ordinary income that must be recognized in that case generally does not exceed the amount of the gain realized in the disposition.</w:t>
      </w:r>
    </w:p>
    <w:p>
      <w:pPr>
        <w:spacing w:after="0" w:line="9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260"/>
          </w:cols>
          <w:pgMar w:left="320" w:top="268" w:right="319" w:bottom="1440" w:gutter="0" w:footer="0" w:header="0"/>
        </w:sectPr>
      </w:pPr>
    </w:p>
    <w:bookmarkStart w:id="304" w:name="page305"/>
    <w:bookmarkEnd w:id="304"/>
    <w:p>
      <w:pPr>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w:t>
      </w:r>
      <w:r>
        <w:rPr>
          <w:rFonts w:ascii="Times New Roman" w:cs="Times New Roman" w:eastAsia="Times New Roman" w:hAnsi="Times New Roman"/>
          <w:sz w:val="16"/>
          <w:szCs w:val="16"/>
          <w:b w:val="1"/>
          <w:bCs w:val="1"/>
          <w:color w:val="auto"/>
        </w:rPr>
        <w:t>ECTION</w:t>
      </w:r>
      <w:r>
        <w:rPr>
          <w:rFonts w:ascii="Times New Roman" w:cs="Times New Roman" w:eastAsia="Times New Roman" w:hAnsi="Times New Roman"/>
          <w:sz w:val="20"/>
          <w:szCs w:val="20"/>
          <w:b w:val="1"/>
          <w:bCs w:val="1"/>
          <w:color w:val="auto"/>
        </w:rPr>
        <w:t xml:space="preserve"> 409A </w:t>
      </w:r>
      <w:r>
        <w:rPr>
          <w:rFonts w:ascii="Times New Roman" w:cs="Times New Roman" w:eastAsia="Times New Roman" w:hAnsi="Times New Roman"/>
          <w:sz w:val="16"/>
          <w:szCs w:val="16"/>
          <w:b w:val="1"/>
          <w:bCs w:val="1"/>
          <w:color w:val="auto"/>
        </w:rPr>
        <w:t>OF THE</w:t>
      </w:r>
      <w:r>
        <w:rPr>
          <w:rFonts w:ascii="Times New Roman" w:cs="Times New Roman" w:eastAsia="Times New Roman" w:hAnsi="Times New Roman"/>
          <w:sz w:val="20"/>
          <w:szCs w:val="20"/>
          <w:b w:val="1"/>
          <w:bCs w:val="1"/>
          <w:color w:val="auto"/>
        </w:rPr>
        <w:t xml:space="preserve"> I</w:t>
      </w:r>
      <w:r>
        <w:rPr>
          <w:rFonts w:ascii="Times New Roman" w:cs="Times New Roman" w:eastAsia="Times New Roman" w:hAnsi="Times New Roman"/>
          <w:sz w:val="16"/>
          <w:szCs w:val="16"/>
          <w:b w:val="1"/>
          <w:bCs w:val="1"/>
          <w:color w:val="auto"/>
        </w:rPr>
        <w:t>NTERNAL</w:t>
      </w:r>
      <w:r>
        <w:rPr>
          <w:rFonts w:ascii="Times New Roman" w:cs="Times New Roman" w:eastAsia="Times New Roman" w:hAnsi="Times New Roman"/>
          <w:sz w:val="20"/>
          <w:szCs w:val="20"/>
          <w:b w:val="1"/>
          <w:bCs w:val="1"/>
          <w:color w:val="auto"/>
        </w:rPr>
        <w:t xml:space="preserve"> R</w:t>
      </w:r>
      <w:r>
        <w:rPr>
          <w:rFonts w:ascii="Times New Roman" w:cs="Times New Roman" w:eastAsia="Times New Roman" w:hAnsi="Times New Roman"/>
          <w:sz w:val="16"/>
          <w:szCs w:val="16"/>
          <w:b w:val="1"/>
          <w:bCs w:val="1"/>
          <w:color w:val="auto"/>
        </w:rPr>
        <w:t>EVENUE</w:t>
      </w:r>
      <w:r>
        <w:rPr>
          <w:rFonts w:ascii="Times New Roman" w:cs="Times New Roman" w:eastAsia="Times New Roman" w:hAnsi="Times New Roman"/>
          <w:sz w:val="20"/>
          <w:szCs w:val="20"/>
          <w:b w:val="1"/>
          <w:bCs w:val="1"/>
          <w:color w:val="auto"/>
        </w:rPr>
        <w:t xml:space="preserve"> C</w:t>
      </w:r>
      <w:r>
        <w:rPr>
          <w:rFonts w:ascii="Times New Roman" w:cs="Times New Roman" w:eastAsia="Times New Roman" w:hAnsi="Times New Roman"/>
          <w:sz w:val="16"/>
          <w:szCs w:val="16"/>
          <w:b w:val="1"/>
          <w:bCs w:val="1"/>
          <w:color w:val="auto"/>
        </w:rPr>
        <w:t>ODE</w:t>
      </w:r>
    </w:p>
    <w:p>
      <w:pPr>
        <w:spacing w:after="0" w:line="22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The preceding summary assumes that section 409A of the Internal Revenue Code does not apply to your option. In general, your option is exempt from section 409A if the exercise price per share is at least equal to the fair market value per share of the Company’s Common Stock at the time the option was granted by the Board of Directors. Since shares of Common Stock are not traded on an established securities market, the determination of their fair market value generally is made by the Board of Directors or by an independent appraisal firm retained by the Company. In either case, there is no guarantee that the Internal Revenue Service will agree with the valuation.</w:t>
      </w:r>
    </w:p>
    <w:p>
      <w:pPr>
        <w:spacing w:after="0" w:line="18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 xml:space="preserve">If your option were found to be subject to section 409A, then you would be required to recognize ordinary income as early as the year in which the option (or portion thereof) vests. This amount would also be subject to a 20% federal tax </w:t>
      </w:r>
      <w:r>
        <w:rPr>
          <w:rFonts w:ascii="Times New Roman" w:cs="Times New Roman" w:eastAsia="Times New Roman" w:hAnsi="Times New Roman"/>
          <w:sz w:val="20"/>
          <w:szCs w:val="20"/>
          <w:i w:val="1"/>
          <w:iCs w:val="1"/>
          <w:color w:val="auto"/>
        </w:rPr>
        <w:t>in addition to</w:t>
      </w:r>
      <w:r>
        <w:rPr>
          <w:rFonts w:ascii="Times New Roman" w:cs="Times New Roman" w:eastAsia="Times New Roman" w:hAnsi="Times New Roman"/>
          <w:sz w:val="20"/>
          <w:szCs w:val="20"/>
          <w:color w:val="auto"/>
        </w:rPr>
        <w:t xml:space="preserve"> the federal income tax at your usual marginal rate for ordinary income. Additional state income taxes may apply in some states.</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Disclaimer Under IRS Circular 230</w:t>
      </w:r>
    </w:p>
    <w:p>
      <w:pPr>
        <w:spacing w:after="0" w:line="220" w:lineRule="exact"/>
        <w:rPr>
          <w:sz w:val="20"/>
          <w:szCs w:val="20"/>
          <w:color w:val="auto"/>
        </w:rPr>
      </w:pPr>
    </w:p>
    <w:p>
      <w:pPr>
        <w:jc w:val="both"/>
        <w:ind w:left="560"/>
        <w:spacing w:after="0" w:line="249" w:lineRule="auto"/>
        <w:rPr>
          <w:sz w:val="20"/>
          <w:szCs w:val="20"/>
          <w:color w:val="auto"/>
        </w:rPr>
      </w:pPr>
      <w:r>
        <w:rPr>
          <w:rFonts w:ascii="Times New Roman" w:cs="Times New Roman" w:eastAsia="Times New Roman" w:hAnsi="Times New Roman"/>
          <w:sz w:val="20"/>
          <w:szCs w:val="20"/>
          <w:color w:val="auto"/>
        </w:rPr>
        <w:t>To ensure compliance with requirements imposed by U.S. tax authorities, we inform you that any U.S. tax advice contained in the foregoing summary is not intended or written to be used, and cannot be used, for the purpose of (i) avoiding United States federal, state or local tax penalties, or (ii) promoting, marketing or recommending to another party any matters addressed herein (including any attachments).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240"/>
          </w:cols>
          <w:pgMar w:left="320" w:top="261" w:right="339" w:bottom="1440" w:gutter="0" w:footer="0" w:header="0"/>
        </w:sectPr>
      </w:pPr>
    </w:p>
    <w:bookmarkStart w:id="305" w:name="page306"/>
    <w:bookmarkEnd w:id="305"/>
    <w:p>
      <w:pPr>
        <w:jc w:val="center"/>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w:t>
      </w:r>
      <w:r>
        <w:rPr>
          <w:rFonts w:ascii="Times New Roman" w:cs="Times New Roman" w:eastAsia="Times New Roman" w:hAnsi="Times New Roman"/>
          <w:sz w:val="16"/>
          <w:szCs w:val="16"/>
          <w:b w:val="1"/>
          <w:bCs w:val="1"/>
          <w:color w:val="auto"/>
        </w:rPr>
        <w:t>ARSUS</w:t>
      </w:r>
      <w:r>
        <w:rPr>
          <w:rFonts w:ascii="Times New Roman" w:cs="Times New Roman" w:eastAsia="Times New Roman" w:hAnsi="Times New Roman"/>
          <w:sz w:val="20"/>
          <w:szCs w:val="20"/>
          <w:b w:val="1"/>
          <w:bCs w:val="1"/>
          <w:color w:val="auto"/>
        </w:rPr>
        <w:t xml:space="preserve"> P</w:t>
      </w:r>
      <w:r>
        <w:rPr>
          <w:rFonts w:ascii="Times New Roman" w:cs="Times New Roman" w:eastAsia="Times New Roman" w:hAnsi="Times New Roman"/>
          <w:sz w:val="16"/>
          <w:szCs w:val="16"/>
          <w:b w:val="1"/>
          <w:bCs w:val="1"/>
          <w:color w:val="auto"/>
        </w:rPr>
        <w:t>HARMACEUTICALS</w:t>
      </w:r>
      <w:r>
        <w:rPr>
          <w:rFonts w:ascii="Times New Roman" w:cs="Times New Roman" w:eastAsia="Times New Roman" w:hAnsi="Times New Roman"/>
          <w:sz w:val="20"/>
          <w:szCs w:val="20"/>
          <w:b w:val="1"/>
          <w:bCs w:val="1"/>
          <w:color w:val="auto"/>
        </w:rPr>
        <w:t>, I</w:t>
      </w:r>
      <w:r>
        <w:rPr>
          <w:rFonts w:ascii="Times New Roman" w:cs="Times New Roman" w:eastAsia="Times New Roman" w:hAnsi="Times New Roman"/>
          <w:sz w:val="16"/>
          <w:szCs w:val="16"/>
          <w:b w:val="1"/>
          <w:bCs w:val="1"/>
          <w:color w:val="auto"/>
        </w:rPr>
        <w:t>NC</w:t>
      </w:r>
      <w:r>
        <w:rPr>
          <w:rFonts w:ascii="Times New Roman" w:cs="Times New Roman" w:eastAsia="Times New Roman" w:hAnsi="Times New Roman"/>
          <w:sz w:val="20"/>
          <w:szCs w:val="20"/>
          <w:b w:val="1"/>
          <w:bCs w:val="1"/>
          <w:color w:val="auto"/>
        </w:rPr>
        <w:t>. 2016 S</w:t>
      </w:r>
      <w:r>
        <w:rPr>
          <w:rFonts w:ascii="Times New Roman" w:cs="Times New Roman" w:eastAsia="Times New Roman" w:hAnsi="Times New Roman"/>
          <w:sz w:val="16"/>
          <w:szCs w:val="16"/>
          <w:b w:val="1"/>
          <w:bCs w:val="1"/>
          <w:color w:val="auto"/>
        </w:rPr>
        <w:t>TOCK</w:t>
      </w:r>
      <w:r>
        <w:rPr>
          <w:rFonts w:ascii="Times New Roman" w:cs="Times New Roman" w:eastAsia="Times New Roman" w:hAnsi="Times New Roman"/>
          <w:sz w:val="20"/>
          <w:szCs w:val="20"/>
          <w:b w:val="1"/>
          <w:bCs w:val="1"/>
          <w:color w:val="auto"/>
        </w:rPr>
        <w:t xml:space="preserve"> P</w:t>
      </w:r>
      <w:r>
        <w:rPr>
          <w:rFonts w:ascii="Times New Roman" w:cs="Times New Roman" w:eastAsia="Times New Roman" w:hAnsi="Times New Roman"/>
          <w:sz w:val="16"/>
          <w:szCs w:val="16"/>
          <w:b w:val="1"/>
          <w:bCs w:val="1"/>
          <w:color w:val="auto"/>
        </w:rPr>
        <w:t>LAN</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w:t>
      </w:r>
      <w:r>
        <w:rPr>
          <w:rFonts w:ascii="Times New Roman" w:cs="Times New Roman" w:eastAsia="Times New Roman" w:hAnsi="Times New Roman"/>
          <w:sz w:val="16"/>
          <w:szCs w:val="16"/>
          <w:b w:val="1"/>
          <w:bCs w:val="1"/>
          <w:color w:val="auto"/>
        </w:rPr>
        <w:t>OTICE OF</w:t>
      </w:r>
      <w:r>
        <w:rPr>
          <w:rFonts w:ascii="Times New Roman" w:cs="Times New Roman" w:eastAsia="Times New Roman" w:hAnsi="Times New Roman"/>
          <w:sz w:val="20"/>
          <w:szCs w:val="20"/>
          <w:b w:val="1"/>
          <w:bCs w:val="1"/>
          <w:color w:val="auto"/>
        </w:rPr>
        <w:t xml:space="preserve"> S</w:t>
      </w:r>
      <w:r>
        <w:rPr>
          <w:rFonts w:ascii="Times New Roman" w:cs="Times New Roman" w:eastAsia="Times New Roman" w:hAnsi="Times New Roman"/>
          <w:sz w:val="16"/>
          <w:szCs w:val="16"/>
          <w:b w:val="1"/>
          <w:bCs w:val="1"/>
          <w:color w:val="auto"/>
        </w:rPr>
        <w:t>TOCK</w:t>
      </w:r>
      <w:r>
        <w:rPr>
          <w:rFonts w:ascii="Times New Roman" w:cs="Times New Roman" w:eastAsia="Times New Roman" w:hAnsi="Times New Roman"/>
          <w:sz w:val="20"/>
          <w:szCs w:val="20"/>
          <w:b w:val="1"/>
          <w:bCs w:val="1"/>
          <w:color w:val="auto"/>
        </w:rPr>
        <w:t xml:space="preserve"> O</w:t>
      </w:r>
      <w:r>
        <w:rPr>
          <w:rFonts w:ascii="Times New Roman" w:cs="Times New Roman" w:eastAsia="Times New Roman" w:hAnsi="Times New Roman"/>
          <w:sz w:val="16"/>
          <w:szCs w:val="16"/>
          <w:b w:val="1"/>
          <w:bCs w:val="1"/>
          <w:color w:val="auto"/>
        </w:rPr>
        <w:t>PTION</w:t>
      </w:r>
      <w:r>
        <w:rPr>
          <w:rFonts w:ascii="Times New Roman" w:cs="Times New Roman" w:eastAsia="Times New Roman" w:hAnsi="Times New Roman"/>
          <w:sz w:val="20"/>
          <w:szCs w:val="20"/>
          <w:b w:val="1"/>
          <w:bCs w:val="1"/>
          <w:color w:val="auto"/>
        </w:rPr>
        <w:t xml:space="preserve"> E</w:t>
      </w:r>
      <w:r>
        <w:rPr>
          <w:rFonts w:ascii="Times New Roman" w:cs="Times New Roman" w:eastAsia="Times New Roman" w:hAnsi="Times New Roman"/>
          <w:sz w:val="16"/>
          <w:szCs w:val="16"/>
          <w:b w:val="1"/>
          <w:bCs w:val="1"/>
          <w:color w:val="auto"/>
        </w:rPr>
        <w:t>XERCISE</w:t>
      </w:r>
      <w:r>
        <w:rPr>
          <w:rFonts w:ascii="Times New Roman" w:cs="Times New Roman" w:eastAsia="Times New Roman" w:hAnsi="Times New Roman"/>
          <w:sz w:val="20"/>
          <w:szCs w:val="20"/>
          <w:b w:val="1"/>
          <w:bCs w:val="1"/>
          <w:color w:val="auto"/>
        </w:rPr>
        <w:t xml:space="preserve"> (E</w:t>
      </w:r>
      <w:r>
        <w:rPr>
          <w:rFonts w:ascii="Times New Roman" w:cs="Times New Roman" w:eastAsia="Times New Roman" w:hAnsi="Times New Roman"/>
          <w:sz w:val="16"/>
          <w:szCs w:val="16"/>
          <w:b w:val="1"/>
          <w:bCs w:val="1"/>
          <w:color w:val="auto"/>
        </w:rPr>
        <w:t>ARLY</w:t>
      </w:r>
      <w:r>
        <w:rPr>
          <w:rFonts w:ascii="Times New Roman" w:cs="Times New Roman" w:eastAsia="Times New Roman" w:hAnsi="Times New Roman"/>
          <w:sz w:val="20"/>
          <w:szCs w:val="20"/>
          <w:b w:val="1"/>
          <w:bCs w:val="1"/>
          <w:color w:val="auto"/>
        </w:rPr>
        <w:t xml:space="preserve"> E</w:t>
      </w:r>
      <w:r>
        <w:rPr>
          <w:rFonts w:ascii="Times New Roman" w:cs="Times New Roman" w:eastAsia="Times New Roman" w:hAnsi="Times New Roman"/>
          <w:sz w:val="16"/>
          <w:szCs w:val="16"/>
          <w:b w:val="1"/>
          <w:bCs w:val="1"/>
          <w:color w:val="auto"/>
        </w:rPr>
        <w:t>XERCISE</w:t>
      </w:r>
      <w:r>
        <w:rPr>
          <w:rFonts w:ascii="Times New Roman" w:cs="Times New Roman" w:eastAsia="Times New Roman" w:hAnsi="Times New Roman"/>
          <w:sz w:val="20"/>
          <w:szCs w:val="20"/>
          <w:b w:val="1"/>
          <w:bCs w:val="1"/>
          <w:color w:val="auto"/>
        </w:rPr>
        <w:t>)</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i w:val="1"/>
          <w:iCs w:val="1"/>
          <w:color w:val="auto"/>
        </w:rPr>
        <w:t>You must sign this Notice on Page 3 before submitting it to the Company.</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498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Optionee Information:</w:t>
            </w:r>
          </w:p>
        </w:tc>
        <w:tc>
          <w:tcPr>
            <w:tcW w:w="70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3920" w:type="dxa"/>
            <w:vAlign w:val="bottom"/>
          </w:tcPr>
          <w:p>
            <w:pPr>
              <w:spacing w:after="0"/>
              <w:rPr>
                <w:sz w:val="22"/>
                <w:szCs w:val="22"/>
                <w:color w:val="auto"/>
              </w:rPr>
            </w:pPr>
          </w:p>
        </w:tc>
      </w:tr>
      <w:tr>
        <w:trPr>
          <w:trHeight w:val="466"/>
        </w:trPr>
        <w:tc>
          <w:tcPr>
            <w:tcW w:w="49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Name:</w:t>
            </w:r>
          </w:p>
        </w:tc>
        <w:tc>
          <w:tcPr>
            <w:tcW w:w="626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Social Security Number:</w:t>
            </w:r>
          </w:p>
        </w:tc>
      </w:tr>
      <w:tr>
        <w:trPr>
          <w:trHeight w:val="223"/>
        </w:trPr>
        <w:tc>
          <w:tcPr>
            <w:tcW w:w="800" w:type="dxa"/>
            <w:vAlign w:val="bottom"/>
          </w:tcPr>
          <w:p>
            <w:pPr>
              <w:spacing w:after="0" w:line="223" w:lineRule="exact"/>
              <w:rPr>
                <w:sz w:val="20"/>
                <w:szCs w:val="20"/>
                <w:color w:val="auto"/>
              </w:rPr>
            </w:pPr>
            <w:r>
              <w:rPr>
                <w:rFonts w:ascii="Times New Roman" w:cs="Times New Roman" w:eastAsia="Times New Roman" w:hAnsi="Times New Roman"/>
                <w:sz w:val="20"/>
                <w:szCs w:val="20"/>
                <w:color w:val="auto"/>
              </w:rPr>
              <w:t>Address:</w:t>
            </w:r>
          </w:p>
        </w:tc>
        <w:tc>
          <w:tcPr>
            <w:tcW w:w="4180" w:type="dxa"/>
            <w:vAlign w:val="bottom"/>
            <w:tcBorders>
              <w:top w:val="single" w:sz="8" w:color="auto"/>
              <w:bottom w:val="single" w:sz="8" w:color="auto"/>
            </w:tcBorders>
          </w:tcPr>
          <w:p>
            <w:pPr>
              <w:spacing w:after="0"/>
              <w:rPr>
                <w:sz w:val="19"/>
                <w:szCs w:val="19"/>
                <w:color w:val="auto"/>
              </w:rPr>
            </w:pPr>
          </w:p>
        </w:tc>
        <w:tc>
          <w:tcPr>
            <w:tcW w:w="2340" w:type="dxa"/>
            <w:vAlign w:val="bottom"/>
            <w:gridSpan w:val="2"/>
          </w:tcPr>
          <w:p>
            <w:pPr>
              <w:ind w:left="100"/>
              <w:spacing w:after="0" w:line="223" w:lineRule="exact"/>
              <w:rPr>
                <w:sz w:val="20"/>
                <w:szCs w:val="20"/>
                <w:color w:val="auto"/>
              </w:rPr>
            </w:pPr>
            <w:r>
              <w:rPr>
                <w:rFonts w:ascii="Times New Roman" w:cs="Times New Roman" w:eastAsia="Times New Roman" w:hAnsi="Times New Roman"/>
                <w:sz w:val="20"/>
                <w:szCs w:val="20"/>
                <w:color w:val="auto"/>
              </w:rPr>
              <w:t>Employee Number:</w:t>
            </w:r>
          </w:p>
        </w:tc>
        <w:tc>
          <w:tcPr>
            <w:tcW w:w="3920" w:type="dxa"/>
            <w:vAlign w:val="bottom"/>
            <w:tcBorders>
              <w:top w:val="single" w:sz="8" w:color="auto"/>
              <w:bottom w:val="single" w:sz="8" w:color="auto"/>
            </w:tcBorders>
          </w:tcPr>
          <w:p>
            <w:pPr>
              <w:spacing w:after="0"/>
              <w:rPr>
                <w:sz w:val="19"/>
                <w:szCs w:val="19"/>
                <w:color w:val="auto"/>
              </w:rPr>
            </w:pPr>
          </w:p>
        </w:tc>
      </w:tr>
      <w:tr>
        <w:trPr>
          <w:trHeight w:val="223"/>
        </w:trPr>
        <w:tc>
          <w:tcPr>
            <w:tcW w:w="800" w:type="dxa"/>
            <w:vAlign w:val="bottom"/>
          </w:tcPr>
          <w:p>
            <w:pPr>
              <w:spacing w:after="0"/>
              <w:rPr>
                <w:sz w:val="19"/>
                <w:szCs w:val="19"/>
                <w:color w:val="auto"/>
              </w:rPr>
            </w:pPr>
          </w:p>
        </w:tc>
        <w:tc>
          <w:tcPr>
            <w:tcW w:w="4180" w:type="dxa"/>
            <w:vAlign w:val="bottom"/>
            <w:tcBorders>
              <w:bottom w:val="single" w:sz="8" w:color="auto"/>
            </w:tcBorders>
          </w:tcPr>
          <w:p>
            <w:pPr>
              <w:spacing w:after="0"/>
              <w:rPr>
                <w:sz w:val="19"/>
                <w:szCs w:val="19"/>
                <w:color w:val="auto"/>
              </w:rPr>
            </w:pPr>
          </w:p>
        </w:tc>
        <w:tc>
          <w:tcPr>
            <w:tcW w:w="7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3920" w:type="dxa"/>
            <w:vAlign w:val="bottom"/>
          </w:tcPr>
          <w:p>
            <w:pPr>
              <w:spacing w:after="0"/>
              <w:rPr>
                <w:sz w:val="19"/>
                <w:szCs w:val="19"/>
                <w:color w:val="auto"/>
              </w:rPr>
            </w:pPr>
          </w:p>
        </w:tc>
      </w:tr>
      <w:tr>
        <w:trPr>
          <w:trHeight w:val="445"/>
        </w:trPr>
        <w:tc>
          <w:tcPr>
            <w:tcW w:w="498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Option Information:</w:t>
            </w:r>
          </w:p>
        </w:tc>
        <w:tc>
          <w:tcPr>
            <w:tcW w:w="7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3920" w:type="dxa"/>
            <w:vAlign w:val="bottom"/>
          </w:tcPr>
          <w:p>
            <w:pPr>
              <w:spacing w:after="0"/>
              <w:rPr>
                <w:sz w:val="24"/>
                <w:szCs w:val="24"/>
                <w:color w:val="auto"/>
              </w:rPr>
            </w:pPr>
          </w:p>
        </w:tc>
      </w:tr>
      <w:tr>
        <w:trPr>
          <w:trHeight w:val="426"/>
        </w:trPr>
        <w:tc>
          <w:tcPr>
            <w:tcW w:w="49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Date of Grant: _____________ ___, 20__</w:t>
            </w:r>
          </w:p>
        </w:tc>
        <w:tc>
          <w:tcPr>
            <w:tcW w:w="700" w:type="dxa"/>
            <w:vAlign w:val="bottom"/>
          </w:tcPr>
          <w:p>
            <w:pPr>
              <w:spacing w:after="0"/>
              <w:rPr>
                <w:sz w:val="24"/>
                <w:szCs w:val="24"/>
                <w:color w:val="auto"/>
              </w:rPr>
            </w:pPr>
          </w:p>
        </w:tc>
        <w:tc>
          <w:tcPr>
            <w:tcW w:w="556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Type of Stock Option:</w:t>
            </w:r>
          </w:p>
        </w:tc>
      </w:tr>
      <w:tr>
        <w:trPr>
          <w:trHeight w:val="243"/>
        </w:trPr>
        <w:tc>
          <w:tcPr>
            <w:tcW w:w="49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Exercise Price per Share: $________</w:t>
            </w:r>
          </w:p>
        </w:tc>
        <w:tc>
          <w:tcPr>
            <w:tcW w:w="700" w:type="dxa"/>
            <w:vAlign w:val="bottom"/>
          </w:tcPr>
          <w:p>
            <w:pPr>
              <w:spacing w:after="0"/>
              <w:rPr>
                <w:sz w:val="21"/>
                <w:szCs w:val="21"/>
                <w:color w:val="auto"/>
              </w:rPr>
            </w:pPr>
          </w:p>
        </w:tc>
        <w:tc>
          <w:tcPr>
            <w:tcW w:w="5560" w:type="dxa"/>
            <w:vAlign w:val="bottom"/>
            <w:gridSpan w:val="2"/>
          </w:tcPr>
          <w:p>
            <w:pPr>
              <w:ind w:left="180"/>
              <w:spacing w:after="0" w:line="230" w:lineRule="exact"/>
              <w:rPr>
                <w:sz w:val="20"/>
                <w:szCs w:val="20"/>
                <w:color w:val="auto"/>
              </w:rPr>
            </w:pP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 xml:space="preserve"> Nonstatutory (NSO)</w:t>
            </w:r>
          </w:p>
        </w:tc>
      </w:tr>
      <w:tr>
        <w:trPr>
          <w:trHeight w:val="247"/>
        </w:trPr>
        <w:tc>
          <w:tcPr>
            <w:tcW w:w="568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Total number of shares of Common Stock of Tarsus Pharmaceuticals,</w:t>
            </w:r>
          </w:p>
        </w:tc>
        <w:tc>
          <w:tcPr>
            <w:tcW w:w="5560" w:type="dxa"/>
            <w:vAlign w:val="bottom"/>
            <w:gridSpan w:val="2"/>
          </w:tcPr>
          <w:p>
            <w:pPr>
              <w:ind w:left="180"/>
              <w:spacing w:after="0" w:line="230" w:lineRule="exact"/>
              <w:rPr>
                <w:sz w:val="20"/>
                <w:szCs w:val="20"/>
                <w:color w:val="auto"/>
              </w:rPr>
            </w:pP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 xml:space="preserve"> Incentive (ISO)</w:t>
            </w:r>
          </w:p>
        </w:tc>
      </w:tr>
      <w:tr>
        <w:trPr>
          <w:trHeight w:val="258"/>
        </w:trPr>
        <w:tc>
          <w:tcPr>
            <w:tcW w:w="568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Inc. (the “Company”) covered by the option: __________________</w:t>
            </w:r>
          </w:p>
        </w:tc>
        <w:tc>
          <w:tcPr>
            <w:tcW w:w="1640" w:type="dxa"/>
            <w:vAlign w:val="bottom"/>
          </w:tcPr>
          <w:p>
            <w:pPr>
              <w:spacing w:after="0"/>
              <w:rPr>
                <w:sz w:val="22"/>
                <w:szCs w:val="22"/>
                <w:color w:val="auto"/>
              </w:rPr>
            </w:pPr>
          </w:p>
        </w:tc>
        <w:tc>
          <w:tcPr>
            <w:tcW w:w="3920" w:type="dxa"/>
            <w:vAlign w:val="bottom"/>
          </w:tcPr>
          <w:p>
            <w:pPr>
              <w:spacing w:after="0"/>
              <w:rPr>
                <w:sz w:val="22"/>
                <w:szCs w:val="22"/>
                <w:color w:val="auto"/>
              </w:rPr>
            </w:pPr>
          </w:p>
        </w:tc>
      </w:tr>
    </w:tbl>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Exercise Information:</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Number of shares of Common Stock of the Company for which the option is being exercised now: ________________. (These shares are</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referred to below as the “Purchased Shares.”)</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Total Exercise Price for the Purchased Shares: $____________</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Form of payment enclosed </w:t>
      </w:r>
      <w:r>
        <w:rPr>
          <w:rFonts w:ascii="Times New Roman" w:cs="Times New Roman" w:eastAsia="Times New Roman" w:hAnsi="Times New Roman"/>
          <w:sz w:val="20"/>
          <w:szCs w:val="20"/>
          <w:b w:val="1"/>
          <w:bCs w:val="1"/>
          <w:i w:val="1"/>
          <w:iCs w:val="1"/>
          <w:color w:val="auto"/>
        </w:rPr>
        <w:t>[check all that apply]</w:t>
      </w:r>
      <w:r>
        <w:rPr>
          <w:rFonts w:ascii="Times New Roman" w:cs="Times New Roman" w:eastAsia="Times New Roman" w:hAnsi="Times New Roman"/>
          <w:sz w:val="20"/>
          <w:szCs w:val="20"/>
          <w:color w:val="auto"/>
        </w:rPr>
        <w:t>:</w:t>
      </w:r>
    </w:p>
    <w:p>
      <w:pPr>
        <w:spacing w:after="0" w:line="71" w:lineRule="exact"/>
        <w:rPr>
          <w:sz w:val="20"/>
          <w:szCs w:val="20"/>
          <w:color w:val="auto"/>
        </w:rPr>
      </w:pPr>
    </w:p>
    <w:p>
      <w:pPr>
        <w:ind w:left="380" w:hanging="372"/>
        <w:spacing w:after="0"/>
        <w:tabs>
          <w:tab w:leader="none" w:pos="380" w:val="left"/>
        </w:tabs>
        <w:numPr>
          <w:ilvl w:val="0"/>
          <w:numId w:val="272"/>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Checkfor $____________, payable to “Tarsus Pharmaceuticals, Inc.”</w:t>
      </w:r>
    </w:p>
    <w:p>
      <w:pPr>
        <w:spacing w:after="0" w:line="67" w:lineRule="exact"/>
        <w:rPr>
          <w:rFonts w:ascii="MS PGothic" w:cs="MS PGothic" w:eastAsia="MS PGothic" w:hAnsi="MS PGothic"/>
          <w:sz w:val="20"/>
          <w:szCs w:val="20"/>
          <w:color w:val="auto"/>
        </w:rPr>
      </w:pPr>
    </w:p>
    <w:p>
      <w:pPr>
        <w:ind w:left="400" w:hanging="392"/>
        <w:spacing w:after="0" w:line="258" w:lineRule="auto"/>
        <w:tabs>
          <w:tab w:leader="none" w:pos="404" w:val="left"/>
        </w:tabs>
        <w:numPr>
          <w:ilvl w:val="0"/>
          <w:numId w:val="272"/>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 xml:space="preserve">Certificate(s)for ________________ shares of Common Stock of the Company. These shares will be valued as of the date this notice is received by the Company. </w:t>
      </w:r>
      <w:r>
        <w:rPr>
          <w:rFonts w:ascii="Times New Roman" w:cs="Times New Roman" w:eastAsia="Times New Roman" w:hAnsi="Times New Roman"/>
          <w:sz w:val="20"/>
          <w:szCs w:val="20"/>
          <w:b w:val="1"/>
          <w:bCs w:val="1"/>
          <w:i w:val="1"/>
          <w:iCs w:val="1"/>
          <w:color w:val="auto"/>
        </w:rPr>
        <w:t>[Requires Company consent.]</w:t>
      </w:r>
    </w:p>
    <w:p>
      <w:pPr>
        <w:spacing w:after="0" w:line="32" w:lineRule="exact"/>
        <w:rPr>
          <w:rFonts w:ascii="MS PGothic" w:cs="MS PGothic" w:eastAsia="MS PGothic" w:hAnsi="MS PGothic"/>
          <w:sz w:val="20"/>
          <w:szCs w:val="20"/>
          <w:color w:val="auto"/>
        </w:rPr>
      </w:pPr>
    </w:p>
    <w:p>
      <w:pPr>
        <w:ind w:left="400" w:hanging="392"/>
        <w:spacing w:after="0" w:line="269" w:lineRule="auto"/>
        <w:tabs>
          <w:tab w:leader="none" w:pos="388" w:val="left"/>
        </w:tabs>
        <w:numPr>
          <w:ilvl w:val="0"/>
          <w:numId w:val="272"/>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 xml:space="preserve">AttestationForm covering ________________ shares of Common Stock of the Company. These shares will be valued as of the date this notice is received by the Company. </w:t>
      </w:r>
      <w:r>
        <w:rPr>
          <w:rFonts w:ascii="Times New Roman" w:cs="Times New Roman" w:eastAsia="Times New Roman" w:hAnsi="Times New Roman"/>
          <w:sz w:val="20"/>
          <w:szCs w:val="20"/>
          <w:b w:val="1"/>
          <w:bCs w:val="1"/>
          <w:i w:val="1"/>
          <w:iCs w:val="1"/>
          <w:color w:val="auto"/>
        </w:rPr>
        <w:t>[Requires Company consent.]</w:t>
      </w:r>
    </w:p>
    <w:p>
      <w:pPr>
        <w:spacing w:after="0" w:line="47"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20"/>
          <w:szCs w:val="20"/>
          <w:color w:val="auto"/>
        </w:rPr>
        <w:t xml:space="preserve">Name(s) in which the Purchased Shares should be registered </w:t>
      </w:r>
      <w:r>
        <w:rPr>
          <w:rFonts w:ascii="Times New Roman" w:cs="Times New Roman" w:eastAsia="Times New Roman" w:hAnsi="Times New Roman"/>
          <w:sz w:val="20"/>
          <w:szCs w:val="20"/>
          <w:b w:val="1"/>
          <w:bCs w:val="1"/>
          <w:i w:val="1"/>
          <w:iCs w:val="1"/>
          <w:color w:val="auto"/>
        </w:rPr>
        <w:t>[please review the attached explanation of the available forms of ownership,</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and then check one box]</w:t>
      </w:r>
      <w:r>
        <w:rPr>
          <w:rFonts w:ascii="Times New Roman" w:cs="Times New Roman" w:eastAsia="Times New Roman" w:hAnsi="Times New Roman"/>
          <w:sz w:val="20"/>
          <w:szCs w:val="20"/>
          <w:color w:val="auto"/>
        </w:rPr>
        <w:t>:</w:t>
      </w:r>
    </w:p>
    <w:p>
      <w:pPr>
        <w:spacing w:after="0" w:line="32" w:lineRule="exact"/>
        <w:rPr>
          <w:sz w:val="20"/>
          <w:szCs w:val="20"/>
          <w:color w:val="auto"/>
        </w:rPr>
      </w:pPr>
    </w:p>
    <w:p>
      <w:pPr>
        <w:ind w:left="380" w:hanging="372"/>
        <w:spacing w:after="0"/>
        <w:tabs>
          <w:tab w:leader="none" w:pos="380" w:val="left"/>
        </w:tabs>
        <w:numPr>
          <w:ilvl w:val="0"/>
          <w:numId w:val="273"/>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Inmy name only</w:t>
      </w:r>
    </w:p>
    <w:p>
      <w:pPr>
        <w:spacing w:after="0" w:line="48" w:lineRule="exact"/>
        <w:rPr>
          <w:sz w:val="20"/>
          <w:szCs w:val="20"/>
          <w:color w:val="auto"/>
        </w:rPr>
      </w:pPr>
    </w:p>
    <w:p>
      <w:pPr>
        <w:spacing w:after="0" w:line="230" w:lineRule="exact"/>
        <w:tabs>
          <w:tab w:leader="none" w:pos="360" w:val="left"/>
          <w:tab w:leader="none" w:pos="7760" w:val="left"/>
        </w:tabs>
        <w:rPr>
          <w:sz w:val="20"/>
          <w:szCs w:val="20"/>
          <w:color w:val="auto"/>
        </w:rPr>
      </w:pP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ab/>
        <w:t>Inthe names of my spouse and myself as community property</w:t>
      </w:r>
      <w:r>
        <w:rPr>
          <w:sz w:val="20"/>
          <w:szCs w:val="20"/>
          <w:color w:val="auto"/>
        </w:rPr>
        <w:tab/>
      </w:r>
      <w:r>
        <w:rPr>
          <w:rFonts w:ascii="Times New Roman" w:cs="Times New Roman" w:eastAsia="Times New Roman" w:hAnsi="Times New Roman"/>
          <w:sz w:val="19"/>
          <w:szCs w:val="19"/>
          <w:color w:val="auto"/>
        </w:rPr>
        <w:t>My spouse’s name (if applicable):</w:t>
      </w:r>
    </w:p>
    <w:p>
      <w:pPr>
        <w:spacing w:after="0" w:line="86" w:lineRule="exact"/>
        <w:rPr>
          <w:sz w:val="20"/>
          <w:szCs w:val="20"/>
          <w:color w:val="auto"/>
        </w:rPr>
      </w:pPr>
    </w:p>
    <w:p>
      <w:pPr>
        <w:ind w:left="380" w:hanging="372"/>
        <w:spacing w:after="0"/>
        <w:tabs>
          <w:tab w:leader="none" w:pos="380" w:val="left"/>
        </w:tabs>
        <w:numPr>
          <w:ilvl w:val="0"/>
          <w:numId w:val="274"/>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Inthe names of my spouse and myself as community property with the right of survivorship</w:t>
      </w:r>
    </w:p>
    <w:p>
      <w:pPr>
        <w:spacing w:after="0" w:line="67" w:lineRule="exact"/>
        <w:rPr>
          <w:rFonts w:ascii="MS PGothic" w:cs="MS PGothic" w:eastAsia="MS PGothic" w:hAnsi="MS PGothic"/>
          <w:sz w:val="20"/>
          <w:szCs w:val="20"/>
          <w:color w:val="auto"/>
        </w:rPr>
      </w:pPr>
    </w:p>
    <w:p>
      <w:pPr>
        <w:ind w:left="380" w:hanging="372"/>
        <w:spacing w:after="0"/>
        <w:tabs>
          <w:tab w:leader="none" w:pos="380" w:val="left"/>
        </w:tabs>
        <w:numPr>
          <w:ilvl w:val="0"/>
          <w:numId w:val="274"/>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Inthe names of my spouse and myself as joint tenants with the right of survivorship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4865370</wp:posOffset>
            </wp:positionH>
            <wp:positionV relativeFrom="paragraph">
              <wp:posOffset>-173990</wp:posOffset>
            </wp:positionV>
            <wp:extent cx="2271395"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2271395" cy="8255"/>
                    </a:xfrm>
                    <a:prstGeom prst="rect">
                      <a:avLst/>
                    </a:prstGeom>
                    <a:noFill/>
                  </pic:spPr>
                </pic:pic>
              </a:graphicData>
            </a:graphic>
          </wp:anchor>
        </w:drawing>
      </w:r>
    </w:p>
    <w:p>
      <w:pPr>
        <w:sectPr>
          <w:pgSz w:w="11900" w:h="16838" w:orient="portrait"/>
          <w:cols w:equalWidth="0" w:num="1">
            <w:col w:w="11240"/>
          </w:cols>
          <w:pgMar w:left="320" w:top="261" w:right="339" w:bottom="1440" w:gutter="0" w:footer="0" w:header="0"/>
        </w:sectPr>
      </w:pPr>
    </w:p>
    <w:bookmarkStart w:id="306" w:name="page307"/>
    <w:bookmarkEnd w:id="306"/>
    <w:tbl>
      <w:tblPr>
        <w:tblLayout w:type="fixed"/>
        <w:tblInd w:w="0" w:type="dxa"/>
        <w:tblCellMar>
          <w:top w:w="0" w:type="dxa"/>
          <w:left w:w="0" w:type="dxa"/>
          <w:bottom w:w="0" w:type="dxa"/>
          <w:right w:w="0" w:type="dxa"/>
        </w:tblCellMar>
      </w:tblPr>
      <w:tr>
        <w:trPr>
          <w:trHeight w:val="257"/>
        </w:trPr>
        <w:tc>
          <w:tcPr>
            <w:tcW w:w="5860" w:type="dxa"/>
            <w:vAlign w:val="bottom"/>
          </w:tcPr>
          <w:p>
            <w:pPr>
              <w:spacing w:after="0" w:line="230" w:lineRule="exact"/>
              <w:rPr>
                <w:sz w:val="20"/>
                <w:szCs w:val="20"/>
                <w:color w:val="auto"/>
              </w:rPr>
            </w:pP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 xml:space="preserve"> In the name of an eligible revocable trust </w:t>
            </w:r>
            <w:r>
              <w:rPr>
                <w:rFonts w:ascii="Times New Roman" w:cs="Times New Roman" w:eastAsia="Times New Roman" w:hAnsi="Times New Roman"/>
                <w:sz w:val="20"/>
                <w:szCs w:val="20"/>
                <w:b w:val="1"/>
                <w:bCs w:val="1"/>
                <w:i w:val="1"/>
                <w:iCs w:val="1"/>
                <w:color w:val="auto"/>
              </w:rPr>
              <w:t>[requires Stock</w:t>
            </w:r>
          </w:p>
        </w:tc>
        <w:tc>
          <w:tcPr>
            <w:tcW w:w="53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Full legal name of revocable trust:</w:t>
            </w:r>
          </w:p>
        </w:tc>
      </w:tr>
      <w:tr>
        <w:trPr>
          <w:trHeight w:val="262"/>
        </w:trPr>
        <w:tc>
          <w:tcPr>
            <w:tcW w:w="5860" w:type="dxa"/>
            <w:vAlign w:val="bottom"/>
          </w:tcPr>
          <w:p>
            <w:pPr>
              <w:ind w:left="400"/>
              <w:spacing w:after="0"/>
              <w:rPr>
                <w:sz w:val="20"/>
                <w:szCs w:val="20"/>
                <w:color w:val="auto"/>
              </w:rPr>
            </w:pPr>
            <w:r>
              <w:rPr>
                <w:rFonts w:ascii="Times New Roman" w:cs="Times New Roman" w:eastAsia="Times New Roman" w:hAnsi="Times New Roman"/>
                <w:sz w:val="20"/>
                <w:szCs w:val="20"/>
                <w:b w:val="1"/>
                <w:bCs w:val="1"/>
                <w:i w:val="1"/>
                <w:iCs w:val="1"/>
                <w:color w:val="auto"/>
              </w:rPr>
              <w:t>Transfer Agreement]</w:t>
            </w:r>
          </w:p>
        </w:tc>
        <w:tc>
          <w:tcPr>
            <w:tcW w:w="5380" w:type="dxa"/>
            <w:vAlign w:val="bottom"/>
          </w:tcPr>
          <w:p>
            <w:pPr>
              <w:spacing w:after="0"/>
              <w:rPr>
                <w:sz w:val="22"/>
                <w:szCs w:val="22"/>
                <w:color w:val="auto"/>
              </w:rPr>
            </w:pPr>
          </w:p>
        </w:tc>
      </w:tr>
      <w:tr>
        <w:trPr>
          <w:trHeight w:val="223"/>
        </w:trPr>
        <w:tc>
          <w:tcPr>
            <w:tcW w:w="5860" w:type="dxa"/>
            <w:vAlign w:val="bottom"/>
          </w:tcPr>
          <w:p>
            <w:pPr>
              <w:spacing w:after="0"/>
              <w:rPr>
                <w:sz w:val="19"/>
                <w:szCs w:val="19"/>
                <w:color w:val="auto"/>
              </w:rPr>
            </w:pPr>
          </w:p>
        </w:tc>
        <w:tc>
          <w:tcPr>
            <w:tcW w:w="5380" w:type="dxa"/>
            <w:vAlign w:val="bottom"/>
            <w:tcBorders>
              <w:bottom w:val="single" w:sz="8" w:color="auto"/>
            </w:tcBorders>
          </w:tcPr>
          <w:p>
            <w:pPr>
              <w:spacing w:after="0"/>
              <w:rPr>
                <w:sz w:val="19"/>
                <w:szCs w:val="19"/>
                <w:color w:val="auto"/>
              </w:rPr>
            </w:pPr>
          </w:p>
        </w:tc>
      </w:tr>
      <w:tr>
        <w:trPr>
          <w:trHeight w:val="209"/>
        </w:trPr>
        <w:tc>
          <w:tcPr>
            <w:tcW w:w="5860" w:type="dxa"/>
            <w:vAlign w:val="bottom"/>
          </w:tcPr>
          <w:p>
            <w:pPr>
              <w:spacing w:after="0"/>
              <w:rPr>
                <w:sz w:val="18"/>
                <w:szCs w:val="18"/>
                <w:color w:val="auto"/>
              </w:rPr>
            </w:pPr>
          </w:p>
        </w:tc>
        <w:tc>
          <w:tcPr>
            <w:tcW w:w="5380" w:type="dxa"/>
            <w:vAlign w:val="bottom"/>
            <w:tcBorders>
              <w:bottom w:val="single" w:sz="8" w:color="auto"/>
            </w:tcBorders>
          </w:tcPr>
          <w:p>
            <w:pPr>
              <w:spacing w:after="0"/>
              <w:rPr>
                <w:sz w:val="18"/>
                <w:szCs w:val="18"/>
                <w:color w:val="auto"/>
              </w:rPr>
            </w:pPr>
          </w:p>
        </w:tc>
      </w:tr>
      <w:tr>
        <w:trPr>
          <w:trHeight w:val="209"/>
        </w:trPr>
        <w:tc>
          <w:tcPr>
            <w:tcW w:w="5860" w:type="dxa"/>
            <w:vAlign w:val="bottom"/>
          </w:tcPr>
          <w:p>
            <w:pPr>
              <w:spacing w:after="0"/>
              <w:rPr>
                <w:sz w:val="18"/>
                <w:szCs w:val="18"/>
                <w:color w:val="auto"/>
              </w:rPr>
            </w:pPr>
          </w:p>
        </w:tc>
        <w:tc>
          <w:tcPr>
            <w:tcW w:w="5380" w:type="dxa"/>
            <w:vAlign w:val="bottom"/>
            <w:tcBorders>
              <w:bottom w:val="single" w:sz="8" w:color="auto"/>
            </w:tcBorders>
          </w:tcPr>
          <w:p>
            <w:pPr>
              <w:spacing w:after="0"/>
              <w:rPr>
                <w:sz w:val="18"/>
                <w:szCs w:val="18"/>
                <w:color w:val="auto"/>
              </w:rPr>
            </w:pPr>
          </w:p>
        </w:tc>
      </w:tr>
    </w:tbl>
    <w:p>
      <w:pPr>
        <w:spacing w:after="0" w:line="2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0"/>
          <w:szCs w:val="20"/>
          <w:color w:val="auto"/>
        </w:rPr>
        <w:t>The certificate for the Purchased Shares should be sent to</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3365500</wp:posOffset>
            </wp:positionH>
            <wp:positionV relativeFrom="paragraph">
              <wp:posOffset>591820</wp:posOffset>
            </wp:positionV>
            <wp:extent cx="3771900"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3771900" cy="8255"/>
                    </a:xfrm>
                    <a:prstGeom prst="rect">
                      <a:avLst/>
                    </a:prstGeom>
                    <a:noFill/>
                  </pic:spPr>
                </pic:pic>
              </a:graphicData>
            </a:graphic>
          </wp:anchor>
        </w:drawing>
        <w:drawing>
          <wp:anchor simplePos="0" relativeHeight="251657728" behindDoc="1" locked="0" layoutInCell="0" allowOverlap="1">
            <wp:simplePos x="0" y="0"/>
            <wp:positionH relativeFrom="column">
              <wp:posOffset>3365500</wp:posOffset>
            </wp:positionH>
            <wp:positionV relativeFrom="paragraph">
              <wp:posOffset>445770</wp:posOffset>
            </wp:positionV>
            <wp:extent cx="3771900" cy="889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3771900" cy="8890"/>
                    </a:xfrm>
                    <a:prstGeom prst="rect">
                      <a:avLst/>
                    </a:prstGeom>
                    <a:noFill/>
                  </pic:spPr>
                </pic:pic>
              </a:graphicData>
            </a:graphic>
          </wp:anchor>
        </w:drawing>
        <w:drawing>
          <wp:anchor simplePos="0" relativeHeight="251657728" behindDoc="1" locked="0" layoutInCell="0" allowOverlap="1">
            <wp:simplePos x="0" y="0"/>
            <wp:positionH relativeFrom="column">
              <wp:posOffset>3365500</wp:posOffset>
            </wp:positionH>
            <wp:positionV relativeFrom="paragraph">
              <wp:posOffset>300355</wp:posOffset>
            </wp:positionV>
            <wp:extent cx="3771900"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3771900" cy="8255"/>
                    </a:xfrm>
                    <a:prstGeom prst="rect">
                      <a:avLst/>
                    </a:prstGeom>
                    <a:noFill/>
                  </pic:spPr>
                </pic:pic>
              </a:graphicData>
            </a:graphic>
          </wp:anchor>
        </w:drawing>
        <w:drawing>
          <wp:anchor simplePos="0" relativeHeight="251657728" behindDoc="1" locked="0" layoutInCell="0" allowOverlap="1">
            <wp:simplePos x="0" y="0"/>
            <wp:positionH relativeFrom="column">
              <wp:posOffset>3365500</wp:posOffset>
            </wp:positionH>
            <wp:positionV relativeFrom="paragraph">
              <wp:posOffset>154305</wp:posOffset>
            </wp:positionV>
            <wp:extent cx="3771900"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37719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Representations and Acknowledgements of the Optionee:</w:t>
      </w:r>
    </w:p>
    <w:p>
      <w:pPr>
        <w:spacing w:after="0" w:line="247" w:lineRule="exact"/>
        <w:rPr>
          <w:sz w:val="20"/>
          <w:szCs w:val="20"/>
          <w:color w:val="auto"/>
        </w:rPr>
      </w:pPr>
    </w:p>
    <w:p>
      <w:pPr>
        <w:jc w:val="both"/>
        <w:ind w:left="560" w:hanging="552"/>
        <w:spacing w:after="0" w:line="254" w:lineRule="auto"/>
        <w:tabs>
          <w:tab w:leader="none" w:pos="560" w:val="left"/>
        </w:tabs>
        <w:numPr>
          <w:ilvl w:val="0"/>
          <w:numId w:val="2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represent and warrant to the Company that I am acquiring and will hold the Purchased Shares for investment for my account only, and not with a view to, or for resale in connection with, any “distribution” of the Purchased Shares within the meaning of the Securities Act of 1933, as amended (the “Securities Act”).</w:t>
      </w:r>
    </w:p>
    <w:p>
      <w:pPr>
        <w:spacing w:after="0" w:line="79" w:lineRule="exact"/>
        <w:rPr>
          <w:rFonts w:ascii="Times New Roman" w:cs="Times New Roman" w:eastAsia="Times New Roman" w:hAnsi="Times New Roman"/>
          <w:sz w:val="20"/>
          <w:szCs w:val="20"/>
          <w:color w:val="auto"/>
        </w:rPr>
      </w:pPr>
    </w:p>
    <w:p>
      <w:pPr>
        <w:jc w:val="both"/>
        <w:ind w:left="560" w:hanging="552"/>
        <w:spacing w:after="0" w:line="249" w:lineRule="auto"/>
        <w:tabs>
          <w:tab w:leader="none" w:pos="560" w:val="left"/>
        </w:tabs>
        <w:numPr>
          <w:ilvl w:val="0"/>
          <w:numId w:val="2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understand that my purchase of the Purchased Shares has not been registered under the Securities Act by reason of a specific exemption therefrom and that the Purchased Shares must be held indefinitely, unless they are subsequently registered under the Securities Act or I obtain an opinion of counsel (in form and substance satisfactory to the Company and its counsel) that registration is not required.</w:t>
      </w:r>
    </w:p>
    <w:p>
      <w:pPr>
        <w:spacing w:after="0" w:line="85" w:lineRule="exact"/>
        <w:rPr>
          <w:rFonts w:ascii="Times New Roman" w:cs="Times New Roman" w:eastAsia="Times New Roman" w:hAnsi="Times New Roman"/>
          <w:sz w:val="20"/>
          <w:szCs w:val="20"/>
          <w:color w:val="auto"/>
        </w:rPr>
      </w:pPr>
    </w:p>
    <w:p>
      <w:pPr>
        <w:ind w:left="560" w:hanging="552"/>
        <w:spacing w:after="0"/>
        <w:tabs>
          <w:tab w:leader="none" w:pos="560" w:val="left"/>
        </w:tabs>
        <w:numPr>
          <w:ilvl w:val="0"/>
          <w:numId w:val="2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acknowledge that the Company is under no obligation to register the Purchased Shares or any sale or transfer thereof.</w:t>
      </w:r>
    </w:p>
    <w:p>
      <w:pPr>
        <w:spacing w:after="0" w:line="121" w:lineRule="exact"/>
        <w:rPr>
          <w:rFonts w:ascii="Times New Roman" w:cs="Times New Roman" w:eastAsia="Times New Roman" w:hAnsi="Times New Roman"/>
          <w:sz w:val="20"/>
          <w:szCs w:val="20"/>
          <w:color w:val="auto"/>
        </w:rPr>
      </w:pPr>
    </w:p>
    <w:p>
      <w:pPr>
        <w:jc w:val="both"/>
        <w:ind w:left="560" w:hanging="552"/>
        <w:spacing w:after="0" w:line="245" w:lineRule="auto"/>
        <w:tabs>
          <w:tab w:leader="none" w:pos="560" w:val="left"/>
        </w:tabs>
        <w:numPr>
          <w:ilvl w:val="0"/>
          <w:numId w:val="2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am aware of Rule 144 under the Securities Act, which permits limited public resales of securities acquired in a non-public offering, subject to the satisfaction of certain conditions. These conditions may include (without limitation) that certain current public information about the issuer be available, that the resale occur only after a holding period required by Rule 144 has been satisfied, that the sale occur through an unsolicited “broker’s transaction” and that the amount of securities being sold during any three-month period not exceed specified limitations. I understand that the conditions for resale set forth in Rule 144 have not been satisfied as of the date set forth below and that the Company is not required to take action to satisfy any conditions applicable to it.</w:t>
      </w:r>
    </w:p>
    <w:p>
      <w:pPr>
        <w:spacing w:after="0" w:line="89" w:lineRule="exact"/>
        <w:rPr>
          <w:rFonts w:ascii="Times New Roman" w:cs="Times New Roman" w:eastAsia="Times New Roman" w:hAnsi="Times New Roman"/>
          <w:sz w:val="20"/>
          <w:szCs w:val="20"/>
          <w:color w:val="auto"/>
        </w:rPr>
      </w:pPr>
    </w:p>
    <w:p>
      <w:pPr>
        <w:ind w:left="560" w:hanging="552"/>
        <w:spacing w:after="0" w:line="269" w:lineRule="auto"/>
        <w:tabs>
          <w:tab w:leader="none" w:pos="560" w:val="left"/>
        </w:tabs>
        <w:numPr>
          <w:ilvl w:val="0"/>
          <w:numId w:val="2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will not sell, transfer or otherwise dispose of the Purchased Shares in violation of the Securities Act, the Securities Exchange Act of 1934, or the rules promulgated thereunder, including Rule 144 under the Securities Act.</w:t>
      </w:r>
    </w:p>
    <w:p>
      <w:pPr>
        <w:spacing w:after="0" w:line="64" w:lineRule="exact"/>
        <w:rPr>
          <w:rFonts w:ascii="Times New Roman" w:cs="Times New Roman" w:eastAsia="Times New Roman" w:hAnsi="Times New Roman"/>
          <w:sz w:val="20"/>
          <w:szCs w:val="20"/>
          <w:color w:val="auto"/>
        </w:rPr>
      </w:pPr>
    </w:p>
    <w:p>
      <w:pPr>
        <w:jc w:val="both"/>
        <w:ind w:left="560" w:hanging="552"/>
        <w:spacing w:after="0" w:line="254" w:lineRule="auto"/>
        <w:tabs>
          <w:tab w:leader="none" w:pos="560" w:val="left"/>
        </w:tabs>
        <w:numPr>
          <w:ilvl w:val="0"/>
          <w:numId w:val="2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acknowledge that I have received and had access to such information as I consider necessary or appropriate for deciding whether to invest in the Purchased Shares and that I had an opportunity to ask questions and receive answers from the Company regarding the terms and conditions of the issuance of the Purchased Shares.</w:t>
      </w:r>
    </w:p>
    <w:p>
      <w:pPr>
        <w:spacing w:after="0" w:line="79" w:lineRule="exact"/>
        <w:rPr>
          <w:rFonts w:ascii="Times New Roman" w:cs="Times New Roman" w:eastAsia="Times New Roman" w:hAnsi="Times New Roman"/>
          <w:sz w:val="20"/>
          <w:szCs w:val="20"/>
          <w:color w:val="auto"/>
        </w:rPr>
      </w:pPr>
    </w:p>
    <w:p>
      <w:pPr>
        <w:jc w:val="both"/>
        <w:ind w:left="560" w:hanging="552"/>
        <w:spacing w:after="0" w:line="254" w:lineRule="auto"/>
        <w:tabs>
          <w:tab w:leader="none" w:pos="560" w:val="left"/>
        </w:tabs>
        <w:numPr>
          <w:ilvl w:val="0"/>
          <w:numId w:val="2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am aware that my investment in the Company is a speculative investment that has limited liquidity and is subject to the risk of complete loss. I am able, without impairing my financial condition, to hold the Purchased Shares for an indefinite period and to suffer a complete loss of my investment in the Purchased Shares.</w:t>
      </w:r>
    </w:p>
    <w:p>
      <w:pPr>
        <w:spacing w:after="0" w:line="79" w:lineRule="exact"/>
        <w:rPr>
          <w:rFonts w:ascii="Times New Roman" w:cs="Times New Roman" w:eastAsia="Times New Roman" w:hAnsi="Times New Roman"/>
          <w:sz w:val="20"/>
          <w:szCs w:val="20"/>
          <w:color w:val="auto"/>
        </w:rPr>
      </w:pPr>
    </w:p>
    <w:p>
      <w:pPr>
        <w:jc w:val="both"/>
        <w:ind w:left="560" w:hanging="552"/>
        <w:spacing w:after="0" w:line="254" w:lineRule="auto"/>
        <w:tabs>
          <w:tab w:leader="none" w:pos="560" w:val="left"/>
        </w:tabs>
        <w:numPr>
          <w:ilvl w:val="0"/>
          <w:numId w:val="2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acknowledge that the Purchased Shares remain subject to the Company’s right of first refusal and the market stand-off (sometimes referred to as the “lock-up”) and may remain subject to the Company’s right of repurchase, all in accordance with the applicable Notice of Stock Option Grant and Stock Option Agreement.</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247" w:right="339" w:bottom="1440" w:gutter="0" w:footer="0" w:header="0"/>
        </w:sectPr>
      </w:pPr>
    </w:p>
    <w:bookmarkStart w:id="307" w:name="page308"/>
    <w:bookmarkEnd w:id="307"/>
    <w:p>
      <w:pPr>
        <w:ind w:left="560" w:hanging="552"/>
        <w:spacing w:after="0" w:line="269" w:lineRule="auto"/>
        <w:tabs>
          <w:tab w:leader="none" w:pos="560" w:val="left"/>
        </w:tabs>
        <w:numPr>
          <w:ilvl w:val="0"/>
          <w:numId w:val="2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 acknowledge that I am acquiring the Purchased Shares subject to all other terms of the Notice of Stock Option Grant and Stock Option Agreement.</w:t>
      </w:r>
    </w:p>
    <w:p>
      <w:pPr>
        <w:spacing w:after="0" w:line="64" w:lineRule="exact"/>
        <w:rPr>
          <w:rFonts w:ascii="Times New Roman" w:cs="Times New Roman" w:eastAsia="Times New Roman" w:hAnsi="Times New Roman"/>
          <w:sz w:val="20"/>
          <w:szCs w:val="20"/>
          <w:color w:val="auto"/>
        </w:rPr>
      </w:pPr>
    </w:p>
    <w:p>
      <w:pPr>
        <w:jc w:val="both"/>
        <w:ind w:left="560" w:hanging="552"/>
        <w:spacing w:after="0" w:line="245" w:lineRule="auto"/>
        <w:tabs>
          <w:tab w:leader="none" w:pos="560" w:val="left"/>
        </w:tabs>
        <w:numPr>
          <w:ilvl w:val="0"/>
          <w:numId w:val="2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acknowledge that I have received a copy of the Company’s explanation of the forms of ownership available for my Purchased Shares. I acknowledge that the Company has encouraged me to consult my own adviser to determine the form of ownership that is appropriate for me. In the event that I choose to transfer my Purchased Shares to a trust, I agree to sign a Stock Transfer Agreement. In the event that I choose to transfer my Purchased Shares to a trust that does not satisfy the requirements described in the attached explanation (i.e., a trust that is not an eligible revocable trust), I also acknowledge that the transfer will be treated as a “disposition” for tax purposes. As a result, the favorable ISO tax treatment will be unavailable and other unfavorable tax consequences may occur.</w:t>
      </w:r>
    </w:p>
    <w:p>
      <w:pPr>
        <w:spacing w:after="0" w:line="89" w:lineRule="exact"/>
        <w:rPr>
          <w:rFonts w:ascii="Times New Roman" w:cs="Times New Roman" w:eastAsia="Times New Roman" w:hAnsi="Times New Roman"/>
          <w:sz w:val="20"/>
          <w:szCs w:val="20"/>
          <w:color w:val="auto"/>
        </w:rPr>
      </w:pPr>
    </w:p>
    <w:p>
      <w:pPr>
        <w:jc w:val="both"/>
        <w:ind w:left="560" w:hanging="552"/>
        <w:spacing w:after="0" w:line="246" w:lineRule="auto"/>
        <w:tabs>
          <w:tab w:leader="none" w:pos="560" w:val="left"/>
        </w:tabs>
        <w:numPr>
          <w:ilvl w:val="0"/>
          <w:numId w:val="2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acknowledge that I have received a copy of the Company’s explanation of the federal income tax consequences of an option exercise and the tax election under section 83(b) of the Internal Revenue Code. In the event that I choose to make a section 83(b) election, I acknowledge that it is my responsibility—and not the Company’s responsibility—to file the election in a timely manner, even if I ask the Company or its agents to make the filing on my behalf. I acknowledge that the Company has encouraged me to consult my own adviser to determine the tax consequences of acquiring the Purchased Shares at this time.</w:t>
      </w:r>
    </w:p>
    <w:p>
      <w:pPr>
        <w:spacing w:after="0" w:line="90" w:lineRule="exact"/>
        <w:rPr>
          <w:rFonts w:ascii="Times New Roman" w:cs="Times New Roman" w:eastAsia="Times New Roman" w:hAnsi="Times New Roman"/>
          <w:sz w:val="20"/>
          <w:szCs w:val="20"/>
          <w:color w:val="auto"/>
        </w:rPr>
      </w:pPr>
    </w:p>
    <w:p>
      <w:pPr>
        <w:jc w:val="both"/>
        <w:ind w:left="560" w:hanging="552"/>
        <w:spacing w:after="0" w:line="242" w:lineRule="auto"/>
        <w:tabs>
          <w:tab w:leader="none" w:pos="560" w:val="left"/>
        </w:tabs>
        <w:numPr>
          <w:ilvl w:val="0"/>
          <w:numId w:val="2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agree that the Company does not have a duty to design or administer the 2016 Stock Plan or its other compensation programs in a manner that minimizes my tax liabilities. I will not make any claim against the Company or its Board of Directors, officers or employees related to tax liabilities arising from my options or my other compensation. In particular, I acknowledge that my options are exempt from section 409A of the Internal Revenue Code only if the exercise price per share is at least equal to the fair market value per share of the Company’s Common Stock at the time the option was granted by the Company’s Board of Directors. Since shares of the Company’s Common Stock are not traded on an established securities market, the determination of their fair market value was made by the Company’s Board of Directors or by an independent valuation firm retained by the Company. I acknowledge that there is no guarantee in either case that the Internal Revenue Service will agree with the valuation, and I will not make any claim against the Company or its Board of Directors, officers or employees in the event that the Internal Revenue Service asserts that the valuation was too low.</w:t>
      </w:r>
    </w:p>
    <w:p>
      <w:pPr>
        <w:spacing w:after="0" w:line="97" w:lineRule="exact"/>
        <w:rPr>
          <w:rFonts w:ascii="Times New Roman" w:cs="Times New Roman" w:eastAsia="Times New Roman" w:hAnsi="Times New Roman"/>
          <w:sz w:val="20"/>
          <w:szCs w:val="20"/>
          <w:color w:val="auto"/>
        </w:rPr>
      </w:pPr>
    </w:p>
    <w:p>
      <w:pPr>
        <w:ind w:left="560" w:hanging="552"/>
        <w:spacing w:after="0"/>
        <w:tabs>
          <w:tab w:leader="none" w:pos="560" w:val="left"/>
        </w:tabs>
        <w:numPr>
          <w:ilvl w:val="0"/>
          <w:numId w:val="2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agree to seek the consent of my spouse to the extent required by the Company to enforce the foregoing.</w:t>
      </w:r>
    </w:p>
    <w:p>
      <w:pPr>
        <w:spacing w:after="0" w:line="239" w:lineRule="exact"/>
        <w:rPr>
          <w:sz w:val="20"/>
          <w:szCs w:val="20"/>
          <w:color w:val="auto"/>
        </w:rPr>
      </w:pPr>
    </w:p>
    <w:p>
      <w:pPr>
        <w:spacing w:after="0"/>
        <w:tabs>
          <w:tab w:leader="none" w:pos="5940" w:val="left"/>
        </w:tabs>
        <w:rPr>
          <w:sz w:val="20"/>
          <w:szCs w:val="20"/>
          <w:color w:val="auto"/>
        </w:rPr>
      </w:pPr>
      <w:r>
        <w:rPr>
          <w:rFonts w:ascii="Times New Roman" w:cs="Times New Roman" w:eastAsia="Times New Roman" w:hAnsi="Times New Roman"/>
          <w:sz w:val="20"/>
          <w:szCs w:val="20"/>
          <w:b w:val="1"/>
          <w:bCs w:val="1"/>
          <w:color w:val="auto"/>
        </w:rPr>
        <w:t>S</w:t>
      </w:r>
      <w:r>
        <w:rPr>
          <w:rFonts w:ascii="Times New Roman" w:cs="Times New Roman" w:eastAsia="Times New Roman" w:hAnsi="Times New Roman"/>
          <w:sz w:val="16"/>
          <w:szCs w:val="16"/>
          <w:b w:val="1"/>
          <w:bCs w:val="1"/>
          <w:color w:val="auto"/>
        </w:rPr>
        <w:t>IGNATURE</w:t>
      </w:r>
      <w:r>
        <w:rPr>
          <w:rFonts w:ascii="Times New Roman" w:cs="Times New Roman" w:eastAsia="Times New Roman" w:hAnsi="Times New Roman"/>
          <w:sz w:val="20"/>
          <w:szCs w:val="20"/>
          <w:b w:val="1"/>
          <w:bCs w:val="1"/>
          <w:color w:val="auto"/>
        </w:rPr>
        <w:t>:</w:t>
      </w:r>
      <w:r>
        <w:rPr>
          <w:sz w:val="20"/>
          <w:szCs w:val="20"/>
          <w:color w:val="auto"/>
        </w:rPr>
        <w:tab/>
      </w:r>
      <w:r>
        <w:rPr>
          <w:rFonts w:ascii="Times New Roman" w:cs="Times New Roman" w:eastAsia="Times New Roman" w:hAnsi="Times New Roman"/>
          <w:sz w:val="20"/>
          <w:szCs w:val="20"/>
          <w:b w:val="1"/>
          <w:bCs w:val="1"/>
          <w:color w:val="auto"/>
        </w:rPr>
        <w:t>D</w:t>
      </w:r>
      <w:r>
        <w:rPr>
          <w:rFonts w:ascii="Times New Roman" w:cs="Times New Roman" w:eastAsia="Times New Roman" w:hAnsi="Times New Roman"/>
          <w:sz w:val="16"/>
          <w:szCs w:val="16"/>
          <w:b w:val="1"/>
          <w:bCs w:val="1"/>
          <w:color w:val="auto"/>
        </w:rPr>
        <w:t>ATE</w:t>
      </w:r>
      <w:r>
        <w:rPr>
          <w:rFonts w:ascii="Times New Roman" w:cs="Times New Roman" w:eastAsia="Times New Roman" w:hAnsi="Times New Roman"/>
          <w:sz w:val="20"/>
          <w:szCs w:val="20"/>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299720</wp:posOffset>
            </wp:positionV>
            <wp:extent cx="7132320" cy="889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265" w:right="339" w:bottom="1440" w:gutter="0" w:footer="0" w:header="0"/>
        </w:sectPr>
      </w:pPr>
    </w:p>
    <w:bookmarkStart w:id="308" w:name="page309"/>
    <w:bookmarkEnd w:id="308"/>
    <w:p>
      <w:pPr>
        <w:jc w:val="center"/>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w:t>
      </w:r>
      <w:r>
        <w:rPr>
          <w:rFonts w:ascii="Times New Roman" w:cs="Times New Roman" w:eastAsia="Times New Roman" w:hAnsi="Times New Roman"/>
          <w:sz w:val="16"/>
          <w:szCs w:val="16"/>
          <w:b w:val="1"/>
          <w:bCs w:val="1"/>
          <w:color w:val="auto"/>
        </w:rPr>
        <w:t>XPLANATION OF</w:t>
      </w:r>
      <w:r>
        <w:rPr>
          <w:rFonts w:ascii="Times New Roman" w:cs="Times New Roman" w:eastAsia="Times New Roman" w:hAnsi="Times New Roman"/>
          <w:sz w:val="20"/>
          <w:szCs w:val="20"/>
          <w:b w:val="1"/>
          <w:bCs w:val="1"/>
          <w:color w:val="auto"/>
        </w:rPr>
        <w:t xml:space="preserve"> F</w:t>
      </w:r>
      <w:r>
        <w:rPr>
          <w:rFonts w:ascii="Times New Roman" w:cs="Times New Roman" w:eastAsia="Times New Roman" w:hAnsi="Times New Roman"/>
          <w:sz w:val="16"/>
          <w:szCs w:val="16"/>
          <w:b w:val="1"/>
          <w:bCs w:val="1"/>
          <w:color w:val="auto"/>
        </w:rPr>
        <w:t>ORMS OF</w:t>
      </w:r>
      <w:r>
        <w:rPr>
          <w:rFonts w:ascii="Times New Roman" w:cs="Times New Roman" w:eastAsia="Times New Roman" w:hAnsi="Times New Roman"/>
          <w:sz w:val="20"/>
          <w:szCs w:val="20"/>
          <w:b w:val="1"/>
          <w:bCs w:val="1"/>
          <w:color w:val="auto"/>
        </w:rPr>
        <w:t xml:space="preserve"> S</w:t>
      </w:r>
      <w:r>
        <w:rPr>
          <w:rFonts w:ascii="Times New Roman" w:cs="Times New Roman" w:eastAsia="Times New Roman" w:hAnsi="Times New Roman"/>
          <w:sz w:val="16"/>
          <w:szCs w:val="16"/>
          <w:b w:val="1"/>
          <w:bCs w:val="1"/>
          <w:color w:val="auto"/>
        </w:rPr>
        <w:t>TOCK</w:t>
      </w:r>
      <w:r>
        <w:rPr>
          <w:rFonts w:ascii="Times New Roman" w:cs="Times New Roman" w:eastAsia="Times New Roman" w:hAnsi="Times New Roman"/>
          <w:sz w:val="20"/>
          <w:szCs w:val="20"/>
          <w:b w:val="1"/>
          <w:bCs w:val="1"/>
          <w:color w:val="auto"/>
        </w:rPr>
        <w:t xml:space="preserve"> O</w:t>
      </w:r>
      <w:r>
        <w:rPr>
          <w:rFonts w:ascii="Times New Roman" w:cs="Times New Roman" w:eastAsia="Times New Roman" w:hAnsi="Times New Roman"/>
          <w:sz w:val="16"/>
          <w:szCs w:val="16"/>
          <w:b w:val="1"/>
          <w:bCs w:val="1"/>
          <w:color w:val="auto"/>
        </w:rPr>
        <w:t>WNERSHIP</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Purpose of This Explanation</w:t>
      </w:r>
    </w:p>
    <w:p>
      <w:pPr>
        <w:spacing w:after="0" w:line="220"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The purpose of this explanation is to provide you with a brief summary of the forms of legal ownership available for the shares that you are purchasing (the “Purchased Shares”). For a number of reasons, this explanation is no substitute for personal legal advice:</w:t>
      </w:r>
    </w:p>
    <w:p>
      <w:pPr>
        <w:spacing w:after="0" w:line="186" w:lineRule="exact"/>
        <w:rPr>
          <w:sz w:val="20"/>
          <w:szCs w:val="20"/>
          <w:color w:val="auto"/>
        </w:rPr>
      </w:pPr>
    </w:p>
    <w:p>
      <w:pPr>
        <w:ind w:left="560" w:hanging="552"/>
        <w:spacing w:after="0" w:line="269" w:lineRule="auto"/>
        <w:tabs>
          <w:tab w:leader="none" w:pos="560" w:val="left"/>
        </w:tabs>
        <w:numPr>
          <w:ilvl w:val="0"/>
          <w:numId w:val="277"/>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To make the explanation short and readable, only the highlights are covered. Some legal rules are not addressed, even though they may be important in particular cases.</w:t>
      </w:r>
    </w:p>
    <w:p>
      <w:pPr>
        <w:spacing w:after="0" w:line="186" w:lineRule="exact"/>
        <w:rPr>
          <w:rFonts w:ascii="MS PGothic" w:cs="MS PGothic" w:eastAsia="MS PGothic" w:hAnsi="MS PGothic"/>
          <w:sz w:val="20"/>
          <w:szCs w:val="20"/>
          <w:color w:val="auto"/>
        </w:rPr>
      </w:pPr>
    </w:p>
    <w:p>
      <w:pPr>
        <w:ind w:left="560" w:hanging="552"/>
        <w:spacing w:after="0"/>
        <w:tabs>
          <w:tab w:leader="none" w:pos="560" w:val="left"/>
        </w:tabs>
        <w:numPr>
          <w:ilvl w:val="0"/>
          <w:numId w:val="277"/>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While the summary attempts to deal with the most common situations, your own situation may well be different from the norm.</w:t>
      </w:r>
    </w:p>
    <w:p>
      <w:pPr>
        <w:spacing w:after="0" w:line="256" w:lineRule="exact"/>
        <w:rPr>
          <w:rFonts w:ascii="MS PGothic" w:cs="MS PGothic" w:eastAsia="MS PGothic" w:hAnsi="MS PGothic"/>
          <w:sz w:val="20"/>
          <w:szCs w:val="20"/>
          <w:color w:val="auto"/>
        </w:rPr>
      </w:pPr>
    </w:p>
    <w:p>
      <w:pPr>
        <w:ind w:left="560" w:hanging="552"/>
        <w:spacing w:after="0"/>
        <w:tabs>
          <w:tab w:leader="none" w:pos="560" w:val="left"/>
        </w:tabs>
        <w:numPr>
          <w:ilvl w:val="0"/>
          <w:numId w:val="277"/>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The law may change, and the Company is not responsible for updating this summary.</w:t>
      </w:r>
    </w:p>
    <w:p>
      <w:pPr>
        <w:spacing w:after="0" w:line="252" w:lineRule="exact"/>
        <w:rPr>
          <w:rFonts w:ascii="MS PGothic" w:cs="MS PGothic" w:eastAsia="MS PGothic" w:hAnsi="MS PGothic"/>
          <w:sz w:val="20"/>
          <w:szCs w:val="20"/>
          <w:color w:val="auto"/>
        </w:rPr>
      </w:pPr>
    </w:p>
    <w:p>
      <w:pPr>
        <w:ind w:left="560" w:hanging="552"/>
        <w:spacing w:after="0" w:line="273" w:lineRule="auto"/>
        <w:tabs>
          <w:tab w:leader="none" w:pos="560" w:val="left"/>
        </w:tabs>
        <w:numPr>
          <w:ilvl w:val="0"/>
          <w:numId w:val="277"/>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 xml:space="preserve">The form in which you own your shares may have a </w:t>
      </w:r>
      <w:r>
        <w:rPr>
          <w:rFonts w:ascii="Times New Roman" w:cs="Times New Roman" w:eastAsia="Times New Roman" w:hAnsi="Times New Roman"/>
          <w:sz w:val="20"/>
          <w:szCs w:val="20"/>
          <w:i w:val="1"/>
          <w:iCs w:val="1"/>
          <w:color w:val="auto"/>
        </w:rPr>
        <w:t>substantial</w:t>
      </w:r>
      <w:r>
        <w:rPr>
          <w:rFonts w:ascii="Times New Roman" w:cs="Times New Roman" w:eastAsia="Times New Roman" w:hAnsi="Times New Roman"/>
          <w:sz w:val="20"/>
          <w:szCs w:val="20"/>
          <w:color w:val="auto"/>
        </w:rPr>
        <w:t xml:space="preserve"> impact on the estate tax treatment that applies to those shares when you die or the income tax treatment that applies when your survivors sell the shares after your death.</w:t>
      </w:r>
    </w:p>
    <w:p>
      <w:pPr>
        <w:spacing w:after="0" w:line="152" w:lineRule="exact"/>
        <w:rPr>
          <w:sz w:val="20"/>
          <w:szCs w:val="20"/>
          <w:color w:val="auto"/>
        </w:rPr>
      </w:pPr>
    </w:p>
    <w:p>
      <w:pPr>
        <w:ind w:right="220"/>
        <w:spacing w:after="0" w:line="273" w:lineRule="auto"/>
        <w:rPr>
          <w:sz w:val="20"/>
          <w:szCs w:val="20"/>
          <w:color w:val="auto"/>
        </w:rPr>
      </w:pPr>
      <w:r>
        <w:rPr>
          <w:rFonts w:ascii="Times New Roman" w:cs="Times New Roman" w:eastAsia="Times New Roman" w:hAnsi="Times New Roman"/>
          <w:sz w:val="20"/>
          <w:szCs w:val="20"/>
          <w:b w:val="1"/>
          <w:bCs w:val="1"/>
          <w:u w:val="single" w:color="auto"/>
          <w:color w:val="auto"/>
        </w:rPr>
        <w:t>F</w:t>
      </w:r>
      <w:r>
        <w:rPr>
          <w:rFonts w:ascii="Times New Roman" w:cs="Times New Roman" w:eastAsia="Times New Roman" w:hAnsi="Times New Roman"/>
          <w:sz w:val="16"/>
          <w:szCs w:val="16"/>
          <w:b w:val="1"/>
          <w:bCs w:val="1"/>
          <w:u w:val="single" w:color="auto"/>
          <w:color w:val="auto"/>
        </w:rPr>
        <w:t>OR THESE REASONS</w:t>
      </w:r>
      <w:r>
        <w:rPr>
          <w:rFonts w:ascii="Times New Roman" w:cs="Times New Roman" w:eastAsia="Times New Roman" w:hAnsi="Times New Roman"/>
          <w:sz w:val="20"/>
          <w:szCs w:val="20"/>
          <w:b w:val="1"/>
          <w:bCs w:val="1"/>
          <w:u w:val="single" w:color="auto"/>
          <w:color w:val="auto"/>
        </w:rPr>
        <w:t xml:space="preserve">, </w:t>
      </w:r>
      <w:r>
        <w:rPr>
          <w:rFonts w:ascii="Times New Roman" w:cs="Times New Roman" w:eastAsia="Times New Roman" w:hAnsi="Times New Roman"/>
          <w:sz w:val="16"/>
          <w:szCs w:val="16"/>
          <w:b w:val="1"/>
          <w:bCs w:val="1"/>
          <w:u w:val="single" w:color="auto"/>
          <w:color w:val="auto"/>
        </w:rPr>
        <w:t>THE</w:t>
      </w:r>
      <w:r>
        <w:rPr>
          <w:rFonts w:ascii="Times New Roman" w:cs="Times New Roman" w:eastAsia="Times New Roman" w:hAnsi="Times New Roman"/>
          <w:sz w:val="20"/>
          <w:szCs w:val="20"/>
          <w:b w:val="1"/>
          <w:bCs w:val="1"/>
          <w:u w:val="single" w:color="auto"/>
          <w:color w:val="auto"/>
        </w:rPr>
        <w:t xml:space="preserve"> C</w:t>
      </w:r>
      <w:r>
        <w:rPr>
          <w:rFonts w:ascii="Times New Roman" w:cs="Times New Roman" w:eastAsia="Times New Roman" w:hAnsi="Times New Roman"/>
          <w:sz w:val="16"/>
          <w:szCs w:val="16"/>
          <w:b w:val="1"/>
          <w:bCs w:val="1"/>
          <w:u w:val="single" w:color="auto"/>
          <w:color w:val="auto"/>
        </w:rPr>
        <w:t>OMPANY STRONGLY ENCOURAGES YOU TO CONSULT YOUR OWN ADVISER BEFORE EXERCISING YOUR</w:t>
      </w:r>
      <w:r>
        <w:rPr>
          <w:rFonts w:ascii="Times New Roman" w:cs="Times New Roman" w:eastAsia="Times New Roman" w:hAnsi="Times New Roman"/>
          <w:sz w:val="20"/>
          <w:szCs w:val="20"/>
          <w:b w:val="1"/>
          <w:bCs w:val="1"/>
          <w:u w:val="single" w:color="auto"/>
          <w:color w:val="auto"/>
        </w:rPr>
        <w:t xml:space="preserve"> </w:t>
      </w:r>
      <w:r>
        <w:rPr>
          <w:rFonts w:ascii="Times New Roman" w:cs="Times New Roman" w:eastAsia="Times New Roman" w:hAnsi="Times New Roman"/>
          <w:sz w:val="16"/>
          <w:szCs w:val="16"/>
          <w:b w:val="1"/>
          <w:bCs w:val="1"/>
          <w:u w:val="single" w:color="auto"/>
          <w:color w:val="auto"/>
        </w:rPr>
        <w:t>OPTION AND BEFORE MAKING A DECISION ABOUT THE FORM OF OWNERSHIP FOR YOUR SHARES</w:t>
      </w:r>
      <w:r>
        <w:rPr>
          <w:rFonts w:ascii="Times New Roman" w:cs="Times New Roman" w:eastAsia="Times New Roman" w:hAnsi="Times New Roman"/>
          <w:sz w:val="19"/>
          <w:szCs w:val="19"/>
          <w:b w:val="1"/>
          <w:bCs w:val="1"/>
          <w:u w:val="single" w:color="auto"/>
          <w:color w:val="auto"/>
        </w:rPr>
        <w:t>.</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Overview</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Notice of Stock Option Exercise offers five forms of taking title to the Purchased Shares:</w:t>
      </w:r>
    </w:p>
    <w:p>
      <w:pPr>
        <w:spacing w:after="0" w:line="243" w:lineRule="exact"/>
        <w:rPr>
          <w:sz w:val="20"/>
          <w:szCs w:val="20"/>
          <w:color w:val="auto"/>
        </w:rPr>
      </w:pPr>
    </w:p>
    <w:p>
      <w:pPr>
        <w:ind w:left="560" w:hanging="552"/>
        <w:spacing w:after="0"/>
        <w:tabs>
          <w:tab w:leader="none" w:pos="560" w:val="left"/>
        </w:tabs>
        <w:numPr>
          <w:ilvl w:val="0"/>
          <w:numId w:val="278"/>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In your name only,</w:t>
      </w:r>
    </w:p>
    <w:p>
      <w:pPr>
        <w:spacing w:after="0" w:line="256" w:lineRule="exact"/>
        <w:rPr>
          <w:rFonts w:ascii="MS PGothic" w:cs="MS PGothic" w:eastAsia="MS PGothic" w:hAnsi="MS PGothic"/>
          <w:sz w:val="20"/>
          <w:szCs w:val="20"/>
          <w:color w:val="auto"/>
        </w:rPr>
      </w:pPr>
    </w:p>
    <w:p>
      <w:pPr>
        <w:ind w:left="560" w:hanging="552"/>
        <w:spacing w:after="0"/>
        <w:tabs>
          <w:tab w:leader="none" w:pos="560" w:val="left"/>
        </w:tabs>
        <w:numPr>
          <w:ilvl w:val="0"/>
          <w:numId w:val="278"/>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In your name and the name of your spouse as community property,</w:t>
      </w:r>
    </w:p>
    <w:p>
      <w:pPr>
        <w:spacing w:after="0" w:line="256" w:lineRule="exact"/>
        <w:rPr>
          <w:rFonts w:ascii="MS PGothic" w:cs="MS PGothic" w:eastAsia="MS PGothic" w:hAnsi="MS PGothic"/>
          <w:sz w:val="20"/>
          <w:szCs w:val="20"/>
          <w:color w:val="auto"/>
        </w:rPr>
      </w:pPr>
    </w:p>
    <w:p>
      <w:pPr>
        <w:ind w:left="560" w:hanging="552"/>
        <w:spacing w:after="0"/>
        <w:tabs>
          <w:tab w:leader="none" w:pos="560" w:val="left"/>
        </w:tabs>
        <w:numPr>
          <w:ilvl w:val="0"/>
          <w:numId w:val="278"/>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In your name and the name of your spouse as community property with the right of survivorship,</w:t>
      </w:r>
    </w:p>
    <w:p>
      <w:pPr>
        <w:spacing w:after="0" w:line="256" w:lineRule="exact"/>
        <w:rPr>
          <w:rFonts w:ascii="MS PGothic" w:cs="MS PGothic" w:eastAsia="MS PGothic" w:hAnsi="MS PGothic"/>
          <w:sz w:val="20"/>
          <w:szCs w:val="20"/>
          <w:color w:val="auto"/>
        </w:rPr>
      </w:pPr>
    </w:p>
    <w:p>
      <w:pPr>
        <w:ind w:left="560" w:hanging="552"/>
        <w:spacing w:after="0"/>
        <w:tabs>
          <w:tab w:leader="none" w:pos="560" w:val="left"/>
        </w:tabs>
        <w:numPr>
          <w:ilvl w:val="0"/>
          <w:numId w:val="278"/>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In your name and the name of your spouse as joint tenants with the right of survivorship, or</w:t>
      </w:r>
    </w:p>
    <w:p>
      <w:pPr>
        <w:spacing w:after="0" w:line="256" w:lineRule="exact"/>
        <w:rPr>
          <w:rFonts w:ascii="MS PGothic" w:cs="MS PGothic" w:eastAsia="MS PGothic" w:hAnsi="MS PGothic"/>
          <w:sz w:val="20"/>
          <w:szCs w:val="20"/>
          <w:color w:val="auto"/>
        </w:rPr>
      </w:pPr>
    </w:p>
    <w:p>
      <w:pPr>
        <w:ind w:left="560" w:hanging="552"/>
        <w:spacing w:after="0"/>
        <w:tabs>
          <w:tab w:leader="none" w:pos="560" w:val="left"/>
        </w:tabs>
        <w:numPr>
          <w:ilvl w:val="0"/>
          <w:numId w:val="278"/>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In the name of an eligible revocable trust.</w:t>
      </w:r>
    </w:p>
    <w:p>
      <w:pPr>
        <w:spacing w:after="0" w:line="22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Title in the Purchased Shares depends upon (a) your marital status, (b) the marital property laws of your state of residence and (c) any agreement with your spouse altering the existing marital property laws of your state of residence. If you are not married, you generally will take title in your name alone. If you are married, title depends upon the marital property laws of your state of residence. In general, states are classified either as “community property” states or as “common-law property” states. (But individual state law may vary within these classifications.)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Community Property and Joint Tenancy</w:t>
      </w:r>
    </w:p>
    <w:p>
      <w:pPr>
        <w:spacing w:after="0" w:line="22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Community property states include California, Texas, Washington, Arizona, Nevada, New Mexico, Idaho, Louisiana and Wisconsin. In a community property state, property acquired during marriage by either spouse is presumed to be one-half owned by each spouse. All other property is classified as the separate property of the spouse who acquires the property. While either spouse has equal management</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261" w:right="339" w:bottom="1440" w:gutter="0" w:footer="0" w:header="0"/>
        </w:sectPr>
      </w:pPr>
    </w:p>
    <w:bookmarkStart w:id="309" w:name="page310"/>
    <w:bookmarkEnd w:id="309"/>
    <w:p>
      <w:pPr>
        <w:jc w:val="both"/>
        <w:spacing w:after="0" w:line="246"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and control over the community property and may sell, spend or encumber all community property, neither spouse may gift community property or partition his/her one-half interest without the consent of the other spouse. Upon divorce, all community property is divided equally among the spouses and each spouse is entitled to retain all of his/her separate property. Upon the death of a spouse, one-half of the community property (and all of the decedent spouse’s separate property) will pass to the decedent spouse’s heirs. The other one-half of the community property remains the property of the surviving spouse.</w:t>
      </w:r>
    </w:p>
    <w:p>
      <w:pPr>
        <w:spacing w:after="0" w:line="185"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Other states are common-law property states. In a common-law property state, each spouse is generally deemed to own whatever he/she earns or acquires.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A married couple may elect to alter the marital property rules by mutually agreeing to take title to property in other forms. For example, a couple residing in a community property state may generally enter into an agreement and transform what otherwise would be community property into the separate property of the spouse who earns or acquires the property.</w:t>
      </w:r>
    </w:p>
    <w:p>
      <w:pPr>
        <w:spacing w:after="0" w:line="17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 xml:space="preserve">In addition, many community property and common-law property states allow married couples to take joint title in property acquired during marriage. For example, California allows a married couple to take title in a joint tenancy with the right of survivorship. In a joint tenancy, each spouse owns a one-half interest in the property as separate property. This means that each spouse may transfer or sell his/her one-half interest in the property while he/she is alive. However, unlike traditional separate property, a spouse cannot transfer his/her one-half interest to heirs at death. Instead, the surviving spouse </w:t>
      </w:r>
      <w:r>
        <w:rPr>
          <w:rFonts w:ascii="Times New Roman" w:cs="Times New Roman" w:eastAsia="Times New Roman" w:hAnsi="Times New Roman"/>
          <w:sz w:val="20"/>
          <w:szCs w:val="20"/>
          <w:i w:val="1"/>
          <w:iCs w:val="1"/>
          <w:color w:val="auto"/>
        </w:rPr>
        <w:t>automatically</w:t>
      </w:r>
      <w:r>
        <w:rPr>
          <w:rFonts w:ascii="Times New Roman" w:cs="Times New Roman" w:eastAsia="Times New Roman" w:hAnsi="Times New Roman"/>
          <w:sz w:val="20"/>
          <w:szCs w:val="20"/>
          <w:color w:val="auto"/>
        </w:rPr>
        <w:t xml:space="preserve"> receives the decedent spouse’s one-half interest and becomes the full owner of the property. (This is called the “right of survivorship.”) Both spouses must consent to taking property in a joint tenancy in lieu of having the community property laws apply.</w:t>
      </w:r>
    </w:p>
    <w:p>
      <w:pPr>
        <w:spacing w:after="0" w:line="18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 xml:space="preserve">California also allows a married couple to take title in the shares as community property with the right of survivorship. This means that the shares are treated like community property while both spouses are alive. However, if one spouse dies, then the other spouse automatically receives the decedent spouse’s one-half interest and becomes the full owner of the shares. In other words, the decedent spouse’s will or trust does </w:t>
      </w:r>
      <w:r>
        <w:rPr>
          <w:rFonts w:ascii="Times New Roman" w:cs="Times New Roman" w:eastAsia="Times New Roman" w:hAnsi="Times New Roman"/>
          <w:sz w:val="20"/>
          <w:szCs w:val="20"/>
          <w:i w:val="1"/>
          <w:iCs w:val="1"/>
          <w:color w:val="auto"/>
        </w:rPr>
        <w:t>not</w:t>
      </w:r>
      <w:r>
        <w:rPr>
          <w:rFonts w:ascii="Times New Roman" w:cs="Times New Roman" w:eastAsia="Times New Roman" w:hAnsi="Times New Roman"/>
          <w:sz w:val="20"/>
          <w:szCs w:val="20"/>
          <w:color w:val="auto"/>
        </w:rPr>
        <w:t xml:space="preserve"> control the disposition of the shares.</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If you have the Purchased Shares issued in a form other than those described above, then the transfer will be treated as a “disposition” for tax purposes. This means that the effect, for tax purposes, will be the same as selling the Purchased Shares. Please refer to the attached tax summary for additional information.</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Trusts</w:t>
      </w:r>
    </w:p>
    <w:p>
      <w:pPr>
        <w:spacing w:after="0" w:line="22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A transfer to a trust generally should not be treated as a “disposition” of the Purchased Shares for tax purposes if the trust satisfies each of the following conditions:</w:t>
      </w:r>
    </w:p>
    <w:p>
      <w:pPr>
        <w:spacing w:after="0" w:line="186" w:lineRule="exact"/>
        <w:rPr>
          <w:sz w:val="20"/>
          <w:szCs w:val="20"/>
          <w:color w:val="auto"/>
        </w:rPr>
      </w:pPr>
    </w:p>
    <w:p>
      <w:pPr>
        <w:ind w:left="560" w:hanging="552"/>
        <w:spacing w:after="0"/>
        <w:tabs>
          <w:tab w:leader="none" w:pos="560" w:val="left"/>
        </w:tabs>
        <w:numPr>
          <w:ilvl w:val="0"/>
          <w:numId w:val="279"/>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You are the sole grantor of the trust,</w:t>
      </w:r>
    </w:p>
    <w:p>
      <w:pPr>
        <w:spacing w:after="0" w:line="256" w:lineRule="exact"/>
        <w:rPr>
          <w:rFonts w:ascii="MS PGothic" w:cs="MS PGothic" w:eastAsia="MS PGothic" w:hAnsi="MS PGothic"/>
          <w:sz w:val="20"/>
          <w:szCs w:val="20"/>
          <w:color w:val="auto"/>
        </w:rPr>
      </w:pPr>
    </w:p>
    <w:p>
      <w:pPr>
        <w:ind w:left="560" w:hanging="552"/>
        <w:spacing w:after="0"/>
        <w:tabs>
          <w:tab w:leader="none" w:pos="560" w:val="left"/>
        </w:tabs>
        <w:numPr>
          <w:ilvl w:val="0"/>
          <w:numId w:val="279"/>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You are the sole trustee, or you and your spouse are the sole co-trustees,</w:t>
      </w:r>
    </w:p>
    <w:p>
      <w:pPr>
        <w:spacing w:after="0" w:line="256" w:lineRule="exact"/>
        <w:rPr>
          <w:rFonts w:ascii="MS PGothic" w:cs="MS PGothic" w:eastAsia="MS PGothic" w:hAnsi="MS PGothic"/>
          <w:sz w:val="20"/>
          <w:szCs w:val="20"/>
          <w:color w:val="auto"/>
        </w:rPr>
      </w:pPr>
    </w:p>
    <w:p>
      <w:pPr>
        <w:ind w:left="560" w:hanging="552"/>
        <w:spacing w:after="0" w:line="269" w:lineRule="auto"/>
        <w:tabs>
          <w:tab w:leader="none" w:pos="560" w:val="left"/>
        </w:tabs>
        <w:numPr>
          <w:ilvl w:val="0"/>
          <w:numId w:val="279"/>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The trustee or trustees are not required to distribute the income of the trust to any person other than you and/or your spouse while you are alive, and</w:t>
      </w:r>
    </w:p>
    <w:p>
      <w:pPr>
        <w:spacing w:after="0" w:line="186" w:lineRule="exact"/>
        <w:rPr>
          <w:rFonts w:ascii="MS PGothic" w:cs="MS PGothic" w:eastAsia="MS PGothic" w:hAnsi="MS PGothic"/>
          <w:sz w:val="20"/>
          <w:szCs w:val="20"/>
          <w:color w:val="auto"/>
        </w:rPr>
      </w:pPr>
    </w:p>
    <w:p>
      <w:pPr>
        <w:ind w:left="560" w:right="20" w:hanging="552"/>
        <w:spacing w:after="0" w:line="269" w:lineRule="auto"/>
        <w:tabs>
          <w:tab w:leader="none" w:pos="560" w:val="left"/>
        </w:tabs>
        <w:numPr>
          <w:ilvl w:val="0"/>
          <w:numId w:val="279"/>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The trust permits you to revoke all or part of the trust and to have the trust’s assets returned to you, without the consent of any other person (including your spouse).</w:t>
      </w:r>
    </w:p>
    <w:p>
      <w:pPr>
        <w:spacing w:after="0" w:line="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265" w:right="339" w:bottom="1440" w:gutter="0" w:footer="0" w:header="0"/>
        </w:sectPr>
      </w:pPr>
    </w:p>
    <w:bookmarkStart w:id="310" w:name="page311"/>
    <w:bookmarkEnd w:id="310"/>
    <w:p>
      <w:pPr>
        <w:jc w:val="both"/>
        <w:spacing w:after="0" w:line="254"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If you have the Purchased Shares issued to a trust that does not meet these requirements, then the transfer will be treated as a “disposition” for tax purposes. This means that the effect, for tax purposes, will be the same as selling the Purchased Shares. Please refer to the attached tax summary for additional information.</w:t>
      </w:r>
    </w:p>
    <w:p>
      <w:pPr>
        <w:spacing w:after="0" w:line="17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If you have the Purchased Shares issued to any trust, you will be required to sign a Stock Transfer Agreement in your capacity as trustee. Under the Stock Transfer Agreement, the Purchased Shares remain subject to the Company’s right of first refusal and may remain subject to the Company’s right of repurchase, all in accordance with the applicable Notice of Stock Option Grant and Stock Option Agreement.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T</w:t>
      </w:r>
      <w:r>
        <w:rPr>
          <w:rFonts w:ascii="Times New Roman" w:cs="Times New Roman" w:eastAsia="Times New Roman" w:hAnsi="Times New Roman"/>
          <w:sz w:val="16"/>
          <w:szCs w:val="16"/>
          <w:b w:val="1"/>
          <w:bCs w:val="1"/>
          <w:u w:val="single" w:color="auto"/>
          <w:color w:val="auto"/>
        </w:rPr>
        <w:t>HE</w:t>
      </w:r>
      <w:r>
        <w:rPr>
          <w:rFonts w:ascii="Times New Roman" w:cs="Times New Roman" w:eastAsia="Times New Roman" w:hAnsi="Times New Roman"/>
          <w:sz w:val="20"/>
          <w:szCs w:val="20"/>
          <w:b w:val="1"/>
          <w:bCs w:val="1"/>
          <w:u w:val="single" w:color="auto"/>
          <w:color w:val="auto"/>
        </w:rPr>
        <w:t xml:space="preserve"> C</w:t>
      </w:r>
      <w:r>
        <w:rPr>
          <w:rFonts w:ascii="Times New Roman" w:cs="Times New Roman" w:eastAsia="Times New Roman" w:hAnsi="Times New Roman"/>
          <w:sz w:val="16"/>
          <w:szCs w:val="16"/>
          <w:b w:val="1"/>
          <w:bCs w:val="1"/>
          <w:u w:val="single" w:color="auto"/>
          <w:color w:val="auto"/>
        </w:rPr>
        <w:t>OMPANY WILL NOT CHECK TO DETERMINE WHETHER THE FORM OF OWNERSHIP THAT YOU ELECT IN YOUR</w:t>
      </w:r>
      <w:r>
        <w:rPr>
          <w:rFonts w:ascii="Times New Roman" w:cs="Times New Roman" w:eastAsia="Times New Roman" w:hAnsi="Times New Roman"/>
          <w:sz w:val="20"/>
          <w:szCs w:val="20"/>
          <w:b w:val="1"/>
          <w:bCs w:val="1"/>
          <w:u w:val="single" w:color="auto"/>
          <w:color w:val="auto"/>
        </w:rPr>
        <w:t xml:space="preserve"> N</w:t>
      </w:r>
      <w:r>
        <w:rPr>
          <w:rFonts w:ascii="Times New Roman" w:cs="Times New Roman" w:eastAsia="Times New Roman" w:hAnsi="Times New Roman"/>
          <w:sz w:val="16"/>
          <w:szCs w:val="16"/>
          <w:b w:val="1"/>
          <w:bCs w:val="1"/>
          <w:u w:val="single" w:color="auto"/>
          <w:color w:val="auto"/>
        </w:rPr>
        <w:t>OTICE OF</w:t>
      </w:r>
    </w:p>
    <w:p>
      <w:pPr>
        <w:spacing w:after="0" w:line="26" w:lineRule="exact"/>
        <w:rPr>
          <w:sz w:val="20"/>
          <w:szCs w:val="20"/>
          <w:color w:val="auto"/>
        </w:rPr>
      </w:pPr>
    </w:p>
    <w:p>
      <w:pPr>
        <w:ind w:right="120"/>
        <w:spacing w:after="0" w:line="243" w:lineRule="auto"/>
        <w:rPr>
          <w:sz w:val="20"/>
          <w:szCs w:val="20"/>
          <w:color w:val="auto"/>
        </w:rPr>
      </w:pPr>
      <w:r>
        <w:rPr>
          <w:rFonts w:ascii="Times New Roman" w:cs="Times New Roman" w:eastAsia="Times New Roman" w:hAnsi="Times New Roman"/>
          <w:sz w:val="20"/>
          <w:szCs w:val="20"/>
          <w:b w:val="1"/>
          <w:bCs w:val="1"/>
          <w:u w:val="single" w:color="auto"/>
          <w:color w:val="auto"/>
        </w:rPr>
        <w:t>S</w:t>
      </w:r>
      <w:r>
        <w:rPr>
          <w:rFonts w:ascii="Times New Roman" w:cs="Times New Roman" w:eastAsia="Times New Roman" w:hAnsi="Times New Roman"/>
          <w:sz w:val="16"/>
          <w:szCs w:val="16"/>
          <w:b w:val="1"/>
          <w:bCs w:val="1"/>
          <w:u w:val="single" w:color="auto"/>
          <w:color w:val="auto"/>
        </w:rPr>
        <w:t>TOCK</w:t>
      </w:r>
      <w:r>
        <w:rPr>
          <w:rFonts w:ascii="Times New Roman" w:cs="Times New Roman" w:eastAsia="Times New Roman" w:hAnsi="Times New Roman"/>
          <w:sz w:val="20"/>
          <w:szCs w:val="20"/>
          <w:b w:val="1"/>
          <w:bCs w:val="1"/>
          <w:u w:val="single" w:color="auto"/>
          <w:color w:val="auto"/>
        </w:rPr>
        <w:t xml:space="preserve"> O</w:t>
      </w:r>
      <w:r>
        <w:rPr>
          <w:rFonts w:ascii="Times New Roman" w:cs="Times New Roman" w:eastAsia="Times New Roman" w:hAnsi="Times New Roman"/>
          <w:sz w:val="16"/>
          <w:szCs w:val="16"/>
          <w:b w:val="1"/>
          <w:bCs w:val="1"/>
          <w:u w:val="single" w:color="auto"/>
          <w:color w:val="auto"/>
        </w:rPr>
        <w:t>PTION</w:t>
      </w:r>
      <w:r>
        <w:rPr>
          <w:rFonts w:ascii="Times New Roman" w:cs="Times New Roman" w:eastAsia="Times New Roman" w:hAnsi="Times New Roman"/>
          <w:sz w:val="20"/>
          <w:szCs w:val="20"/>
          <w:b w:val="1"/>
          <w:bCs w:val="1"/>
          <w:u w:val="single" w:color="auto"/>
          <w:color w:val="auto"/>
        </w:rPr>
        <w:t xml:space="preserve"> E</w:t>
      </w:r>
      <w:r>
        <w:rPr>
          <w:rFonts w:ascii="Times New Roman" w:cs="Times New Roman" w:eastAsia="Times New Roman" w:hAnsi="Times New Roman"/>
          <w:sz w:val="16"/>
          <w:szCs w:val="16"/>
          <w:b w:val="1"/>
          <w:bCs w:val="1"/>
          <w:u w:val="single" w:color="auto"/>
          <w:color w:val="auto"/>
        </w:rPr>
        <w:t>XERCISE IS APPROPRIATE</w:t>
      </w:r>
      <w:r>
        <w:rPr>
          <w:rFonts w:ascii="Times New Roman" w:cs="Times New Roman" w:eastAsia="Times New Roman" w:hAnsi="Times New Roman"/>
          <w:sz w:val="20"/>
          <w:szCs w:val="20"/>
          <w:b w:val="1"/>
          <w:bCs w:val="1"/>
          <w:u w:val="single" w:color="auto"/>
          <w:color w:val="auto"/>
        </w:rPr>
        <w:t>. Y</w:t>
      </w:r>
      <w:r>
        <w:rPr>
          <w:rFonts w:ascii="Times New Roman" w:cs="Times New Roman" w:eastAsia="Times New Roman" w:hAnsi="Times New Roman"/>
          <w:sz w:val="16"/>
          <w:szCs w:val="16"/>
          <w:b w:val="1"/>
          <w:bCs w:val="1"/>
          <w:u w:val="single" w:color="auto"/>
          <w:color w:val="auto"/>
        </w:rPr>
        <w:t>OU SHOULD CONSULT YOUR OWN ADVISERS ON THIS SUBJECT</w:t>
      </w:r>
      <w:r>
        <w:rPr>
          <w:rFonts w:ascii="Times New Roman" w:cs="Times New Roman" w:eastAsia="Times New Roman" w:hAnsi="Times New Roman"/>
          <w:sz w:val="20"/>
          <w:szCs w:val="20"/>
          <w:b w:val="1"/>
          <w:bCs w:val="1"/>
          <w:u w:val="single" w:color="auto"/>
          <w:color w:val="auto"/>
        </w:rPr>
        <w:t>. I</w:t>
      </w:r>
      <w:r>
        <w:rPr>
          <w:rFonts w:ascii="Times New Roman" w:cs="Times New Roman" w:eastAsia="Times New Roman" w:hAnsi="Times New Roman"/>
          <w:sz w:val="16"/>
          <w:szCs w:val="16"/>
          <w:b w:val="1"/>
          <w:bCs w:val="1"/>
          <w:u w:val="single" w:color="auto"/>
          <w:color w:val="auto"/>
        </w:rPr>
        <w:t>F AN INAPPROPRIATE</w:t>
      </w:r>
      <w:r>
        <w:rPr>
          <w:rFonts w:ascii="Times New Roman" w:cs="Times New Roman" w:eastAsia="Times New Roman" w:hAnsi="Times New Roman"/>
          <w:sz w:val="20"/>
          <w:szCs w:val="20"/>
          <w:b w:val="1"/>
          <w:bCs w:val="1"/>
          <w:u w:val="single" w:color="auto"/>
          <w:color w:val="auto"/>
        </w:rPr>
        <w:t xml:space="preserve"> </w:t>
      </w:r>
      <w:r>
        <w:rPr>
          <w:rFonts w:ascii="Times New Roman" w:cs="Times New Roman" w:eastAsia="Times New Roman" w:hAnsi="Times New Roman"/>
          <w:sz w:val="16"/>
          <w:szCs w:val="16"/>
          <w:b w:val="1"/>
          <w:bCs w:val="1"/>
          <w:u w:val="single" w:color="auto"/>
          <w:color w:val="auto"/>
        </w:rPr>
        <w:t>ELECTION IS MADE</w:t>
      </w:r>
      <w:r>
        <w:rPr>
          <w:rFonts w:ascii="Times New Roman" w:cs="Times New Roman" w:eastAsia="Times New Roman" w:hAnsi="Times New Roman"/>
          <w:sz w:val="19"/>
          <w:szCs w:val="19"/>
          <w:b w:val="1"/>
          <w:bCs w:val="1"/>
          <w:u w:val="single" w:color="auto"/>
          <w:color w:val="auto"/>
        </w:rPr>
        <w:t>,</w:t>
      </w:r>
      <w:r>
        <w:rPr>
          <w:rFonts w:ascii="Times New Roman" w:cs="Times New Roman" w:eastAsia="Times New Roman" w:hAnsi="Times New Roman"/>
          <w:sz w:val="16"/>
          <w:szCs w:val="16"/>
          <w:b w:val="1"/>
          <w:bCs w:val="1"/>
          <w:u w:val="single" w:color="auto"/>
          <w:color w:val="auto"/>
        </w:rPr>
        <w:t xml:space="preserve"> THE FORM OF OWNERSHIP MAY NOT WITHSTAND LEGAL SCRUTINY OR MAY HAVE ADVERSE TAX CONSEQUENCES</w:t>
      </w:r>
      <w:r>
        <w:rPr>
          <w:rFonts w:ascii="Times New Roman" w:cs="Times New Roman" w:eastAsia="Times New Roman" w:hAnsi="Times New Roman"/>
          <w:sz w:val="19"/>
          <w:szCs w:val="19"/>
          <w:b w:val="1"/>
          <w:bCs w:val="1"/>
          <w:u w:val="single" w:color="auto"/>
          <w:color w:val="auto"/>
        </w:rPr>
        <w:t>.</w:t>
      </w: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40"/>
          </w:cols>
          <w:pgMar w:left="320" w:top="265" w:right="339" w:bottom="1440" w:gutter="0" w:footer="0" w:header="0"/>
        </w:sectPr>
      </w:pPr>
    </w:p>
    <w:bookmarkStart w:id="311" w:name="page312"/>
    <w:bookmarkEnd w:id="311"/>
    <w:p>
      <w:pPr>
        <w:jc w:val="center"/>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w:t>
      </w:r>
      <w:r>
        <w:rPr>
          <w:rFonts w:ascii="Times New Roman" w:cs="Times New Roman" w:eastAsia="Times New Roman" w:hAnsi="Times New Roman"/>
          <w:sz w:val="16"/>
          <w:szCs w:val="16"/>
          <w:b w:val="1"/>
          <w:bCs w:val="1"/>
          <w:color w:val="auto"/>
        </w:rPr>
        <w:t>XPLANATION OF</w:t>
      </w:r>
      <w:r>
        <w:rPr>
          <w:rFonts w:ascii="Times New Roman" w:cs="Times New Roman" w:eastAsia="Times New Roman" w:hAnsi="Times New Roman"/>
          <w:sz w:val="20"/>
          <w:szCs w:val="20"/>
          <w:b w:val="1"/>
          <w:bCs w:val="1"/>
          <w:color w:val="auto"/>
        </w:rPr>
        <w:t xml:space="preserve"> F</w:t>
      </w:r>
      <w:r>
        <w:rPr>
          <w:rFonts w:ascii="Times New Roman" w:cs="Times New Roman" w:eastAsia="Times New Roman" w:hAnsi="Times New Roman"/>
          <w:sz w:val="16"/>
          <w:szCs w:val="16"/>
          <w:b w:val="1"/>
          <w:bCs w:val="1"/>
          <w:color w:val="auto"/>
        </w:rPr>
        <w:t>EDERAL</w:t>
      </w:r>
      <w:r>
        <w:rPr>
          <w:rFonts w:ascii="Times New Roman" w:cs="Times New Roman" w:eastAsia="Times New Roman" w:hAnsi="Times New Roman"/>
          <w:sz w:val="20"/>
          <w:szCs w:val="20"/>
          <w:b w:val="1"/>
          <w:bCs w:val="1"/>
          <w:color w:val="auto"/>
        </w:rPr>
        <w:t xml:space="preserve"> I</w:t>
      </w:r>
      <w:r>
        <w:rPr>
          <w:rFonts w:ascii="Times New Roman" w:cs="Times New Roman" w:eastAsia="Times New Roman" w:hAnsi="Times New Roman"/>
          <w:sz w:val="16"/>
          <w:szCs w:val="16"/>
          <w:b w:val="1"/>
          <w:bCs w:val="1"/>
          <w:color w:val="auto"/>
        </w:rPr>
        <w:t>NCOME</w:t>
      </w:r>
      <w:r>
        <w:rPr>
          <w:rFonts w:ascii="Times New Roman" w:cs="Times New Roman" w:eastAsia="Times New Roman" w:hAnsi="Times New Roman"/>
          <w:sz w:val="20"/>
          <w:szCs w:val="20"/>
          <w:b w:val="1"/>
          <w:bCs w:val="1"/>
          <w:color w:val="auto"/>
        </w:rPr>
        <w:t xml:space="preserve"> T</w:t>
      </w:r>
      <w:r>
        <w:rPr>
          <w:rFonts w:ascii="Times New Roman" w:cs="Times New Roman" w:eastAsia="Times New Roman" w:hAnsi="Times New Roman"/>
          <w:sz w:val="16"/>
          <w:szCs w:val="16"/>
          <w:b w:val="1"/>
          <w:bCs w:val="1"/>
          <w:color w:val="auto"/>
        </w:rPr>
        <w:t>AX</w:t>
      </w:r>
      <w:r>
        <w:rPr>
          <w:rFonts w:ascii="Times New Roman" w:cs="Times New Roman" w:eastAsia="Times New Roman" w:hAnsi="Times New Roman"/>
          <w:sz w:val="20"/>
          <w:szCs w:val="20"/>
          <w:b w:val="1"/>
          <w:bCs w:val="1"/>
          <w:color w:val="auto"/>
        </w:rPr>
        <w:t xml:space="preserve"> C</w:t>
      </w:r>
      <w:r>
        <w:rPr>
          <w:rFonts w:ascii="Times New Roman" w:cs="Times New Roman" w:eastAsia="Times New Roman" w:hAnsi="Times New Roman"/>
          <w:sz w:val="16"/>
          <w:szCs w:val="16"/>
          <w:b w:val="1"/>
          <w:bCs w:val="1"/>
          <w:color w:val="auto"/>
        </w:rPr>
        <w:t>ONSEQUENCES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 xml:space="preserve">AND </w:t>
      </w:r>
      <w:r>
        <w:rPr>
          <w:rFonts w:ascii="Times New Roman" w:cs="Times New Roman" w:eastAsia="Times New Roman" w:hAnsi="Times New Roman"/>
          <w:sz w:val="19"/>
          <w:szCs w:val="19"/>
          <w:b w:val="1"/>
          <w:bCs w:val="1"/>
          <w:color w:val="auto"/>
        </w:rPr>
        <w:t>S</w:t>
      </w:r>
      <w:r>
        <w:rPr>
          <w:rFonts w:ascii="Times New Roman" w:cs="Times New Roman" w:eastAsia="Times New Roman" w:hAnsi="Times New Roman"/>
          <w:sz w:val="16"/>
          <w:szCs w:val="16"/>
          <w:b w:val="1"/>
          <w:bCs w:val="1"/>
          <w:color w:val="auto"/>
        </w:rPr>
        <w:t xml:space="preserve">ECTION </w:t>
      </w:r>
      <w:r>
        <w:rPr>
          <w:rFonts w:ascii="Times New Roman" w:cs="Times New Roman" w:eastAsia="Times New Roman" w:hAnsi="Times New Roman"/>
          <w:sz w:val="19"/>
          <w:szCs w:val="19"/>
          <w:b w:val="1"/>
          <w:bCs w:val="1"/>
          <w:color w:val="auto"/>
        </w:rPr>
        <w:t>83(b) E</w:t>
      </w:r>
      <w:r>
        <w:rPr>
          <w:rFonts w:ascii="Times New Roman" w:cs="Times New Roman" w:eastAsia="Times New Roman" w:hAnsi="Times New Roman"/>
          <w:sz w:val="16"/>
          <w:szCs w:val="16"/>
          <w:b w:val="1"/>
          <w:bCs w:val="1"/>
          <w:color w:val="auto"/>
        </w:rPr>
        <w:t>LECTION</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(Current as of October 2016)</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Purpose of This Explanation</w:t>
      </w:r>
    </w:p>
    <w:p>
      <w:pPr>
        <w:spacing w:after="0" w:line="220"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The purpose of this explanation is to provide you with a brief summary of the tax consequences of exercising your option. For a number of reasons, this explanation is no substitute for personal tax advice:</w:t>
      </w:r>
    </w:p>
    <w:p>
      <w:pPr>
        <w:spacing w:after="0" w:line="186" w:lineRule="exact"/>
        <w:rPr>
          <w:sz w:val="20"/>
          <w:szCs w:val="20"/>
          <w:color w:val="auto"/>
        </w:rPr>
      </w:pPr>
    </w:p>
    <w:p>
      <w:pPr>
        <w:ind w:left="560" w:right="20" w:hanging="552"/>
        <w:spacing w:after="0" w:line="269" w:lineRule="auto"/>
        <w:tabs>
          <w:tab w:leader="none" w:pos="560" w:val="left"/>
        </w:tabs>
        <w:numPr>
          <w:ilvl w:val="0"/>
          <w:numId w:val="280"/>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To make the explanation short and readable, only the highlights are covered. Some tax rules are not addressed, even though they may be important in particular cases.</w:t>
      </w:r>
    </w:p>
    <w:p>
      <w:pPr>
        <w:spacing w:after="0" w:line="186" w:lineRule="exact"/>
        <w:rPr>
          <w:rFonts w:ascii="MS PGothic" w:cs="MS PGothic" w:eastAsia="MS PGothic" w:hAnsi="MS PGothic"/>
          <w:sz w:val="20"/>
          <w:szCs w:val="20"/>
          <w:color w:val="auto"/>
        </w:rPr>
      </w:pPr>
    </w:p>
    <w:p>
      <w:pPr>
        <w:ind w:left="560" w:hanging="552"/>
        <w:spacing w:after="0"/>
        <w:tabs>
          <w:tab w:leader="none" w:pos="560" w:val="left"/>
        </w:tabs>
        <w:numPr>
          <w:ilvl w:val="0"/>
          <w:numId w:val="280"/>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While the summary attempts to deal with the most common situations, your own tax situation may well be different from the norm.</w:t>
      </w:r>
    </w:p>
    <w:p>
      <w:pPr>
        <w:spacing w:after="0" w:line="256" w:lineRule="exact"/>
        <w:rPr>
          <w:rFonts w:ascii="MS PGothic" w:cs="MS PGothic" w:eastAsia="MS PGothic" w:hAnsi="MS PGothic"/>
          <w:sz w:val="20"/>
          <w:szCs w:val="20"/>
          <w:color w:val="auto"/>
        </w:rPr>
      </w:pPr>
    </w:p>
    <w:p>
      <w:pPr>
        <w:ind w:left="560" w:hanging="552"/>
        <w:spacing w:after="0" w:line="269" w:lineRule="auto"/>
        <w:tabs>
          <w:tab w:leader="none" w:pos="560" w:val="left"/>
        </w:tabs>
        <w:numPr>
          <w:ilvl w:val="0"/>
          <w:numId w:val="280"/>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State and foreign income taxes are not addressed at all, even though they could have a significant impact on your tax planning. Likewise, federal gift and estate taxes and state inheritance taxes are not discussed.</w:t>
      </w:r>
    </w:p>
    <w:p>
      <w:pPr>
        <w:spacing w:after="0" w:line="186" w:lineRule="exact"/>
        <w:rPr>
          <w:rFonts w:ascii="MS PGothic" w:cs="MS PGothic" w:eastAsia="MS PGothic" w:hAnsi="MS PGothic"/>
          <w:sz w:val="20"/>
          <w:szCs w:val="20"/>
          <w:color w:val="auto"/>
        </w:rPr>
      </w:pPr>
    </w:p>
    <w:p>
      <w:pPr>
        <w:ind w:left="560" w:hanging="552"/>
        <w:spacing w:after="0" w:line="269" w:lineRule="auto"/>
        <w:tabs>
          <w:tab w:leader="none" w:pos="560" w:val="left"/>
        </w:tabs>
        <w:numPr>
          <w:ilvl w:val="0"/>
          <w:numId w:val="280"/>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Tax planning involving incentive stock options is exceedingly complex, in part because of the possible application of the alternative minimum tax.</w:t>
      </w:r>
    </w:p>
    <w:p>
      <w:pPr>
        <w:spacing w:after="0" w:line="186" w:lineRule="exact"/>
        <w:rPr>
          <w:rFonts w:ascii="MS PGothic" w:cs="MS PGothic" w:eastAsia="MS PGothic" w:hAnsi="MS PGothic"/>
          <w:sz w:val="20"/>
          <w:szCs w:val="20"/>
          <w:color w:val="auto"/>
        </w:rPr>
      </w:pPr>
    </w:p>
    <w:p>
      <w:pPr>
        <w:jc w:val="both"/>
        <w:ind w:left="560" w:hanging="552"/>
        <w:spacing w:after="0" w:line="254" w:lineRule="auto"/>
        <w:tabs>
          <w:tab w:leader="none" w:pos="560" w:val="left"/>
        </w:tabs>
        <w:numPr>
          <w:ilvl w:val="0"/>
          <w:numId w:val="280"/>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The explanation assumes that you are paying the exercise price of your option in cash (or in the form of a full-recourse promissory note with an interest rate that meets IRS requirements). If you are paying the exercise price in the form of stock, you become subject to special rules that are not addressed here.</w:t>
      </w:r>
    </w:p>
    <w:p>
      <w:pPr>
        <w:spacing w:after="0" w:line="201" w:lineRule="exact"/>
        <w:rPr>
          <w:rFonts w:ascii="MS PGothic" w:cs="MS PGothic" w:eastAsia="MS PGothic" w:hAnsi="MS PGothic"/>
          <w:sz w:val="20"/>
          <w:szCs w:val="20"/>
          <w:color w:val="auto"/>
        </w:rPr>
      </w:pPr>
    </w:p>
    <w:p>
      <w:pPr>
        <w:jc w:val="both"/>
        <w:ind w:left="560" w:hanging="552"/>
        <w:spacing w:after="0" w:line="254" w:lineRule="auto"/>
        <w:tabs>
          <w:tab w:leader="none" w:pos="560" w:val="left"/>
        </w:tabs>
        <w:numPr>
          <w:ilvl w:val="0"/>
          <w:numId w:val="280"/>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This explanation assumes that your option is not subject to section 409A of the Internal Revenue Code. However, the Company cannot be certain that section 409A is inapplicable to your option. (Please refer to the last segment of this summary for more information about section 409A.)</w:t>
      </w:r>
    </w:p>
    <w:p>
      <w:pPr>
        <w:spacing w:after="0" w:line="201" w:lineRule="exact"/>
        <w:rPr>
          <w:rFonts w:ascii="MS PGothic" w:cs="MS PGothic" w:eastAsia="MS PGothic" w:hAnsi="MS PGothic"/>
          <w:sz w:val="20"/>
          <w:szCs w:val="20"/>
          <w:color w:val="auto"/>
        </w:rPr>
      </w:pPr>
    </w:p>
    <w:p>
      <w:pPr>
        <w:ind w:left="560" w:hanging="552"/>
        <w:spacing w:after="0" w:line="269" w:lineRule="auto"/>
        <w:tabs>
          <w:tab w:leader="none" w:pos="560" w:val="left"/>
        </w:tabs>
        <w:numPr>
          <w:ilvl w:val="0"/>
          <w:numId w:val="280"/>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The tax rules change often, and the Company is not responsible for updating this summary. (Please refer to the date at the top of this page.)</w:t>
      </w:r>
    </w:p>
    <w:p>
      <w:pPr>
        <w:spacing w:after="0" w:line="15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20"/>
          <w:szCs w:val="20"/>
          <w:b w:val="1"/>
          <w:bCs w:val="1"/>
          <w:u w:val="single" w:color="auto"/>
          <w:color w:val="auto"/>
        </w:rPr>
        <w:t>F</w:t>
      </w:r>
      <w:r>
        <w:rPr>
          <w:rFonts w:ascii="Times New Roman" w:cs="Times New Roman" w:eastAsia="Times New Roman" w:hAnsi="Times New Roman"/>
          <w:sz w:val="16"/>
          <w:szCs w:val="16"/>
          <w:b w:val="1"/>
          <w:bCs w:val="1"/>
          <w:u w:val="single" w:color="auto"/>
          <w:color w:val="auto"/>
        </w:rPr>
        <w:t>OR THESE REASONS</w:t>
      </w:r>
      <w:r>
        <w:rPr>
          <w:rFonts w:ascii="Times New Roman" w:cs="Times New Roman" w:eastAsia="Times New Roman" w:hAnsi="Times New Roman"/>
          <w:sz w:val="20"/>
          <w:szCs w:val="20"/>
          <w:b w:val="1"/>
          <w:bCs w:val="1"/>
          <w:u w:val="single" w:color="auto"/>
          <w:color w:val="auto"/>
        </w:rPr>
        <w:t xml:space="preserve">, </w:t>
      </w:r>
      <w:r>
        <w:rPr>
          <w:rFonts w:ascii="Times New Roman" w:cs="Times New Roman" w:eastAsia="Times New Roman" w:hAnsi="Times New Roman"/>
          <w:sz w:val="16"/>
          <w:szCs w:val="16"/>
          <w:b w:val="1"/>
          <w:bCs w:val="1"/>
          <w:u w:val="single" w:color="auto"/>
          <w:color w:val="auto"/>
        </w:rPr>
        <w:t>THE</w:t>
      </w:r>
      <w:r>
        <w:rPr>
          <w:rFonts w:ascii="Times New Roman" w:cs="Times New Roman" w:eastAsia="Times New Roman" w:hAnsi="Times New Roman"/>
          <w:sz w:val="20"/>
          <w:szCs w:val="20"/>
          <w:b w:val="1"/>
          <w:bCs w:val="1"/>
          <w:u w:val="single" w:color="auto"/>
          <w:color w:val="auto"/>
        </w:rPr>
        <w:t xml:space="preserve"> C</w:t>
      </w:r>
      <w:r>
        <w:rPr>
          <w:rFonts w:ascii="Times New Roman" w:cs="Times New Roman" w:eastAsia="Times New Roman" w:hAnsi="Times New Roman"/>
          <w:sz w:val="16"/>
          <w:szCs w:val="16"/>
          <w:b w:val="1"/>
          <w:bCs w:val="1"/>
          <w:u w:val="single" w:color="auto"/>
          <w:color w:val="auto"/>
        </w:rPr>
        <w:t>OMPANY STRONGLY ENCOURAGES YOU TO CONSULT YOUR OWN TAX ADVISER BEFORE EXERCISING</w:t>
      </w:r>
      <w:r>
        <w:rPr>
          <w:rFonts w:ascii="Times New Roman" w:cs="Times New Roman" w:eastAsia="Times New Roman" w:hAnsi="Times New Roman"/>
          <w:sz w:val="20"/>
          <w:szCs w:val="20"/>
          <w:b w:val="1"/>
          <w:bCs w:val="1"/>
          <w:u w:val="single" w:color="auto"/>
          <w:color w:val="auto"/>
        </w:rPr>
        <w:t xml:space="preserve"> </w:t>
      </w:r>
      <w:r>
        <w:rPr>
          <w:rFonts w:ascii="Times New Roman" w:cs="Times New Roman" w:eastAsia="Times New Roman" w:hAnsi="Times New Roman"/>
          <w:sz w:val="16"/>
          <w:szCs w:val="16"/>
          <w:b w:val="1"/>
          <w:bCs w:val="1"/>
          <w:u w:val="single" w:color="auto"/>
          <w:color w:val="auto"/>
        </w:rPr>
        <w:t xml:space="preserve">YOUR OPTION AND BEFORE MAKING A DECISION ABOUT FILING OR NOT FILING A SECTION </w:t>
      </w:r>
      <w:r>
        <w:rPr>
          <w:rFonts w:ascii="Times New Roman" w:cs="Times New Roman" w:eastAsia="Times New Roman" w:hAnsi="Times New Roman"/>
          <w:sz w:val="19"/>
          <w:szCs w:val="19"/>
          <w:b w:val="1"/>
          <w:bCs w:val="1"/>
          <w:u w:val="single" w:color="auto"/>
          <w:color w:val="auto"/>
        </w:rPr>
        <w:t>83(b)</w:t>
      </w:r>
      <w:r>
        <w:rPr>
          <w:rFonts w:ascii="Times New Roman" w:cs="Times New Roman" w:eastAsia="Times New Roman" w:hAnsi="Times New Roman"/>
          <w:sz w:val="16"/>
          <w:szCs w:val="16"/>
          <w:b w:val="1"/>
          <w:bCs w:val="1"/>
          <w:u w:val="single" w:color="auto"/>
          <w:color w:val="auto"/>
        </w:rPr>
        <w:t xml:space="preserve"> ELECTION</w:t>
      </w:r>
      <w:r>
        <w:rPr>
          <w:rFonts w:ascii="Times New Roman" w:cs="Times New Roman" w:eastAsia="Times New Roman" w:hAnsi="Times New Roman"/>
          <w:sz w:val="19"/>
          <w:szCs w:val="19"/>
          <w:b w:val="1"/>
          <w:bCs w:val="1"/>
          <w:u w:val="single" w:color="auto"/>
          <w:color w:val="auto"/>
        </w:rPr>
        <w:t>.</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Exercise of NSO to Purchase Vested Shares</w:t>
      </w:r>
    </w:p>
    <w:p>
      <w:pPr>
        <w:spacing w:after="0" w:line="22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Notice of Stock Option Grant indicates whether your Purchased Shares are already vested. Vested shares are no longer subject to the Company’s right to repurchase them, although they are still subject to the Company’s right of first refusal. If you know that your Purchased Shares are already vested, there is no need to file a section 83(b) election.</w:t>
      </w:r>
    </w:p>
    <w:p>
      <w:pPr>
        <w:spacing w:after="0" w:line="17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If you are exercising an NSO to purchase vested shares, you will be taxed at the time of exercise. You will recognize ordinary income in an amount equal to the excess of (a) the fair market value of the Purchased Shares on the date of exercise over (b) the exercise price you are paying. If you are an employee or former employee of the Company, this amount is subject to withholding for income and payroll taxes. Your tax basis in the Purchased Shares (to calculate capital gain when you sell the shares) is equal to the sum of the exercise price you paid for the Purchased Shares plus any additional amount you recognized as income on the exercise date.</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40"/>
          </w:cols>
          <w:pgMar w:left="320" w:top="261" w:right="339" w:bottom="1440" w:gutter="0" w:footer="0" w:header="0"/>
        </w:sectPr>
      </w:pPr>
    </w:p>
    <w:bookmarkStart w:id="312" w:name="page313"/>
    <w:bookmarkEnd w:id="312"/>
    <w:p>
      <w:pPr>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Exercise of NSO to Purchase Non-Vested Shares</w:t>
      </w:r>
    </w:p>
    <w:p>
      <w:pPr>
        <w:spacing w:after="0" w:line="220"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If you are exercising an NSO to purchase non-vested shares, and if you do not file a timely election under section 83(b) of the Internal Revenue Code, then you will not be taxed at the time of exercise. Instead, you will be taxed whenever an increment of Purchased Shares vests—in other words, when the Company no longer has the right to repurchase those shares. The Notice of Stock Option Grant indicates when this occurs, generally over a period of several years. Whenever an increment of Purchased Shares vests, you will recognize ordinary income in an amount equal to the excess of (a) the fair market value of those Purchased Shares on the date of vesting over (b) the exercise price you are paying for those Purchased Shares. If you are an employee or former employee of the Company, this amount will be subject to withholding for income and payroll taxes. Your tax basis in the Purchased Shares (to calculate capital gain when you sell the shares) will be equal to the sum of the exercise price you paid for the Purchased Shares plus any additional amount you recognized as income on each vesting date.</w:t>
      </w:r>
    </w:p>
    <w:p>
      <w:pPr>
        <w:spacing w:after="0" w:line="186"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If you are exercising an NSO to purchase non-vested shares, and if you file a timely election under section 83(b) of the Internal Revenue Code, then you will be taxed at the time of exercise. You will recognize ordinary income in an amount equal to the excess of (a) the fair market value of the Purchased Shares on the date of exercise over (b) the exercise price you are paying. If you are an employee or former employee of the Company, this amount is subject to withholding for income and payroll taxes. Your tax basis in the Purchased Shares (to calculate capital gain when you sell the shares) is equal to the sum of the exercise price you paid for the Purchased Shares plus any additional amount you recognized as income as a result of filing the section 83(b) election. Even if the fair market value of the Purchased Shares on the date of exercise equals the exercise price (and thus no tax is payable), the section 83(b) election must be made in order to avoid having any subsequent appreciation taxed as ordinary income at the time of vesting.</w:t>
      </w:r>
    </w:p>
    <w:p>
      <w:pPr>
        <w:spacing w:after="0" w:line="18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b w:val="1"/>
          <w:bCs w:val="1"/>
          <w:u w:val="single" w:color="auto"/>
          <w:color w:val="auto"/>
        </w:rPr>
        <w:t>Y</w:t>
      </w:r>
      <w:r>
        <w:rPr>
          <w:rFonts w:ascii="Times New Roman" w:cs="Times New Roman" w:eastAsia="Times New Roman" w:hAnsi="Times New Roman"/>
          <w:sz w:val="16"/>
          <w:szCs w:val="16"/>
          <w:b w:val="1"/>
          <w:bCs w:val="1"/>
          <w:u w:val="single" w:color="auto"/>
          <w:color w:val="auto"/>
        </w:rPr>
        <w:t>OU MUST FILE A SECTION</w:t>
      </w:r>
      <w:r>
        <w:rPr>
          <w:rFonts w:ascii="Times New Roman" w:cs="Times New Roman" w:eastAsia="Times New Roman" w:hAnsi="Times New Roman"/>
          <w:sz w:val="20"/>
          <w:szCs w:val="20"/>
          <w:b w:val="1"/>
          <w:bCs w:val="1"/>
          <w:u w:val="single" w:color="auto"/>
          <w:color w:val="auto"/>
        </w:rPr>
        <w:t xml:space="preserve"> 83(b) </w:t>
      </w:r>
      <w:r>
        <w:rPr>
          <w:rFonts w:ascii="Times New Roman" w:cs="Times New Roman" w:eastAsia="Times New Roman" w:hAnsi="Times New Roman"/>
          <w:sz w:val="16"/>
          <w:szCs w:val="16"/>
          <w:b w:val="1"/>
          <w:bCs w:val="1"/>
          <w:u w:val="single" w:color="auto"/>
          <w:color w:val="auto"/>
        </w:rPr>
        <w:t>ELECTION WITH THE</w:t>
      </w:r>
      <w:r>
        <w:rPr>
          <w:rFonts w:ascii="Times New Roman" w:cs="Times New Roman" w:eastAsia="Times New Roman" w:hAnsi="Times New Roman"/>
          <w:sz w:val="20"/>
          <w:szCs w:val="20"/>
          <w:b w:val="1"/>
          <w:bCs w:val="1"/>
          <w:u w:val="single" w:color="auto"/>
          <w:color w:val="auto"/>
        </w:rPr>
        <w:t xml:space="preserve"> I</w:t>
      </w:r>
      <w:r>
        <w:rPr>
          <w:rFonts w:ascii="Times New Roman" w:cs="Times New Roman" w:eastAsia="Times New Roman" w:hAnsi="Times New Roman"/>
          <w:sz w:val="16"/>
          <w:szCs w:val="16"/>
          <w:b w:val="1"/>
          <w:bCs w:val="1"/>
          <w:u w:val="single" w:color="auto"/>
          <w:color w:val="auto"/>
        </w:rPr>
        <w:t>NTERNAL</w:t>
      </w:r>
      <w:r>
        <w:rPr>
          <w:rFonts w:ascii="Times New Roman" w:cs="Times New Roman" w:eastAsia="Times New Roman" w:hAnsi="Times New Roman"/>
          <w:sz w:val="20"/>
          <w:szCs w:val="20"/>
          <w:b w:val="1"/>
          <w:bCs w:val="1"/>
          <w:u w:val="single" w:color="auto"/>
          <w:color w:val="auto"/>
        </w:rPr>
        <w:t xml:space="preserve"> R</w:t>
      </w:r>
      <w:r>
        <w:rPr>
          <w:rFonts w:ascii="Times New Roman" w:cs="Times New Roman" w:eastAsia="Times New Roman" w:hAnsi="Times New Roman"/>
          <w:sz w:val="16"/>
          <w:szCs w:val="16"/>
          <w:b w:val="1"/>
          <w:bCs w:val="1"/>
          <w:u w:val="single" w:color="auto"/>
          <w:color w:val="auto"/>
        </w:rPr>
        <w:t>EVENUE</w:t>
      </w:r>
      <w:r>
        <w:rPr>
          <w:rFonts w:ascii="Times New Roman" w:cs="Times New Roman" w:eastAsia="Times New Roman" w:hAnsi="Times New Roman"/>
          <w:sz w:val="20"/>
          <w:szCs w:val="20"/>
          <w:b w:val="1"/>
          <w:bCs w:val="1"/>
          <w:u w:val="single" w:color="auto"/>
          <w:color w:val="auto"/>
        </w:rPr>
        <w:t xml:space="preserve"> S</w:t>
      </w:r>
      <w:r>
        <w:rPr>
          <w:rFonts w:ascii="Times New Roman" w:cs="Times New Roman" w:eastAsia="Times New Roman" w:hAnsi="Times New Roman"/>
          <w:sz w:val="16"/>
          <w:szCs w:val="16"/>
          <w:b w:val="1"/>
          <w:bCs w:val="1"/>
          <w:u w:val="single" w:color="auto"/>
          <w:color w:val="auto"/>
        </w:rPr>
        <w:t>ERVICE WITHIN</w:t>
      </w:r>
      <w:r>
        <w:rPr>
          <w:rFonts w:ascii="Times New Roman" w:cs="Times New Roman" w:eastAsia="Times New Roman" w:hAnsi="Times New Roman"/>
          <w:sz w:val="20"/>
          <w:szCs w:val="20"/>
          <w:b w:val="1"/>
          <w:bCs w:val="1"/>
          <w:u w:val="single" w:color="auto"/>
          <w:color w:val="auto"/>
        </w:rPr>
        <w:t xml:space="preserve"> 30 </w:t>
      </w:r>
      <w:r>
        <w:rPr>
          <w:rFonts w:ascii="Times New Roman" w:cs="Times New Roman" w:eastAsia="Times New Roman" w:hAnsi="Times New Roman"/>
          <w:sz w:val="16"/>
          <w:szCs w:val="16"/>
          <w:b w:val="1"/>
          <w:bCs w:val="1"/>
          <w:u w:val="single" w:color="auto"/>
          <w:color w:val="auto"/>
        </w:rPr>
        <w:t>DAYS AFTER THE</w:t>
      </w:r>
      <w:r>
        <w:rPr>
          <w:rFonts w:ascii="Times New Roman" w:cs="Times New Roman" w:eastAsia="Times New Roman" w:hAnsi="Times New Roman"/>
          <w:sz w:val="20"/>
          <w:szCs w:val="20"/>
          <w:b w:val="1"/>
          <w:bCs w:val="1"/>
          <w:u w:val="single" w:color="auto"/>
          <w:color w:val="auto"/>
        </w:rPr>
        <w:t xml:space="preserve"> N</w:t>
      </w:r>
      <w:r>
        <w:rPr>
          <w:rFonts w:ascii="Times New Roman" w:cs="Times New Roman" w:eastAsia="Times New Roman" w:hAnsi="Times New Roman"/>
          <w:sz w:val="16"/>
          <w:szCs w:val="16"/>
          <w:b w:val="1"/>
          <w:bCs w:val="1"/>
          <w:u w:val="single" w:color="auto"/>
          <w:color w:val="auto"/>
        </w:rPr>
        <w:t>OTICE OF</w:t>
      </w:r>
      <w:r>
        <w:rPr>
          <w:rFonts w:ascii="Times New Roman" w:cs="Times New Roman" w:eastAsia="Times New Roman" w:hAnsi="Times New Roman"/>
          <w:sz w:val="20"/>
          <w:szCs w:val="20"/>
          <w:b w:val="1"/>
          <w:bCs w:val="1"/>
          <w:u w:val="single" w:color="auto"/>
          <w:color w:val="auto"/>
        </w:rPr>
        <w:t xml:space="preserve"> S</w:t>
      </w:r>
      <w:r>
        <w:rPr>
          <w:rFonts w:ascii="Times New Roman" w:cs="Times New Roman" w:eastAsia="Times New Roman" w:hAnsi="Times New Roman"/>
          <w:sz w:val="16"/>
          <w:szCs w:val="16"/>
          <w:b w:val="1"/>
          <w:bCs w:val="1"/>
          <w:u w:val="single" w:color="auto"/>
          <w:color w:val="auto"/>
        </w:rPr>
        <w:t>TOCK</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b w:val="1"/>
          <w:bCs w:val="1"/>
          <w:u w:val="single" w:color="auto"/>
          <w:color w:val="auto"/>
        </w:rPr>
        <w:t>O</w:t>
      </w:r>
      <w:r>
        <w:rPr>
          <w:rFonts w:ascii="Times New Roman" w:cs="Times New Roman" w:eastAsia="Times New Roman" w:hAnsi="Times New Roman"/>
          <w:sz w:val="16"/>
          <w:szCs w:val="16"/>
          <w:b w:val="1"/>
          <w:bCs w:val="1"/>
          <w:u w:val="single" w:color="auto"/>
          <w:color w:val="auto"/>
        </w:rPr>
        <w:t>PTION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b w:val="1"/>
          <w:bCs w:val="1"/>
          <w:u w:val="single" w:color="auto"/>
          <w:color w:val="auto"/>
        </w:rPr>
        <w:t>E</w:t>
      </w:r>
      <w:r>
        <w:rPr>
          <w:rFonts w:ascii="Times New Roman" w:cs="Times New Roman" w:eastAsia="Times New Roman" w:hAnsi="Times New Roman"/>
          <w:sz w:val="16"/>
          <w:szCs w:val="16"/>
          <w:b w:val="1"/>
          <w:bCs w:val="1"/>
          <w:u w:val="single" w:color="auto"/>
          <w:color w:val="auto"/>
        </w:rPr>
        <w:t>XERCISE IS SIGNED</w:t>
      </w:r>
      <w:r>
        <w:rPr>
          <w:rFonts w:ascii="Times New Roman" w:cs="Times New Roman" w:eastAsia="Times New Roman" w:hAnsi="Times New Roman"/>
          <w:sz w:val="20"/>
          <w:szCs w:val="20"/>
          <w:color w:val="auto"/>
        </w:rPr>
        <w:t>. The 30-day filing period cannot be extended. If you miss the deadline, you will be taxed as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Purchased Shares vest, based on the value of the shares at that time. (See above.) The form for making the 83(b) election is attached. Additional copies of the form must be filed with the Company.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Disposition of NSO Shares</w:t>
      </w:r>
    </w:p>
    <w:p>
      <w:pPr>
        <w:spacing w:after="0" w:line="22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When you dispose of the Purchased Shares, you will recognize a capital gain equal to the excess of (a) the sale proceeds over (b) your tax basis in the Purchased Shares. If the sale proceeds are less than your tax basis, you will recognize a capital loss. The capital gain or loss will be long-term if you held the Purchased Shares for more than 12 months. The holding period normally starts when you exercise your NSO. In general, the maximum marginal federal income tax rate on long-term capital gains is 20% under current law, but lower long-term capital gain rates may apply to taxpayers in the 15% and 10% marginal federal income tax brackets.</w:t>
      </w:r>
    </w:p>
    <w:p>
      <w:pPr>
        <w:spacing w:after="0" w:line="18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Effective January 1, 2013, as a result of the Health Care and Education Reconciliation Act of 2010, an additional Medicare contribution tax is imposed at a rate of 3.8% on the “net investment income” of individuals with adjusted gross incomes in excess of $200,000 ($250,000 in the case of a joint return, and $125,000 in the case of a married taxpayer filing separately). “Net investment income” includes income from interest, dividends, and capital gains, reduced by the deductions properly allocated to such income.</w:t>
      </w:r>
    </w:p>
    <w:p>
      <w:pPr>
        <w:spacing w:after="0" w:line="180"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Depending on the level of your adjusted gross income, the additional Medicare contribution tax may be imposed on any short-term and long-term capital gain income and can increase your marginal tax rate.</w:t>
      </w:r>
    </w:p>
    <w:p>
      <w:pPr>
        <w:spacing w:after="0" w:line="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40"/>
          </w:cols>
          <w:pgMar w:left="320" w:top="261" w:right="339" w:bottom="1440" w:gutter="0" w:footer="0" w:header="0"/>
        </w:sectPr>
      </w:pPr>
    </w:p>
    <w:bookmarkStart w:id="313" w:name="page314"/>
    <w:bookmarkEnd w:id="313"/>
    <w:p>
      <w:pPr>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Limit on ISO Treatment</w:t>
      </w:r>
    </w:p>
    <w:p>
      <w:pPr>
        <w:spacing w:after="0" w:line="22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The Notice of Stock Option Grant indicates whether your option is a nonstatutory stock option (NSO) or an incentive stock option (ISO). The favorable tax treatment for ISOs is limited, regardless of what the Notice of Stock Option Grant indicates. Of the options that become exercisable in any calendar year, only options covering the first $100,000 of stock are eligible for ISO treatment. The excess over $100,000 automatically receives NSO treatment. For this purpose, stock is valued at the time of grant. This means that the value is generally equal to the exercise price.</w:t>
      </w:r>
    </w:p>
    <w:p>
      <w:pPr>
        <w:spacing w:after="0" w:line="18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 xml:space="preserve">For example, assume that you hold an option to buy 50,000 shares for $4 per share. Assume further that the entire option is exercisable immediately after the date of grant. (It is irrelevant when the underlying stock vests.) Only the first 25,000 shares qualify for ISO treatment. (25,000 times $4 equals $100,000.) The remaining 25,000 shares will be treated as if they had been acquired by exercising an NSO. This is true regardless of when the option is </w:t>
      </w:r>
      <w:r>
        <w:rPr>
          <w:rFonts w:ascii="Times New Roman" w:cs="Times New Roman" w:eastAsia="Times New Roman" w:hAnsi="Times New Roman"/>
          <w:sz w:val="20"/>
          <w:szCs w:val="20"/>
          <w:i w:val="1"/>
          <w:iCs w:val="1"/>
          <w:color w:val="auto"/>
        </w:rPr>
        <w:t>actually</w:t>
      </w:r>
      <w:r>
        <w:rPr>
          <w:rFonts w:ascii="Times New Roman" w:cs="Times New Roman" w:eastAsia="Times New Roman" w:hAnsi="Times New Roman"/>
          <w:sz w:val="20"/>
          <w:szCs w:val="20"/>
          <w:color w:val="auto"/>
        </w:rPr>
        <w:t xml:space="preserve"> exercised; what matters is when it first </w:t>
      </w:r>
      <w:r>
        <w:rPr>
          <w:rFonts w:ascii="Times New Roman" w:cs="Times New Roman" w:eastAsia="Times New Roman" w:hAnsi="Times New Roman"/>
          <w:sz w:val="20"/>
          <w:szCs w:val="20"/>
          <w:i w:val="1"/>
          <w:iCs w:val="1"/>
          <w:color w:val="auto"/>
        </w:rPr>
        <w:t>could</w:t>
      </w:r>
      <w:r>
        <w:rPr>
          <w:rFonts w:ascii="Times New Roman" w:cs="Times New Roman" w:eastAsia="Times New Roman" w:hAnsi="Times New Roman"/>
          <w:sz w:val="20"/>
          <w:szCs w:val="20"/>
          <w:color w:val="auto"/>
        </w:rPr>
        <w:t xml:space="preserve"> have been exercised.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Exercise of ISO and ISO Holding Periods</w:t>
      </w:r>
    </w:p>
    <w:p>
      <w:pPr>
        <w:spacing w:after="0" w:line="21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auto"/>
        </w:rPr>
        <w:t xml:space="preserve">If you are exercising an ISO, you will not be taxed under the </w:t>
      </w:r>
      <w:r>
        <w:rPr>
          <w:rFonts w:ascii="Times New Roman" w:cs="Times New Roman" w:eastAsia="Times New Roman" w:hAnsi="Times New Roman"/>
          <w:sz w:val="20"/>
          <w:szCs w:val="20"/>
          <w:i w:val="1"/>
          <w:iCs w:val="1"/>
          <w:color w:val="auto"/>
        </w:rPr>
        <w:t>regular</w:t>
      </w:r>
      <w:r>
        <w:rPr>
          <w:rFonts w:ascii="Times New Roman" w:cs="Times New Roman" w:eastAsia="Times New Roman" w:hAnsi="Times New Roman"/>
          <w:sz w:val="20"/>
          <w:szCs w:val="20"/>
          <w:color w:val="auto"/>
        </w:rPr>
        <w:t xml:space="preserve"> tax rules until you dispose of the Purchased Shares.</w:t>
      </w:r>
      <w:r>
        <w:rPr>
          <w:rFonts w:ascii="Times New Roman" w:cs="Times New Roman" w:eastAsia="Times New Roman" w:hAnsi="Times New Roman"/>
          <w:sz w:val="16"/>
          <w:szCs w:val="16"/>
          <w:color w:val="auto"/>
        </w:rPr>
        <w:t>9</w:t>
      </w:r>
      <w:r>
        <w:rPr>
          <w:rFonts w:ascii="Times New Roman" w:cs="Times New Roman" w:eastAsia="Times New Roman" w:hAnsi="Times New Roman"/>
          <w:sz w:val="20"/>
          <w:szCs w:val="20"/>
          <w:color w:val="auto"/>
        </w:rPr>
        <w:t xml:space="preserve"> (The alternative minimum tax rules are described below.) The tax treatment at the time of disposition depends on how long you hold the shares. You will satisfy the ISO holding periods if you hold the Purchased Shares until the </w:t>
      </w:r>
      <w:r>
        <w:rPr>
          <w:rFonts w:ascii="Times New Roman" w:cs="Times New Roman" w:eastAsia="Times New Roman" w:hAnsi="Times New Roman"/>
          <w:sz w:val="20"/>
          <w:szCs w:val="20"/>
          <w:i w:val="1"/>
          <w:iCs w:val="1"/>
          <w:color w:val="auto"/>
        </w:rPr>
        <w:t>later</w:t>
      </w:r>
      <w:r>
        <w:rPr>
          <w:rFonts w:ascii="Times New Roman" w:cs="Times New Roman" w:eastAsia="Times New Roman" w:hAnsi="Times New Roman"/>
          <w:sz w:val="20"/>
          <w:szCs w:val="20"/>
          <w:color w:val="auto"/>
        </w:rPr>
        <w:t xml:space="preserve"> of the following dates:</w:t>
      </w:r>
    </w:p>
    <w:p>
      <w:pPr>
        <w:spacing w:after="0" w:line="200" w:lineRule="exact"/>
        <w:rPr>
          <w:sz w:val="20"/>
          <w:szCs w:val="20"/>
          <w:color w:val="auto"/>
        </w:rPr>
      </w:pPr>
    </w:p>
    <w:p>
      <w:pPr>
        <w:ind w:left="560" w:hanging="552"/>
        <w:spacing w:after="0"/>
        <w:tabs>
          <w:tab w:leader="none" w:pos="560" w:val="left"/>
        </w:tabs>
        <w:numPr>
          <w:ilvl w:val="0"/>
          <w:numId w:val="281"/>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More than two years after the ISO was granted, and</w:t>
      </w:r>
    </w:p>
    <w:p>
      <w:pPr>
        <w:spacing w:after="0" w:line="256" w:lineRule="exact"/>
        <w:rPr>
          <w:rFonts w:ascii="MS PGothic" w:cs="MS PGothic" w:eastAsia="MS PGothic" w:hAnsi="MS PGothic"/>
          <w:sz w:val="20"/>
          <w:szCs w:val="20"/>
          <w:color w:val="auto"/>
        </w:rPr>
      </w:pPr>
    </w:p>
    <w:p>
      <w:pPr>
        <w:ind w:left="560" w:hanging="552"/>
        <w:spacing w:after="0"/>
        <w:tabs>
          <w:tab w:leader="none" w:pos="560" w:val="left"/>
        </w:tabs>
        <w:numPr>
          <w:ilvl w:val="0"/>
          <w:numId w:val="281"/>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More than one year after the ISO is exercised.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Disposition of ISO Shares</w:t>
      </w:r>
    </w:p>
    <w:p>
      <w:pPr>
        <w:spacing w:after="0" w:line="21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 xml:space="preserve">If you dispose of the Purchased Shares after satisfying </w:t>
      </w:r>
      <w:r>
        <w:rPr>
          <w:rFonts w:ascii="Times New Roman" w:cs="Times New Roman" w:eastAsia="Times New Roman" w:hAnsi="Times New Roman"/>
          <w:sz w:val="20"/>
          <w:szCs w:val="20"/>
          <w:i w:val="1"/>
          <w:iCs w:val="1"/>
          <w:color w:val="auto"/>
        </w:rPr>
        <w:t>both</w:t>
      </w:r>
      <w:r>
        <w:rPr>
          <w:rFonts w:ascii="Times New Roman" w:cs="Times New Roman" w:eastAsia="Times New Roman" w:hAnsi="Times New Roman"/>
          <w:sz w:val="20"/>
          <w:szCs w:val="20"/>
          <w:color w:val="auto"/>
        </w:rPr>
        <w:t xml:space="preserve"> of the ISO holding periods, then you will recognize only a long-term capital gain at the time of disposition. The amount of the capital gain is equal to the excess of (a) the sale proceeds over (b) the exercise price. In general, the maximum marginal federal income tax rate on long-term capital gains is 20% under current law, but lower long-term capital gain rates may apply to taxpayers in the 15% and 10% marginal federal income tax brackets.</w:t>
      </w:r>
    </w:p>
    <w:p>
      <w:pPr>
        <w:spacing w:after="0" w:line="18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Effective January 1, 2013, as a result of the Health Care and Education Reconciliation Act of 2010, an additional Medicare contribution tax is imposed at a rate of 3.8% on the “net investment income” of individuals with adjusted gross incomes in excess of $200,000 ($250,000 in the case of a joint return, and $125,000 in the case of a married taxpayer filing separately). “Net investment income” includes income from interest, dividends, and capital gains, reduced by the deductions properly allocated to such income.</w:t>
      </w:r>
    </w:p>
    <w:p>
      <w:pPr>
        <w:spacing w:after="0" w:line="18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If you dispose of the Purchased Shares before either or both of the ISO holding periods are met, then you will recognize ordinary income at the time of disposition. The calculation of the ordinary income amount depends on whether the shares are vested at the time of exercise.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355600</wp:posOffset>
            </wp:positionV>
            <wp:extent cx="788670" cy="889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88670" cy="8890"/>
                    </a:xfrm>
                    <a:prstGeom prst="rect">
                      <a:avLst/>
                    </a:prstGeom>
                    <a:noFill/>
                  </pic:spPr>
                </pic:pic>
              </a:graphicData>
            </a:graphic>
          </wp:anchor>
        </w:drawing>
      </w:r>
    </w:p>
    <w:p>
      <w:pPr>
        <w:spacing w:after="0" w:line="200" w:lineRule="exact"/>
        <w:rPr>
          <w:sz w:val="20"/>
          <w:szCs w:val="20"/>
          <w:color w:val="auto"/>
        </w:rPr>
      </w:pPr>
    </w:p>
    <w:p>
      <w:pPr>
        <w:spacing w:after="0" w:line="371" w:lineRule="exact"/>
        <w:rPr>
          <w:sz w:val="20"/>
          <w:szCs w:val="20"/>
          <w:color w:val="auto"/>
        </w:rPr>
      </w:pPr>
    </w:p>
    <w:p>
      <w:pPr>
        <w:jc w:val="both"/>
        <w:ind w:left="560" w:hanging="552"/>
        <w:spacing w:after="0" w:line="246" w:lineRule="auto"/>
        <w:tabs>
          <w:tab w:leader="none" w:pos="560" w:val="left"/>
        </w:tabs>
        <w:numPr>
          <w:ilvl w:val="0"/>
          <w:numId w:val="282"/>
        </w:numPr>
        <w:rPr>
          <w:rFonts w:ascii="Times New Roman" w:cs="Times New Roman" w:eastAsia="Times New Roman" w:hAnsi="Times New Roman"/>
          <w:sz w:val="17"/>
          <w:szCs w:val="17"/>
          <w:color w:val="auto"/>
        </w:rPr>
      </w:pPr>
      <w:r>
        <w:rPr>
          <w:rFonts w:ascii="Times New Roman" w:cs="Times New Roman" w:eastAsia="Times New Roman" w:hAnsi="Times New Roman"/>
          <w:sz w:val="20"/>
          <w:szCs w:val="20"/>
          <w:color w:val="auto"/>
        </w:rPr>
        <w:t>Generally, a “disposition” of shares purchased under an ISO encompasses any transfer of legal title, such as a transfer by sale, exchange or gift. It generally does not include a transfer to your spouse, a transfer into joint ownership with right of survivorship (if you remain one of the joint owners), a pledge, a transfer by bequest or inheritance, or certain tax-free exchanges permitted under the Internal Revenue Code. A transfer to a trust is a “disposition” unless the trust is an eligible revocable trust, as described in the attached explanation.</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240"/>
          </w:cols>
          <w:pgMar w:left="320" w:top="261" w:right="339" w:bottom="1440" w:gutter="0" w:footer="0" w:header="0"/>
        </w:sectPr>
      </w:pPr>
    </w:p>
    <w:bookmarkStart w:id="314" w:name="page315"/>
    <w:bookmarkEnd w:id="314"/>
    <w:p>
      <w:pPr>
        <w:jc w:val="both"/>
        <w:ind w:left="560" w:hanging="552"/>
        <w:spacing w:after="0" w:line="245" w:lineRule="auto"/>
        <w:tabs>
          <w:tab w:leader="none" w:pos="560" w:val="left"/>
        </w:tabs>
        <w:numPr>
          <w:ilvl w:val="0"/>
          <w:numId w:val="283"/>
        </w:numPr>
        <w:rPr>
          <w:rFonts w:ascii="MS PGothic" w:cs="MS PGothic" w:eastAsia="MS PGothic" w:hAnsi="MS PGothic"/>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Shares Vested</w:t>
      </w:r>
      <w:r>
        <w:rPr>
          <w:rFonts w:ascii="Times New Roman" w:cs="Times New Roman" w:eastAsia="Times New Roman" w:hAnsi="Times New Roman"/>
          <w:sz w:val="20"/>
          <w:szCs w:val="20"/>
          <w:color w:val="auto"/>
        </w:rPr>
        <w:t>. If the shares are vested at the time of exercise, the amount of ordinary income will be equal to the excess of (a) the fair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market value of the Purchased Shares on the date of exercise over (b) the exercise price. But if the disposition is an arm’s length sale to an unrelated party, the amount of ordinary income will not exceed the total gain from the sale. Under current IRS rules, the ordinary income amount will not be subject to withholding for income or payroll taxes. Your tax basis in the Purchased Shares will be equal to the sum of the exercise price you paid for the Purchased Shares plus any additional amount you recognized as ordinary income. Any gain in excess of your basis will be taxed as a capital gain—either long-term or short-term, depending on how long you held the Purchased Shares after the date of exercise.</w:t>
      </w:r>
    </w:p>
    <w:p>
      <w:pPr>
        <w:spacing w:after="0" w:line="206" w:lineRule="exact"/>
        <w:rPr>
          <w:rFonts w:ascii="MS PGothic" w:cs="MS PGothic" w:eastAsia="MS PGothic" w:hAnsi="MS PGothic"/>
          <w:sz w:val="20"/>
          <w:szCs w:val="20"/>
          <w:color w:val="auto"/>
        </w:rPr>
      </w:pPr>
    </w:p>
    <w:p>
      <w:pPr>
        <w:jc w:val="both"/>
        <w:ind w:left="560" w:hanging="552"/>
        <w:spacing w:after="0" w:line="243" w:lineRule="auto"/>
        <w:tabs>
          <w:tab w:leader="none" w:pos="560" w:val="left"/>
        </w:tabs>
        <w:numPr>
          <w:ilvl w:val="0"/>
          <w:numId w:val="283"/>
        </w:numPr>
        <w:rPr>
          <w:rFonts w:ascii="MS PGothic" w:cs="MS PGothic" w:eastAsia="MS PGothic" w:hAnsi="MS PGothic"/>
          <w:sz w:val="20"/>
          <w:szCs w:val="20"/>
          <w:color w:val="auto"/>
        </w:rPr>
      </w:pPr>
      <w:r>
        <w:rPr>
          <w:rFonts w:ascii="Times New Roman" w:cs="Times New Roman" w:eastAsia="Times New Roman" w:hAnsi="Times New Roman"/>
          <w:sz w:val="20"/>
          <w:szCs w:val="20"/>
          <w:b w:val="1"/>
          <w:bCs w:val="1"/>
          <w:color w:val="auto"/>
        </w:rPr>
        <w:t>Shares Not Vested</w:t>
      </w:r>
      <w:r>
        <w:rPr>
          <w:rFonts w:ascii="Times New Roman" w:cs="Times New Roman" w:eastAsia="Times New Roman" w:hAnsi="Times New Roman"/>
          <w:sz w:val="20"/>
          <w:szCs w:val="20"/>
          <w:color w:val="auto"/>
        </w:rPr>
        <w:t>. If the Purchased Shares are not vested at the time of exercise, then the amount of ordinary income will be equal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the excess of (a) the fair market value of the Purchased Shares on the date of </w:t>
      </w:r>
      <w:r>
        <w:rPr>
          <w:rFonts w:ascii="Times New Roman" w:cs="Times New Roman" w:eastAsia="Times New Roman" w:hAnsi="Times New Roman"/>
          <w:sz w:val="20"/>
          <w:szCs w:val="20"/>
          <w:i w:val="1"/>
          <w:iCs w:val="1"/>
          <w:color w:val="auto"/>
        </w:rPr>
        <w:t>vesting</w:t>
      </w:r>
      <w:r>
        <w:rPr>
          <w:rFonts w:ascii="Times New Roman" w:cs="Times New Roman" w:eastAsia="Times New Roman" w:hAnsi="Times New Roman"/>
          <w:sz w:val="20"/>
          <w:szCs w:val="20"/>
          <w:color w:val="auto"/>
        </w:rPr>
        <w:t xml:space="preserve"> over (b) the exercise price. But if the disposition is an arm’s length sale to an unrelated party, the amount of ordinary income will not exceed the total gain from the sale. Under current IRS rules, the ordinary income amount will not be subject to withholding for income or payroll taxes. Your tax basis in the Purchased Shares will be equal to the sum of the exercise price you paid for the Purchased Shares plus any additional amount you recognized as ordinary income. Any gain in excess of your basis will be taxed as a capital gain—either long-term or short-term, depending on how long you held the Purchased Shares after the date of vesting. Please note that it makes no difference under the </w:t>
      </w:r>
      <w:r>
        <w:rPr>
          <w:rFonts w:ascii="Times New Roman" w:cs="Times New Roman" w:eastAsia="Times New Roman" w:hAnsi="Times New Roman"/>
          <w:sz w:val="20"/>
          <w:szCs w:val="20"/>
          <w:i w:val="1"/>
          <w:iCs w:val="1"/>
          <w:color w:val="auto"/>
        </w:rPr>
        <w:t>regular</w:t>
      </w:r>
      <w:r>
        <w:rPr>
          <w:rFonts w:ascii="Times New Roman" w:cs="Times New Roman" w:eastAsia="Times New Roman" w:hAnsi="Times New Roman"/>
          <w:sz w:val="20"/>
          <w:szCs w:val="20"/>
          <w:color w:val="auto"/>
        </w:rPr>
        <w:t xml:space="preserve"> tax rules whether or not you filed a section 83(b) election at the time you exercised your ISO. In either case, your regular taxable income is measured as of the time of vesting rather than the time of exercise.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Summary of Alternative Minimum Tax</w:t>
      </w:r>
    </w:p>
    <w:p>
      <w:pPr>
        <w:spacing w:after="0" w:line="220"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The alternative minimum tax (AMT) must be paid to the extent that it exceeds your regular federal income tax for the year. For 2016, the first $186,300 ($93,150 for a married taxpayer filing a separate return) of your alternative minimum taxable income for the year over the allowable exemption amount (see below) is subject to alternative minimum taxation at the rate of 26%. The balance of your alternative minimum taxable income is subject to alternative minimum taxation at the rate of 28%. The dollar thresholds dividing the 26% and 28% rates are indexed for inflation in future years. Your alternative minimum tax base is equal to your alternative minimum taxable income (AMTI) minus your exemption amount.</w:t>
      </w:r>
    </w:p>
    <w:p>
      <w:pPr>
        <w:spacing w:after="0" w:line="207" w:lineRule="exact"/>
        <w:rPr>
          <w:sz w:val="20"/>
          <w:szCs w:val="20"/>
          <w:color w:val="auto"/>
        </w:rPr>
      </w:pPr>
    </w:p>
    <w:p>
      <w:pPr>
        <w:ind w:left="560" w:hanging="552"/>
        <w:spacing w:after="0" w:line="273" w:lineRule="auto"/>
        <w:tabs>
          <w:tab w:leader="none" w:pos="560" w:val="left"/>
        </w:tabs>
        <w:numPr>
          <w:ilvl w:val="0"/>
          <w:numId w:val="284"/>
        </w:numPr>
        <w:rPr>
          <w:rFonts w:ascii="MS PGothic" w:cs="MS PGothic" w:eastAsia="MS PGothic" w:hAnsi="MS PGothic"/>
          <w:sz w:val="20"/>
          <w:szCs w:val="20"/>
          <w:color w:val="auto"/>
        </w:rPr>
      </w:pPr>
      <w:r>
        <w:rPr>
          <w:rFonts w:ascii="Times New Roman" w:cs="Times New Roman" w:eastAsia="Times New Roman" w:hAnsi="Times New Roman"/>
          <w:sz w:val="20"/>
          <w:szCs w:val="20"/>
          <w:b w:val="1"/>
          <w:bCs w:val="1"/>
          <w:color w:val="auto"/>
        </w:rPr>
        <w:t>Alternative Minimum Taxable Income</w:t>
      </w:r>
      <w:r>
        <w:rPr>
          <w:rFonts w:ascii="Times New Roman" w:cs="Times New Roman" w:eastAsia="Times New Roman" w:hAnsi="Times New Roman"/>
          <w:sz w:val="20"/>
          <w:szCs w:val="20"/>
          <w:color w:val="auto"/>
        </w:rPr>
        <w:t>. Your AMTI is equal to your regular taxable income, subject to certain adjustments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increased by items of tax preference. Among the many adjustments made in computing AMTI are the following:</w:t>
      </w:r>
    </w:p>
    <w:p>
      <w:pPr>
        <w:spacing w:after="0" w:line="182" w:lineRule="exact"/>
        <w:rPr>
          <w:rFonts w:ascii="MS PGothic" w:cs="MS PGothic" w:eastAsia="MS PGothic" w:hAnsi="MS PGothic"/>
          <w:sz w:val="20"/>
          <w:szCs w:val="20"/>
          <w:color w:val="auto"/>
        </w:rPr>
      </w:pPr>
    </w:p>
    <w:p>
      <w:pPr>
        <w:ind w:left="1120" w:hanging="559"/>
        <w:spacing w:after="0"/>
        <w:tabs>
          <w:tab w:leader="none" w:pos="1120" w:val="left"/>
        </w:tabs>
        <w:numPr>
          <w:ilvl w:val="1"/>
          <w:numId w:val="284"/>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State and local income and property taxes are not allowed as a deduction.</w:t>
      </w:r>
    </w:p>
    <w:p>
      <w:pPr>
        <w:spacing w:after="0" w:line="256" w:lineRule="exact"/>
        <w:rPr>
          <w:rFonts w:ascii="MS PGothic" w:cs="MS PGothic" w:eastAsia="MS PGothic" w:hAnsi="MS PGothic"/>
          <w:sz w:val="20"/>
          <w:szCs w:val="20"/>
          <w:color w:val="auto"/>
        </w:rPr>
      </w:pPr>
    </w:p>
    <w:p>
      <w:pPr>
        <w:ind w:left="1120" w:hanging="559"/>
        <w:spacing w:after="0"/>
        <w:tabs>
          <w:tab w:leader="none" w:pos="1120" w:val="left"/>
        </w:tabs>
        <w:numPr>
          <w:ilvl w:val="1"/>
          <w:numId w:val="284"/>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Miscellaneous itemized deductions are not allowed.</w:t>
      </w:r>
    </w:p>
    <w:p>
      <w:pPr>
        <w:spacing w:after="0" w:line="256" w:lineRule="exact"/>
        <w:rPr>
          <w:rFonts w:ascii="MS PGothic" w:cs="MS PGothic" w:eastAsia="MS PGothic" w:hAnsi="MS PGothic"/>
          <w:sz w:val="20"/>
          <w:szCs w:val="20"/>
          <w:color w:val="auto"/>
        </w:rPr>
      </w:pPr>
    </w:p>
    <w:p>
      <w:pPr>
        <w:ind w:left="1120" w:hanging="559"/>
        <w:spacing w:after="0"/>
        <w:tabs>
          <w:tab w:leader="none" w:pos="1120" w:val="left"/>
        </w:tabs>
        <w:numPr>
          <w:ilvl w:val="1"/>
          <w:numId w:val="284"/>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Certain interest deductions are not allowed.</w:t>
      </w:r>
    </w:p>
    <w:p>
      <w:pPr>
        <w:spacing w:after="0" w:line="256" w:lineRule="exact"/>
        <w:rPr>
          <w:rFonts w:ascii="MS PGothic" w:cs="MS PGothic" w:eastAsia="MS PGothic" w:hAnsi="MS PGothic"/>
          <w:sz w:val="20"/>
          <w:szCs w:val="20"/>
          <w:color w:val="auto"/>
        </w:rPr>
      </w:pPr>
    </w:p>
    <w:p>
      <w:pPr>
        <w:ind w:left="1120" w:hanging="559"/>
        <w:spacing w:after="0"/>
        <w:tabs>
          <w:tab w:leader="none" w:pos="1120" w:val="left"/>
        </w:tabs>
        <w:numPr>
          <w:ilvl w:val="1"/>
          <w:numId w:val="284"/>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The standard deduction and personal exemptions are not allowed.</w:t>
      </w:r>
    </w:p>
    <w:p>
      <w:pPr>
        <w:spacing w:after="0" w:line="256" w:lineRule="exact"/>
        <w:rPr>
          <w:rFonts w:ascii="MS PGothic" w:cs="MS PGothic" w:eastAsia="MS PGothic" w:hAnsi="MS PGothic"/>
          <w:sz w:val="20"/>
          <w:szCs w:val="20"/>
          <w:color w:val="auto"/>
        </w:rPr>
      </w:pPr>
    </w:p>
    <w:p>
      <w:pPr>
        <w:ind w:left="1120" w:hanging="559"/>
        <w:spacing w:after="0"/>
        <w:tabs>
          <w:tab w:leader="none" w:pos="1120" w:val="left"/>
        </w:tabs>
        <w:numPr>
          <w:ilvl w:val="1"/>
          <w:numId w:val="284"/>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When an ISO is exercised, the spread is added to income for AMT purposes. (See discussion below.)</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240"/>
          </w:cols>
          <w:pgMar w:left="320" w:top="261" w:right="339" w:bottom="1440" w:gutter="0" w:footer="0" w:header="0"/>
        </w:sectPr>
      </w:pPr>
    </w:p>
    <w:bookmarkStart w:id="315" w:name="page316"/>
    <w:bookmarkEnd w:id="315"/>
    <w:tbl>
      <w:tblPr>
        <w:tblLayout w:type="fixed"/>
        <w:tblInd w:w="10" w:type="dxa"/>
        <w:tblCellMar>
          <w:top w:w="0" w:type="dxa"/>
          <w:left w:w="0" w:type="dxa"/>
          <w:bottom w:w="0" w:type="dxa"/>
          <w:right w:w="0" w:type="dxa"/>
        </w:tblCellMar>
      </w:tblPr>
      <w:tr>
        <w:trPr>
          <w:trHeight w:val="247"/>
        </w:trPr>
        <w:tc>
          <w:tcPr>
            <w:tcW w:w="380" w:type="dxa"/>
            <w:vAlign w:val="bottom"/>
          </w:tcPr>
          <w:p>
            <w:pPr>
              <w:spacing w:after="0" w:line="201" w:lineRule="exact"/>
              <w:rPr>
                <w:sz w:val="20"/>
                <w:szCs w:val="20"/>
                <w:color w:val="auto"/>
              </w:rPr>
            </w:pPr>
            <w:r>
              <w:rPr>
                <w:rFonts w:ascii="MS PGothic" w:cs="MS PGothic" w:eastAsia="MS PGothic" w:hAnsi="MS PGothic"/>
                <w:sz w:val="20"/>
                <w:szCs w:val="20"/>
                <w:color w:val="auto"/>
              </w:rPr>
              <w:t>☐</w:t>
            </w:r>
          </w:p>
        </w:tc>
        <w:tc>
          <w:tcPr>
            <w:tcW w:w="10880" w:type="dxa"/>
            <w:vAlign w:val="bottom"/>
            <w:gridSpan w:val="5"/>
          </w:tcPr>
          <w:p>
            <w:pPr>
              <w:ind w:left="180"/>
              <w:spacing w:after="0"/>
              <w:rPr>
                <w:sz w:val="20"/>
                <w:szCs w:val="20"/>
                <w:color w:val="auto"/>
              </w:rPr>
            </w:pPr>
            <w:r>
              <w:rPr>
                <w:rFonts w:ascii="Times New Roman" w:cs="Times New Roman" w:eastAsia="Times New Roman" w:hAnsi="Times New Roman"/>
                <w:sz w:val="20"/>
                <w:szCs w:val="20"/>
                <w:b w:val="1"/>
                <w:bCs w:val="1"/>
                <w:color w:val="auto"/>
              </w:rPr>
              <w:t>Exemption Amount</w:t>
            </w:r>
            <w:r>
              <w:rPr>
                <w:rFonts w:ascii="Times New Roman" w:cs="Times New Roman" w:eastAsia="Times New Roman" w:hAnsi="Times New Roman"/>
                <w:sz w:val="20"/>
                <w:szCs w:val="20"/>
                <w:color w:val="auto"/>
              </w:rPr>
              <w:t>. Before AMT is calculated, AMTI is reduced by the exemption amount. Under current law, the exemption</w:t>
            </w:r>
          </w:p>
        </w:tc>
      </w:tr>
      <w:tr>
        <w:trPr>
          <w:trHeight w:val="258"/>
        </w:trPr>
        <w:tc>
          <w:tcPr>
            <w:tcW w:w="380" w:type="dxa"/>
            <w:vAlign w:val="bottom"/>
          </w:tcPr>
          <w:p>
            <w:pPr>
              <w:spacing w:after="0"/>
              <w:rPr>
                <w:sz w:val="22"/>
                <w:szCs w:val="22"/>
                <w:color w:val="auto"/>
              </w:rPr>
            </w:pPr>
          </w:p>
        </w:tc>
        <w:tc>
          <w:tcPr>
            <w:tcW w:w="304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amount is as follows:</w:t>
            </w:r>
          </w:p>
        </w:tc>
        <w:tc>
          <w:tcPr>
            <w:tcW w:w="2340" w:type="dxa"/>
            <w:vAlign w:val="bottom"/>
          </w:tcPr>
          <w:p>
            <w:pPr>
              <w:spacing w:after="0"/>
              <w:rPr>
                <w:sz w:val="22"/>
                <w:szCs w:val="22"/>
                <w:color w:val="auto"/>
              </w:rPr>
            </w:pPr>
          </w:p>
        </w:tc>
        <w:tc>
          <w:tcPr>
            <w:tcW w:w="2800" w:type="dxa"/>
            <w:vAlign w:val="bottom"/>
          </w:tcPr>
          <w:p>
            <w:pPr>
              <w:spacing w:after="0"/>
              <w:rPr>
                <w:sz w:val="22"/>
                <w:szCs w:val="22"/>
                <w:color w:val="auto"/>
              </w:rPr>
            </w:pPr>
          </w:p>
        </w:tc>
        <w:tc>
          <w:tcPr>
            <w:tcW w:w="2700" w:type="dxa"/>
            <w:vAlign w:val="bottom"/>
          </w:tcPr>
          <w:p>
            <w:pPr>
              <w:spacing w:after="0"/>
              <w:rPr>
                <w:sz w:val="22"/>
                <w:szCs w:val="22"/>
                <w:color w:val="auto"/>
              </w:rPr>
            </w:pPr>
          </w:p>
        </w:tc>
      </w:tr>
      <w:tr>
        <w:trPr>
          <w:trHeight w:val="237"/>
        </w:trPr>
        <w:tc>
          <w:tcPr>
            <w:tcW w:w="38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tcPr>
          <w:p>
            <w:pPr>
              <w:spacing w:after="0"/>
              <w:rPr>
                <w:sz w:val="20"/>
                <w:szCs w:val="20"/>
                <w:color w:val="auto"/>
              </w:rPr>
            </w:pPr>
          </w:p>
        </w:tc>
        <w:tc>
          <w:tcPr>
            <w:tcW w:w="280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tcPr>
          <w:p>
            <w:pPr>
              <w:spacing w:after="0"/>
              <w:rPr>
                <w:sz w:val="20"/>
                <w:szCs w:val="20"/>
                <w:color w:val="auto"/>
              </w:rPr>
            </w:pPr>
          </w:p>
        </w:tc>
      </w:tr>
      <w:tr>
        <w:trPr>
          <w:trHeight w:val="223"/>
        </w:trPr>
        <w:tc>
          <w:tcPr>
            <w:tcW w:w="380" w:type="dxa"/>
            <w:vAlign w:val="bottom"/>
            <w:tcBorders>
              <w:left w:val="single" w:sz="8" w:color="auto"/>
              <w:bottom w:val="single" w:sz="8" w:color="auto"/>
            </w:tcBorders>
          </w:tcPr>
          <w:p>
            <w:pPr>
              <w:spacing w:after="0"/>
              <w:rPr>
                <w:sz w:val="19"/>
                <w:szCs w:val="19"/>
                <w:color w:val="auto"/>
              </w:rPr>
            </w:pPr>
          </w:p>
        </w:tc>
        <w:tc>
          <w:tcPr>
            <w:tcW w:w="2560" w:type="dxa"/>
            <w:vAlign w:val="bottom"/>
            <w:tcBorders>
              <w:bottom w:val="single" w:sz="8" w:color="auto"/>
              <w:right w:val="single" w:sz="8" w:color="auto"/>
            </w:tcBorders>
          </w:tcPr>
          <w:p>
            <w:pPr>
              <w:ind w:left="940"/>
              <w:spacing w:after="0" w:line="223" w:lineRule="exact"/>
              <w:rPr>
                <w:sz w:val="20"/>
                <w:szCs w:val="20"/>
                <w:color w:val="auto"/>
              </w:rPr>
            </w:pPr>
            <w:r>
              <w:rPr>
                <w:rFonts w:ascii="Times New Roman" w:cs="Times New Roman" w:eastAsia="Times New Roman" w:hAnsi="Times New Roman"/>
                <w:sz w:val="20"/>
                <w:szCs w:val="20"/>
                <w:b w:val="1"/>
                <w:bCs w:val="1"/>
                <w:color w:val="auto"/>
              </w:rPr>
              <w:t>Year:</w:t>
            </w:r>
          </w:p>
        </w:tc>
        <w:tc>
          <w:tcPr>
            <w:tcW w:w="480" w:type="dxa"/>
            <w:vAlign w:val="bottom"/>
            <w:tcBorders>
              <w:bottom w:val="single" w:sz="8" w:color="auto"/>
            </w:tcBorders>
          </w:tcPr>
          <w:p>
            <w:pPr>
              <w:spacing w:after="0"/>
              <w:rPr>
                <w:sz w:val="19"/>
                <w:szCs w:val="19"/>
                <w:color w:val="auto"/>
              </w:rPr>
            </w:pPr>
          </w:p>
        </w:tc>
        <w:tc>
          <w:tcPr>
            <w:tcW w:w="2340" w:type="dxa"/>
            <w:vAlign w:val="bottom"/>
            <w:tcBorders>
              <w:bottom w:val="single" w:sz="8" w:color="auto"/>
              <w:right w:val="single" w:sz="8" w:color="auto"/>
            </w:tcBorders>
          </w:tcPr>
          <w:p>
            <w:pPr>
              <w:ind w:left="360"/>
              <w:spacing w:after="0" w:line="223" w:lineRule="exact"/>
              <w:rPr>
                <w:sz w:val="20"/>
                <w:szCs w:val="20"/>
                <w:color w:val="auto"/>
              </w:rPr>
            </w:pPr>
            <w:r>
              <w:rPr>
                <w:rFonts w:ascii="Times New Roman" w:cs="Times New Roman" w:eastAsia="Times New Roman" w:hAnsi="Times New Roman"/>
                <w:sz w:val="20"/>
                <w:szCs w:val="20"/>
                <w:b w:val="1"/>
                <w:bCs w:val="1"/>
                <w:color w:val="auto"/>
              </w:rPr>
              <w:t>Joint Returns:</w:t>
            </w:r>
          </w:p>
        </w:tc>
        <w:tc>
          <w:tcPr>
            <w:tcW w:w="2800" w:type="dxa"/>
            <w:vAlign w:val="bottom"/>
            <w:tcBorders>
              <w:bottom w:val="single" w:sz="8" w:color="auto"/>
              <w:right w:val="single" w:sz="8" w:color="auto"/>
            </w:tcBorders>
          </w:tcPr>
          <w:p>
            <w:pPr>
              <w:ind w:left="780"/>
              <w:spacing w:after="0" w:line="223" w:lineRule="exact"/>
              <w:rPr>
                <w:sz w:val="20"/>
                <w:szCs w:val="20"/>
                <w:color w:val="auto"/>
              </w:rPr>
            </w:pPr>
            <w:r>
              <w:rPr>
                <w:rFonts w:ascii="Times New Roman" w:cs="Times New Roman" w:eastAsia="Times New Roman" w:hAnsi="Times New Roman"/>
                <w:sz w:val="20"/>
                <w:szCs w:val="20"/>
                <w:b w:val="1"/>
                <w:bCs w:val="1"/>
                <w:color w:val="auto"/>
              </w:rPr>
              <w:t>Single Returns:</w:t>
            </w:r>
          </w:p>
        </w:tc>
        <w:tc>
          <w:tcPr>
            <w:tcW w:w="2700" w:type="dxa"/>
            <w:vAlign w:val="bottom"/>
            <w:tcBorders>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b w:val="1"/>
                <w:bCs w:val="1"/>
                <w:color w:val="auto"/>
                <w:w w:val="98"/>
              </w:rPr>
              <w:t>Separate Returns:</w:t>
            </w:r>
          </w:p>
        </w:tc>
      </w:tr>
      <w:tr>
        <w:trPr>
          <w:trHeight w:val="223"/>
        </w:trPr>
        <w:tc>
          <w:tcPr>
            <w:tcW w:w="380" w:type="dxa"/>
            <w:vAlign w:val="bottom"/>
            <w:tcBorders>
              <w:left w:val="single" w:sz="8" w:color="auto"/>
              <w:bottom w:val="single" w:sz="8" w:color="auto"/>
            </w:tcBorders>
          </w:tcPr>
          <w:p>
            <w:pPr>
              <w:spacing w:after="0"/>
              <w:rPr>
                <w:sz w:val="19"/>
                <w:szCs w:val="19"/>
                <w:color w:val="auto"/>
              </w:rPr>
            </w:pPr>
          </w:p>
        </w:tc>
        <w:tc>
          <w:tcPr>
            <w:tcW w:w="2560" w:type="dxa"/>
            <w:vAlign w:val="bottom"/>
            <w:tcBorders>
              <w:bottom w:val="single" w:sz="8" w:color="auto"/>
              <w:right w:val="single" w:sz="8" w:color="auto"/>
            </w:tcBorders>
          </w:tcPr>
          <w:p>
            <w:pPr>
              <w:jc w:val="center"/>
              <w:ind w:right="141"/>
              <w:spacing w:after="0" w:line="223" w:lineRule="exact"/>
              <w:rPr>
                <w:sz w:val="20"/>
                <w:szCs w:val="20"/>
                <w:color w:val="auto"/>
              </w:rPr>
            </w:pPr>
            <w:r>
              <w:rPr>
                <w:rFonts w:ascii="Times New Roman" w:cs="Times New Roman" w:eastAsia="Times New Roman" w:hAnsi="Times New Roman"/>
                <w:sz w:val="20"/>
                <w:szCs w:val="20"/>
                <w:color w:val="auto"/>
                <w:w w:val="99"/>
              </w:rPr>
              <w:t>2015</w:t>
            </w:r>
            <w:r>
              <w:rPr>
                <w:rFonts w:ascii="Times New Roman" w:cs="Times New Roman" w:eastAsia="Times New Roman" w:hAnsi="Times New Roman"/>
                <w:sz w:val="16"/>
                <w:szCs w:val="16"/>
                <w:color w:val="auto"/>
                <w:w w:val="99"/>
              </w:rPr>
              <w:t>10</w:t>
            </w:r>
          </w:p>
        </w:tc>
        <w:tc>
          <w:tcPr>
            <w:tcW w:w="480" w:type="dxa"/>
            <w:vAlign w:val="bottom"/>
            <w:tcBorders>
              <w:bottom w:val="single" w:sz="8" w:color="auto"/>
            </w:tcBorders>
          </w:tcPr>
          <w:p>
            <w:pPr>
              <w:spacing w:after="0"/>
              <w:rPr>
                <w:sz w:val="19"/>
                <w:szCs w:val="19"/>
                <w:color w:val="auto"/>
              </w:rPr>
            </w:pPr>
          </w:p>
        </w:tc>
        <w:tc>
          <w:tcPr>
            <w:tcW w:w="2340" w:type="dxa"/>
            <w:vAlign w:val="bottom"/>
            <w:tcBorders>
              <w:bottom w:val="single" w:sz="8" w:color="auto"/>
              <w:right w:val="single" w:sz="8" w:color="auto"/>
            </w:tcBorders>
          </w:tcPr>
          <w:p>
            <w:pPr>
              <w:jc w:val="center"/>
              <w:ind w:right="301"/>
              <w:spacing w:after="0" w:line="223" w:lineRule="exact"/>
              <w:rPr>
                <w:sz w:val="20"/>
                <w:szCs w:val="20"/>
                <w:color w:val="auto"/>
              </w:rPr>
            </w:pPr>
            <w:r>
              <w:rPr>
                <w:rFonts w:ascii="Times New Roman" w:cs="Times New Roman" w:eastAsia="Times New Roman" w:hAnsi="Times New Roman"/>
                <w:sz w:val="20"/>
                <w:szCs w:val="20"/>
                <w:color w:val="auto"/>
              </w:rPr>
              <w:t>$83,400</w:t>
            </w:r>
          </w:p>
        </w:tc>
        <w:tc>
          <w:tcPr>
            <w:tcW w:w="2800" w:type="dxa"/>
            <w:vAlign w:val="bottom"/>
            <w:tcBorders>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8"/>
              </w:rPr>
              <w:t>$53,600</w:t>
            </w:r>
          </w:p>
        </w:tc>
        <w:tc>
          <w:tcPr>
            <w:tcW w:w="2700" w:type="dxa"/>
            <w:vAlign w:val="bottom"/>
            <w:tcBorders>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8"/>
              </w:rPr>
              <w:t>$41,700</w:t>
            </w:r>
          </w:p>
        </w:tc>
      </w:tr>
      <w:tr>
        <w:trPr>
          <w:trHeight w:val="223"/>
        </w:trPr>
        <w:tc>
          <w:tcPr>
            <w:tcW w:w="380" w:type="dxa"/>
            <w:vAlign w:val="bottom"/>
            <w:tcBorders>
              <w:left w:val="single" w:sz="8" w:color="auto"/>
              <w:bottom w:val="single" w:sz="8" w:color="auto"/>
            </w:tcBorders>
          </w:tcPr>
          <w:p>
            <w:pPr>
              <w:spacing w:after="0"/>
              <w:rPr>
                <w:sz w:val="19"/>
                <w:szCs w:val="19"/>
                <w:color w:val="auto"/>
              </w:rPr>
            </w:pPr>
          </w:p>
        </w:tc>
        <w:tc>
          <w:tcPr>
            <w:tcW w:w="2560" w:type="dxa"/>
            <w:vAlign w:val="bottom"/>
            <w:tcBorders>
              <w:bottom w:val="single" w:sz="8" w:color="auto"/>
              <w:right w:val="single" w:sz="8" w:color="auto"/>
            </w:tcBorders>
          </w:tcPr>
          <w:p>
            <w:pPr>
              <w:jc w:val="center"/>
              <w:ind w:right="141"/>
              <w:spacing w:after="0" w:line="223" w:lineRule="exact"/>
              <w:rPr>
                <w:sz w:val="20"/>
                <w:szCs w:val="20"/>
                <w:color w:val="auto"/>
              </w:rPr>
            </w:pPr>
            <w:r>
              <w:rPr>
                <w:rFonts w:ascii="Times New Roman" w:cs="Times New Roman" w:eastAsia="Times New Roman" w:hAnsi="Times New Roman"/>
                <w:sz w:val="20"/>
                <w:szCs w:val="20"/>
                <w:color w:val="auto"/>
                <w:w w:val="99"/>
              </w:rPr>
              <w:t>2016</w:t>
            </w:r>
          </w:p>
        </w:tc>
        <w:tc>
          <w:tcPr>
            <w:tcW w:w="480" w:type="dxa"/>
            <w:vAlign w:val="bottom"/>
            <w:tcBorders>
              <w:bottom w:val="single" w:sz="8" w:color="auto"/>
            </w:tcBorders>
          </w:tcPr>
          <w:p>
            <w:pPr>
              <w:spacing w:after="0"/>
              <w:rPr>
                <w:sz w:val="19"/>
                <w:szCs w:val="19"/>
                <w:color w:val="auto"/>
              </w:rPr>
            </w:pPr>
          </w:p>
        </w:tc>
        <w:tc>
          <w:tcPr>
            <w:tcW w:w="2340" w:type="dxa"/>
            <w:vAlign w:val="bottom"/>
            <w:tcBorders>
              <w:bottom w:val="single" w:sz="8" w:color="auto"/>
              <w:right w:val="single" w:sz="8" w:color="auto"/>
            </w:tcBorders>
          </w:tcPr>
          <w:p>
            <w:pPr>
              <w:jc w:val="center"/>
              <w:ind w:right="301"/>
              <w:spacing w:after="0" w:line="223" w:lineRule="exact"/>
              <w:rPr>
                <w:sz w:val="20"/>
                <w:szCs w:val="20"/>
                <w:color w:val="auto"/>
              </w:rPr>
            </w:pPr>
            <w:r>
              <w:rPr>
                <w:rFonts w:ascii="Times New Roman" w:cs="Times New Roman" w:eastAsia="Times New Roman" w:hAnsi="Times New Roman"/>
                <w:sz w:val="20"/>
                <w:szCs w:val="20"/>
                <w:color w:val="auto"/>
              </w:rPr>
              <w:t>$83,800</w:t>
            </w:r>
          </w:p>
        </w:tc>
        <w:tc>
          <w:tcPr>
            <w:tcW w:w="2800" w:type="dxa"/>
            <w:vAlign w:val="bottom"/>
            <w:tcBorders>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8"/>
              </w:rPr>
              <w:t>$53,900</w:t>
            </w:r>
          </w:p>
        </w:tc>
        <w:tc>
          <w:tcPr>
            <w:tcW w:w="2700" w:type="dxa"/>
            <w:vAlign w:val="bottom"/>
            <w:tcBorders>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8"/>
              </w:rPr>
              <w:t>$41,900</w:t>
            </w:r>
          </w:p>
        </w:tc>
      </w:tr>
      <w:tr>
        <w:trPr>
          <w:trHeight w:val="416"/>
        </w:trPr>
        <w:tc>
          <w:tcPr>
            <w:tcW w:w="380" w:type="dxa"/>
            <w:vAlign w:val="bottom"/>
          </w:tcPr>
          <w:p>
            <w:pPr>
              <w:spacing w:after="0"/>
              <w:rPr>
                <w:sz w:val="24"/>
                <w:szCs w:val="24"/>
                <w:color w:val="auto"/>
              </w:rPr>
            </w:pPr>
          </w:p>
        </w:tc>
        <w:tc>
          <w:tcPr>
            <w:tcW w:w="10880" w:type="dxa"/>
            <w:vAlign w:val="bottom"/>
            <w:gridSpan w:val="5"/>
          </w:tcPr>
          <w:p>
            <w:pPr>
              <w:ind w:left="180"/>
              <w:spacing w:after="0"/>
              <w:rPr>
                <w:sz w:val="20"/>
                <w:szCs w:val="20"/>
                <w:color w:val="auto"/>
              </w:rPr>
            </w:pPr>
            <w:r>
              <w:rPr>
                <w:rFonts w:ascii="Times New Roman" w:cs="Times New Roman" w:eastAsia="Times New Roman" w:hAnsi="Times New Roman"/>
                <w:sz w:val="20"/>
                <w:szCs w:val="20"/>
                <w:color w:val="auto"/>
              </w:rPr>
              <w:t>The allowable exemption amount is reduced by $0.25 for each $1.00 by which alternative minimum taxable income for the year</w:t>
            </w:r>
          </w:p>
        </w:tc>
      </w:tr>
      <w:tr>
        <w:trPr>
          <w:trHeight w:val="258"/>
        </w:trPr>
        <w:tc>
          <w:tcPr>
            <w:tcW w:w="380" w:type="dxa"/>
            <w:vAlign w:val="bottom"/>
          </w:tcPr>
          <w:p>
            <w:pPr>
              <w:spacing w:after="0"/>
              <w:rPr>
                <w:sz w:val="22"/>
                <w:szCs w:val="22"/>
                <w:color w:val="auto"/>
              </w:rPr>
            </w:pPr>
          </w:p>
        </w:tc>
        <w:tc>
          <w:tcPr>
            <w:tcW w:w="304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exceeds the following amounts:</w:t>
            </w:r>
          </w:p>
        </w:tc>
        <w:tc>
          <w:tcPr>
            <w:tcW w:w="2340" w:type="dxa"/>
            <w:vAlign w:val="bottom"/>
          </w:tcPr>
          <w:p>
            <w:pPr>
              <w:spacing w:after="0"/>
              <w:rPr>
                <w:sz w:val="22"/>
                <w:szCs w:val="22"/>
                <w:color w:val="auto"/>
              </w:rPr>
            </w:pPr>
          </w:p>
        </w:tc>
        <w:tc>
          <w:tcPr>
            <w:tcW w:w="2800" w:type="dxa"/>
            <w:vAlign w:val="bottom"/>
          </w:tcPr>
          <w:p>
            <w:pPr>
              <w:spacing w:after="0"/>
              <w:rPr>
                <w:sz w:val="22"/>
                <w:szCs w:val="22"/>
                <w:color w:val="auto"/>
              </w:rPr>
            </w:pPr>
          </w:p>
        </w:tc>
        <w:tc>
          <w:tcPr>
            <w:tcW w:w="2700" w:type="dxa"/>
            <w:vAlign w:val="bottom"/>
          </w:tcPr>
          <w:p>
            <w:pPr>
              <w:spacing w:after="0"/>
              <w:rPr>
                <w:sz w:val="22"/>
                <w:szCs w:val="22"/>
                <w:color w:val="auto"/>
              </w:rPr>
            </w:pPr>
          </w:p>
        </w:tc>
      </w:tr>
      <w:tr>
        <w:trPr>
          <w:trHeight w:val="237"/>
        </w:trPr>
        <w:tc>
          <w:tcPr>
            <w:tcW w:w="38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tcPr>
          <w:p>
            <w:pPr>
              <w:spacing w:after="0"/>
              <w:rPr>
                <w:sz w:val="20"/>
                <w:szCs w:val="20"/>
                <w:color w:val="auto"/>
              </w:rPr>
            </w:pPr>
          </w:p>
        </w:tc>
        <w:tc>
          <w:tcPr>
            <w:tcW w:w="280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tcPr>
          <w:p>
            <w:pPr>
              <w:spacing w:after="0"/>
              <w:rPr>
                <w:sz w:val="20"/>
                <w:szCs w:val="20"/>
                <w:color w:val="auto"/>
              </w:rPr>
            </w:pPr>
          </w:p>
        </w:tc>
      </w:tr>
      <w:tr>
        <w:trPr>
          <w:trHeight w:val="223"/>
        </w:trPr>
        <w:tc>
          <w:tcPr>
            <w:tcW w:w="380" w:type="dxa"/>
            <w:vAlign w:val="bottom"/>
            <w:tcBorders>
              <w:left w:val="single" w:sz="8" w:color="auto"/>
              <w:bottom w:val="single" w:sz="8" w:color="auto"/>
            </w:tcBorders>
          </w:tcPr>
          <w:p>
            <w:pPr>
              <w:spacing w:after="0"/>
              <w:rPr>
                <w:sz w:val="19"/>
                <w:szCs w:val="19"/>
                <w:color w:val="auto"/>
              </w:rPr>
            </w:pPr>
          </w:p>
        </w:tc>
        <w:tc>
          <w:tcPr>
            <w:tcW w:w="2560" w:type="dxa"/>
            <w:vAlign w:val="bottom"/>
            <w:tcBorders>
              <w:bottom w:val="single" w:sz="8" w:color="auto"/>
              <w:right w:val="single" w:sz="8" w:color="auto"/>
            </w:tcBorders>
          </w:tcPr>
          <w:p>
            <w:pPr>
              <w:ind w:left="940"/>
              <w:spacing w:after="0" w:line="223" w:lineRule="exact"/>
              <w:rPr>
                <w:sz w:val="20"/>
                <w:szCs w:val="20"/>
                <w:color w:val="auto"/>
              </w:rPr>
            </w:pPr>
            <w:r>
              <w:rPr>
                <w:rFonts w:ascii="Times New Roman" w:cs="Times New Roman" w:eastAsia="Times New Roman" w:hAnsi="Times New Roman"/>
                <w:sz w:val="20"/>
                <w:szCs w:val="20"/>
                <w:b w:val="1"/>
                <w:bCs w:val="1"/>
                <w:color w:val="auto"/>
              </w:rPr>
              <w:t>Year:</w:t>
            </w:r>
          </w:p>
        </w:tc>
        <w:tc>
          <w:tcPr>
            <w:tcW w:w="480" w:type="dxa"/>
            <w:vAlign w:val="bottom"/>
            <w:tcBorders>
              <w:bottom w:val="single" w:sz="8" w:color="auto"/>
            </w:tcBorders>
          </w:tcPr>
          <w:p>
            <w:pPr>
              <w:spacing w:after="0"/>
              <w:rPr>
                <w:sz w:val="19"/>
                <w:szCs w:val="19"/>
                <w:color w:val="auto"/>
              </w:rPr>
            </w:pPr>
          </w:p>
        </w:tc>
        <w:tc>
          <w:tcPr>
            <w:tcW w:w="2340" w:type="dxa"/>
            <w:vAlign w:val="bottom"/>
            <w:tcBorders>
              <w:bottom w:val="single" w:sz="8" w:color="auto"/>
              <w:right w:val="single" w:sz="8" w:color="auto"/>
            </w:tcBorders>
          </w:tcPr>
          <w:p>
            <w:pPr>
              <w:ind w:left="360"/>
              <w:spacing w:after="0" w:line="223" w:lineRule="exact"/>
              <w:rPr>
                <w:sz w:val="20"/>
                <w:szCs w:val="20"/>
                <w:color w:val="auto"/>
              </w:rPr>
            </w:pPr>
            <w:r>
              <w:rPr>
                <w:rFonts w:ascii="Times New Roman" w:cs="Times New Roman" w:eastAsia="Times New Roman" w:hAnsi="Times New Roman"/>
                <w:sz w:val="20"/>
                <w:szCs w:val="20"/>
                <w:b w:val="1"/>
                <w:bCs w:val="1"/>
                <w:color w:val="auto"/>
              </w:rPr>
              <w:t>Joint Returns:</w:t>
            </w:r>
          </w:p>
        </w:tc>
        <w:tc>
          <w:tcPr>
            <w:tcW w:w="2800" w:type="dxa"/>
            <w:vAlign w:val="bottom"/>
            <w:tcBorders>
              <w:bottom w:val="single" w:sz="8" w:color="auto"/>
              <w:right w:val="single" w:sz="8" w:color="auto"/>
            </w:tcBorders>
          </w:tcPr>
          <w:p>
            <w:pPr>
              <w:ind w:left="780"/>
              <w:spacing w:after="0" w:line="223" w:lineRule="exact"/>
              <w:rPr>
                <w:sz w:val="20"/>
                <w:szCs w:val="20"/>
                <w:color w:val="auto"/>
              </w:rPr>
            </w:pPr>
            <w:r>
              <w:rPr>
                <w:rFonts w:ascii="Times New Roman" w:cs="Times New Roman" w:eastAsia="Times New Roman" w:hAnsi="Times New Roman"/>
                <w:sz w:val="20"/>
                <w:szCs w:val="20"/>
                <w:b w:val="1"/>
                <w:bCs w:val="1"/>
                <w:color w:val="auto"/>
              </w:rPr>
              <w:t>Single Returns:</w:t>
            </w:r>
          </w:p>
        </w:tc>
        <w:tc>
          <w:tcPr>
            <w:tcW w:w="2700" w:type="dxa"/>
            <w:vAlign w:val="bottom"/>
            <w:tcBorders>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b w:val="1"/>
                <w:bCs w:val="1"/>
                <w:color w:val="auto"/>
                <w:w w:val="98"/>
              </w:rPr>
              <w:t>Separate Returns:</w:t>
            </w:r>
          </w:p>
        </w:tc>
      </w:tr>
      <w:tr>
        <w:trPr>
          <w:trHeight w:val="223"/>
        </w:trPr>
        <w:tc>
          <w:tcPr>
            <w:tcW w:w="380" w:type="dxa"/>
            <w:vAlign w:val="bottom"/>
            <w:tcBorders>
              <w:left w:val="single" w:sz="8" w:color="auto"/>
              <w:bottom w:val="single" w:sz="8" w:color="auto"/>
            </w:tcBorders>
          </w:tcPr>
          <w:p>
            <w:pPr>
              <w:spacing w:after="0"/>
              <w:rPr>
                <w:sz w:val="19"/>
                <w:szCs w:val="19"/>
                <w:color w:val="auto"/>
              </w:rPr>
            </w:pPr>
          </w:p>
        </w:tc>
        <w:tc>
          <w:tcPr>
            <w:tcW w:w="2560" w:type="dxa"/>
            <w:vAlign w:val="bottom"/>
            <w:tcBorders>
              <w:bottom w:val="single" w:sz="8" w:color="auto"/>
              <w:right w:val="single" w:sz="8" w:color="auto"/>
            </w:tcBorders>
          </w:tcPr>
          <w:p>
            <w:pPr>
              <w:jc w:val="center"/>
              <w:ind w:right="141"/>
              <w:spacing w:after="0" w:line="223" w:lineRule="exact"/>
              <w:rPr>
                <w:sz w:val="20"/>
                <w:szCs w:val="20"/>
                <w:color w:val="auto"/>
              </w:rPr>
            </w:pPr>
            <w:r>
              <w:rPr>
                <w:rFonts w:ascii="Times New Roman" w:cs="Times New Roman" w:eastAsia="Times New Roman" w:hAnsi="Times New Roman"/>
                <w:sz w:val="20"/>
                <w:szCs w:val="20"/>
                <w:color w:val="auto"/>
                <w:w w:val="99"/>
              </w:rPr>
              <w:t>2015</w:t>
            </w:r>
            <w:r>
              <w:rPr>
                <w:rFonts w:ascii="Times New Roman" w:cs="Times New Roman" w:eastAsia="Times New Roman" w:hAnsi="Times New Roman"/>
                <w:sz w:val="16"/>
                <w:szCs w:val="16"/>
                <w:color w:val="auto"/>
                <w:w w:val="99"/>
              </w:rPr>
              <w:t>11</w:t>
            </w:r>
          </w:p>
        </w:tc>
        <w:tc>
          <w:tcPr>
            <w:tcW w:w="480" w:type="dxa"/>
            <w:vAlign w:val="bottom"/>
            <w:tcBorders>
              <w:bottom w:val="single" w:sz="8" w:color="auto"/>
            </w:tcBorders>
          </w:tcPr>
          <w:p>
            <w:pPr>
              <w:spacing w:after="0"/>
              <w:rPr>
                <w:sz w:val="19"/>
                <w:szCs w:val="19"/>
                <w:color w:val="auto"/>
              </w:rPr>
            </w:pPr>
          </w:p>
        </w:tc>
        <w:tc>
          <w:tcPr>
            <w:tcW w:w="2340" w:type="dxa"/>
            <w:vAlign w:val="bottom"/>
            <w:tcBorders>
              <w:bottom w:val="single" w:sz="8" w:color="auto"/>
              <w:right w:val="single" w:sz="8" w:color="auto"/>
            </w:tcBorders>
          </w:tcPr>
          <w:p>
            <w:pPr>
              <w:jc w:val="center"/>
              <w:ind w:right="301"/>
              <w:spacing w:after="0" w:line="223" w:lineRule="exact"/>
              <w:rPr>
                <w:sz w:val="20"/>
                <w:szCs w:val="20"/>
                <w:color w:val="auto"/>
              </w:rPr>
            </w:pPr>
            <w:r>
              <w:rPr>
                <w:rFonts w:ascii="Times New Roman" w:cs="Times New Roman" w:eastAsia="Times New Roman" w:hAnsi="Times New Roman"/>
                <w:sz w:val="20"/>
                <w:szCs w:val="20"/>
                <w:color w:val="auto"/>
                <w:w w:val="98"/>
              </w:rPr>
              <w:t>$158,900</w:t>
            </w:r>
          </w:p>
        </w:tc>
        <w:tc>
          <w:tcPr>
            <w:tcW w:w="2800" w:type="dxa"/>
            <w:vAlign w:val="bottom"/>
            <w:tcBorders>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8"/>
              </w:rPr>
              <w:t>$119,200</w:t>
            </w:r>
          </w:p>
        </w:tc>
        <w:tc>
          <w:tcPr>
            <w:tcW w:w="2700" w:type="dxa"/>
            <w:vAlign w:val="bottom"/>
            <w:tcBorders>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8"/>
              </w:rPr>
              <w:t>$79,450</w:t>
            </w:r>
          </w:p>
        </w:tc>
      </w:tr>
      <w:tr>
        <w:trPr>
          <w:trHeight w:val="223"/>
        </w:trPr>
        <w:tc>
          <w:tcPr>
            <w:tcW w:w="380" w:type="dxa"/>
            <w:vAlign w:val="bottom"/>
            <w:tcBorders>
              <w:left w:val="single" w:sz="8" w:color="auto"/>
              <w:bottom w:val="single" w:sz="8" w:color="auto"/>
            </w:tcBorders>
          </w:tcPr>
          <w:p>
            <w:pPr>
              <w:spacing w:after="0"/>
              <w:rPr>
                <w:sz w:val="19"/>
                <w:szCs w:val="19"/>
                <w:color w:val="auto"/>
              </w:rPr>
            </w:pPr>
          </w:p>
        </w:tc>
        <w:tc>
          <w:tcPr>
            <w:tcW w:w="2560" w:type="dxa"/>
            <w:vAlign w:val="bottom"/>
            <w:tcBorders>
              <w:bottom w:val="single" w:sz="8" w:color="auto"/>
              <w:right w:val="single" w:sz="8" w:color="auto"/>
            </w:tcBorders>
          </w:tcPr>
          <w:p>
            <w:pPr>
              <w:jc w:val="center"/>
              <w:ind w:right="141"/>
              <w:spacing w:after="0" w:line="223" w:lineRule="exact"/>
              <w:rPr>
                <w:sz w:val="20"/>
                <w:szCs w:val="20"/>
                <w:color w:val="auto"/>
              </w:rPr>
            </w:pPr>
            <w:r>
              <w:rPr>
                <w:rFonts w:ascii="Times New Roman" w:cs="Times New Roman" w:eastAsia="Times New Roman" w:hAnsi="Times New Roman"/>
                <w:sz w:val="20"/>
                <w:szCs w:val="20"/>
                <w:color w:val="auto"/>
                <w:w w:val="99"/>
              </w:rPr>
              <w:t>2016</w:t>
            </w:r>
          </w:p>
        </w:tc>
        <w:tc>
          <w:tcPr>
            <w:tcW w:w="480" w:type="dxa"/>
            <w:vAlign w:val="bottom"/>
            <w:tcBorders>
              <w:bottom w:val="single" w:sz="8" w:color="auto"/>
            </w:tcBorders>
          </w:tcPr>
          <w:p>
            <w:pPr>
              <w:spacing w:after="0"/>
              <w:rPr>
                <w:sz w:val="19"/>
                <w:szCs w:val="19"/>
                <w:color w:val="auto"/>
              </w:rPr>
            </w:pPr>
          </w:p>
        </w:tc>
        <w:tc>
          <w:tcPr>
            <w:tcW w:w="2340" w:type="dxa"/>
            <w:vAlign w:val="bottom"/>
            <w:tcBorders>
              <w:bottom w:val="single" w:sz="8" w:color="auto"/>
              <w:right w:val="single" w:sz="8" w:color="auto"/>
            </w:tcBorders>
          </w:tcPr>
          <w:p>
            <w:pPr>
              <w:jc w:val="center"/>
              <w:ind w:right="301"/>
              <w:spacing w:after="0" w:line="223" w:lineRule="exact"/>
              <w:rPr>
                <w:sz w:val="20"/>
                <w:szCs w:val="20"/>
                <w:color w:val="auto"/>
              </w:rPr>
            </w:pPr>
            <w:r>
              <w:rPr>
                <w:rFonts w:ascii="Times New Roman" w:cs="Times New Roman" w:eastAsia="Times New Roman" w:hAnsi="Times New Roman"/>
                <w:sz w:val="20"/>
                <w:szCs w:val="20"/>
                <w:color w:val="auto"/>
                <w:w w:val="98"/>
              </w:rPr>
              <w:t>$159,700</w:t>
            </w:r>
          </w:p>
        </w:tc>
        <w:tc>
          <w:tcPr>
            <w:tcW w:w="2800" w:type="dxa"/>
            <w:vAlign w:val="bottom"/>
            <w:tcBorders>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8"/>
              </w:rPr>
              <w:t>$119,700</w:t>
            </w:r>
          </w:p>
        </w:tc>
        <w:tc>
          <w:tcPr>
            <w:tcW w:w="2700" w:type="dxa"/>
            <w:vAlign w:val="bottom"/>
            <w:tcBorders>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8"/>
              </w:rPr>
              <w:t>$79,850</w:t>
            </w:r>
          </w:p>
        </w:tc>
      </w:tr>
    </w:tbl>
    <w:p>
      <w:pPr>
        <w:spacing w:after="0" w:line="19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ind w:left="560" w:right="20"/>
        <w:spacing w:after="0" w:line="269" w:lineRule="auto"/>
        <w:rPr>
          <w:sz w:val="20"/>
          <w:szCs w:val="20"/>
          <w:color w:val="auto"/>
        </w:rPr>
      </w:pPr>
      <w:r>
        <w:rPr>
          <w:rFonts w:ascii="Times New Roman" w:cs="Times New Roman" w:eastAsia="Times New Roman" w:hAnsi="Times New Roman"/>
          <w:sz w:val="20"/>
          <w:szCs w:val="20"/>
          <w:color w:val="auto"/>
        </w:rPr>
        <w:t>This means, for example, in 2016, the $83,800 exemption amount is phased out completely for married individuals filing joint returns when their alternative minimum taxable income reaches $494,900 [($83,800 ÷ $0.25) + $159,700].</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Application of AMT When ISO Is Exercised</w:t>
      </w:r>
    </w:p>
    <w:p>
      <w:pPr>
        <w:spacing w:after="0" w:line="220" w:lineRule="exact"/>
        <w:rPr>
          <w:sz w:val="20"/>
          <w:szCs w:val="20"/>
          <w:color w:val="auto"/>
        </w:rPr>
      </w:pPr>
    </w:p>
    <w:p>
      <w:pPr>
        <w:jc w:val="both"/>
        <w:ind w:right="20"/>
        <w:spacing w:after="0" w:line="246" w:lineRule="auto"/>
        <w:rPr>
          <w:sz w:val="20"/>
          <w:szCs w:val="20"/>
          <w:color w:val="auto"/>
        </w:rPr>
      </w:pPr>
      <w:r>
        <w:rPr>
          <w:rFonts w:ascii="Times New Roman" w:cs="Times New Roman" w:eastAsia="Times New Roman" w:hAnsi="Times New Roman"/>
          <w:sz w:val="20"/>
          <w:szCs w:val="20"/>
          <w:color w:val="auto"/>
        </w:rPr>
        <w:t xml:space="preserve">As noted above, when an ISO is exercised, the spread is included in AMTI at the time of exercise, unless the Purchased Shares are not yet vested at the time of exercise. If the Purchased Shares are not yet vested, the value of the shares minus the exercise price is included in AMTI when the shares vest. However, if you make an election under section 83(b) within 30 days after exercise, then the spread is included in AMTI at the time of exercise. </w:t>
      </w:r>
      <w:r>
        <w:rPr>
          <w:rFonts w:ascii="Times New Roman" w:cs="Times New Roman" w:eastAsia="Times New Roman" w:hAnsi="Times New Roman"/>
          <w:sz w:val="20"/>
          <w:szCs w:val="20"/>
          <w:b w:val="1"/>
          <w:bCs w:val="1"/>
          <w:u w:val="single" w:color="auto"/>
          <w:color w:val="auto"/>
        </w:rPr>
        <w:t>Y</w:t>
      </w:r>
      <w:r>
        <w:rPr>
          <w:rFonts w:ascii="Times New Roman" w:cs="Times New Roman" w:eastAsia="Times New Roman" w:hAnsi="Times New Roman"/>
          <w:sz w:val="16"/>
          <w:szCs w:val="16"/>
          <w:b w:val="1"/>
          <w:bCs w:val="1"/>
          <w:u w:val="single" w:color="auto"/>
          <w:color w:val="auto"/>
        </w:rPr>
        <w:t>OU MUST FILE AN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u w:val="single" w:color="auto"/>
          <w:color w:val="auto"/>
        </w:rPr>
        <w:t>83(b)</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16"/>
          <w:szCs w:val="16"/>
          <w:b w:val="1"/>
          <w:bCs w:val="1"/>
          <w:u w:val="single" w:color="auto"/>
          <w:color w:val="auto"/>
        </w:rPr>
        <w:t>ELECTION WITH THE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u w:val="single" w:color="auto"/>
          <w:color w:val="auto"/>
        </w:rPr>
        <w:t>I</w:t>
      </w:r>
      <w:r>
        <w:rPr>
          <w:rFonts w:ascii="Times New Roman" w:cs="Times New Roman" w:eastAsia="Times New Roman" w:hAnsi="Times New Roman"/>
          <w:sz w:val="16"/>
          <w:szCs w:val="16"/>
          <w:b w:val="1"/>
          <w:bCs w:val="1"/>
          <w:u w:val="single" w:color="auto"/>
          <w:color w:val="auto"/>
        </w:rPr>
        <w:t>NTERNAL</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u w:val="single" w:color="auto"/>
          <w:color w:val="auto"/>
        </w:rPr>
        <w:t>R</w:t>
      </w:r>
      <w:r>
        <w:rPr>
          <w:rFonts w:ascii="Times New Roman" w:cs="Times New Roman" w:eastAsia="Times New Roman" w:hAnsi="Times New Roman"/>
          <w:sz w:val="16"/>
          <w:szCs w:val="16"/>
          <w:b w:val="1"/>
          <w:bCs w:val="1"/>
          <w:u w:val="single" w:color="auto"/>
          <w:color w:val="auto"/>
        </w:rPr>
        <w:t>EVENUE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u w:val="single" w:color="auto"/>
          <w:color w:val="auto"/>
        </w:rPr>
        <w:t>S</w:t>
      </w:r>
      <w:r>
        <w:rPr>
          <w:rFonts w:ascii="Times New Roman" w:cs="Times New Roman" w:eastAsia="Times New Roman" w:hAnsi="Times New Roman"/>
          <w:sz w:val="16"/>
          <w:szCs w:val="16"/>
          <w:b w:val="1"/>
          <w:bCs w:val="1"/>
          <w:u w:val="single" w:color="auto"/>
          <w:color w:val="auto"/>
        </w:rPr>
        <w:t>ERVICE WITHIN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u w:val="single" w:color="auto"/>
          <w:color w:val="auto"/>
        </w:rPr>
        <w:t>30</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16"/>
          <w:szCs w:val="16"/>
          <w:b w:val="1"/>
          <w:bCs w:val="1"/>
          <w:u w:val="single" w:color="auto"/>
          <w:color w:val="auto"/>
        </w:rPr>
        <w:t>DAYS AFTER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16"/>
          <w:szCs w:val="16"/>
          <w:b w:val="1"/>
          <w:bCs w:val="1"/>
          <w:u w:val="single" w:color="auto"/>
          <w:color w:val="auto"/>
        </w:rPr>
        <w:t>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9"/>
          <w:szCs w:val="19"/>
          <w:b w:val="1"/>
          <w:bCs w:val="1"/>
          <w:u w:val="single" w:color="auto"/>
          <w:color w:val="auto"/>
        </w:rPr>
        <w:t>N</w:t>
      </w:r>
      <w:r>
        <w:rPr>
          <w:rFonts w:ascii="Times New Roman" w:cs="Times New Roman" w:eastAsia="Times New Roman" w:hAnsi="Times New Roman"/>
          <w:sz w:val="16"/>
          <w:szCs w:val="16"/>
          <w:b w:val="1"/>
          <w:bCs w:val="1"/>
          <w:u w:val="single" w:color="auto"/>
          <w:color w:val="auto"/>
        </w:rPr>
        <w:t>OTICE OF</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9"/>
          <w:szCs w:val="19"/>
          <w:b w:val="1"/>
          <w:bCs w:val="1"/>
          <w:u w:val="single" w:color="auto"/>
          <w:color w:val="auto"/>
        </w:rPr>
        <w:t>S</w:t>
      </w:r>
      <w:r>
        <w:rPr>
          <w:rFonts w:ascii="Times New Roman" w:cs="Times New Roman" w:eastAsia="Times New Roman" w:hAnsi="Times New Roman"/>
          <w:sz w:val="16"/>
          <w:szCs w:val="16"/>
          <w:b w:val="1"/>
          <w:bCs w:val="1"/>
          <w:u w:val="single" w:color="auto"/>
          <w:color w:val="auto"/>
        </w:rPr>
        <w:t>TOCK</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9"/>
          <w:szCs w:val="19"/>
          <w:b w:val="1"/>
          <w:bCs w:val="1"/>
          <w:u w:val="single" w:color="auto"/>
          <w:color w:val="auto"/>
        </w:rPr>
        <w:t>O</w:t>
      </w:r>
      <w:r>
        <w:rPr>
          <w:rFonts w:ascii="Times New Roman" w:cs="Times New Roman" w:eastAsia="Times New Roman" w:hAnsi="Times New Roman"/>
          <w:sz w:val="16"/>
          <w:szCs w:val="16"/>
          <w:b w:val="1"/>
          <w:bCs w:val="1"/>
          <w:u w:val="single" w:color="auto"/>
          <w:color w:val="auto"/>
        </w:rPr>
        <w:t>PTION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9"/>
          <w:szCs w:val="19"/>
          <w:b w:val="1"/>
          <w:bCs w:val="1"/>
          <w:u w:val="single" w:color="auto"/>
          <w:color w:val="auto"/>
        </w:rPr>
        <w:t>E</w:t>
      </w:r>
      <w:r>
        <w:rPr>
          <w:rFonts w:ascii="Times New Roman" w:cs="Times New Roman" w:eastAsia="Times New Roman" w:hAnsi="Times New Roman"/>
          <w:sz w:val="16"/>
          <w:szCs w:val="16"/>
          <w:b w:val="1"/>
          <w:bCs w:val="1"/>
          <w:u w:val="single" w:color="auto"/>
          <w:color w:val="auto"/>
        </w:rPr>
        <w:t>XERCISE IS SIGNED</w:t>
      </w:r>
      <w:r>
        <w:rPr>
          <w:rFonts w:ascii="Times New Roman" w:cs="Times New Roman" w:eastAsia="Times New Roman" w:hAnsi="Times New Roman"/>
          <w:sz w:val="19"/>
          <w:szCs w:val="19"/>
          <w:color w:val="auto"/>
        </w:rPr>
        <w:t>. The 30-day filing period cannot be extended.</w:t>
      </w:r>
    </w:p>
    <w:p>
      <w:pPr>
        <w:spacing w:after="0" w:line="185"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t>A special rule applies if you dispose of the Purchased Shares in the same year in which you exercised the ISO. If the amount you realize on the sale is less than the value of the stock at the time of exercise, then the amount includible in AMTI on account of the ISO exercise is limited to the gain realized on the sale.</w:t>
      </w:r>
      <w:r>
        <w:rPr>
          <w:rFonts w:ascii="Times New Roman" w:cs="Times New Roman" w:eastAsia="Times New Roman" w:hAnsi="Times New Roman"/>
          <w:sz w:val="16"/>
          <w:szCs w:val="16"/>
          <w:color w:val="auto"/>
        </w:rPr>
        <w:t>12</w:t>
      </w:r>
    </w:p>
    <w:p>
      <w:pPr>
        <w:spacing w:after="0" w:line="174"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t>To the extent that your AMT is attributable to the spread on exercising an ISO (and certain other items), you may be able to apply the AMT that you paid as a credit against your income tax liability in future years. But the rules on calculating the available tax credits were amended frequently in recent years and have become extraordinarily complex. On this issue in particular, you must consult your own tax adviser.</w:t>
      </w:r>
    </w:p>
    <w:p>
      <w:pPr>
        <w:spacing w:after="0" w:line="174" w:lineRule="exact"/>
        <w:rPr>
          <w:sz w:val="20"/>
          <w:szCs w:val="20"/>
          <w:color w:val="auto"/>
        </w:rPr>
      </w:pPr>
    </w:p>
    <w:p>
      <w:pPr>
        <w:jc w:val="both"/>
        <w:ind w:right="20"/>
        <w:spacing w:after="0" w:line="245" w:lineRule="auto"/>
        <w:rPr>
          <w:sz w:val="20"/>
          <w:szCs w:val="20"/>
          <w:color w:val="auto"/>
        </w:rPr>
      </w:pPr>
      <w:r>
        <w:rPr>
          <w:rFonts w:ascii="Times New Roman" w:cs="Times New Roman" w:eastAsia="Times New Roman" w:hAnsi="Times New Roman"/>
          <w:sz w:val="20"/>
          <w:szCs w:val="20"/>
          <w:color w:val="auto"/>
        </w:rPr>
        <w:t xml:space="preserve">When Purchased Shares are sold, your basis for purposes of computing the capital gain or loss under the AMT system is increased by the option spread that exists at the time of exercise. Again, an ISO is treated under the AMT system much like an NSO is treated under the regular tax system. But your basis in the ISO shares for purposes of computing gain or loss under the regular tax system does </w:t>
      </w:r>
      <w:r>
        <w:rPr>
          <w:rFonts w:ascii="Times New Roman" w:cs="Times New Roman" w:eastAsia="Times New Roman" w:hAnsi="Times New Roman"/>
          <w:sz w:val="20"/>
          <w:szCs w:val="20"/>
          <w:i w:val="1"/>
          <w:iCs w:val="1"/>
          <w:color w:val="auto"/>
        </w:rPr>
        <w:t>not</w:t>
      </w:r>
      <w:r>
        <w:rPr>
          <w:rFonts w:ascii="Times New Roman" w:cs="Times New Roman" w:eastAsia="Times New Roman" w:hAnsi="Times New Roman"/>
          <w:sz w:val="20"/>
          <w:szCs w:val="20"/>
          <w:color w:val="auto"/>
        </w:rPr>
        <w:t xml:space="preserve"> reflect any AMT that you pay on the spread at exercise. Therefore, if you pay AMT in the year of the ISO exercise and regular income tax in the year of selling the Purchased Shares, you could pay tax twice on the same gain (except to the extent that you can use the AMT credit described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234315</wp:posOffset>
            </wp:positionV>
            <wp:extent cx="788670" cy="889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88670" cy="8890"/>
                    </a:xfrm>
                    <a:prstGeom prst="rect">
                      <a:avLst/>
                    </a:prstGeom>
                    <a:noFill/>
                  </pic:spPr>
                </pic:pic>
              </a:graphicData>
            </a:graphic>
          </wp:anchor>
        </w:drawing>
      </w:r>
    </w:p>
    <w:p>
      <w:pPr>
        <w:spacing w:after="0" w:line="380" w:lineRule="exact"/>
        <w:rPr>
          <w:sz w:val="20"/>
          <w:szCs w:val="20"/>
          <w:color w:val="auto"/>
        </w:rPr>
      </w:pPr>
    </w:p>
    <w:p>
      <w:pPr>
        <w:ind w:left="560" w:hanging="552"/>
        <w:spacing w:after="0"/>
        <w:tabs>
          <w:tab w:leader="none" w:pos="560" w:val="left"/>
        </w:tabs>
        <w:numPr>
          <w:ilvl w:val="0"/>
          <w:numId w:val="285"/>
        </w:numPr>
        <w:rPr>
          <w:rFonts w:ascii="Times New Roman" w:cs="Times New Roman" w:eastAsia="Times New Roman" w:hAnsi="Times New Roman"/>
          <w:sz w:val="17"/>
          <w:szCs w:val="17"/>
          <w:color w:val="auto"/>
        </w:rPr>
      </w:pPr>
      <w:r>
        <w:rPr>
          <w:rFonts w:ascii="Times New Roman" w:cs="Times New Roman" w:eastAsia="Times New Roman" w:hAnsi="Times New Roman"/>
          <w:sz w:val="20"/>
          <w:szCs w:val="20"/>
          <w:color w:val="auto"/>
        </w:rPr>
        <w:t>Amounts are indexed for inflation in future years.</w:t>
      </w:r>
    </w:p>
    <w:p>
      <w:pPr>
        <w:spacing w:after="0" w:line="21" w:lineRule="exact"/>
        <w:rPr>
          <w:rFonts w:ascii="Times New Roman" w:cs="Times New Roman" w:eastAsia="Times New Roman" w:hAnsi="Times New Roman"/>
          <w:sz w:val="17"/>
          <w:szCs w:val="17"/>
          <w:color w:val="auto"/>
        </w:rPr>
      </w:pPr>
    </w:p>
    <w:p>
      <w:pPr>
        <w:ind w:left="560" w:hanging="552"/>
        <w:spacing w:after="0"/>
        <w:tabs>
          <w:tab w:leader="none" w:pos="560" w:val="left"/>
        </w:tabs>
        <w:numPr>
          <w:ilvl w:val="0"/>
          <w:numId w:val="285"/>
        </w:numPr>
        <w:rPr>
          <w:rFonts w:ascii="Times New Roman" w:cs="Times New Roman" w:eastAsia="Times New Roman" w:hAnsi="Times New Roman"/>
          <w:sz w:val="17"/>
          <w:szCs w:val="17"/>
          <w:color w:val="auto"/>
        </w:rPr>
      </w:pPr>
      <w:r>
        <w:rPr>
          <w:rFonts w:ascii="Times New Roman" w:cs="Times New Roman" w:eastAsia="Times New Roman" w:hAnsi="Times New Roman"/>
          <w:sz w:val="20"/>
          <w:szCs w:val="20"/>
          <w:color w:val="auto"/>
        </w:rPr>
        <w:t>Amounts are indexed for inflation in future years.</w:t>
      </w:r>
    </w:p>
    <w:p>
      <w:pPr>
        <w:ind w:left="560" w:right="40" w:hanging="552"/>
        <w:spacing w:after="0" w:line="271" w:lineRule="auto"/>
        <w:tabs>
          <w:tab w:leader="none" w:pos="560" w:val="left"/>
        </w:tabs>
        <w:numPr>
          <w:ilvl w:val="0"/>
          <w:numId w:val="285"/>
        </w:numPr>
        <w:rPr>
          <w:rFonts w:ascii="Times New Roman" w:cs="Times New Roman" w:eastAsia="Times New Roman" w:hAnsi="Times New Roman"/>
          <w:sz w:val="16"/>
          <w:szCs w:val="16"/>
          <w:color w:val="auto"/>
        </w:rPr>
      </w:pPr>
      <w:r>
        <w:rPr>
          <w:rFonts w:ascii="Times New Roman" w:cs="Times New Roman" w:eastAsia="Times New Roman" w:hAnsi="Times New Roman"/>
          <w:sz w:val="19"/>
          <w:szCs w:val="19"/>
          <w:color w:val="auto"/>
        </w:rPr>
        <w:t>This is similar to the rule that applies under the regular tax system in the event of a disqualifying disposition of ISO stock. The amount of ordinary income that must be recognized in that case generally does not exceed the amount of the gain realized in the disposition.</w:t>
      </w:r>
    </w:p>
    <w:p>
      <w:pPr>
        <w:spacing w:after="0" w:line="9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260"/>
          </w:cols>
          <w:pgMar w:left="320" w:top="247" w:right="319" w:bottom="1440" w:gutter="0" w:footer="0" w:header="0"/>
        </w:sectPr>
      </w:pPr>
    </w:p>
    <w:bookmarkStart w:id="316" w:name="page317"/>
    <w:bookmarkEnd w:id="316"/>
    <w:p>
      <w:pPr>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Section 409A of the Internal Revenue Code</w:t>
      </w:r>
    </w:p>
    <w:p>
      <w:pPr>
        <w:spacing w:after="0" w:line="22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The preceding summary assumes that section 409A of the Internal Revenue Code does not apply to your option. In general, your option is exempt from section 409A if the exercise price per share is at least equal to the fair market value per share of the Company’s Common Stock at the time the option was granted by the Board of Directors. Since shares of Common Stock are not traded on an established securities market, the determination of their fair market value generally is made by the Board of Directors or by an independent appraisal firm retained by the Company. In either case, there is no guarantee that the Internal Revenue Service will agree with the valuation.</w:t>
      </w:r>
    </w:p>
    <w:p>
      <w:pPr>
        <w:spacing w:after="0" w:line="18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 xml:space="preserve">If your option were found to be subject to section 409A, then you would be required to recognize ordinary income as early as the year in which the option (or portion thereof) vests. This amount would also be subject to a 20% federal tax </w:t>
      </w:r>
      <w:r>
        <w:rPr>
          <w:rFonts w:ascii="Times New Roman" w:cs="Times New Roman" w:eastAsia="Times New Roman" w:hAnsi="Times New Roman"/>
          <w:sz w:val="20"/>
          <w:szCs w:val="20"/>
          <w:i w:val="1"/>
          <w:iCs w:val="1"/>
          <w:color w:val="auto"/>
        </w:rPr>
        <w:t>in addition to</w:t>
      </w:r>
      <w:r>
        <w:rPr>
          <w:rFonts w:ascii="Times New Roman" w:cs="Times New Roman" w:eastAsia="Times New Roman" w:hAnsi="Times New Roman"/>
          <w:sz w:val="20"/>
          <w:szCs w:val="20"/>
          <w:color w:val="auto"/>
        </w:rPr>
        <w:t xml:space="preserve"> the federal income tax at your usual marginal rate for ordinary income. Additional state income taxes may apply in some states.</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Disclaimer Under IRS Circular 230</w:t>
      </w:r>
    </w:p>
    <w:p>
      <w:pPr>
        <w:spacing w:after="0" w:line="220" w:lineRule="exact"/>
        <w:rPr>
          <w:sz w:val="20"/>
          <w:szCs w:val="20"/>
          <w:color w:val="auto"/>
        </w:rPr>
      </w:pPr>
    </w:p>
    <w:p>
      <w:pPr>
        <w:jc w:val="both"/>
        <w:ind w:left="560"/>
        <w:spacing w:after="0" w:line="249" w:lineRule="auto"/>
        <w:rPr>
          <w:sz w:val="20"/>
          <w:szCs w:val="20"/>
          <w:color w:val="auto"/>
        </w:rPr>
      </w:pPr>
      <w:r>
        <w:rPr>
          <w:rFonts w:ascii="Times New Roman" w:cs="Times New Roman" w:eastAsia="Times New Roman" w:hAnsi="Times New Roman"/>
          <w:sz w:val="20"/>
          <w:szCs w:val="20"/>
          <w:color w:val="auto"/>
        </w:rPr>
        <w:t>To ensure compliance with requirements imposed by U.S. tax authorities, we inform you that any U.S. tax advice contained in the foregoing summary is not intended or written to be used, and cannot be used, for the purpose of (i) avoiding United States federal, state or local tax penalties, or (ii) promoting, marketing or recommending to another party any matters addressed herein (including any attachments).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240"/>
          </w:cols>
          <w:pgMar w:left="320" w:top="261" w:right="339" w:bottom="1440" w:gutter="0" w:footer="0" w:header="0"/>
        </w:sectPr>
      </w:pPr>
    </w:p>
    <w:bookmarkStart w:id="317" w:name="page318"/>
    <w:bookmarkEnd w:id="317"/>
    <w:p>
      <w:pPr>
        <w:jc w:val="center"/>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w:t>
      </w:r>
      <w:r>
        <w:rPr>
          <w:rFonts w:ascii="Times New Roman" w:cs="Times New Roman" w:eastAsia="Times New Roman" w:hAnsi="Times New Roman"/>
          <w:sz w:val="16"/>
          <w:szCs w:val="16"/>
          <w:b w:val="1"/>
          <w:bCs w:val="1"/>
          <w:color w:val="auto"/>
        </w:rPr>
        <w:t>ECTION</w:t>
      </w:r>
      <w:r>
        <w:rPr>
          <w:rFonts w:ascii="Times New Roman" w:cs="Times New Roman" w:eastAsia="Times New Roman" w:hAnsi="Times New Roman"/>
          <w:sz w:val="20"/>
          <w:szCs w:val="20"/>
          <w:b w:val="1"/>
          <w:bCs w:val="1"/>
          <w:color w:val="auto"/>
        </w:rPr>
        <w:t xml:space="preserve"> 83(b) E</w:t>
      </w:r>
      <w:r>
        <w:rPr>
          <w:rFonts w:ascii="Times New Roman" w:cs="Times New Roman" w:eastAsia="Times New Roman" w:hAnsi="Times New Roman"/>
          <w:sz w:val="16"/>
          <w:szCs w:val="16"/>
          <w:b w:val="1"/>
          <w:bCs w:val="1"/>
          <w:color w:val="auto"/>
        </w:rPr>
        <w:t>LECTION</w:t>
      </w:r>
    </w:p>
    <w:p>
      <w:pPr>
        <w:spacing w:after="0" w:line="22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undersigned taxpayer hereby elects, pursuant to Sections 55 and 83(b) of the Internal Revenue Code of 1986, as amended, and pursuant to Treasury Regulations Section 1.83-2, to include in gross income as compensation for services the excess (if any) of the fair market value of the shares described below over an amount paid for those shares.</w:t>
      </w:r>
    </w:p>
    <w:p>
      <w:pPr>
        <w:spacing w:after="0" w:line="201" w:lineRule="exact"/>
        <w:rPr>
          <w:sz w:val="20"/>
          <w:szCs w:val="20"/>
          <w:color w:val="auto"/>
        </w:rPr>
      </w:pPr>
    </w:p>
    <w:p>
      <w:pPr>
        <w:ind w:left="1120" w:hanging="559"/>
        <w:spacing w:after="0"/>
        <w:tabs>
          <w:tab w:leader="none" w:pos="1120" w:val="left"/>
        </w:tabs>
        <w:numPr>
          <w:ilvl w:val="0"/>
          <w:numId w:val="2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taxpayer who performed the services is:</w:t>
      </w:r>
    </w:p>
    <w:p>
      <w:pPr>
        <w:spacing w:after="0" w:line="24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0"/>
          <w:szCs w:val="20"/>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1796415</wp:posOffset>
            </wp:positionH>
            <wp:positionV relativeFrom="paragraph">
              <wp:posOffset>13970</wp:posOffset>
            </wp:positionV>
            <wp:extent cx="3300095" cy="889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3300095" cy="8890"/>
                    </a:xfrm>
                    <a:prstGeom prst="rect">
                      <a:avLst/>
                    </a:prstGeom>
                    <a:noFill/>
                  </pic:spPr>
                </pic:pic>
              </a:graphicData>
            </a:graphic>
          </wp:anchor>
        </w:drawing>
      </w:r>
    </w:p>
    <w:p>
      <w:pPr>
        <w:spacing w:after="0" w:line="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0"/>
          <w:szCs w:val="20"/>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1796415</wp:posOffset>
            </wp:positionH>
            <wp:positionV relativeFrom="paragraph">
              <wp:posOffset>4445</wp:posOffset>
            </wp:positionV>
            <wp:extent cx="3300095"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3300095" cy="8255"/>
                    </a:xfrm>
                    <a:prstGeom prst="rect">
                      <a:avLst/>
                    </a:prstGeom>
                    <a:noFill/>
                  </pic:spPr>
                </pic:pic>
              </a:graphicData>
            </a:graphic>
          </wp:anchor>
        </w:drawing>
      </w:r>
    </w:p>
    <w:p>
      <w:pPr>
        <w:spacing w:after="0" w:line="20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0"/>
          <w:szCs w:val="20"/>
          <w:color w:val="auto"/>
        </w:rPr>
        <w:t>Social Security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1796415</wp:posOffset>
            </wp:positionH>
            <wp:positionV relativeFrom="paragraph">
              <wp:posOffset>22860</wp:posOffset>
            </wp:positionV>
            <wp:extent cx="3300095"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3300095" cy="8255"/>
                    </a:xfrm>
                    <a:prstGeom prst="rect">
                      <a:avLst/>
                    </a:prstGeom>
                    <a:noFill/>
                  </pic:spPr>
                </pic:pic>
              </a:graphicData>
            </a:graphic>
          </wp:anchor>
        </w:drawing>
        <w:drawing>
          <wp:anchor simplePos="0" relativeHeight="251657728" behindDoc="1" locked="0" layoutInCell="0" allowOverlap="1">
            <wp:simplePos x="0" y="0"/>
            <wp:positionH relativeFrom="column">
              <wp:posOffset>1796415</wp:posOffset>
            </wp:positionH>
            <wp:positionV relativeFrom="paragraph">
              <wp:posOffset>-130810</wp:posOffset>
            </wp:positionV>
            <wp:extent cx="3300095" cy="82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3300095" cy="8255"/>
                    </a:xfrm>
                    <a:prstGeom prst="rect">
                      <a:avLst/>
                    </a:prstGeom>
                    <a:noFill/>
                  </pic:spPr>
                </pic:pic>
              </a:graphicData>
            </a:graphic>
          </wp:anchor>
        </w:drawing>
      </w:r>
    </w:p>
    <w:p>
      <w:pPr>
        <w:spacing w:after="0" w:line="250" w:lineRule="exact"/>
        <w:rPr>
          <w:sz w:val="20"/>
          <w:szCs w:val="20"/>
          <w:color w:val="auto"/>
        </w:rPr>
      </w:pPr>
    </w:p>
    <w:p>
      <w:pPr>
        <w:ind w:left="1120" w:hanging="559"/>
        <w:spacing w:after="0"/>
        <w:tabs>
          <w:tab w:leader="none" w:pos="1120" w:val="left"/>
        </w:tabs>
        <w:numPr>
          <w:ilvl w:val="0"/>
          <w:numId w:val="28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property with respect to which the election is made is ______ shares of the common stock of Tarsus Pharmaceuticals, Inc.</w:t>
      </w:r>
    </w:p>
    <w:p>
      <w:pPr>
        <w:spacing w:after="0" w:line="254" w:lineRule="exact"/>
        <w:rPr>
          <w:rFonts w:ascii="Times New Roman" w:cs="Times New Roman" w:eastAsia="Times New Roman" w:hAnsi="Times New Roman"/>
          <w:sz w:val="19"/>
          <w:szCs w:val="19"/>
          <w:color w:val="auto"/>
        </w:rPr>
      </w:pPr>
    </w:p>
    <w:p>
      <w:pPr>
        <w:ind w:left="1120" w:hanging="559"/>
        <w:spacing w:after="0"/>
        <w:tabs>
          <w:tab w:leader="none" w:pos="1120" w:val="left"/>
        </w:tabs>
        <w:numPr>
          <w:ilvl w:val="0"/>
          <w:numId w:val="2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property was transferred to the taxpayer on __________ ___, _____.</w:t>
      </w:r>
    </w:p>
    <w:p>
      <w:pPr>
        <w:spacing w:after="0" w:line="242" w:lineRule="exact"/>
        <w:rPr>
          <w:rFonts w:ascii="Times New Roman" w:cs="Times New Roman" w:eastAsia="Times New Roman" w:hAnsi="Times New Roman"/>
          <w:sz w:val="20"/>
          <w:szCs w:val="20"/>
          <w:color w:val="auto"/>
        </w:rPr>
      </w:pPr>
    </w:p>
    <w:p>
      <w:pPr>
        <w:ind w:left="1120" w:hanging="559"/>
        <w:spacing w:after="0"/>
        <w:tabs>
          <w:tab w:leader="none" w:pos="1120" w:val="left"/>
        </w:tabs>
        <w:numPr>
          <w:ilvl w:val="0"/>
          <w:numId w:val="2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taxable year for which the election is made is the calendar year _____.</w:t>
      </w:r>
    </w:p>
    <w:p>
      <w:pPr>
        <w:spacing w:after="0" w:line="242" w:lineRule="exact"/>
        <w:rPr>
          <w:rFonts w:ascii="Times New Roman" w:cs="Times New Roman" w:eastAsia="Times New Roman" w:hAnsi="Times New Roman"/>
          <w:sz w:val="20"/>
          <w:szCs w:val="20"/>
          <w:color w:val="auto"/>
        </w:rPr>
      </w:pPr>
    </w:p>
    <w:p>
      <w:pPr>
        <w:jc w:val="both"/>
        <w:ind w:left="1120" w:hanging="559"/>
        <w:spacing w:after="0" w:line="254" w:lineRule="auto"/>
        <w:tabs>
          <w:tab w:leader="none" w:pos="1120" w:val="left"/>
        </w:tabs>
        <w:numPr>
          <w:ilvl w:val="0"/>
          <w:numId w:val="2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property is subject to a repurchase right pursuant to which the issuer has the right to acquire the property if for any reason taxpayer’s service with the issuer terminates. The issuer’s repurchase right lapses in a series of installments over a ______-year period ending on __________ ___, _____.</w:t>
      </w:r>
    </w:p>
    <w:p>
      <w:pPr>
        <w:spacing w:after="0" w:line="201" w:lineRule="exact"/>
        <w:rPr>
          <w:rFonts w:ascii="Times New Roman" w:cs="Times New Roman" w:eastAsia="Times New Roman" w:hAnsi="Times New Roman"/>
          <w:sz w:val="20"/>
          <w:szCs w:val="20"/>
          <w:color w:val="auto"/>
        </w:rPr>
      </w:pPr>
    </w:p>
    <w:p>
      <w:pPr>
        <w:ind w:left="1120" w:hanging="559"/>
        <w:spacing w:after="0" w:line="269" w:lineRule="auto"/>
        <w:tabs>
          <w:tab w:leader="none" w:pos="1120" w:val="left"/>
        </w:tabs>
        <w:numPr>
          <w:ilvl w:val="0"/>
          <w:numId w:val="2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fair market value of such property at the time of transfer (determined without regard to any restriction other than a restriction that by its terms will never lapse) is $_____ per share x _____ shares = $_________.</w:t>
      </w:r>
    </w:p>
    <w:p>
      <w:pPr>
        <w:spacing w:after="0" w:line="186" w:lineRule="exact"/>
        <w:rPr>
          <w:rFonts w:ascii="Times New Roman" w:cs="Times New Roman" w:eastAsia="Times New Roman" w:hAnsi="Times New Roman"/>
          <w:sz w:val="20"/>
          <w:szCs w:val="20"/>
          <w:color w:val="auto"/>
        </w:rPr>
      </w:pPr>
    </w:p>
    <w:p>
      <w:pPr>
        <w:ind w:left="1120" w:hanging="559"/>
        <w:spacing w:after="0"/>
        <w:tabs>
          <w:tab w:leader="none" w:pos="1120" w:val="left"/>
        </w:tabs>
        <w:numPr>
          <w:ilvl w:val="0"/>
          <w:numId w:val="2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the property transferred, the taxpayer paid $_____ per share × _____ shares = $_____.</w:t>
      </w:r>
    </w:p>
    <w:p>
      <w:pPr>
        <w:spacing w:after="0" w:line="238" w:lineRule="exact"/>
        <w:rPr>
          <w:rFonts w:ascii="Times New Roman" w:cs="Times New Roman" w:eastAsia="Times New Roman" w:hAnsi="Times New Roman"/>
          <w:sz w:val="20"/>
          <w:szCs w:val="20"/>
          <w:color w:val="auto"/>
        </w:rPr>
      </w:pPr>
    </w:p>
    <w:p>
      <w:pPr>
        <w:ind w:left="1120" w:hanging="559"/>
        <w:spacing w:after="0"/>
        <w:tabs>
          <w:tab w:leader="none" w:pos="1120" w:val="left"/>
        </w:tabs>
        <w:numPr>
          <w:ilvl w:val="0"/>
          <w:numId w:val="2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amount to include in gross income is $__________. </w:t>
      </w:r>
      <w:r>
        <w:rPr>
          <w:rFonts w:ascii="Times New Roman" w:cs="Times New Roman" w:eastAsia="Times New Roman" w:hAnsi="Times New Roman"/>
          <w:sz w:val="20"/>
          <w:szCs w:val="20"/>
          <w:b w:val="1"/>
          <w:bCs w:val="1"/>
          <w:i w:val="1"/>
          <w:iCs w:val="1"/>
          <w:color w:val="auto"/>
        </w:rPr>
        <w:t>[The amount in Item F less the amount in Item G]</w:t>
      </w:r>
    </w:p>
    <w:p>
      <w:pPr>
        <w:spacing w:after="0" w:line="246" w:lineRule="exact"/>
        <w:rPr>
          <w:rFonts w:ascii="Times New Roman" w:cs="Times New Roman" w:eastAsia="Times New Roman" w:hAnsi="Times New Roman"/>
          <w:sz w:val="20"/>
          <w:szCs w:val="20"/>
          <w:color w:val="auto"/>
        </w:rPr>
      </w:pPr>
    </w:p>
    <w:p>
      <w:pPr>
        <w:ind w:left="1120" w:hanging="559"/>
        <w:spacing w:after="0"/>
        <w:tabs>
          <w:tab w:leader="none" w:pos="1120" w:val="left"/>
        </w:tabs>
        <w:numPr>
          <w:ilvl w:val="0"/>
          <w:numId w:val="2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statement is executed on __________ ___, 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314325</wp:posOffset>
            </wp:positionV>
            <wp:extent cx="7132320" cy="889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spacing w:after="0"/>
        <w:tabs>
          <w:tab w:leader="none" w:pos="5840" w:val="left"/>
        </w:tabs>
        <w:rPr>
          <w:sz w:val="20"/>
          <w:szCs w:val="20"/>
          <w:color w:val="auto"/>
        </w:rPr>
      </w:pPr>
      <w:r>
        <w:rPr>
          <w:rFonts w:ascii="Times New Roman" w:cs="Times New Roman" w:eastAsia="Times New Roman" w:hAnsi="Times New Roman"/>
          <w:sz w:val="20"/>
          <w:szCs w:val="20"/>
          <w:color w:val="auto"/>
        </w:rPr>
        <w:t>Signature of Spouse (if any)</w:t>
      </w:r>
      <w:r>
        <w:rPr>
          <w:sz w:val="20"/>
          <w:szCs w:val="20"/>
          <w:color w:val="auto"/>
        </w:rPr>
        <w:tab/>
      </w:r>
      <w:r>
        <w:rPr>
          <w:rFonts w:ascii="Times New Roman" w:cs="Times New Roman" w:eastAsia="Times New Roman" w:hAnsi="Times New Roman"/>
          <w:sz w:val="19"/>
          <w:szCs w:val="19"/>
          <w:color w:val="auto"/>
        </w:rPr>
        <w:t>Signature of Taxpayer</w:t>
      </w:r>
    </w:p>
    <w:p>
      <w:pPr>
        <w:spacing w:after="0" w:line="212" w:lineRule="exact"/>
        <w:rPr>
          <w:sz w:val="20"/>
          <w:szCs w:val="20"/>
          <w:color w:val="auto"/>
        </w:rPr>
      </w:pPr>
    </w:p>
    <w:p>
      <w:pPr>
        <w:ind w:right="400"/>
        <w:spacing w:after="0" w:line="256" w:lineRule="auto"/>
        <w:rPr>
          <w:sz w:val="20"/>
          <w:szCs w:val="20"/>
          <w:color w:val="auto"/>
        </w:rPr>
      </w:pPr>
      <w:r>
        <w:rPr>
          <w:rFonts w:ascii="Times New Roman" w:cs="Times New Roman" w:eastAsia="Times New Roman" w:hAnsi="Times New Roman"/>
          <w:sz w:val="20"/>
          <w:szCs w:val="20"/>
          <w:b w:val="1"/>
          <w:bCs w:val="1"/>
          <w:i w:val="1"/>
          <w:iCs w:val="1"/>
          <w:color w:val="auto"/>
        </w:rPr>
        <w:t>Within 30 days after the date of transfer of the property, this election must be filed with the Internal Revenue Service office where the taxpayer files his or her annual federal income tax return. The filing should be made by registered or certified mail, return receipt requested. The taxpayer must deliver a copy of the completed form to the Company.</w:t>
      </w:r>
    </w:p>
    <w:p>
      <w:pPr>
        <w:sectPr>
          <w:pgSz w:w="11900" w:h="16838" w:orient="portrait"/>
          <w:cols w:equalWidth="0" w:num="1">
            <w:col w:w="11240"/>
          </w:cols>
          <w:pgMar w:left="320" w:top="261" w:right="339" w:bottom="1440" w:gutter="0" w:footer="0" w:header="0"/>
        </w:sectPr>
      </w:pPr>
    </w:p>
    <w:bookmarkStart w:id="318" w:name="page319"/>
    <w:bookmarkEnd w:id="318"/>
    <w:p>
      <w:pPr>
        <w:jc w:val="center"/>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w:t>
      </w:r>
      <w:r>
        <w:rPr>
          <w:rFonts w:ascii="Times New Roman" w:cs="Times New Roman" w:eastAsia="Times New Roman" w:hAnsi="Times New Roman"/>
          <w:sz w:val="16"/>
          <w:szCs w:val="16"/>
          <w:b w:val="1"/>
          <w:bCs w:val="1"/>
          <w:color w:val="auto"/>
        </w:rPr>
        <w:t>ARSUS</w:t>
      </w:r>
      <w:r>
        <w:rPr>
          <w:rFonts w:ascii="Times New Roman" w:cs="Times New Roman" w:eastAsia="Times New Roman" w:hAnsi="Times New Roman"/>
          <w:sz w:val="20"/>
          <w:szCs w:val="20"/>
          <w:b w:val="1"/>
          <w:bCs w:val="1"/>
          <w:color w:val="auto"/>
        </w:rPr>
        <w:t xml:space="preserve"> P</w:t>
      </w:r>
      <w:r>
        <w:rPr>
          <w:rFonts w:ascii="Times New Roman" w:cs="Times New Roman" w:eastAsia="Times New Roman" w:hAnsi="Times New Roman"/>
          <w:sz w:val="16"/>
          <w:szCs w:val="16"/>
          <w:b w:val="1"/>
          <w:bCs w:val="1"/>
          <w:color w:val="auto"/>
        </w:rPr>
        <w:t>HARMACEUTICALS</w:t>
      </w:r>
      <w:r>
        <w:rPr>
          <w:rFonts w:ascii="Times New Roman" w:cs="Times New Roman" w:eastAsia="Times New Roman" w:hAnsi="Times New Roman"/>
          <w:sz w:val="20"/>
          <w:szCs w:val="20"/>
          <w:b w:val="1"/>
          <w:bCs w:val="1"/>
          <w:color w:val="auto"/>
        </w:rPr>
        <w:t>, I</w:t>
      </w:r>
      <w:r>
        <w:rPr>
          <w:rFonts w:ascii="Times New Roman" w:cs="Times New Roman" w:eastAsia="Times New Roman" w:hAnsi="Times New Roman"/>
          <w:sz w:val="16"/>
          <w:szCs w:val="16"/>
          <w:b w:val="1"/>
          <w:bCs w:val="1"/>
          <w:color w:val="auto"/>
        </w:rPr>
        <w:t>NC</w:t>
      </w:r>
      <w:r>
        <w:rPr>
          <w:rFonts w:ascii="Times New Roman" w:cs="Times New Roman" w:eastAsia="Times New Roman" w:hAnsi="Times New Roman"/>
          <w:sz w:val="20"/>
          <w:szCs w:val="20"/>
          <w:b w:val="1"/>
          <w:bCs w:val="1"/>
          <w:color w:val="auto"/>
        </w:rPr>
        <w:t>. 2016 S</w:t>
      </w:r>
      <w:r>
        <w:rPr>
          <w:rFonts w:ascii="Times New Roman" w:cs="Times New Roman" w:eastAsia="Times New Roman" w:hAnsi="Times New Roman"/>
          <w:sz w:val="16"/>
          <w:szCs w:val="16"/>
          <w:b w:val="1"/>
          <w:bCs w:val="1"/>
          <w:color w:val="auto"/>
        </w:rPr>
        <w:t>TOCK</w:t>
      </w:r>
      <w:r>
        <w:rPr>
          <w:rFonts w:ascii="Times New Roman" w:cs="Times New Roman" w:eastAsia="Times New Roman" w:hAnsi="Times New Roman"/>
          <w:sz w:val="20"/>
          <w:szCs w:val="20"/>
          <w:b w:val="1"/>
          <w:bCs w:val="1"/>
          <w:color w:val="auto"/>
        </w:rPr>
        <w:t xml:space="preserve"> P</w:t>
      </w:r>
      <w:r>
        <w:rPr>
          <w:rFonts w:ascii="Times New Roman" w:cs="Times New Roman" w:eastAsia="Times New Roman" w:hAnsi="Times New Roman"/>
          <w:sz w:val="16"/>
          <w:szCs w:val="16"/>
          <w:b w:val="1"/>
          <w:bCs w:val="1"/>
          <w:color w:val="auto"/>
        </w:rPr>
        <w:t>LAN</w:t>
      </w:r>
      <w:r>
        <w:rPr>
          <w:rFonts w:ascii="Times New Roman" w:cs="Times New Roman" w:eastAsia="Times New Roman" w:hAnsi="Times New Roman"/>
          <w:sz w:val="20"/>
          <w:szCs w:val="20"/>
          <w:b w:val="1"/>
          <w:bCs w:val="1"/>
          <w:color w:val="auto"/>
        </w:rPr>
        <w:t>:</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w:t>
      </w:r>
      <w:r>
        <w:rPr>
          <w:rFonts w:ascii="Times New Roman" w:cs="Times New Roman" w:eastAsia="Times New Roman" w:hAnsi="Times New Roman"/>
          <w:sz w:val="16"/>
          <w:szCs w:val="16"/>
          <w:b w:val="1"/>
          <w:bCs w:val="1"/>
          <w:color w:val="auto"/>
        </w:rPr>
        <w:t>UMMARY OF</w:t>
      </w:r>
      <w:r>
        <w:rPr>
          <w:rFonts w:ascii="Times New Roman" w:cs="Times New Roman" w:eastAsia="Times New Roman" w:hAnsi="Times New Roman"/>
          <w:sz w:val="20"/>
          <w:szCs w:val="20"/>
          <w:b w:val="1"/>
          <w:bCs w:val="1"/>
          <w:color w:val="auto"/>
        </w:rPr>
        <w:t xml:space="preserve"> S</w:t>
      </w:r>
      <w:r>
        <w:rPr>
          <w:rFonts w:ascii="Times New Roman" w:cs="Times New Roman" w:eastAsia="Times New Roman" w:hAnsi="Times New Roman"/>
          <w:sz w:val="16"/>
          <w:szCs w:val="16"/>
          <w:b w:val="1"/>
          <w:bCs w:val="1"/>
          <w:color w:val="auto"/>
        </w:rPr>
        <w:t>TOCK</w:t>
      </w:r>
      <w:r>
        <w:rPr>
          <w:rFonts w:ascii="Times New Roman" w:cs="Times New Roman" w:eastAsia="Times New Roman" w:hAnsi="Times New Roman"/>
          <w:sz w:val="20"/>
          <w:szCs w:val="20"/>
          <w:b w:val="1"/>
          <w:bCs w:val="1"/>
          <w:color w:val="auto"/>
        </w:rPr>
        <w:t xml:space="preserve"> G</w:t>
      </w:r>
      <w:r>
        <w:rPr>
          <w:rFonts w:ascii="Times New Roman" w:cs="Times New Roman" w:eastAsia="Times New Roman" w:hAnsi="Times New Roman"/>
          <w:sz w:val="16"/>
          <w:szCs w:val="16"/>
          <w:b w:val="1"/>
          <w:bCs w:val="1"/>
          <w:color w:val="auto"/>
        </w:rPr>
        <w:t>RANT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16"/>
          <w:szCs w:val="16"/>
          <w:b w:val="1"/>
          <w:bCs w:val="1"/>
          <w:color w:val="auto"/>
        </w:rPr>
        <w:t>FOR</w:t>
      </w:r>
      <w:r>
        <w:rPr>
          <w:rFonts w:ascii="Times New Roman" w:cs="Times New Roman" w:eastAsia="Times New Roman" w:hAnsi="Times New Roman"/>
          <w:sz w:val="20"/>
          <w:szCs w:val="20"/>
          <w:b w:val="1"/>
          <w:bCs w:val="1"/>
          <w:color w:val="auto"/>
        </w:rPr>
        <w:t xml:space="preserve"> S</w:t>
      </w:r>
      <w:r>
        <w:rPr>
          <w:rFonts w:ascii="Times New Roman" w:cs="Times New Roman" w:eastAsia="Times New Roman" w:hAnsi="Times New Roman"/>
          <w:sz w:val="16"/>
          <w:szCs w:val="16"/>
          <w:b w:val="1"/>
          <w:bCs w:val="1"/>
          <w:color w:val="auto"/>
        </w:rPr>
        <w:t>ERVICES</w:t>
      </w:r>
      <w:r>
        <w:rPr>
          <w:rFonts w:ascii="Times New Roman" w:cs="Times New Roman" w:eastAsia="Times New Roman" w:hAnsi="Times New Roman"/>
          <w:sz w:val="20"/>
          <w:szCs w:val="20"/>
          <w:b w:val="1"/>
          <w:bCs w:val="1"/>
          <w:color w:val="auto"/>
        </w:rPr>
        <w:t>)</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Transferee is acquiring shares of the Common Stock of Tarsus Pharmaceuticals, Inc. on the following terms:</w:t>
      </w:r>
    </w:p>
    <w:p>
      <w:pPr>
        <w:sectPr>
          <w:pgSz w:w="11900" w:h="16838" w:orient="portrait"/>
          <w:cols w:equalWidth="0" w:num="1">
            <w:col w:w="11240"/>
          </w:cols>
          <w:pgMar w:left="320" w:top="261" w:right="339" w:bottom="1440" w:gutter="0" w:footer="0" w:header="0"/>
        </w:sectPr>
      </w:pPr>
    </w:p>
    <w:p>
      <w:pPr>
        <w:spacing w:after="0" w:line="25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Name of Transferee:</w:t>
      </w:r>
    </w:p>
    <w:p>
      <w:pPr>
        <w:spacing w:after="0" w:line="20" w:lineRule="exact"/>
        <w:rPr>
          <w:sz w:val="20"/>
          <w:szCs w:val="20"/>
          <w:color w:val="auto"/>
        </w:rPr>
      </w:pPr>
      <w:r>
        <w:rPr>
          <w:sz w:val="20"/>
          <w:szCs w:val="20"/>
          <w:color w:val="auto"/>
        </w:rPr>
        <w:br w:type="column"/>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«Name»</w:t>
      </w:r>
    </w:p>
    <w:p>
      <w:pPr>
        <w:spacing w:after="0" w:line="142" w:lineRule="exact"/>
        <w:rPr>
          <w:sz w:val="20"/>
          <w:szCs w:val="20"/>
          <w:color w:val="auto"/>
        </w:rPr>
      </w:pPr>
    </w:p>
    <w:p>
      <w:pPr>
        <w:sectPr>
          <w:pgSz w:w="11900" w:h="16838" w:orient="portrait"/>
          <w:cols w:equalWidth="0" w:num="2">
            <w:col w:w="4600" w:space="720"/>
            <w:col w:w="5920"/>
          </w:cols>
          <w:pgMar w:left="320" w:top="261" w:right="339" w:bottom="1440" w:gutter="0" w:footer="0" w:header="0"/>
          <w:type w:val="continuous"/>
        </w:sectPr>
      </w:pPr>
    </w:p>
    <w:p>
      <w:pPr>
        <w:ind w:left="460"/>
        <w:spacing w:after="0"/>
        <w:rPr>
          <w:sz w:val="20"/>
          <w:szCs w:val="20"/>
          <w:color w:val="auto"/>
        </w:rPr>
      </w:pPr>
      <w:r>
        <w:rPr>
          <w:rFonts w:ascii="Times New Roman" w:cs="Times New Roman" w:eastAsia="Times New Roman" w:hAnsi="Times New Roman"/>
          <w:sz w:val="17"/>
          <w:szCs w:val="17"/>
          <w:color w:val="auto"/>
        </w:rPr>
        <w:t>Total Number of Transferred Shares: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«TotalShares»</w:t>
      </w:r>
    </w:p>
    <w:p>
      <w:pPr>
        <w:spacing w:after="0" w:line="142" w:lineRule="exact"/>
        <w:rPr>
          <w:sz w:val="20"/>
          <w:szCs w:val="20"/>
          <w:color w:val="auto"/>
        </w:rPr>
      </w:pPr>
    </w:p>
    <w:p>
      <w:pPr>
        <w:sectPr>
          <w:pgSz w:w="11900" w:h="16838" w:orient="portrait"/>
          <w:cols w:equalWidth="0" w:num="2">
            <w:col w:w="4600" w:space="720"/>
            <w:col w:w="5920"/>
          </w:cols>
          <w:pgMar w:left="320" w:top="261" w:right="339" w:bottom="1440" w:gutter="0" w:footer="0" w:header="0"/>
          <w:type w:val="continuous"/>
        </w:sectPr>
      </w:pPr>
    </w:p>
    <w:p>
      <w:pPr>
        <w:ind w:left="460"/>
        <w:spacing w:after="0"/>
        <w:rPr>
          <w:sz w:val="20"/>
          <w:szCs w:val="20"/>
          <w:color w:val="auto"/>
        </w:rPr>
      </w:pPr>
      <w:r>
        <w:rPr>
          <w:rFonts w:ascii="Times New Roman" w:cs="Times New Roman" w:eastAsia="Times New Roman" w:hAnsi="Times New Roman"/>
          <w:sz w:val="18"/>
          <w:szCs w:val="18"/>
          <w:color w:val="auto"/>
        </w:rPr>
        <w:t>Date of Transfer: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«DateTransfer»</w:t>
      </w:r>
    </w:p>
    <w:p>
      <w:pPr>
        <w:spacing w:after="0" w:line="142" w:lineRule="exact"/>
        <w:rPr>
          <w:sz w:val="20"/>
          <w:szCs w:val="20"/>
          <w:color w:val="auto"/>
        </w:rPr>
      </w:pPr>
    </w:p>
    <w:p>
      <w:pPr>
        <w:sectPr>
          <w:pgSz w:w="11900" w:h="16838" w:orient="portrait"/>
          <w:cols w:equalWidth="0" w:num="2">
            <w:col w:w="4600" w:space="720"/>
            <w:col w:w="5920"/>
          </w:cols>
          <w:pgMar w:left="320" w:top="261" w:right="339" w:bottom="1440" w:gutter="0" w:footer="0" w:header="0"/>
          <w:type w:val="continuous"/>
        </w:sectPr>
      </w:pPr>
    </w:p>
    <w:p>
      <w:pPr>
        <w:ind w:left="460"/>
        <w:spacing w:after="0"/>
        <w:rPr>
          <w:sz w:val="20"/>
          <w:szCs w:val="20"/>
          <w:color w:val="auto"/>
        </w:rPr>
      </w:pPr>
      <w:r>
        <w:rPr>
          <w:rFonts w:ascii="Times New Roman" w:cs="Times New Roman" w:eastAsia="Times New Roman" w:hAnsi="Times New Roman"/>
          <w:sz w:val="17"/>
          <w:szCs w:val="17"/>
          <w:color w:val="auto"/>
        </w:rPr>
        <w:t>Vesting Commencement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«VestComDate»</w:t>
      </w:r>
    </w:p>
    <w:p>
      <w:pPr>
        <w:spacing w:after="0" w:line="142" w:lineRule="exact"/>
        <w:rPr>
          <w:sz w:val="20"/>
          <w:szCs w:val="20"/>
          <w:color w:val="auto"/>
        </w:rPr>
      </w:pPr>
    </w:p>
    <w:p>
      <w:pPr>
        <w:sectPr>
          <w:pgSz w:w="11900" w:h="16838" w:orient="portrait"/>
          <w:cols w:equalWidth="0" w:num="2">
            <w:col w:w="4600" w:space="720"/>
            <w:col w:w="5920"/>
          </w:cols>
          <w:pgMar w:left="320" w:top="261" w:right="339" w:bottom="1440" w:gutter="0" w:footer="0" w:header="0"/>
          <w:type w:val="continuous"/>
        </w:sectPr>
      </w:pPr>
    </w:p>
    <w:p>
      <w:pPr>
        <w:ind w:left="460"/>
        <w:spacing w:after="0"/>
        <w:rPr>
          <w:sz w:val="20"/>
          <w:szCs w:val="20"/>
          <w:color w:val="auto"/>
        </w:rPr>
      </w:pPr>
      <w:r>
        <w:rPr>
          <w:rFonts w:ascii="Times New Roman" w:cs="Times New Roman" w:eastAsia="Times New Roman" w:hAnsi="Times New Roman"/>
          <w:sz w:val="17"/>
          <w:szCs w:val="17"/>
          <w:color w:val="auto"/>
        </w:rPr>
        <w:t>Vesting Schedule:</w:t>
      </w:r>
    </w:p>
    <w:p>
      <w:pPr>
        <w:spacing w:after="0" w:line="20" w:lineRule="exact"/>
        <w:rPr>
          <w:sz w:val="20"/>
          <w:szCs w:val="20"/>
          <w:color w:val="auto"/>
        </w:rPr>
      </w:pPr>
      <w:r>
        <w:rPr>
          <w:sz w:val="20"/>
          <w:szCs w:val="20"/>
          <w:color w:val="auto"/>
        </w:rPr>
        <w:br w:type="column"/>
      </w:r>
    </w:p>
    <w:p>
      <w:pPr>
        <w:jc w:val="both"/>
        <w:ind w:right="460"/>
        <w:spacing w:after="0" w:line="256" w:lineRule="auto"/>
        <w:rPr>
          <w:sz w:val="20"/>
          <w:szCs w:val="20"/>
          <w:color w:val="auto"/>
        </w:rPr>
      </w:pPr>
      <w:r>
        <w:rPr>
          <w:rFonts w:ascii="Times New Roman" w:cs="Times New Roman" w:eastAsia="Times New Roman" w:hAnsi="Times New Roman"/>
          <w:sz w:val="18"/>
          <w:szCs w:val="18"/>
          <w:color w:val="auto"/>
        </w:rPr>
        <w:t>The Forfeiture Condition shall lapse with respect to the first «Percent»% of the Transferred Shares when the Transferee completes «CliffPeriod» months of continuous Service beginning with the Vesting Commencement Date set forth above. The Forfeiture Condition shall lapse with respect to an additional «Fraction»% of the Transferred Shares when the Transferee completes each month of continuous Service thereafter.</w:t>
      </w:r>
    </w:p>
    <w:p>
      <w:pPr>
        <w:spacing w:after="0" w:line="196" w:lineRule="exact"/>
        <w:rPr>
          <w:sz w:val="20"/>
          <w:szCs w:val="20"/>
          <w:color w:val="auto"/>
        </w:rPr>
      </w:pPr>
    </w:p>
    <w:p>
      <w:pPr>
        <w:sectPr>
          <w:pgSz w:w="11900" w:h="16838" w:orient="portrait"/>
          <w:cols w:equalWidth="0" w:num="2">
            <w:col w:w="4600" w:space="720"/>
            <w:col w:w="5920"/>
          </w:cols>
          <w:pgMar w:left="320" w:top="261" w:right="339" w:bottom="1440" w:gutter="0" w:footer="0" w:header="0"/>
          <w:type w:val="continuous"/>
        </w:sectPr>
      </w:pPr>
    </w:p>
    <w:p>
      <w:pPr>
        <w:jc w:val="both"/>
        <w:spacing w:after="0" w:line="242" w:lineRule="auto"/>
        <w:rPr>
          <w:sz w:val="20"/>
          <w:szCs w:val="20"/>
          <w:color w:val="auto"/>
        </w:rPr>
      </w:pPr>
      <w:r>
        <w:rPr>
          <w:rFonts w:ascii="Times New Roman" w:cs="Times New Roman" w:eastAsia="Times New Roman" w:hAnsi="Times New Roman"/>
          <w:sz w:val="20"/>
          <w:szCs w:val="20"/>
          <w:color w:val="auto"/>
        </w:rPr>
        <w:t>By signing below, the Transferee and the Company agree that the acquisition of the Transferred Shares is governed by the terms and conditions of the 2016 Stock Plan and the Stock Grant Agreement. Both of these documents are attached to, and made a part of, this Summary of Stock Grant. The Transferee agrees to accept by email all documents relating to the Company, the Plan or this grant and all other documents that the Company is required to deliver to its security holders (including, without limitation, disclosures that may be required by the Securities and Exchange Commission). The Transferee also agrees that the Company may deliver these documents by posting them on a website maintained by the Company or by a third party under contract with the Company. If the Company posts these documents on a website, it shall notify the Transferee by email of their availability. The Transferee acknowledges that he or she may incur costs in connection with electronic delivery, including the cost of accessing the internet and printing fees, and that an interruption of internet access may interfere with his or her ability to access the documents. This consent shall remain in effect until the Transferee gives the Company written notice that it should deliver paper documents.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4"/>
                <w:szCs w:val="14"/>
                <w:b w:val="1"/>
                <w:bCs w:val="1"/>
                <w:color w:val="auto"/>
              </w:rPr>
              <w:t>RANSFEREE</w:t>
            </w:r>
            <w:r>
              <w:rPr>
                <w:rFonts w:ascii="Times New Roman" w:cs="Times New Roman" w:eastAsia="Times New Roman" w:hAnsi="Times New Roman"/>
                <w:sz w:val="18"/>
                <w:szCs w:val="18"/>
                <w:b w:val="1"/>
                <w:bCs w:val="1"/>
                <w:color w:val="auto"/>
              </w:rPr>
              <w:t>:</w:t>
            </w:r>
          </w:p>
        </w:tc>
        <w:tc>
          <w:tcPr>
            <w:tcW w:w="588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4"/>
                <w:szCs w:val="14"/>
                <w:b w:val="1"/>
                <w:bCs w:val="1"/>
                <w:color w:val="auto"/>
              </w:rPr>
              <w:t>ARSUS</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4"/>
                <w:szCs w:val="14"/>
                <w:b w:val="1"/>
                <w:bCs w:val="1"/>
                <w:color w:val="auto"/>
              </w:rPr>
              <w:t>HARMACEUTICALS</w:t>
            </w:r>
            <w:r>
              <w:rPr>
                <w:rFonts w:ascii="Times New Roman" w:cs="Times New Roman" w:eastAsia="Times New Roman" w:hAnsi="Times New Roman"/>
                <w:sz w:val="18"/>
                <w:szCs w:val="18"/>
                <w:b w:val="1"/>
                <w:bCs w:val="1"/>
                <w:color w:val="auto"/>
              </w:rPr>
              <w:t>,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18"/>
                <w:szCs w:val="18"/>
                <w:b w:val="1"/>
                <w:bCs w:val="1"/>
                <w:color w:val="auto"/>
              </w:rPr>
              <w:t>.</w:t>
            </w:r>
          </w:p>
        </w:tc>
      </w:tr>
      <w:tr>
        <w:trPr>
          <w:trHeight w:val="432"/>
        </w:trPr>
        <w:tc>
          <w:tcPr>
            <w:tcW w:w="5360" w:type="dxa"/>
            <w:vAlign w:val="bottom"/>
          </w:tcPr>
          <w:p>
            <w:pPr>
              <w:spacing w:after="0"/>
              <w:rPr>
                <w:sz w:val="24"/>
                <w:szCs w:val="24"/>
                <w:color w:val="auto"/>
              </w:rPr>
            </w:pPr>
          </w:p>
        </w:tc>
        <w:tc>
          <w:tcPr>
            <w:tcW w:w="58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By:</w:t>
            </w:r>
          </w:p>
        </w:tc>
      </w:tr>
      <w:tr>
        <w:trPr>
          <w:trHeight w:val="210"/>
        </w:trPr>
        <w:tc>
          <w:tcPr>
            <w:tcW w:w="53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Address for Mailing Stock Certificate:</w:t>
            </w:r>
          </w:p>
        </w:tc>
        <w:tc>
          <w:tcPr>
            <w:tcW w:w="7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Title:</w:t>
            </w:r>
          </w:p>
        </w:tc>
        <w:tc>
          <w:tcPr>
            <w:tcW w:w="5160" w:type="dxa"/>
            <w:vAlign w:val="bottom"/>
            <w:tcBorders>
              <w:top w:val="single" w:sz="8" w:color="auto"/>
              <w:bottom w:val="single" w:sz="8" w:color="auto"/>
            </w:tcBorders>
          </w:tcPr>
          <w:p>
            <w:pPr>
              <w:spacing w:after="0"/>
              <w:rPr>
                <w:sz w:val="18"/>
                <w:szCs w:val="18"/>
                <w:color w:val="auto"/>
              </w:rPr>
            </w:pPr>
          </w:p>
        </w:tc>
      </w:tr>
      <w:tr>
        <w:trPr>
          <w:trHeight w:val="209"/>
        </w:trPr>
        <w:tc>
          <w:tcPr>
            <w:tcW w:w="5360" w:type="dxa"/>
            <w:vAlign w:val="bottom"/>
            <w:tcBorders>
              <w:bottom w:val="single" w:sz="8" w:color="auto"/>
            </w:tcBorders>
          </w:tcPr>
          <w:p>
            <w:pPr>
              <w:spacing w:after="0"/>
              <w:rPr>
                <w:sz w:val="18"/>
                <w:szCs w:val="18"/>
                <w:color w:val="auto"/>
              </w:rPr>
            </w:pPr>
          </w:p>
        </w:tc>
        <w:tc>
          <w:tcPr>
            <w:tcW w:w="720" w:type="dxa"/>
            <w:vAlign w:val="bottom"/>
          </w:tcPr>
          <w:p>
            <w:pPr>
              <w:spacing w:after="0"/>
              <w:rPr>
                <w:sz w:val="18"/>
                <w:szCs w:val="18"/>
                <w:color w:val="auto"/>
              </w:rPr>
            </w:pPr>
          </w:p>
        </w:tc>
        <w:tc>
          <w:tcPr>
            <w:tcW w:w="5160" w:type="dxa"/>
            <w:vAlign w:val="bottom"/>
          </w:tcPr>
          <w:p>
            <w:pPr>
              <w:spacing w:after="0"/>
              <w:rPr>
                <w:sz w:val="18"/>
                <w:szCs w:val="18"/>
                <w:color w:val="auto"/>
              </w:rPr>
            </w:pPr>
          </w:p>
        </w:tc>
      </w:tr>
      <w:tr>
        <w:trPr>
          <w:trHeight w:val="210"/>
        </w:trPr>
        <w:tc>
          <w:tcPr>
            <w:tcW w:w="5360" w:type="dxa"/>
            <w:vAlign w:val="bottom"/>
            <w:tcBorders>
              <w:bottom w:val="single" w:sz="8" w:color="auto"/>
            </w:tcBorders>
          </w:tcPr>
          <w:p>
            <w:pPr>
              <w:spacing w:after="0"/>
              <w:rPr>
                <w:sz w:val="18"/>
                <w:szCs w:val="18"/>
                <w:color w:val="auto"/>
              </w:rPr>
            </w:pPr>
          </w:p>
        </w:tc>
        <w:tc>
          <w:tcPr>
            <w:tcW w:w="720" w:type="dxa"/>
            <w:vAlign w:val="bottom"/>
          </w:tcPr>
          <w:p>
            <w:pPr>
              <w:spacing w:after="0"/>
              <w:rPr>
                <w:sz w:val="18"/>
                <w:szCs w:val="18"/>
                <w:color w:val="auto"/>
              </w:rPr>
            </w:pPr>
          </w:p>
        </w:tc>
        <w:tc>
          <w:tcPr>
            <w:tcW w:w="5160" w:type="dxa"/>
            <w:vAlign w:val="bottom"/>
          </w:tcPr>
          <w:p>
            <w:pPr>
              <w:spacing w:after="0"/>
              <w:rPr>
                <w:sz w:val="18"/>
                <w:szCs w:val="18"/>
                <w:color w:val="auto"/>
              </w:rPr>
            </w:pPr>
          </w:p>
        </w:tc>
      </w:tr>
    </w:tbl>
    <w:p>
      <w:pPr>
        <w:sectPr>
          <w:pgSz w:w="11900" w:h="16838" w:orient="portrait"/>
          <w:cols w:equalWidth="0" w:num="1">
            <w:col w:w="11240"/>
          </w:cols>
          <w:pgMar w:left="320" w:top="261" w:right="339" w:bottom="1440" w:gutter="0" w:footer="0" w:header="0"/>
          <w:type w:val="continuous"/>
        </w:sectPr>
      </w:pPr>
    </w:p>
    <w:bookmarkStart w:id="319" w:name="page320"/>
    <w:bookmarkEnd w:id="319"/>
    <w:p>
      <w:pPr>
        <w:jc w:val="center"/>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w:t>
      </w:r>
      <w:r>
        <w:rPr>
          <w:rFonts w:ascii="Times New Roman" w:cs="Times New Roman" w:eastAsia="Times New Roman" w:hAnsi="Times New Roman"/>
          <w:sz w:val="16"/>
          <w:szCs w:val="16"/>
          <w:b w:val="1"/>
          <w:bCs w:val="1"/>
          <w:color w:val="auto"/>
        </w:rPr>
        <w:t>ARSUS</w:t>
      </w:r>
      <w:r>
        <w:rPr>
          <w:rFonts w:ascii="Times New Roman" w:cs="Times New Roman" w:eastAsia="Times New Roman" w:hAnsi="Times New Roman"/>
          <w:sz w:val="20"/>
          <w:szCs w:val="20"/>
          <w:b w:val="1"/>
          <w:bCs w:val="1"/>
          <w:color w:val="auto"/>
        </w:rPr>
        <w:t xml:space="preserve"> P</w:t>
      </w:r>
      <w:r>
        <w:rPr>
          <w:rFonts w:ascii="Times New Roman" w:cs="Times New Roman" w:eastAsia="Times New Roman" w:hAnsi="Times New Roman"/>
          <w:sz w:val="16"/>
          <w:szCs w:val="16"/>
          <w:b w:val="1"/>
          <w:bCs w:val="1"/>
          <w:color w:val="auto"/>
        </w:rPr>
        <w:t>HARMACEUTICALS</w:t>
      </w:r>
      <w:r>
        <w:rPr>
          <w:rFonts w:ascii="Times New Roman" w:cs="Times New Roman" w:eastAsia="Times New Roman" w:hAnsi="Times New Roman"/>
          <w:sz w:val="20"/>
          <w:szCs w:val="20"/>
          <w:b w:val="1"/>
          <w:bCs w:val="1"/>
          <w:color w:val="auto"/>
        </w:rPr>
        <w:t>, I</w:t>
      </w:r>
      <w:r>
        <w:rPr>
          <w:rFonts w:ascii="Times New Roman" w:cs="Times New Roman" w:eastAsia="Times New Roman" w:hAnsi="Times New Roman"/>
          <w:sz w:val="16"/>
          <w:szCs w:val="16"/>
          <w:b w:val="1"/>
          <w:bCs w:val="1"/>
          <w:color w:val="auto"/>
        </w:rPr>
        <w:t>NC</w:t>
      </w:r>
      <w:r>
        <w:rPr>
          <w:rFonts w:ascii="Times New Roman" w:cs="Times New Roman" w:eastAsia="Times New Roman" w:hAnsi="Times New Roman"/>
          <w:sz w:val="20"/>
          <w:szCs w:val="20"/>
          <w:b w:val="1"/>
          <w:bCs w:val="1"/>
          <w:color w:val="auto"/>
        </w:rPr>
        <w:t>. 2016 S</w:t>
      </w:r>
      <w:r>
        <w:rPr>
          <w:rFonts w:ascii="Times New Roman" w:cs="Times New Roman" w:eastAsia="Times New Roman" w:hAnsi="Times New Roman"/>
          <w:sz w:val="16"/>
          <w:szCs w:val="16"/>
          <w:b w:val="1"/>
          <w:bCs w:val="1"/>
          <w:color w:val="auto"/>
        </w:rPr>
        <w:t>TOCK</w:t>
      </w:r>
      <w:r>
        <w:rPr>
          <w:rFonts w:ascii="Times New Roman" w:cs="Times New Roman" w:eastAsia="Times New Roman" w:hAnsi="Times New Roman"/>
          <w:sz w:val="20"/>
          <w:szCs w:val="20"/>
          <w:b w:val="1"/>
          <w:bCs w:val="1"/>
          <w:color w:val="auto"/>
        </w:rPr>
        <w:t xml:space="preserve"> P</w:t>
      </w:r>
      <w:r>
        <w:rPr>
          <w:rFonts w:ascii="Times New Roman" w:cs="Times New Roman" w:eastAsia="Times New Roman" w:hAnsi="Times New Roman"/>
          <w:sz w:val="16"/>
          <w:szCs w:val="16"/>
          <w:b w:val="1"/>
          <w:bCs w:val="1"/>
          <w:color w:val="auto"/>
        </w:rPr>
        <w:t>LAN</w:t>
      </w:r>
      <w:r>
        <w:rPr>
          <w:rFonts w:ascii="Times New Roman" w:cs="Times New Roman" w:eastAsia="Times New Roman" w:hAnsi="Times New Roman"/>
          <w:sz w:val="20"/>
          <w:szCs w:val="20"/>
          <w:b w:val="1"/>
          <w:bCs w:val="1"/>
          <w:color w:val="auto"/>
        </w:rPr>
        <w:t>:</w:t>
      </w:r>
    </w:p>
    <w:p>
      <w:pPr>
        <w:spacing w:after="0" w:line="26"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20"/>
          <w:szCs w:val="20"/>
          <w:b w:val="1"/>
          <w:bCs w:val="1"/>
          <w:color w:val="auto"/>
        </w:rPr>
        <w:t>S</w:t>
      </w:r>
      <w:r>
        <w:rPr>
          <w:rFonts w:ascii="Times New Roman" w:cs="Times New Roman" w:eastAsia="Times New Roman" w:hAnsi="Times New Roman"/>
          <w:sz w:val="16"/>
          <w:szCs w:val="16"/>
          <w:b w:val="1"/>
          <w:bCs w:val="1"/>
          <w:color w:val="auto"/>
        </w:rPr>
        <w:t>TOCK</w:t>
      </w:r>
      <w:r>
        <w:rPr>
          <w:rFonts w:ascii="Times New Roman" w:cs="Times New Roman" w:eastAsia="Times New Roman" w:hAnsi="Times New Roman"/>
          <w:sz w:val="20"/>
          <w:szCs w:val="20"/>
          <w:b w:val="1"/>
          <w:bCs w:val="1"/>
          <w:color w:val="auto"/>
        </w:rPr>
        <w:t xml:space="preserve"> G</w:t>
      </w:r>
      <w:r>
        <w:rPr>
          <w:rFonts w:ascii="Times New Roman" w:cs="Times New Roman" w:eastAsia="Times New Roman" w:hAnsi="Times New Roman"/>
          <w:sz w:val="16"/>
          <w:szCs w:val="16"/>
          <w:b w:val="1"/>
          <w:bCs w:val="1"/>
          <w:color w:val="auto"/>
        </w:rPr>
        <w:t>RANT</w:t>
      </w:r>
      <w:r>
        <w:rPr>
          <w:rFonts w:ascii="Times New Roman" w:cs="Times New Roman" w:eastAsia="Times New Roman" w:hAnsi="Times New Roman"/>
          <w:sz w:val="20"/>
          <w:szCs w:val="20"/>
          <w:b w:val="1"/>
          <w:bCs w:val="1"/>
          <w:color w:val="auto"/>
        </w:rPr>
        <w:t xml:space="preserve"> A</w:t>
      </w:r>
      <w:r>
        <w:rPr>
          <w:rFonts w:ascii="Times New Roman" w:cs="Times New Roman" w:eastAsia="Times New Roman" w:hAnsi="Times New Roman"/>
          <w:sz w:val="16"/>
          <w:szCs w:val="16"/>
          <w:b w:val="1"/>
          <w:bCs w:val="1"/>
          <w:color w:val="auto"/>
        </w:rPr>
        <w:t>GREEMENT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16"/>
          <w:szCs w:val="16"/>
          <w:b w:val="1"/>
          <w:bCs w:val="1"/>
          <w:color w:val="auto"/>
        </w:rPr>
        <w:t>FOR</w:t>
      </w:r>
      <w:r>
        <w:rPr>
          <w:rFonts w:ascii="Times New Roman" w:cs="Times New Roman" w:eastAsia="Times New Roman" w:hAnsi="Times New Roman"/>
          <w:sz w:val="20"/>
          <w:szCs w:val="20"/>
          <w:b w:val="1"/>
          <w:bCs w:val="1"/>
          <w:color w:val="auto"/>
        </w:rPr>
        <w:t xml:space="preserve"> S</w:t>
      </w:r>
      <w:r>
        <w:rPr>
          <w:rFonts w:ascii="Times New Roman" w:cs="Times New Roman" w:eastAsia="Times New Roman" w:hAnsi="Times New Roman"/>
          <w:sz w:val="16"/>
          <w:szCs w:val="16"/>
          <w:b w:val="1"/>
          <w:bCs w:val="1"/>
          <w:color w:val="auto"/>
        </w:rPr>
        <w:t>ERVICES</w:t>
      </w:r>
      <w:r>
        <w:rPr>
          <w:rFonts w:ascii="Times New Roman" w:cs="Times New Roman" w:eastAsia="Times New Roman" w:hAnsi="Times New Roman"/>
          <w:sz w:val="20"/>
          <w:szCs w:val="20"/>
          <w:b w:val="1"/>
          <w:bCs w:val="1"/>
          <w:color w:val="auto"/>
        </w:rPr>
        <w:t>)</w:t>
      </w:r>
    </w:p>
    <w:p>
      <w:pPr>
        <w:spacing w:after="0" w:line="190" w:lineRule="exact"/>
        <w:rPr>
          <w:sz w:val="20"/>
          <w:szCs w:val="20"/>
          <w:color w:val="auto"/>
        </w:rPr>
      </w:pPr>
    </w:p>
    <w:p>
      <w:pPr>
        <w:spacing w:after="0"/>
        <w:tabs>
          <w:tab w:leader="none" w:pos="1320" w:val="left"/>
        </w:tabs>
        <w:rPr>
          <w:sz w:val="20"/>
          <w:szCs w:val="20"/>
          <w:color w:val="auto"/>
        </w:rPr>
      </w:pPr>
      <w:r>
        <w:rPr>
          <w:rFonts w:ascii="Times New Roman" w:cs="Times New Roman" w:eastAsia="Times New Roman" w:hAnsi="Times New Roman"/>
          <w:sz w:val="20"/>
          <w:szCs w:val="20"/>
          <w:b w:val="1"/>
          <w:bCs w:val="1"/>
          <w:color w:val="auto"/>
        </w:rPr>
        <w:t>SECTION 1.</w:t>
      </w:r>
      <w:r>
        <w:rPr>
          <w:sz w:val="20"/>
          <w:szCs w:val="20"/>
          <w:color w:val="auto"/>
        </w:rPr>
        <w:tab/>
      </w:r>
      <w:r>
        <w:rPr>
          <w:rFonts w:ascii="Times New Roman" w:cs="Times New Roman" w:eastAsia="Times New Roman" w:hAnsi="Times New Roman"/>
          <w:sz w:val="19"/>
          <w:szCs w:val="19"/>
          <w:b w:val="1"/>
          <w:bCs w:val="1"/>
          <w:color w:val="auto"/>
        </w:rPr>
        <w:t>ACQUISITION OF SHARES.</w:t>
      </w:r>
    </w:p>
    <w:p>
      <w:pPr>
        <w:spacing w:after="0" w:line="216" w:lineRule="exact"/>
        <w:rPr>
          <w:sz w:val="20"/>
          <w:szCs w:val="20"/>
          <w:color w:val="auto"/>
        </w:rPr>
      </w:pPr>
    </w:p>
    <w:p>
      <w:pPr>
        <w:jc w:val="both"/>
        <w:ind w:firstLine="794"/>
        <w:spacing w:after="0" w:line="256" w:lineRule="auto"/>
        <w:tabs>
          <w:tab w:leader="none" w:pos="1401" w:val="left"/>
        </w:tabs>
        <w:numPr>
          <w:ilvl w:val="0"/>
          <w:numId w:val="2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Transfer</w:t>
      </w:r>
      <w:r>
        <w:rPr>
          <w:rFonts w:ascii="Times New Roman" w:cs="Times New Roman" w:eastAsia="Times New Roman" w:hAnsi="Times New Roman"/>
          <w:sz w:val="20"/>
          <w:szCs w:val="20"/>
          <w:color w:val="auto"/>
        </w:rPr>
        <w:t>. On the terms and conditions set forth in the Summary of Stock Grant and this Agreement, the Company agrees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transfer to the Transferee the number of Shares set forth in the Summary of Stock Grant. The transfer shall occur at the offices of the Company on the date of transfer set forth in the Summary of Stock Grant or at such other place and time as the parties may agree.</w:t>
      </w:r>
    </w:p>
    <w:p>
      <w:pPr>
        <w:spacing w:after="0" w:line="168" w:lineRule="exact"/>
        <w:rPr>
          <w:rFonts w:ascii="Times New Roman" w:cs="Times New Roman" w:eastAsia="Times New Roman" w:hAnsi="Times New Roman"/>
          <w:sz w:val="20"/>
          <w:szCs w:val="20"/>
          <w:color w:val="auto"/>
        </w:rPr>
      </w:pPr>
    </w:p>
    <w:p>
      <w:pPr>
        <w:jc w:val="both"/>
        <w:ind w:firstLine="794"/>
        <w:spacing w:after="0" w:line="256" w:lineRule="auto"/>
        <w:tabs>
          <w:tab w:leader="none" w:pos="1507" w:val="left"/>
        </w:tabs>
        <w:numPr>
          <w:ilvl w:val="0"/>
          <w:numId w:val="2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Consideration</w:t>
      </w:r>
      <w:r>
        <w:rPr>
          <w:rFonts w:ascii="Times New Roman" w:cs="Times New Roman" w:eastAsia="Times New Roman" w:hAnsi="Times New Roman"/>
          <w:sz w:val="20"/>
          <w:szCs w:val="20"/>
          <w:color w:val="auto"/>
        </w:rPr>
        <w:t>. The Transferee and the Company agree that the Transferred Shares are being issued to the Transferee as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consideration for a portion of the services performed by the Transferee for the Company. The value of such portion is agreed to be not less than 100% of the Fair Market Value of the Transferred Shares.</w:t>
      </w:r>
    </w:p>
    <w:p>
      <w:pPr>
        <w:spacing w:after="0" w:line="168" w:lineRule="exact"/>
        <w:rPr>
          <w:rFonts w:ascii="Times New Roman" w:cs="Times New Roman" w:eastAsia="Times New Roman" w:hAnsi="Times New Roman"/>
          <w:sz w:val="20"/>
          <w:szCs w:val="20"/>
          <w:color w:val="auto"/>
        </w:rPr>
      </w:pPr>
    </w:p>
    <w:p>
      <w:pPr>
        <w:jc w:val="both"/>
        <w:ind w:firstLine="794"/>
        <w:spacing w:after="0" w:line="250" w:lineRule="auto"/>
        <w:tabs>
          <w:tab w:leader="none" w:pos="1631" w:val="left"/>
        </w:tabs>
        <w:numPr>
          <w:ilvl w:val="0"/>
          <w:numId w:val="2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Stock Plan and Defined Terms</w:t>
      </w:r>
      <w:r>
        <w:rPr>
          <w:rFonts w:ascii="Times New Roman" w:cs="Times New Roman" w:eastAsia="Times New Roman" w:hAnsi="Times New Roman"/>
          <w:sz w:val="20"/>
          <w:szCs w:val="20"/>
          <w:color w:val="auto"/>
        </w:rPr>
        <w:t>. The transfer of the Transferred Shares is subject to the Plan, a copy of which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Transferee acknowledges having received. The provisions of the Plan are incorporated into this Agreement by this reference. Except as otherwise defined in this Agreement (including without limitation Section 11 hereof), capitalized terms shall have the meaning ascribed to such terms in the Plan.</w:t>
      </w:r>
    </w:p>
    <w:p>
      <w:pPr>
        <w:spacing w:after="0" w:line="176" w:lineRule="exact"/>
        <w:rPr>
          <w:sz w:val="20"/>
          <w:szCs w:val="20"/>
          <w:color w:val="auto"/>
        </w:rPr>
      </w:pPr>
    </w:p>
    <w:p>
      <w:pPr>
        <w:spacing w:after="0"/>
        <w:tabs>
          <w:tab w:leader="none" w:pos="1320" w:val="left"/>
        </w:tabs>
        <w:rPr>
          <w:sz w:val="20"/>
          <w:szCs w:val="20"/>
          <w:color w:val="auto"/>
        </w:rPr>
      </w:pPr>
      <w:r>
        <w:rPr>
          <w:rFonts w:ascii="Times New Roman" w:cs="Times New Roman" w:eastAsia="Times New Roman" w:hAnsi="Times New Roman"/>
          <w:sz w:val="20"/>
          <w:szCs w:val="20"/>
          <w:b w:val="1"/>
          <w:bCs w:val="1"/>
          <w:color w:val="auto"/>
        </w:rPr>
        <w:t>SECTION 2.</w:t>
      </w:r>
      <w:r>
        <w:rPr>
          <w:sz w:val="20"/>
          <w:szCs w:val="20"/>
          <w:color w:val="auto"/>
        </w:rPr>
        <w:tab/>
      </w:r>
      <w:r>
        <w:rPr>
          <w:rFonts w:ascii="Times New Roman" w:cs="Times New Roman" w:eastAsia="Times New Roman" w:hAnsi="Times New Roman"/>
          <w:sz w:val="19"/>
          <w:szCs w:val="19"/>
          <w:b w:val="1"/>
          <w:bCs w:val="1"/>
          <w:color w:val="auto"/>
        </w:rPr>
        <w:t>FORFEITURE CONDITION.</w:t>
      </w:r>
    </w:p>
    <w:p>
      <w:pPr>
        <w:spacing w:after="0" w:line="216" w:lineRule="exact"/>
        <w:rPr>
          <w:sz w:val="20"/>
          <w:szCs w:val="20"/>
          <w:color w:val="auto"/>
        </w:rPr>
      </w:pPr>
    </w:p>
    <w:p>
      <w:pPr>
        <w:jc w:val="both"/>
        <w:ind w:firstLine="794"/>
        <w:spacing w:after="0" w:line="245" w:lineRule="auto"/>
        <w:tabs>
          <w:tab w:leader="none" w:pos="1415" w:val="left"/>
        </w:tabs>
        <w:numPr>
          <w:ilvl w:val="0"/>
          <w:numId w:val="2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Scope of Forfeiture Condition</w:t>
      </w:r>
      <w:r>
        <w:rPr>
          <w:rFonts w:ascii="Times New Roman" w:cs="Times New Roman" w:eastAsia="Times New Roman" w:hAnsi="Times New Roman"/>
          <w:sz w:val="20"/>
          <w:szCs w:val="20"/>
          <w:color w:val="auto"/>
        </w:rPr>
        <w:t>. All Transferred Shares initially shall be Restricted Shares and shall be subject to forfeiture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to the Company. The Transferee shall not transfer, assign, encumber or otherwise dispose of any Restricted Shares without the Company’s written consent, except as provided in the following sentence. The Transferee may transfer Restricted Shares to one or more members of the Transferee’s Immediate Family or to a trust established by the Transferee for the benefit of the Transferee and/or one or more members of the Transferee’s Immediate Family, provided in either case that the Transferee agrees in writing on a form prescribed by the Company to be bound by all provisions of this Agreement. If the Transferee transfers any Restricted Shares, then this Agreement shall apply to the Subsequent Transferee to the same extent as to the Transferee.</w:t>
      </w:r>
    </w:p>
    <w:p>
      <w:pPr>
        <w:spacing w:after="0" w:line="179" w:lineRule="exact"/>
        <w:rPr>
          <w:rFonts w:ascii="Times New Roman" w:cs="Times New Roman" w:eastAsia="Times New Roman" w:hAnsi="Times New Roman"/>
          <w:sz w:val="20"/>
          <w:szCs w:val="20"/>
          <w:color w:val="auto"/>
        </w:rPr>
      </w:pPr>
    </w:p>
    <w:p>
      <w:pPr>
        <w:ind w:right="20" w:firstLine="794"/>
        <w:spacing w:after="0" w:line="273" w:lineRule="auto"/>
        <w:tabs>
          <w:tab w:leader="none" w:pos="1426" w:val="left"/>
        </w:tabs>
        <w:numPr>
          <w:ilvl w:val="0"/>
          <w:numId w:val="2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Vesting</w:t>
      </w:r>
      <w:r>
        <w:rPr>
          <w:rFonts w:ascii="Times New Roman" w:cs="Times New Roman" w:eastAsia="Times New Roman" w:hAnsi="Times New Roman"/>
          <w:sz w:val="20"/>
          <w:szCs w:val="20"/>
          <w:color w:val="auto"/>
        </w:rPr>
        <w:t>. The Forfeiture Condition shall lapse and the Restricted Shares shall become vested in accordance with the vesting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schedule set forth in the Summary of Stock Grant.</w:t>
      </w:r>
    </w:p>
    <w:p>
      <w:pPr>
        <w:spacing w:after="0" w:line="151" w:lineRule="exact"/>
        <w:rPr>
          <w:rFonts w:ascii="Times New Roman" w:cs="Times New Roman" w:eastAsia="Times New Roman" w:hAnsi="Times New Roman"/>
          <w:sz w:val="20"/>
          <w:szCs w:val="20"/>
          <w:color w:val="auto"/>
        </w:rPr>
      </w:pPr>
    </w:p>
    <w:p>
      <w:pPr>
        <w:jc w:val="both"/>
        <w:ind w:firstLine="794"/>
        <w:spacing w:after="0" w:line="250" w:lineRule="auto"/>
        <w:tabs>
          <w:tab w:leader="none" w:pos="1469" w:val="left"/>
        </w:tabs>
        <w:numPr>
          <w:ilvl w:val="0"/>
          <w:numId w:val="2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Execution of Forfeiture</w:t>
      </w:r>
      <w:r>
        <w:rPr>
          <w:rFonts w:ascii="Times New Roman" w:cs="Times New Roman" w:eastAsia="Times New Roman" w:hAnsi="Times New Roman"/>
          <w:sz w:val="20"/>
          <w:szCs w:val="20"/>
          <w:color w:val="auto"/>
        </w:rPr>
        <w:t>. The Forfeiture Condition shall be applicable only if the Transferee’s Service terminates for 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reason, with or without cause, including (without limitation) death or disability, before all Restricted Shares have become vested. In the event that the Transferee’s Service terminates for any reason, the certificate(s) representing any remaining Restricted Shares shall be delivered to the Company. The Company shall make no payment for Restricted Shares that are forfeited.</w:t>
      </w:r>
    </w:p>
    <w:p>
      <w:pPr>
        <w:spacing w:after="0" w:line="175" w:lineRule="exact"/>
        <w:rPr>
          <w:rFonts w:ascii="Times New Roman" w:cs="Times New Roman" w:eastAsia="Times New Roman" w:hAnsi="Times New Roman"/>
          <w:sz w:val="20"/>
          <w:szCs w:val="20"/>
          <w:color w:val="auto"/>
        </w:rPr>
      </w:pPr>
    </w:p>
    <w:p>
      <w:pPr>
        <w:jc w:val="both"/>
        <w:ind w:firstLine="794"/>
        <w:spacing w:after="0" w:line="245" w:lineRule="auto"/>
        <w:tabs>
          <w:tab w:leader="none" w:pos="1412" w:val="left"/>
        </w:tabs>
        <w:numPr>
          <w:ilvl w:val="0"/>
          <w:numId w:val="2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Additional or Exchanged Securities and Property</w:t>
      </w:r>
      <w:r>
        <w:rPr>
          <w:rFonts w:ascii="Times New Roman" w:cs="Times New Roman" w:eastAsia="Times New Roman" w:hAnsi="Times New Roman"/>
          <w:sz w:val="20"/>
          <w:szCs w:val="20"/>
          <w:color w:val="auto"/>
        </w:rPr>
        <w:t>. In the event of a merger or consolidation of the Company, a sale of all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or substantially all of the Company’s stock or assets, any other corporate reorganization, the declaration of a stock dividend, the declaration of an extraordinary dividend payable in a form other than stock, a spin-off, a stock split, an adjustment in conversion ratio, a recapitalization or a similar transaction affecting the Company’s outstanding securities, any securities or other property (including cash or cash equivalents) that are by reason of such transaction exchanged for, or distributed with respect to, any Restricted Shares or into which such Restricted Shares thereby become convertible shall immediately be subject to the Forfeiture Condition. Appropriate adjustments to reflect the exchange or distribution of such securities or property shall be made to the number and/or class of the Restricted Shares.</w:t>
      </w:r>
    </w:p>
    <w:p>
      <w:pPr>
        <w:sectPr>
          <w:pgSz w:w="11900" w:h="16838" w:orient="portrait"/>
          <w:cols w:equalWidth="0" w:num="1">
            <w:col w:w="11240"/>
          </w:cols>
          <w:pgMar w:left="320" w:top="261" w:right="339" w:bottom="1440" w:gutter="0" w:footer="0" w:header="0"/>
        </w:sectPr>
      </w:pPr>
    </w:p>
    <w:bookmarkStart w:id="320" w:name="page321"/>
    <w:bookmarkEnd w:id="320"/>
    <w:p>
      <w:pPr>
        <w:jc w:val="both"/>
        <w:ind w:firstLine="794"/>
        <w:spacing w:after="0" w:line="250" w:lineRule="auto"/>
        <w:tabs>
          <w:tab w:leader="none" w:pos="1401" w:val="left"/>
        </w:tabs>
        <w:numPr>
          <w:ilvl w:val="1"/>
          <w:numId w:val="2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Termination of Rights as Stockholder</w:t>
      </w:r>
      <w:r>
        <w:rPr>
          <w:rFonts w:ascii="Times New Roman" w:cs="Times New Roman" w:eastAsia="Times New Roman" w:hAnsi="Times New Roman"/>
          <w:sz w:val="20"/>
          <w:szCs w:val="20"/>
          <w:color w:val="auto"/>
        </w:rPr>
        <w:t>. If Restricted Shares are forfeited in accordance with this Section 2, then the person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who is to forfeit such Restricted Shares shall no longer have any rights as a holder of such Restricted Shares. Such Restricted Shares shall be deemed to have been forfeited in accordance with the applicable provisions hereof, whether or not the certificate(s) therefor have been delivered as required by this Agreement.</w:t>
      </w:r>
    </w:p>
    <w:p>
      <w:pPr>
        <w:spacing w:after="0" w:line="175" w:lineRule="exact"/>
        <w:rPr>
          <w:rFonts w:ascii="Times New Roman" w:cs="Times New Roman" w:eastAsia="Times New Roman" w:hAnsi="Times New Roman"/>
          <w:sz w:val="20"/>
          <w:szCs w:val="20"/>
          <w:color w:val="auto"/>
        </w:rPr>
      </w:pPr>
    </w:p>
    <w:p>
      <w:pPr>
        <w:jc w:val="both"/>
        <w:ind w:firstLine="794"/>
        <w:spacing w:after="0" w:line="257" w:lineRule="auto"/>
        <w:tabs>
          <w:tab w:leader="none" w:pos="1420" w:val="left"/>
        </w:tabs>
        <w:numPr>
          <w:ilvl w:val="1"/>
          <w:numId w:val="29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Escrow</w:t>
      </w:r>
      <w:r>
        <w:rPr>
          <w:rFonts w:ascii="Times New Roman" w:cs="Times New Roman" w:eastAsia="Times New Roman" w:hAnsi="Times New Roman"/>
          <w:sz w:val="19"/>
          <w:szCs w:val="19"/>
          <w:color w:val="auto"/>
        </w:rPr>
        <w:t>. Upon issuance, the certificates for Restricted Shares shall be deposited in escrow with the Company to be held in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accordance with the provisions of this Agreement. Any new, substituted or additional securities or other property described in Subsection (d) above shall immediately be delivered to the Company to be held in escrow, but only to the extent the Transferred Shares are at the time Restricted Shares. All regular cash dividends on Restricted Shares (or other securities at the time held in escrow) shall be paid directly to the Transferee and shall not be held in escrow. Restricted Shares, together with any other assets or securities held in escrow hereunder, shall be</w:t>
      </w:r>
    </w:p>
    <w:p>
      <w:pPr>
        <w:spacing w:after="0" w:line="3" w:lineRule="exact"/>
        <w:rPr>
          <w:rFonts w:ascii="Times New Roman" w:cs="Times New Roman" w:eastAsia="Times New Roman" w:hAnsi="Times New Roman"/>
          <w:sz w:val="19"/>
          <w:szCs w:val="19"/>
          <w:color w:val="auto"/>
        </w:rPr>
      </w:pPr>
    </w:p>
    <w:p>
      <w:pPr>
        <w:ind w:left="260" w:hanging="252"/>
        <w:spacing w:after="0"/>
        <w:tabs>
          <w:tab w:leader="none" w:pos="260" w:val="left"/>
        </w:tabs>
        <w:numPr>
          <w:ilvl w:val="0"/>
          <w:numId w:val="2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surrendered to the Company for forfeiture and cancellation in the event that the Forfeiture Condition or Right of First Refusal applies or</w:t>
      </w:r>
    </w:p>
    <w:p>
      <w:pPr>
        <w:jc w:val="both"/>
        <w:ind w:firstLine="8"/>
        <w:spacing w:after="0" w:line="241" w:lineRule="auto"/>
        <w:tabs>
          <w:tab w:leader="none" w:pos="292" w:val="left"/>
        </w:tabs>
        <w:numPr>
          <w:ilvl w:val="0"/>
          <w:numId w:val="2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released to the Transferee upon the Transferee’s request to the extent the Transferred Shares are no longer Restricted Shares (but not more frequently than once every six months). In any event, all Transferred Shares that have vested (and any other vested assets and securities attributable thereto) shall be released within 60 days after the earlier of (i) the termination of the Transferee’s Service or (ii) the lapse of the Right of First Refusal.</w:t>
      </w:r>
    </w:p>
    <w:p>
      <w:pPr>
        <w:spacing w:after="0" w:line="184" w:lineRule="exact"/>
        <w:rPr>
          <w:rFonts w:ascii="Times New Roman" w:cs="Times New Roman" w:eastAsia="Times New Roman" w:hAnsi="Times New Roman"/>
          <w:sz w:val="20"/>
          <w:szCs w:val="20"/>
          <w:color w:val="auto"/>
        </w:rPr>
      </w:pPr>
    </w:p>
    <w:p>
      <w:pPr>
        <w:jc w:val="both"/>
        <w:ind w:firstLine="794"/>
        <w:spacing w:after="0" w:line="245" w:lineRule="auto"/>
        <w:tabs>
          <w:tab w:leader="none" w:pos="1534" w:val="left"/>
        </w:tabs>
        <w:numPr>
          <w:ilvl w:val="1"/>
          <w:numId w:val="2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Part-Time Employment and Leaves of Absence</w:t>
      </w:r>
      <w:r>
        <w:rPr>
          <w:rFonts w:ascii="Times New Roman" w:cs="Times New Roman" w:eastAsia="Times New Roman" w:hAnsi="Times New Roman"/>
          <w:sz w:val="20"/>
          <w:szCs w:val="20"/>
          <w:color w:val="auto"/>
        </w:rPr>
        <w:t>. If the Transferee commences working on a part-time basis, then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Company may adjust the vesting schedule set forth in the Summary of Stock Grant. If the Transferee goes on a leave of absence, then the Company may adjust the vesting schedule set forth in the Summary of Stock Grant in accordance with the Company’s leave of absence policy or the terms of such leave. Except as provided in the preceding sentence, Service shall be deemed to continue while the Transferee is on a </w:t>
      </w:r>
      <w:r>
        <w:rPr>
          <w:rFonts w:ascii="Times New Roman" w:cs="Times New Roman" w:eastAsia="Times New Roman" w:hAnsi="Times New Roman"/>
          <w:sz w:val="20"/>
          <w:szCs w:val="20"/>
          <w:i w:val="1"/>
          <w:iCs w:val="1"/>
          <w:color w:val="auto"/>
        </w:rPr>
        <w:t>bona fide</w:t>
      </w:r>
      <w:r>
        <w:rPr>
          <w:rFonts w:ascii="Times New Roman" w:cs="Times New Roman" w:eastAsia="Times New Roman" w:hAnsi="Times New Roman"/>
          <w:sz w:val="20"/>
          <w:szCs w:val="20"/>
          <w:color w:val="auto"/>
        </w:rPr>
        <w:t xml:space="preserve"> leave of absence, if (i) such leave was approved by the Company in writing and (ii) continued crediting of Service is expressly required by the terms of such leave or by applicable law (as determined by the Company). Service shall be deemed to terminate when such leave ends, unless the Transferee immediately returns to active work.</w:t>
      </w:r>
    </w:p>
    <w:p>
      <w:pPr>
        <w:spacing w:after="0" w:line="179" w:lineRule="exact"/>
        <w:rPr>
          <w:sz w:val="20"/>
          <w:szCs w:val="20"/>
          <w:color w:val="auto"/>
        </w:rPr>
      </w:pPr>
    </w:p>
    <w:p>
      <w:pPr>
        <w:spacing w:after="0"/>
        <w:tabs>
          <w:tab w:leader="none" w:pos="1320" w:val="left"/>
        </w:tabs>
        <w:rPr>
          <w:sz w:val="20"/>
          <w:szCs w:val="20"/>
          <w:color w:val="auto"/>
        </w:rPr>
      </w:pPr>
      <w:r>
        <w:rPr>
          <w:rFonts w:ascii="Times New Roman" w:cs="Times New Roman" w:eastAsia="Times New Roman" w:hAnsi="Times New Roman"/>
          <w:sz w:val="20"/>
          <w:szCs w:val="20"/>
          <w:b w:val="1"/>
          <w:bCs w:val="1"/>
          <w:color w:val="auto"/>
        </w:rPr>
        <w:t>SECTION 3.</w:t>
      </w:r>
      <w:r>
        <w:rPr>
          <w:sz w:val="20"/>
          <w:szCs w:val="20"/>
          <w:color w:val="auto"/>
        </w:rPr>
        <w:tab/>
      </w:r>
      <w:r>
        <w:rPr>
          <w:rFonts w:ascii="Times New Roman" w:cs="Times New Roman" w:eastAsia="Times New Roman" w:hAnsi="Times New Roman"/>
          <w:sz w:val="19"/>
          <w:szCs w:val="19"/>
          <w:b w:val="1"/>
          <w:bCs w:val="1"/>
          <w:color w:val="auto"/>
        </w:rPr>
        <w:t>RIGHT OF FIRST REFUSAL.</w:t>
      </w:r>
    </w:p>
    <w:p>
      <w:pPr>
        <w:spacing w:after="0" w:line="216" w:lineRule="exact"/>
        <w:rPr>
          <w:sz w:val="20"/>
          <w:szCs w:val="20"/>
          <w:color w:val="auto"/>
        </w:rPr>
      </w:pPr>
    </w:p>
    <w:p>
      <w:pPr>
        <w:jc w:val="both"/>
        <w:ind w:firstLine="794"/>
        <w:spacing w:after="0" w:line="243" w:lineRule="auto"/>
        <w:tabs>
          <w:tab w:leader="none" w:pos="1482" w:val="left"/>
        </w:tabs>
        <w:numPr>
          <w:ilvl w:val="0"/>
          <w:numId w:val="2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Right of First Refusal</w:t>
      </w:r>
      <w:r>
        <w:rPr>
          <w:rFonts w:ascii="Times New Roman" w:cs="Times New Roman" w:eastAsia="Times New Roman" w:hAnsi="Times New Roman"/>
          <w:sz w:val="20"/>
          <w:szCs w:val="20"/>
          <w:color w:val="auto"/>
        </w:rPr>
        <w:t>. In the event that the Transferee proposes to sell, pledge or otherwise transfer to a third party 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Transferred Shares, or any interest in Transferred Shares, the Company shall have the Right of First Refusal with respect to all (and not less than all) of such Transferred Shares. If the Transferee desires to transfer Transferred Shares, the Transferee shall give a written Transfer Notice to the Company describing fully the proposed transfer, including the number of Transferred Shares proposed to be transferred, the proposed transfer price, the name and address of the proposed Subsequent Transferee and proof satisfactory to the Company that the proposed sale or transfer will not violate any applicable federal, State or foreign securities laws. The Transfer Notice shall be signed both by the Transferee and by the proposed Subsequent Transferee and must constitute a binding commitment of both parties to the transfer of the Transferred Shares. The Company shall have the right to purchase all, and not less than all, of the Transferred Shares on the terms of the proposal described in the Transfer Notice (subject, however, to any change in such terms permitted under Subsection (b) below) by delivery of a notice of exercise of the Right of First Refusal within 30 days after the date when the Transfer Notice was received by the Company.</w:t>
      </w:r>
    </w:p>
    <w:p>
      <w:pPr>
        <w:spacing w:after="0" w:line="182" w:lineRule="exact"/>
        <w:rPr>
          <w:rFonts w:ascii="Times New Roman" w:cs="Times New Roman" w:eastAsia="Times New Roman" w:hAnsi="Times New Roman"/>
          <w:sz w:val="20"/>
          <w:szCs w:val="20"/>
          <w:color w:val="auto"/>
        </w:rPr>
      </w:pPr>
    </w:p>
    <w:p>
      <w:pPr>
        <w:jc w:val="both"/>
        <w:ind w:firstLine="794"/>
        <w:spacing w:after="0" w:line="256" w:lineRule="auto"/>
        <w:tabs>
          <w:tab w:leader="none" w:pos="1466" w:val="left"/>
        </w:tabs>
        <w:numPr>
          <w:ilvl w:val="0"/>
          <w:numId w:val="2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Transfer of Shares</w:t>
      </w:r>
      <w:r>
        <w:rPr>
          <w:rFonts w:ascii="Times New Roman" w:cs="Times New Roman" w:eastAsia="Times New Roman" w:hAnsi="Times New Roman"/>
          <w:sz w:val="20"/>
          <w:szCs w:val="20"/>
          <w:color w:val="auto"/>
        </w:rPr>
        <w:t>. If the Company fails to exercise its Right of First Refusal within 30 days after receiving the Transfer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Notice, the Transferee may, not later than 90 days after the Company received the Transfer Notice, conclude a transfer of the Transferred Shares subject to the Transfer Notice on the terms and conditions described in the Transfer Notice, provided that any such sale</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261" w:right="339" w:bottom="1440" w:gutter="0" w:footer="0" w:header="0"/>
        </w:sectPr>
      </w:pPr>
    </w:p>
    <w:bookmarkStart w:id="321" w:name="page322"/>
    <w:bookmarkEnd w:id="321"/>
    <w:p>
      <w:pPr>
        <w:jc w:val="both"/>
        <w:spacing w:after="0" w:line="243"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is made in compliance with applicable federal, State and foreign securities laws and not in violation of any other contractual restrictions to which the Transferee is bound. Any proposed transfer on terms and conditions different from those described in the Transfer Notice, as well as any subsequent proposed transfer by the Transferee, shall again be subject to the Right of First Refusal and shall require compliance with the procedure described in Subsection (a) above. If the Company exercises its Right of First Refusal, the parties shall consummate the sale of the Transferred Shares on the terms set forth in the Transfer Notice within 60 days after the Company received the Transfer Notice (or within such longer period as may have been specified in the Transfer Notice); provided, however, that in the event the Transfer Notice provided that payment for the Transferred Shares was to be made in a form other than cash or cash equivalents paid at the time of transfer, the Company shall have the option of paying for the Transferred Shares with cash or cash equivalents equal to the present value of the consideration described in the Transfer Notice.</w:t>
      </w:r>
    </w:p>
    <w:p>
      <w:pPr>
        <w:spacing w:after="0" w:line="182" w:lineRule="exact"/>
        <w:rPr>
          <w:sz w:val="20"/>
          <w:szCs w:val="20"/>
          <w:color w:val="auto"/>
        </w:rPr>
      </w:pPr>
    </w:p>
    <w:p>
      <w:pPr>
        <w:jc w:val="both"/>
        <w:ind w:firstLine="794"/>
        <w:spacing w:after="0" w:line="245" w:lineRule="auto"/>
        <w:tabs>
          <w:tab w:leader="none" w:pos="1401" w:val="left"/>
        </w:tabs>
        <w:numPr>
          <w:ilvl w:val="1"/>
          <w:numId w:val="2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Additional or Exchanged Securities and Property</w:t>
      </w:r>
      <w:r>
        <w:rPr>
          <w:rFonts w:ascii="Times New Roman" w:cs="Times New Roman" w:eastAsia="Times New Roman" w:hAnsi="Times New Roman"/>
          <w:sz w:val="20"/>
          <w:szCs w:val="20"/>
          <w:color w:val="auto"/>
        </w:rPr>
        <w:t>. In the event of a merger or consolidation of the Company, a sale of all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or substantially all of the Company’s stock or assets, any other corporate reorganization, a stock split, the declaration of a stock dividend, the declaration of an extraordinary dividend payable in a form other than stock, a spin-off, an adjustment in conversion ratio, a recapitalization or a similar transaction affecting the Company’s outstanding securities, any securities or other property (including cash or cash equivalents) that are by reason of such transaction exchanged for, or distributed with respect to, any Transferred Shares subject to this Section 3 shall immediately be subject to the Right of First Refusal. Appropriate adjustments to reflect the exchange or distribution of such securities or property shall be made to the number and/or class of the Transferred Shares subject to this Section 3.</w:t>
      </w:r>
    </w:p>
    <w:p>
      <w:pPr>
        <w:spacing w:after="0" w:line="179" w:lineRule="exact"/>
        <w:rPr>
          <w:rFonts w:ascii="Times New Roman" w:cs="Times New Roman" w:eastAsia="Times New Roman" w:hAnsi="Times New Roman"/>
          <w:sz w:val="20"/>
          <w:szCs w:val="20"/>
          <w:color w:val="auto"/>
        </w:rPr>
      </w:pPr>
    </w:p>
    <w:p>
      <w:pPr>
        <w:jc w:val="both"/>
        <w:ind w:firstLine="794"/>
        <w:spacing w:after="0" w:line="248" w:lineRule="auto"/>
        <w:tabs>
          <w:tab w:leader="none" w:pos="1453" w:val="left"/>
        </w:tabs>
        <w:numPr>
          <w:ilvl w:val="1"/>
          <w:numId w:val="2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Termination of Right of First Refusal</w:t>
      </w:r>
      <w:r>
        <w:rPr>
          <w:rFonts w:ascii="Times New Roman" w:cs="Times New Roman" w:eastAsia="Times New Roman" w:hAnsi="Times New Roman"/>
          <w:sz w:val="20"/>
          <w:szCs w:val="20"/>
          <w:color w:val="auto"/>
        </w:rPr>
        <w:t>. Any other provision of this Section 3 notwithstanding, in the event that the Stock</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is readily tradable on an established securities market when the Transferee desires to transfer Transferred Shares, the Company shall have no Right of First Refusal, and the Transferee shall have no obligation to comply with the procedures prescribed by Subsections (a) and</w:t>
      </w:r>
    </w:p>
    <w:p>
      <w:pPr>
        <w:spacing w:after="0" w:line="1" w:lineRule="exact"/>
        <w:rPr>
          <w:rFonts w:ascii="Times New Roman" w:cs="Times New Roman" w:eastAsia="Times New Roman" w:hAnsi="Times New Roman"/>
          <w:sz w:val="20"/>
          <w:szCs w:val="20"/>
          <w:color w:val="auto"/>
        </w:rPr>
      </w:pPr>
    </w:p>
    <w:p>
      <w:pPr>
        <w:ind w:left="280" w:hanging="272"/>
        <w:spacing w:after="0"/>
        <w:tabs>
          <w:tab w:leader="none" w:pos="280" w:val="left"/>
        </w:tabs>
        <w:numPr>
          <w:ilvl w:val="0"/>
          <w:numId w:val="2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above.</w:t>
      </w:r>
    </w:p>
    <w:p>
      <w:pPr>
        <w:spacing w:after="0" w:line="189" w:lineRule="exact"/>
        <w:rPr>
          <w:rFonts w:ascii="Times New Roman" w:cs="Times New Roman" w:eastAsia="Times New Roman" w:hAnsi="Times New Roman"/>
          <w:sz w:val="20"/>
          <w:szCs w:val="20"/>
          <w:color w:val="auto"/>
        </w:rPr>
      </w:pPr>
    </w:p>
    <w:p>
      <w:pPr>
        <w:jc w:val="both"/>
        <w:ind w:firstLine="794"/>
        <w:spacing w:after="0" w:line="246" w:lineRule="auto"/>
        <w:tabs>
          <w:tab w:leader="none" w:pos="1415" w:val="left"/>
        </w:tabs>
        <w:numPr>
          <w:ilvl w:val="1"/>
          <w:numId w:val="2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Permitted Transfers</w:t>
      </w:r>
      <w:r>
        <w:rPr>
          <w:rFonts w:ascii="Times New Roman" w:cs="Times New Roman" w:eastAsia="Times New Roman" w:hAnsi="Times New Roman"/>
          <w:sz w:val="20"/>
          <w:szCs w:val="20"/>
          <w:color w:val="auto"/>
        </w:rPr>
        <w:t>. This Section 3 shall not apply to (i) a transfer by beneficiary designation, will or intestate succession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or (ii) a transfer to one or more members of the Transferee’s Immediate Family or to a trust established by the Transferee for the benefit of the Transferee and/or one or more members of the Transferee’s Immediate Family, provided in either case that the Transferee agrees in writing on a form prescribed by the Company to be bound by all provisions of this Agreement. If the Transferee transfers any Transferred Shares, either under this Subsection (e) or after the Company has failed to exercise the Right of First Refusal, then this Agreement shall apply to the Subsequent Transferee to the same extent as to the Transferee.</w:t>
      </w:r>
    </w:p>
    <w:p>
      <w:pPr>
        <w:spacing w:after="0" w:line="178" w:lineRule="exact"/>
        <w:rPr>
          <w:rFonts w:ascii="Times New Roman" w:cs="Times New Roman" w:eastAsia="Times New Roman" w:hAnsi="Times New Roman"/>
          <w:sz w:val="20"/>
          <w:szCs w:val="20"/>
          <w:color w:val="auto"/>
        </w:rPr>
      </w:pPr>
    </w:p>
    <w:p>
      <w:pPr>
        <w:jc w:val="both"/>
        <w:ind w:firstLine="794"/>
        <w:spacing w:after="0" w:line="264" w:lineRule="auto"/>
        <w:tabs>
          <w:tab w:leader="none" w:pos="1393" w:val="left"/>
        </w:tabs>
        <w:numPr>
          <w:ilvl w:val="1"/>
          <w:numId w:val="29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Termination of Rights as Stockholder</w:t>
      </w:r>
      <w:r>
        <w:rPr>
          <w:rFonts w:ascii="Times New Roman" w:cs="Times New Roman" w:eastAsia="Times New Roman" w:hAnsi="Times New Roman"/>
          <w:sz w:val="19"/>
          <w:szCs w:val="19"/>
          <w:color w:val="auto"/>
        </w:rPr>
        <w:t>. If the Company makes available, at the time and place and in the amount and form</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provided in this Agreement, the consideration for the Shares to be purchased in accordance with this Section 3, then after such time the person from whom such Shares are to be purchased shall no longer have any rights as a holder of such Shares (other than the right to receive payment of such consideration in accordance with this Agreement). Such Shares shall be deemed to have been purchased in accordance with the applicable provisions hereof, whether or not the certificate(s) therefor have been delivered as required by this Agreement.</w:t>
      </w:r>
    </w:p>
    <w:p>
      <w:pPr>
        <w:spacing w:after="0" w:line="161" w:lineRule="exact"/>
        <w:rPr>
          <w:rFonts w:ascii="Times New Roman" w:cs="Times New Roman" w:eastAsia="Times New Roman" w:hAnsi="Times New Roman"/>
          <w:sz w:val="19"/>
          <w:szCs w:val="19"/>
          <w:color w:val="auto"/>
        </w:rPr>
      </w:pPr>
    </w:p>
    <w:p>
      <w:pPr>
        <w:jc w:val="both"/>
        <w:ind w:firstLine="794"/>
        <w:spacing w:after="0" w:line="256" w:lineRule="auto"/>
        <w:tabs>
          <w:tab w:leader="none" w:pos="1426" w:val="left"/>
        </w:tabs>
        <w:numPr>
          <w:ilvl w:val="1"/>
          <w:numId w:val="2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Assignment of Right of First Refusal</w:t>
      </w:r>
      <w:r>
        <w:rPr>
          <w:rFonts w:ascii="Times New Roman" w:cs="Times New Roman" w:eastAsia="Times New Roman" w:hAnsi="Times New Roman"/>
          <w:sz w:val="20"/>
          <w:szCs w:val="20"/>
          <w:color w:val="auto"/>
        </w:rPr>
        <w:t>. The Board of Directors may freely assign the Company’s Right of First Refusal,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whole or in part. Any person who accepts an assignment of the Right of First Refusal from the Company shall assume all of the Company’s rights and obligations under this Section 3.</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265" w:right="339" w:bottom="1440" w:gutter="0" w:footer="0" w:header="0"/>
        </w:sectPr>
      </w:pPr>
    </w:p>
    <w:bookmarkStart w:id="322" w:name="page323"/>
    <w:bookmarkEnd w:id="322"/>
    <w:p>
      <w:pPr>
        <w:spacing w:after="0"/>
        <w:tabs>
          <w:tab w:leader="none" w:pos="1320" w:val="left"/>
        </w:tabs>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SECTION 4.</w:t>
      </w:r>
      <w:r>
        <w:rPr>
          <w:sz w:val="20"/>
          <w:szCs w:val="20"/>
          <w:color w:val="auto"/>
        </w:rPr>
        <w:tab/>
      </w:r>
      <w:r>
        <w:rPr>
          <w:rFonts w:ascii="Times New Roman" w:cs="Times New Roman" w:eastAsia="Times New Roman" w:hAnsi="Times New Roman"/>
          <w:sz w:val="19"/>
          <w:szCs w:val="19"/>
          <w:b w:val="1"/>
          <w:bCs w:val="1"/>
          <w:color w:val="auto"/>
        </w:rPr>
        <w:t>OTHER RESTRICTIONS ON TRANSFER.</w:t>
      </w:r>
    </w:p>
    <w:p>
      <w:pPr>
        <w:spacing w:after="0" w:line="216" w:lineRule="exact"/>
        <w:rPr>
          <w:sz w:val="20"/>
          <w:szCs w:val="20"/>
          <w:color w:val="auto"/>
        </w:rPr>
      </w:pPr>
    </w:p>
    <w:p>
      <w:pPr>
        <w:ind w:firstLine="794"/>
        <w:spacing w:after="0" w:line="273" w:lineRule="auto"/>
        <w:tabs>
          <w:tab w:leader="none" w:pos="1671" w:val="left"/>
        </w:tabs>
        <w:numPr>
          <w:ilvl w:val="0"/>
          <w:numId w:val="2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Transferee Representations</w:t>
      </w:r>
      <w:r>
        <w:rPr>
          <w:rFonts w:ascii="Times New Roman" w:cs="Times New Roman" w:eastAsia="Times New Roman" w:hAnsi="Times New Roman"/>
          <w:sz w:val="20"/>
          <w:szCs w:val="20"/>
          <w:color w:val="auto"/>
        </w:rPr>
        <w:t>. In connection with the issuance and acquisition of Shares under this Agreement,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Transferee hereby represents and warrants to the Company as follows:</w:t>
      </w:r>
    </w:p>
    <w:p>
      <w:pPr>
        <w:spacing w:after="0" w:line="155" w:lineRule="exact"/>
        <w:rPr>
          <w:rFonts w:ascii="Times New Roman" w:cs="Times New Roman" w:eastAsia="Times New Roman" w:hAnsi="Times New Roman"/>
          <w:sz w:val="20"/>
          <w:szCs w:val="20"/>
          <w:color w:val="auto"/>
        </w:rPr>
      </w:pPr>
    </w:p>
    <w:p>
      <w:pPr>
        <w:ind w:left="560" w:right="20" w:firstLine="543"/>
        <w:spacing w:after="0" w:line="269" w:lineRule="auto"/>
        <w:tabs>
          <w:tab w:leader="none" w:pos="1692" w:val="left"/>
        </w:tabs>
        <w:numPr>
          <w:ilvl w:val="1"/>
          <w:numId w:val="2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Transferee is acquiring and will hold the Transferred Shares for investment for his or her account only and not with a view to, or for resale in connection with, any “distribution” thereof within the meaning of the Securities Act.</w:t>
      </w:r>
    </w:p>
    <w:p>
      <w:pPr>
        <w:spacing w:after="0" w:line="159" w:lineRule="exact"/>
        <w:rPr>
          <w:rFonts w:ascii="Times New Roman" w:cs="Times New Roman" w:eastAsia="Times New Roman" w:hAnsi="Times New Roman"/>
          <w:sz w:val="20"/>
          <w:szCs w:val="20"/>
          <w:color w:val="auto"/>
        </w:rPr>
      </w:pPr>
    </w:p>
    <w:p>
      <w:pPr>
        <w:jc w:val="both"/>
        <w:ind w:left="560" w:firstLine="543"/>
        <w:spacing w:after="0" w:line="246" w:lineRule="auto"/>
        <w:tabs>
          <w:tab w:leader="none" w:pos="1736" w:val="left"/>
        </w:tabs>
        <w:numPr>
          <w:ilvl w:val="1"/>
          <w:numId w:val="2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Transferee understands that the Transferred Shares have not been registered under the Securities Act by reason of a specific exemption therefrom and that the Transferred Shares must be held indefinitely, unless their sale or other transfer is subsequently registered under the Securities Act or the Transferee obtains an opinion of counsel, in form and substance satisfactory to the Company and its counsel, that such registration is not required. The Transferee further acknowledges and understands that the Company is under no obligation to register the Transferred Shares.</w:t>
      </w:r>
    </w:p>
    <w:p>
      <w:pPr>
        <w:spacing w:after="0" w:line="184" w:lineRule="exact"/>
        <w:rPr>
          <w:rFonts w:ascii="Times New Roman" w:cs="Times New Roman" w:eastAsia="Times New Roman" w:hAnsi="Times New Roman"/>
          <w:sz w:val="20"/>
          <w:szCs w:val="20"/>
          <w:color w:val="auto"/>
        </w:rPr>
      </w:pPr>
    </w:p>
    <w:p>
      <w:pPr>
        <w:jc w:val="both"/>
        <w:ind w:left="560" w:firstLine="543"/>
        <w:spacing w:after="0" w:line="244" w:lineRule="auto"/>
        <w:tabs>
          <w:tab w:leader="none" w:pos="1981" w:val="left"/>
        </w:tabs>
        <w:numPr>
          <w:ilvl w:val="1"/>
          <w:numId w:val="2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Transferee is aware of Rule 144 under the Securities Act, which permits limited public resales of securities acquired in a non-public offering, subject to the satisfaction of certain conditions. These conditions may include (without limitation) that certain current public information about the issuer be available, that the resale occur only after a holding period required by Rule 144 has been satisfied, that the sale occur through an unsolicited “broker’s transaction,” and that the amount of securities being sold during any three-month period not exceed specified limitations. The Transferee acknowledges and understands that the conditions for resale set forth in Rule 144 have not been satisfied as of the Date of Transfer and that the Company is not required to take action to satisfy any such conditions.</w:t>
      </w:r>
    </w:p>
    <w:p>
      <w:pPr>
        <w:spacing w:after="0" w:line="185" w:lineRule="exact"/>
        <w:rPr>
          <w:rFonts w:ascii="Times New Roman" w:cs="Times New Roman" w:eastAsia="Times New Roman" w:hAnsi="Times New Roman"/>
          <w:sz w:val="20"/>
          <w:szCs w:val="20"/>
          <w:color w:val="auto"/>
        </w:rPr>
      </w:pPr>
    </w:p>
    <w:p>
      <w:pPr>
        <w:jc w:val="both"/>
        <w:ind w:left="560" w:firstLine="543"/>
        <w:spacing w:after="0" w:line="243" w:lineRule="auto"/>
        <w:tabs>
          <w:tab w:leader="none" w:pos="1825" w:val="left"/>
        </w:tabs>
        <w:numPr>
          <w:ilvl w:val="1"/>
          <w:numId w:val="2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Transferee will not sell, transfer or otherwise dispose of the Transferred Shares in violation of the Securities Act, the Securities Exchange Act of 1934, or the rules promulgated thereunder, including Rule 144 under the Securities Act. The Transferee agrees that he or she will not dispose of the Transferred Shares unless and until he or she has complied with all requirements of this Agreement applicable to the disposition of Transferred Shares and he or she has provided the Company with written assurances, in substance and form satisfactory to the Company, that (A) the proposed disposition does not require registration of the Transferred Shares under the Securities Act or all appropriate action necessary for compliance with the registration requirements of the Securities Act or with any exemption from registration available under the Securities Act (including Rule 144) has been taken and (B) the proposed disposition will not result in the contravention of any transfer restrictions applicable to the Transferred Shares under applicable state law.</w:t>
      </w:r>
    </w:p>
    <w:p>
      <w:pPr>
        <w:spacing w:after="0" w:line="185" w:lineRule="exact"/>
        <w:rPr>
          <w:rFonts w:ascii="Times New Roman" w:cs="Times New Roman" w:eastAsia="Times New Roman" w:hAnsi="Times New Roman"/>
          <w:sz w:val="20"/>
          <w:szCs w:val="20"/>
          <w:color w:val="auto"/>
        </w:rPr>
      </w:pPr>
    </w:p>
    <w:p>
      <w:pPr>
        <w:jc w:val="both"/>
        <w:ind w:left="560" w:firstLine="543"/>
        <w:spacing w:after="0" w:line="254" w:lineRule="auto"/>
        <w:tabs>
          <w:tab w:leader="none" w:pos="1748" w:val="left"/>
        </w:tabs>
        <w:numPr>
          <w:ilvl w:val="1"/>
          <w:numId w:val="2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Transferee has received and has had access to such information as he or she considers necessary or appropriate for deciding whether to invest in the Transferred Shares, and the Transferee has had an opportunity to ask questions and receive answers from the Company regarding the terms and conditions of the issuance of the Transferred Shares.</w:t>
      </w:r>
    </w:p>
    <w:p>
      <w:pPr>
        <w:spacing w:after="0" w:line="174" w:lineRule="exact"/>
        <w:rPr>
          <w:rFonts w:ascii="Times New Roman" w:cs="Times New Roman" w:eastAsia="Times New Roman" w:hAnsi="Times New Roman"/>
          <w:sz w:val="20"/>
          <w:szCs w:val="20"/>
          <w:color w:val="auto"/>
        </w:rPr>
      </w:pPr>
    </w:p>
    <w:p>
      <w:pPr>
        <w:jc w:val="both"/>
        <w:ind w:left="560" w:firstLine="543"/>
        <w:spacing w:after="0" w:line="254" w:lineRule="auto"/>
        <w:tabs>
          <w:tab w:leader="none" w:pos="1775" w:val="left"/>
        </w:tabs>
        <w:numPr>
          <w:ilvl w:val="1"/>
          <w:numId w:val="2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Transferee is aware that his or her investment in the Company is a speculative investment that has limited liquidity and is subject to the risk of complete loss. The Transferee is able, without impairing his or her financial condition, to hold the Transferred Shares for an indefinite period and to suffer a complete loss of his or her investment in the Transferred Shares.</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261" w:right="339" w:bottom="1440" w:gutter="0" w:footer="0" w:header="0"/>
        </w:sectPr>
      </w:pPr>
    </w:p>
    <w:bookmarkStart w:id="323" w:name="page324"/>
    <w:bookmarkEnd w:id="323"/>
    <w:p>
      <w:pPr>
        <w:jc w:val="both"/>
        <w:ind w:firstLine="794"/>
        <w:spacing w:after="0" w:line="244" w:lineRule="auto"/>
        <w:tabs>
          <w:tab w:leader="none" w:pos="1426" w:val="left"/>
        </w:tabs>
        <w:numPr>
          <w:ilvl w:val="0"/>
          <w:numId w:val="2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Securities Law Restrictions</w:t>
      </w:r>
      <w:r>
        <w:rPr>
          <w:rFonts w:ascii="Times New Roman" w:cs="Times New Roman" w:eastAsia="Times New Roman" w:hAnsi="Times New Roman"/>
          <w:sz w:val="20"/>
          <w:szCs w:val="20"/>
          <w:color w:val="auto"/>
        </w:rPr>
        <w:t>. Regardless of whether the offer and sale of Shares under the Plan have been registered under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Securities Act or have been registered or qualified under the securities laws of any State or other relevant jurisdiction, the Company at its discretion may impose restrictions upon the sale, pledge or other transfer of the Transferred Shares (including the placement of appropriate legends on the stock certificates (or electronic equivalent) or the imposition of stop-transfer instructions) and may refuse (or may be required to refuse) to transfer Shares acquired hereunder (or Shares proposed to be transferred in a subsequent transfer) if, in the judgment of the Company, such restrictions, legends or refusal are necessary or appropriate to achieve compliance with the Securities Act or other relevant securities or other laws, including without limitation under Regulation S of the Securities Act or pursuant to another available exemption from registration.</w:t>
      </w:r>
    </w:p>
    <w:p>
      <w:pPr>
        <w:spacing w:after="0" w:line="181" w:lineRule="exact"/>
        <w:rPr>
          <w:rFonts w:ascii="Times New Roman" w:cs="Times New Roman" w:eastAsia="Times New Roman" w:hAnsi="Times New Roman"/>
          <w:sz w:val="20"/>
          <w:szCs w:val="20"/>
          <w:color w:val="auto"/>
        </w:rPr>
      </w:pPr>
    </w:p>
    <w:p>
      <w:pPr>
        <w:jc w:val="both"/>
        <w:ind w:firstLine="794"/>
        <w:spacing w:after="0" w:line="241" w:lineRule="auto"/>
        <w:tabs>
          <w:tab w:leader="none" w:pos="1401" w:val="left"/>
        </w:tabs>
        <w:numPr>
          <w:ilvl w:val="0"/>
          <w:numId w:val="2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Market Stand-Off</w:t>
      </w:r>
      <w:r>
        <w:rPr>
          <w:rFonts w:ascii="Times New Roman" w:cs="Times New Roman" w:eastAsia="Times New Roman" w:hAnsi="Times New Roman"/>
          <w:sz w:val="20"/>
          <w:szCs w:val="20"/>
          <w:color w:val="auto"/>
        </w:rPr>
        <w:t>. In connection with any underwritten public offering by the Company of its equity securities pursuant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 effective registration statement filed under the Securities Act, including the Company’s initial public offering, the Transferee or a Subsequent Transferee shall not directly or indirectly sell, make any short sale of, loan, hypothecate, pledge, offer, grant or sell any option or other contract for the purchase of, purchase any option or other contract for the sale of, or otherwise dispose of or transfer, or agree to engage in any of the foregoing transactions with respect to, any Transferred Shares without the prior written consent of the Company or its managing underwriter. Such restriction (the “Market Stand-Off”) shall be in effect for such period of time following the date of the final prospectus for the offering as may be requested by the Company or such underwriter. In no event, however, shall such period exceed 180 days plus such additional period as may reasonably be requested by the Company or such underwriter to accommodate regulatory restrictions on (i) the publication or other distribution of research reports or (ii) analyst recommendations and opinions, including (without limitation) the restrictions set forth in Rule 2711(f)(4) of the National Association of Securities Dealers and Rule 472(f)(4) of the New York Stock Exchange, as amended, or any similar successor rules. The Market Stand-Off shall in any event terminate two years after the date of the Company’s initial public offering. In the event of the declaration of a stock dividend, a spin-off, a stock split, an adjustment in conversion ratio, a recapitalization or a similar transaction affecting the Company’s outstanding securities without receipt of consideration, any new, substituted or additional securities which are by reason of such transaction distributed with respect to any Shares subject to the Market Stand-Off, or into which such Shares thereby become convertible, shall immediately be subject to the Market Stand-Off. In order to enforce the Market Stand-Off, the Company may impose stop-transfer instructions with respect to the Transferred Shares until the end of the applicable stand-off period. The Company’s underwriters shall be beneficiaries of the agreement set forth in this Subsection (c). This Subsection (c) shall not apply to Shares registered in the public offering under the Securities Act.</w:t>
      </w:r>
    </w:p>
    <w:p>
      <w:pPr>
        <w:spacing w:after="0" w:line="190" w:lineRule="exact"/>
        <w:rPr>
          <w:rFonts w:ascii="Times New Roman" w:cs="Times New Roman" w:eastAsia="Times New Roman" w:hAnsi="Times New Roman"/>
          <w:sz w:val="20"/>
          <w:szCs w:val="20"/>
          <w:color w:val="auto"/>
        </w:rPr>
      </w:pPr>
    </w:p>
    <w:p>
      <w:pPr>
        <w:jc w:val="both"/>
        <w:ind w:firstLine="794"/>
        <w:spacing w:after="0" w:line="250" w:lineRule="auto"/>
        <w:tabs>
          <w:tab w:leader="none" w:pos="1466" w:val="left"/>
        </w:tabs>
        <w:numPr>
          <w:ilvl w:val="0"/>
          <w:numId w:val="2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Rights of the Company</w:t>
      </w:r>
      <w:r>
        <w:rPr>
          <w:rFonts w:ascii="Times New Roman" w:cs="Times New Roman" w:eastAsia="Times New Roman" w:hAnsi="Times New Roman"/>
          <w:sz w:val="20"/>
          <w:szCs w:val="20"/>
          <w:color w:val="auto"/>
        </w:rPr>
        <w:t>. The Company shall not be required to (i) transfer on its books any Transferred Shares that have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been sold or transferred in contravention of this Agreement or (ii) treat as the owner of Transferred Shares, or otherwise to accord voting, dividend or liquidation rights to, any Subsequent Transferee to whom Transferred Shares have been transferred in contravention of this Agreement.</w:t>
      </w:r>
    </w:p>
    <w:p>
      <w:pPr>
        <w:spacing w:after="0" w:line="176" w:lineRule="exact"/>
        <w:rPr>
          <w:sz w:val="20"/>
          <w:szCs w:val="20"/>
          <w:color w:val="auto"/>
        </w:rPr>
      </w:pPr>
    </w:p>
    <w:p>
      <w:pPr>
        <w:spacing w:after="0"/>
        <w:tabs>
          <w:tab w:leader="none" w:pos="1320" w:val="left"/>
        </w:tabs>
        <w:rPr>
          <w:sz w:val="20"/>
          <w:szCs w:val="20"/>
          <w:color w:val="auto"/>
        </w:rPr>
      </w:pPr>
      <w:r>
        <w:rPr>
          <w:rFonts w:ascii="Times New Roman" w:cs="Times New Roman" w:eastAsia="Times New Roman" w:hAnsi="Times New Roman"/>
          <w:sz w:val="20"/>
          <w:szCs w:val="20"/>
          <w:b w:val="1"/>
          <w:bCs w:val="1"/>
          <w:color w:val="auto"/>
        </w:rPr>
        <w:t>SECTION 5.</w:t>
      </w:r>
      <w:r>
        <w:rPr>
          <w:sz w:val="20"/>
          <w:szCs w:val="20"/>
          <w:color w:val="auto"/>
        </w:rPr>
        <w:tab/>
      </w:r>
      <w:r>
        <w:rPr>
          <w:rFonts w:ascii="Times New Roman" w:cs="Times New Roman" w:eastAsia="Times New Roman" w:hAnsi="Times New Roman"/>
          <w:sz w:val="19"/>
          <w:szCs w:val="19"/>
          <w:b w:val="1"/>
          <w:bCs w:val="1"/>
          <w:color w:val="auto"/>
        </w:rPr>
        <w:t>SUCCESSORS AND ASSIGNS.</w:t>
      </w:r>
    </w:p>
    <w:p>
      <w:pPr>
        <w:spacing w:after="0" w:line="220" w:lineRule="exact"/>
        <w:rPr>
          <w:sz w:val="20"/>
          <w:szCs w:val="20"/>
          <w:color w:val="auto"/>
        </w:rPr>
      </w:pPr>
    </w:p>
    <w:p>
      <w:pPr>
        <w:jc w:val="both"/>
        <w:ind w:firstLine="786"/>
        <w:spacing w:after="0" w:line="249" w:lineRule="auto"/>
        <w:rPr>
          <w:sz w:val="20"/>
          <w:szCs w:val="20"/>
          <w:color w:val="auto"/>
        </w:rPr>
      </w:pPr>
      <w:r>
        <w:rPr>
          <w:rFonts w:ascii="Times New Roman" w:cs="Times New Roman" w:eastAsia="Times New Roman" w:hAnsi="Times New Roman"/>
          <w:sz w:val="20"/>
          <w:szCs w:val="20"/>
          <w:color w:val="auto"/>
        </w:rPr>
        <w:t>Except as otherwise expressly provided to the contrary, the provisions of this Agreement shall inure to the benefit of, and be binding upon, the Company and its successors and assigns and be binding upon the Transferee and the Transferee’s legal representatives, heirs, legatees, distributees, assigns and transferees by operation of law, whether or not any such person has become a party to this Agreement or has agreed in writing to join herein and to be bound by the terms, conditions and restrictions hereof.</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261" w:right="339" w:bottom="1440" w:gutter="0" w:footer="0" w:header="0"/>
        </w:sectPr>
      </w:pPr>
    </w:p>
    <w:bookmarkStart w:id="324" w:name="page325"/>
    <w:bookmarkEnd w:id="324"/>
    <w:p>
      <w:pPr>
        <w:spacing w:after="0"/>
        <w:tabs>
          <w:tab w:leader="none" w:pos="1320" w:val="left"/>
        </w:tabs>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SECTION 6.</w:t>
      </w:r>
      <w:r>
        <w:rPr>
          <w:sz w:val="20"/>
          <w:szCs w:val="20"/>
          <w:color w:val="auto"/>
        </w:rPr>
        <w:tab/>
      </w:r>
      <w:r>
        <w:rPr>
          <w:rFonts w:ascii="Times New Roman" w:cs="Times New Roman" w:eastAsia="Times New Roman" w:hAnsi="Times New Roman"/>
          <w:sz w:val="19"/>
          <w:szCs w:val="19"/>
          <w:b w:val="1"/>
          <w:bCs w:val="1"/>
          <w:color w:val="auto"/>
        </w:rPr>
        <w:t>NO RETENTION RIGHTS.</w:t>
      </w:r>
    </w:p>
    <w:p>
      <w:pPr>
        <w:spacing w:after="0" w:line="220" w:lineRule="exact"/>
        <w:rPr>
          <w:sz w:val="20"/>
          <w:szCs w:val="20"/>
          <w:color w:val="auto"/>
        </w:rPr>
      </w:pPr>
    </w:p>
    <w:p>
      <w:pPr>
        <w:jc w:val="both"/>
        <w:ind w:firstLine="786"/>
        <w:spacing w:after="0" w:line="249" w:lineRule="auto"/>
        <w:rPr>
          <w:sz w:val="20"/>
          <w:szCs w:val="20"/>
          <w:color w:val="auto"/>
        </w:rPr>
      </w:pPr>
      <w:r>
        <w:rPr>
          <w:rFonts w:ascii="Times New Roman" w:cs="Times New Roman" w:eastAsia="Times New Roman" w:hAnsi="Times New Roman"/>
          <w:sz w:val="20"/>
          <w:szCs w:val="20"/>
          <w:color w:val="auto"/>
        </w:rPr>
        <w:t>Nothing in this Agreement or in the Plan shall confer upon the Transferee any right to continue providing services to the Company for any period of specific duration or interfere with or otherwise restrict in any way the rights of the Company (or any Parent or Subsidiary employing or retaining the Transferee) or of the Transferee, which rights are hereby expressly reserved by each, to terminate his or her Service at any time and for any reason, with or without cause.</w:t>
      </w:r>
    </w:p>
    <w:p>
      <w:pPr>
        <w:spacing w:after="0" w:line="176" w:lineRule="exact"/>
        <w:rPr>
          <w:sz w:val="20"/>
          <w:szCs w:val="20"/>
          <w:color w:val="auto"/>
        </w:rPr>
      </w:pPr>
    </w:p>
    <w:p>
      <w:pPr>
        <w:spacing w:after="0"/>
        <w:tabs>
          <w:tab w:leader="none" w:pos="1320" w:val="left"/>
        </w:tabs>
        <w:rPr>
          <w:sz w:val="20"/>
          <w:szCs w:val="20"/>
          <w:color w:val="auto"/>
        </w:rPr>
      </w:pPr>
      <w:r>
        <w:rPr>
          <w:rFonts w:ascii="Times New Roman" w:cs="Times New Roman" w:eastAsia="Times New Roman" w:hAnsi="Times New Roman"/>
          <w:sz w:val="20"/>
          <w:szCs w:val="20"/>
          <w:b w:val="1"/>
          <w:bCs w:val="1"/>
          <w:color w:val="auto"/>
        </w:rPr>
        <w:t>SECTION 7.</w:t>
      </w:r>
      <w:r>
        <w:rPr>
          <w:sz w:val="20"/>
          <w:szCs w:val="20"/>
          <w:color w:val="auto"/>
        </w:rPr>
        <w:tab/>
      </w:r>
      <w:r>
        <w:rPr>
          <w:rFonts w:ascii="Times New Roman" w:cs="Times New Roman" w:eastAsia="Times New Roman" w:hAnsi="Times New Roman"/>
          <w:sz w:val="19"/>
          <w:szCs w:val="19"/>
          <w:b w:val="1"/>
          <w:bCs w:val="1"/>
          <w:color w:val="auto"/>
        </w:rPr>
        <w:t>TAX ELECTION.</w:t>
      </w:r>
    </w:p>
    <w:p>
      <w:pPr>
        <w:spacing w:after="0" w:line="220" w:lineRule="exact"/>
        <w:rPr>
          <w:sz w:val="20"/>
          <w:szCs w:val="20"/>
          <w:color w:val="auto"/>
        </w:rPr>
      </w:pPr>
    </w:p>
    <w:p>
      <w:pPr>
        <w:jc w:val="both"/>
        <w:ind w:firstLine="786"/>
        <w:spacing w:after="0" w:line="244" w:lineRule="auto"/>
        <w:rPr>
          <w:sz w:val="20"/>
          <w:szCs w:val="20"/>
          <w:color w:val="auto"/>
        </w:rPr>
      </w:pPr>
      <w:r>
        <w:rPr>
          <w:rFonts w:ascii="Times New Roman" w:cs="Times New Roman" w:eastAsia="Times New Roman" w:hAnsi="Times New Roman"/>
          <w:sz w:val="20"/>
          <w:szCs w:val="20"/>
          <w:color w:val="auto"/>
        </w:rPr>
        <w:t xml:space="preserve">The acquisition of the Transferred Shares may result in adverse tax consequences that may be avoided or mitigated by filing an election under Code Section 83(b). Such election may be filed only within 30 days after the date of transfer set forth in the Summary of Stock Grant. The form for making the Code Section 83(b) election is attached to this Agreement as an Exhibit. </w:t>
      </w:r>
      <w:r>
        <w:rPr>
          <w:rFonts w:ascii="Times New Roman" w:cs="Times New Roman" w:eastAsia="Times New Roman" w:hAnsi="Times New Roman"/>
          <w:sz w:val="20"/>
          <w:szCs w:val="20"/>
          <w:b w:val="1"/>
          <w:bCs w:val="1"/>
          <w:color w:val="auto"/>
        </w:rPr>
        <w:t>The Transferee should consult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with his or her tax advisor to determine the tax consequences of acquiring the Transferred Shares and the advantages and disadvantages of filing the Code Section 83(b) election. The Transferee acknowledges that it is his or her sole responsibility, and not the Company’s, to file a timely election under Code Section 83(b), even if the Transferee requests the Company or its representatives to make this filing on his or her behalf.</w:t>
      </w:r>
    </w:p>
    <w:p>
      <w:pPr>
        <w:spacing w:after="0" w:line="182" w:lineRule="exact"/>
        <w:rPr>
          <w:sz w:val="20"/>
          <w:szCs w:val="20"/>
          <w:color w:val="auto"/>
        </w:rPr>
      </w:pPr>
    </w:p>
    <w:p>
      <w:pPr>
        <w:spacing w:after="0"/>
        <w:tabs>
          <w:tab w:leader="none" w:pos="1320" w:val="left"/>
        </w:tabs>
        <w:rPr>
          <w:sz w:val="20"/>
          <w:szCs w:val="20"/>
          <w:color w:val="auto"/>
        </w:rPr>
      </w:pPr>
      <w:r>
        <w:rPr>
          <w:rFonts w:ascii="Times New Roman" w:cs="Times New Roman" w:eastAsia="Times New Roman" w:hAnsi="Times New Roman"/>
          <w:sz w:val="20"/>
          <w:szCs w:val="20"/>
          <w:b w:val="1"/>
          <w:bCs w:val="1"/>
          <w:color w:val="auto"/>
        </w:rPr>
        <w:t>SECTION 8.</w:t>
      </w:r>
      <w:r>
        <w:rPr>
          <w:sz w:val="20"/>
          <w:szCs w:val="20"/>
          <w:color w:val="auto"/>
        </w:rPr>
        <w:tab/>
      </w:r>
      <w:r>
        <w:rPr>
          <w:rFonts w:ascii="Times New Roman" w:cs="Times New Roman" w:eastAsia="Times New Roman" w:hAnsi="Times New Roman"/>
          <w:sz w:val="19"/>
          <w:szCs w:val="19"/>
          <w:b w:val="1"/>
          <w:bCs w:val="1"/>
          <w:color w:val="auto"/>
        </w:rPr>
        <w:t>LEGENDS.</w:t>
      </w:r>
    </w:p>
    <w:p>
      <w:pPr>
        <w:spacing w:after="0" w:line="220"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0"/>
          <w:szCs w:val="20"/>
          <w:color w:val="auto"/>
        </w:rPr>
        <w:t>All certificates evidencing Transferred Shares shall bear the following legends:</w:t>
      </w:r>
    </w:p>
    <w:p>
      <w:pPr>
        <w:spacing w:after="0" w:line="216" w:lineRule="exact"/>
        <w:rPr>
          <w:sz w:val="20"/>
          <w:szCs w:val="20"/>
          <w:color w:val="auto"/>
        </w:rPr>
      </w:pPr>
    </w:p>
    <w:p>
      <w:pPr>
        <w:jc w:val="both"/>
        <w:ind w:left="560"/>
        <w:spacing w:after="0" w:line="256" w:lineRule="auto"/>
        <w:rPr>
          <w:sz w:val="20"/>
          <w:szCs w:val="20"/>
          <w:color w:val="auto"/>
        </w:rPr>
      </w:pPr>
      <w:r>
        <w:rPr>
          <w:rFonts w:ascii="Times New Roman" w:cs="Times New Roman" w:eastAsia="Times New Roman" w:hAnsi="Times New Roman"/>
          <w:sz w:val="19"/>
          <w:szCs w:val="19"/>
          <w:color w:val="auto"/>
        </w:rPr>
        <w:t>“THE SHARES REPRESENTED HEREBY MAY NOT BE SOLD, ASSIGNED, TRANSFERRED, ENCUMBERED OR IN ANY MANNER DISPOSED OF, EXCEPT IN COMPLIANCE WITH THE TERMS OF A WRITTEN AGREEMENT BETWEEN THE COMPANY AND THE REGISTERED HOLDER OF THE SHARES (OR THE PREDECESSOR IN INTEREST TO THE SHARES). SUCH AGREEMENT GRANTS TO THE COMPANY CERTAIN RIGHTS OF FIRST REFUSAL UPON AN ATTEMPTED TRANSFER OF THE SHARES AND IMPOSES CERTAIN FORFEITURE CONDITIONS UPON TERMINATION OF SERVICE WITH THE COMPANY. IN ADDITION, THE SHARES ARE SUBJECT TO RESTRICTIONS ON TRANSFER FOR A LIMITED PERIOD FOLLOWING THE EFFECTIVE DATE OF THE UNDERWRITTEN PUBLIC OFFERING OF THE COMPANY’S SECURITIES AND MAY NOT BE SOLD OR OTHERWISE DISPOSED OF BY THE HOLDER WITHOUT THE CONSENT OF THE COMPANY OR THE MANAGING UNDERWRITER. THE SECRETARY OF THE COMPANY WILL UPON WRITTEN REQUEST FURNISH A COPY OF SUCH AGREEMENT TO THE HOLDER HEREOF WITHOUT CHARGE.”</w:t>
      </w:r>
    </w:p>
    <w:p>
      <w:pPr>
        <w:spacing w:after="0" w:line="181"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All certificates evidencing the Transferred Shares acquired under this Agreement in an unregistered transaction shall bear the following legend (and such other restrictive legends as are required or deemed advisable under the provisions of any applicable law):</w:t>
      </w:r>
    </w:p>
    <w:p>
      <w:pPr>
        <w:spacing w:after="0" w:line="159" w:lineRule="exact"/>
        <w:rPr>
          <w:sz w:val="20"/>
          <w:szCs w:val="20"/>
          <w:color w:val="auto"/>
        </w:rPr>
      </w:pPr>
    </w:p>
    <w:p>
      <w:pPr>
        <w:jc w:val="both"/>
        <w:ind w:left="560"/>
        <w:spacing w:after="0" w:line="249" w:lineRule="auto"/>
        <w:rPr>
          <w:sz w:val="20"/>
          <w:szCs w:val="20"/>
          <w:color w:val="auto"/>
        </w:rPr>
      </w:pPr>
      <w:r>
        <w:rPr>
          <w:rFonts w:ascii="Times New Roman" w:cs="Times New Roman" w:eastAsia="Times New Roman" w:hAnsi="Times New Roman"/>
          <w:sz w:val="20"/>
          <w:szCs w:val="20"/>
          <w:color w:val="auto"/>
        </w:rPr>
        <w:t>“THE SHARES REPRESENTED HEREBY HAVE NOT BEEN REGISTERED UNDER THE SECURITIES ACT OF 1933, AS AMENDED (THE “ACT”) OR ANY SECURITIES LAWS OF ANY U.S. STATE, AND MAY NOT BE SOLD, REOFFERED, PLEDGED, ASSIGNED, ENCUMBERED OR OTHERWISE TRANSFERRED OR DISPOSED WITHOUT AN EFFECTIVE REGISTRATION THEREOF UNDER SUCH ACT OR AN OPINION OF COUNSEL, SATISFACTORY</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40"/>
          </w:cols>
          <w:pgMar w:left="320" w:top="261" w:right="339" w:bottom="1440" w:gutter="0" w:footer="0" w:header="0"/>
        </w:sectPr>
      </w:pPr>
    </w:p>
    <w:bookmarkStart w:id="325" w:name="page326"/>
    <w:bookmarkEnd w:id="325"/>
    <w:p>
      <w:pPr>
        <w:jc w:val="both"/>
        <w:ind w:left="560"/>
        <w:spacing w:after="0" w:line="245"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TO THE COMPANY AND ITS COUNSEL, THAT SUCH REGISTRATION IS NOT REQUIRED. IN THE ABSENCE OF REGISTRATION OR THE AVAILABILITY (CONFIRMED BY OPINION OF COUNSEL) OF AN ALTERNATIVE EXEMPTION FROM REGISTRATION UNDER THE ACT (INCLUDING WITHOUT LIMITATION IN ACCORDANCE WITH REGULATION S UNDER THE ACT), THESE SHARES MAY NOT BE SOLD, REOFFERED, PLEDGED, ASSIGNED, ENCUMBERED OR OTHERWISE TRANSFERRED OR DISPOSED OF. HEDGING TRANSACTIONS INVOLVING THESE SHARES MAY NOT BE CONDUCTED UNLESS IN COMPLIANCE WITH THE ACT.”</w:t>
      </w:r>
    </w:p>
    <w:p>
      <w:pPr>
        <w:spacing w:after="0" w:line="184"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If required by the authorities of any State in connection with the issuance of the Transferred Shares, the legend or legends required by such State authorities shall also be endorsed on all such certificates.</w:t>
      </w:r>
    </w:p>
    <w:p>
      <w:pPr>
        <w:spacing w:after="0" w:line="155" w:lineRule="exact"/>
        <w:rPr>
          <w:sz w:val="20"/>
          <w:szCs w:val="20"/>
          <w:color w:val="auto"/>
        </w:rPr>
      </w:pPr>
    </w:p>
    <w:p>
      <w:pPr>
        <w:spacing w:after="0"/>
        <w:tabs>
          <w:tab w:leader="none" w:pos="1320" w:val="left"/>
        </w:tabs>
        <w:rPr>
          <w:sz w:val="20"/>
          <w:szCs w:val="20"/>
          <w:color w:val="auto"/>
        </w:rPr>
      </w:pPr>
      <w:r>
        <w:rPr>
          <w:rFonts w:ascii="Times New Roman" w:cs="Times New Roman" w:eastAsia="Times New Roman" w:hAnsi="Times New Roman"/>
          <w:sz w:val="20"/>
          <w:szCs w:val="20"/>
          <w:b w:val="1"/>
          <w:bCs w:val="1"/>
          <w:color w:val="auto"/>
        </w:rPr>
        <w:t>SECTION 9.</w:t>
      </w:r>
      <w:r>
        <w:rPr>
          <w:sz w:val="20"/>
          <w:szCs w:val="20"/>
          <w:color w:val="auto"/>
        </w:rPr>
        <w:tab/>
      </w:r>
      <w:r>
        <w:rPr>
          <w:rFonts w:ascii="Times New Roman" w:cs="Times New Roman" w:eastAsia="Times New Roman" w:hAnsi="Times New Roman"/>
          <w:sz w:val="19"/>
          <w:szCs w:val="19"/>
          <w:b w:val="1"/>
          <w:bCs w:val="1"/>
          <w:color w:val="auto"/>
        </w:rPr>
        <w:t>MISCELLANEOUS PROVISIONS.</w:t>
      </w:r>
    </w:p>
    <w:p>
      <w:pPr>
        <w:spacing w:after="0" w:line="216" w:lineRule="exact"/>
        <w:rPr>
          <w:sz w:val="20"/>
          <w:szCs w:val="20"/>
          <w:color w:val="auto"/>
        </w:rPr>
      </w:pPr>
    </w:p>
    <w:p>
      <w:pPr>
        <w:ind w:firstLine="794"/>
        <w:spacing w:after="0" w:line="273" w:lineRule="auto"/>
        <w:tabs>
          <w:tab w:leader="none" w:pos="1401" w:val="left"/>
        </w:tabs>
        <w:numPr>
          <w:ilvl w:val="1"/>
          <w:numId w:val="2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Choice of Law</w:t>
      </w:r>
      <w:r>
        <w:rPr>
          <w:rFonts w:ascii="Times New Roman" w:cs="Times New Roman" w:eastAsia="Times New Roman" w:hAnsi="Times New Roman"/>
          <w:sz w:val="20"/>
          <w:szCs w:val="20"/>
          <w:color w:val="auto"/>
        </w:rPr>
        <w:t>. This Agreement shall be governed by, and construed in accordance with, the laws of the State of Delaware,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as such laws are applied to contracts entered into and performed in such State.</w:t>
      </w:r>
    </w:p>
    <w:p>
      <w:pPr>
        <w:spacing w:after="0" w:line="151" w:lineRule="exact"/>
        <w:rPr>
          <w:rFonts w:ascii="Times New Roman" w:cs="Times New Roman" w:eastAsia="Times New Roman" w:hAnsi="Times New Roman"/>
          <w:sz w:val="20"/>
          <w:szCs w:val="20"/>
          <w:color w:val="auto"/>
        </w:rPr>
      </w:pPr>
    </w:p>
    <w:p>
      <w:pPr>
        <w:ind w:left="1520" w:hanging="726"/>
        <w:spacing w:after="0"/>
        <w:tabs>
          <w:tab w:leader="none" w:pos="1520" w:val="left"/>
        </w:tabs>
        <w:numPr>
          <w:ilvl w:val="1"/>
          <w:numId w:val="2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Notice. </w:t>
      </w:r>
      <w:r>
        <w:rPr>
          <w:rFonts w:ascii="Times New Roman" w:cs="Times New Roman" w:eastAsia="Times New Roman" w:hAnsi="Times New Roman"/>
          <w:sz w:val="20"/>
          <w:szCs w:val="20"/>
          <w:color w:val="auto"/>
        </w:rPr>
        <w:t>Any notice required by the terms of this Agreement shall be given in writing. It shall be deemed effective upon</w:t>
      </w:r>
    </w:p>
    <w:p>
      <w:pPr>
        <w:spacing w:after="0" w:line="25" w:lineRule="exact"/>
        <w:rPr>
          <w:rFonts w:ascii="Times New Roman" w:cs="Times New Roman" w:eastAsia="Times New Roman" w:hAnsi="Times New Roman"/>
          <w:sz w:val="20"/>
          <w:szCs w:val="20"/>
          <w:color w:val="auto"/>
        </w:rPr>
      </w:pPr>
    </w:p>
    <w:p>
      <w:pPr>
        <w:ind w:left="280" w:hanging="272"/>
        <w:spacing w:after="0"/>
        <w:tabs>
          <w:tab w:leader="none" w:pos="280" w:val="left"/>
        </w:tabs>
        <w:numPr>
          <w:ilvl w:val="0"/>
          <w:numId w:val="2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personal delivery, (ii) deposit with the United States Postal Service, by registered or certified mail, with postage and fees prepaid,</w:t>
      </w:r>
    </w:p>
    <w:p>
      <w:pPr>
        <w:jc w:val="both"/>
        <w:ind w:firstLine="8"/>
        <w:spacing w:after="0" w:line="242" w:lineRule="auto"/>
        <w:tabs>
          <w:tab w:leader="none" w:pos="348" w:val="left"/>
        </w:tabs>
        <w:numPr>
          <w:ilvl w:val="0"/>
          <w:numId w:val="2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deposit with Federal Express Corporation, with shipping charges prepaid or (iv) deposit with any internationally recognized express mail courier service. Notice shall be addressed to the Company at its principal executive office and to the Transferee at the address that he or she most recently provided to the Company in accordance with this Subsection (b).</w:t>
      </w:r>
    </w:p>
    <w:p>
      <w:pPr>
        <w:spacing w:after="0" w:line="182" w:lineRule="exact"/>
        <w:rPr>
          <w:rFonts w:ascii="Times New Roman" w:cs="Times New Roman" w:eastAsia="Times New Roman" w:hAnsi="Times New Roman"/>
          <w:sz w:val="20"/>
          <w:szCs w:val="20"/>
          <w:color w:val="auto"/>
        </w:rPr>
      </w:pPr>
    </w:p>
    <w:p>
      <w:pPr>
        <w:jc w:val="both"/>
        <w:ind w:firstLine="794"/>
        <w:spacing w:after="0" w:line="256" w:lineRule="auto"/>
        <w:tabs>
          <w:tab w:leader="none" w:pos="1469" w:val="left"/>
        </w:tabs>
        <w:numPr>
          <w:ilvl w:val="1"/>
          <w:numId w:val="2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Entire Agreement</w:t>
      </w:r>
      <w:r>
        <w:rPr>
          <w:rFonts w:ascii="Times New Roman" w:cs="Times New Roman" w:eastAsia="Times New Roman" w:hAnsi="Times New Roman"/>
          <w:sz w:val="20"/>
          <w:szCs w:val="20"/>
          <w:color w:val="auto"/>
        </w:rPr>
        <w:t>. The Summary of Stock Grant, this Agreement and the Plan constitute the entire contract between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parties hereto with regard to the subject matter hereof. They supersede any other agreements, representations or understandings (whether oral or written and whether express or implied) that relate to the subject matter hereof.</w:t>
      </w:r>
    </w:p>
    <w:p>
      <w:pPr>
        <w:spacing w:after="0" w:line="169" w:lineRule="exact"/>
        <w:rPr>
          <w:sz w:val="20"/>
          <w:szCs w:val="20"/>
          <w:color w:val="auto"/>
        </w:rPr>
      </w:pPr>
    </w:p>
    <w:p>
      <w:pPr>
        <w:spacing w:after="0"/>
        <w:tabs>
          <w:tab w:leader="none" w:pos="1420" w:val="left"/>
        </w:tabs>
        <w:rPr>
          <w:sz w:val="20"/>
          <w:szCs w:val="20"/>
          <w:color w:val="auto"/>
        </w:rPr>
      </w:pPr>
      <w:r>
        <w:rPr>
          <w:rFonts w:ascii="Times New Roman" w:cs="Times New Roman" w:eastAsia="Times New Roman" w:hAnsi="Times New Roman"/>
          <w:sz w:val="20"/>
          <w:szCs w:val="20"/>
          <w:b w:val="1"/>
          <w:bCs w:val="1"/>
          <w:color w:val="auto"/>
        </w:rPr>
        <w:t>SECTION 10.</w:t>
      </w:r>
      <w:r>
        <w:rPr>
          <w:sz w:val="20"/>
          <w:szCs w:val="20"/>
          <w:color w:val="auto"/>
        </w:rPr>
        <w:tab/>
      </w:r>
      <w:r>
        <w:rPr>
          <w:rFonts w:ascii="Times New Roman" w:cs="Times New Roman" w:eastAsia="Times New Roman" w:hAnsi="Times New Roman"/>
          <w:sz w:val="19"/>
          <w:szCs w:val="19"/>
          <w:b w:val="1"/>
          <w:bCs w:val="1"/>
          <w:color w:val="auto"/>
        </w:rPr>
        <w:t>ACKNOWLEDGEMENTS OF THE TRANSFEREE.</w:t>
      </w:r>
    </w:p>
    <w:p>
      <w:pPr>
        <w:spacing w:after="0" w:line="220" w:lineRule="exact"/>
        <w:rPr>
          <w:sz w:val="20"/>
          <w:szCs w:val="20"/>
          <w:color w:val="auto"/>
        </w:rPr>
      </w:pPr>
    </w:p>
    <w:p>
      <w:pPr>
        <w:jc w:val="both"/>
        <w:ind w:firstLine="786"/>
        <w:spacing w:after="0" w:line="254" w:lineRule="auto"/>
        <w:rPr>
          <w:sz w:val="20"/>
          <w:szCs w:val="20"/>
          <w:color w:val="auto"/>
        </w:rPr>
      </w:pPr>
      <w:r>
        <w:rPr>
          <w:rFonts w:ascii="Times New Roman" w:cs="Times New Roman" w:eastAsia="Times New Roman" w:hAnsi="Times New Roman"/>
          <w:sz w:val="20"/>
          <w:szCs w:val="20"/>
          <w:color w:val="auto"/>
        </w:rPr>
        <w:t>In addition to the other terms, conditions and restrictions imposed on the Shares acquired pursuant to this Agreement, the Transferee expressly acknowledges being subject to Sections 2 (Forfeiture Condition), 3 (Right of First Refusal) and 4 (Other Restrictions on Transfer, including without limitation the Market Stand-Off), as well as the following provisions:</w:t>
      </w:r>
    </w:p>
    <w:p>
      <w:pPr>
        <w:spacing w:after="0" w:line="170" w:lineRule="exact"/>
        <w:rPr>
          <w:sz w:val="20"/>
          <w:szCs w:val="20"/>
          <w:color w:val="auto"/>
        </w:rPr>
      </w:pPr>
    </w:p>
    <w:p>
      <w:pPr>
        <w:jc w:val="both"/>
        <w:ind w:firstLine="794"/>
        <w:spacing w:after="0" w:line="245" w:lineRule="auto"/>
        <w:tabs>
          <w:tab w:leader="none" w:pos="1658" w:val="left"/>
        </w:tabs>
        <w:numPr>
          <w:ilvl w:val="0"/>
          <w:numId w:val="3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Waiver of Statutory Information Rights</w:t>
      </w:r>
      <w:r>
        <w:rPr>
          <w:rFonts w:ascii="Times New Roman" w:cs="Times New Roman" w:eastAsia="Times New Roman" w:hAnsi="Times New Roman"/>
          <w:sz w:val="20"/>
          <w:szCs w:val="20"/>
          <w:color w:val="auto"/>
        </w:rPr>
        <w:t>. The Transferee acknowledges and agrees that, until the first sale of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Company’s Stock to the general public pursuant to a registration statement filed under the Securities Act, he or she will be deemed to have waived any rights the Transferee might otherwise have had under Section 220 of the Delaware General Corporation Law (or under similar rights under other applicable law) to inspect for any proper purpose and to make copies and extracts from the Company’s stock ledger, a list of its stockholders and its other books and records or the books and records of any subsidiary. This waiver applies only in the Transferee’s capacity as a stockholder and does not affect any other inspection rights the Transferee may have under other law or pursuant to a written agreement with the Company.</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40"/>
          </w:cols>
          <w:pgMar w:left="320" w:top="265" w:right="339" w:bottom="1440" w:gutter="0" w:footer="0" w:header="0"/>
        </w:sectPr>
      </w:pPr>
    </w:p>
    <w:bookmarkStart w:id="326" w:name="page327"/>
    <w:bookmarkEnd w:id="326"/>
    <w:p>
      <w:pPr>
        <w:jc w:val="both"/>
        <w:ind w:firstLine="794"/>
        <w:spacing w:after="0" w:line="247" w:lineRule="auto"/>
        <w:tabs>
          <w:tab w:leader="none" w:pos="1628" w:val="left"/>
        </w:tabs>
        <w:numPr>
          <w:ilvl w:val="0"/>
          <w:numId w:val="3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Plan Discretionary</w:t>
      </w:r>
      <w:r>
        <w:rPr>
          <w:rFonts w:ascii="Times New Roman" w:cs="Times New Roman" w:eastAsia="Times New Roman" w:hAnsi="Times New Roman"/>
          <w:sz w:val="20"/>
          <w:szCs w:val="20"/>
          <w:color w:val="auto"/>
        </w:rPr>
        <w:t>. The Transferee understands and acknowledges that (i) the Plan is entirely discretionary, (ii)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Company and the Transferee’s employer have reserved the right to amend, suspend or terminate the Plan at any time, (iii) the transfer of the Transferred Shares does not in any way create any contractual or other right to receive additional awards under the Plan at any time or in any amount and (iv) all determinations with respect to any additional awards, including (without limitation) the times when awards will be granted, the number of Shares offered and the vesting schedule, will be at the sole discretion of the Company.</w:t>
      </w:r>
    </w:p>
    <w:p>
      <w:pPr>
        <w:spacing w:after="0" w:line="180" w:lineRule="exact"/>
        <w:rPr>
          <w:rFonts w:ascii="Times New Roman" w:cs="Times New Roman" w:eastAsia="Times New Roman" w:hAnsi="Times New Roman"/>
          <w:sz w:val="20"/>
          <w:szCs w:val="20"/>
          <w:color w:val="auto"/>
        </w:rPr>
      </w:pPr>
    </w:p>
    <w:p>
      <w:pPr>
        <w:ind w:firstLine="794"/>
        <w:spacing w:after="0" w:line="273" w:lineRule="auto"/>
        <w:tabs>
          <w:tab w:leader="none" w:pos="1698" w:val="left"/>
        </w:tabs>
        <w:numPr>
          <w:ilvl w:val="0"/>
          <w:numId w:val="3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Termination of Service</w:t>
      </w:r>
      <w:r>
        <w:rPr>
          <w:rFonts w:ascii="Times New Roman" w:cs="Times New Roman" w:eastAsia="Times New Roman" w:hAnsi="Times New Roman"/>
          <w:sz w:val="20"/>
          <w:szCs w:val="20"/>
          <w:color w:val="auto"/>
        </w:rPr>
        <w:t>. The Transferee understands and acknowledges that participation in the Plan ceases upon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termination of his or her Service for any reason, except as may explicitly be provided otherwise in the Plan or this Agreement.</w:t>
      </w:r>
    </w:p>
    <w:p>
      <w:pPr>
        <w:spacing w:after="0" w:line="151" w:lineRule="exact"/>
        <w:rPr>
          <w:rFonts w:ascii="Times New Roman" w:cs="Times New Roman" w:eastAsia="Times New Roman" w:hAnsi="Times New Roman"/>
          <w:sz w:val="20"/>
          <w:szCs w:val="20"/>
          <w:color w:val="auto"/>
        </w:rPr>
      </w:pPr>
    </w:p>
    <w:p>
      <w:pPr>
        <w:jc w:val="both"/>
        <w:ind w:firstLine="794"/>
        <w:spacing w:after="0" w:line="250" w:lineRule="auto"/>
        <w:tabs>
          <w:tab w:leader="none" w:pos="1628" w:val="left"/>
        </w:tabs>
        <w:numPr>
          <w:ilvl w:val="0"/>
          <w:numId w:val="3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Extraordinary Compensation</w:t>
      </w:r>
      <w:r>
        <w:rPr>
          <w:rFonts w:ascii="Times New Roman" w:cs="Times New Roman" w:eastAsia="Times New Roman" w:hAnsi="Times New Roman"/>
          <w:sz w:val="20"/>
          <w:szCs w:val="20"/>
          <w:color w:val="auto"/>
        </w:rPr>
        <w:t>. The value of the Transferred Shares shall be an extraordinary item of compensation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outside the scope of the Transferee’s employment contract, if any, and shall not be considered a part of his or her normal or expected compensation for purposes of calculating severance, resignation, redundancy or end-of-service payments, bonuses, long-service awards, pension or retirement benefits or similar payments.</w:t>
      </w:r>
    </w:p>
    <w:p>
      <w:pPr>
        <w:spacing w:after="0" w:line="175" w:lineRule="exact"/>
        <w:rPr>
          <w:rFonts w:ascii="Times New Roman" w:cs="Times New Roman" w:eastAsia="Times New Roman" w:hAnsi="Times New Roman"/>
          <w:sz w:val="20"/>
          <w:szCs w:val="20"/>
          <w:color w:val="auto"/>
        </w:rPr>
      </w:pPr>
    </w:p>
    <w:p>
      <w:pPr>
        <w:jc w:val="both"/>
        <w:ind w:firstLine="794"/>
        <w:spacing w:after="0" w:line="250" w:lineRule="auto"/>
        <w:tabs>
          <w:tab w:leader="none" w:pos="1590" w:val="left"/>
        </w:tabs>
        <w:numPr>
          <w:ilvl w:val="0"/>
          <w:numId w:val="3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Authorization to Disclose</w:t>
      </w:r>
      <w:r>
        <w:rPr>
          <w:rFonts w:ascii="Times New Roman" w:cs="Times New Roman" w:eastAsia="Times New Roman" w:hAnsi="Times New Roman"/>
          <w:sz w:val="20"/>
          <w:szCs w:val="20"/>
          <w:color w:val="auto"/>
        </w:rPr>
        <w:t>. The Transferee hereby authorizes and directs the Transferee’s employer to disclose to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Company or any Subsidiary any information regarding the Transferee’s employment, the nature and amount of the Transferee’s compensation and the fact and conditions of the Transferee’s participation in the Plan, as the Transferee’s employer deems necessary or appropriate to facilitate the administration of the Plan.</w:t>
      </w:r>
    </w:p>
    <w:p>
      <w:pPr>
        <w:spacing w:after="0" w:line="175" w:lineRule="exact"/>
        <w:rPr>
          <w:rFonts w:ascii="Times New Roman" w:cs="Times New Roman" w:eastAsia="Times New Roman" w:hAnsi="Times New Roman"/>
          <w:sz w:val="20"/>
          <w:szCs w:val="20"/>
          <w:color w:val="auto"/>
        </w:rPr>
      </w:pPr>
    </w:p>
    <w:p>
      <w:pPr>
        <w:jc w:val="both"/>
        <w:ind w:firstLine="794"/>
        <w:spacing w:after="0" w:line="241" w:lineRule="auto"/>
        <w:tabs>
          <w:tab w:leader="none" w:pos="1434" w:val="left"/>
        </w:tabs>
        <w:numPr>
          <w:ilvl w:val="0"/>
          <w:numId w:val="3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Personal Data Authorization</w:t>
      </w:r>
      <w:r>
        <w:rPr>
          <w:rFonts w:ascii="Times New Roman" w:cs="Times New Roman" w:eastAsia="Times New Roman" w:hAnsi="Times New Roman"/>
          <w:sz w:val="20"/>
          <w:szCs w:val="20"/>
          <w:color w:val="auto"/>
        </w:rPr>
        <w:t>. The Transferee consents to the collection, use and transfer of personal data as described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this Subsection (f). The Transferee understands and acknowledges that the Company, the Transferee’s employer and the Company’s other Subsidiaries hold certain personal information regarding the Transferee for the purpose of managing and administering the Plan, including (without limitation) the Transferee’s name, home address, telephone number, date of birth, social insurance number, salary, nationality, job title, any Shares or directorships held in the Company and details of all options or any other entitlements to Shares awarded, canceled, exercised, vested, unvested or outstanding in the Transferee’s favor (the “</w:t>
      </w:r>
      <w:r>
        <w:rPr>
          <w:rFonts w:ascii="Times New Roman" w:cs="Times New Roman" w:eastAsia="Times New Roman" w:hAnsi="Times New Roman"/>
          <w:sz w:val="20"/>
          <w:szCs w:val="20"/>
          <w:b w:val="1"/>
          <w:bCs w:val="1"/>
          <w:color w:val="auto"/>
        </w:rPr>
        <w:t>Data</w:t>
      </w:r>
      <w:r>
        <w:rPr>
          <w:rFonts w:ascii="Times New Roman" w:cs="Times New Roman" w:eastAsia="Times New Roman" w:hAnsi="Times New Roman"/>
          <w:sz w:val="20"/>
          <w:szCs w:val="20"/>
          <w:color w:val="auto"/>
        </w:rPr>
        <w:t>”). The Transferee further understands and acknowledges that the Company and/or its Subsidiaries will transfer Data among themselves as necessary for the purpose of implementation, administration and management of the Transferee’s participation in the Plan and that the Company and/or any Subsidiary may each further transfer Data to any third party assisting the Company in the implementation, administration and management of the Plan. The Transferee understands and acknowledges that the recipients of Data may be located in the United States or elsewhere. The Transferee authorizes such recipients to receive, possess, use, retain and transfer Data, in electronic or other form, for the purpose of administering the Transferee’s participation in the Plan, including a transfer to any broker or other third party with whom the Transferee elects to deposit Shares acquired under the Plan of such Data as may be required for the administration of the Plan and/or the subsequent holding of Shares on the Transferee’s behalf. The Transferee may, at any time, view the Data, require any necessary modifications of Data or withdraw the consents set forth in this Subsection (f) by contacting the Company in writing.</w:t>
      </w:r>
    </w:p>
    <w:p>
      <w:pPr>
        <w:spacing w:after="0" w:line="194" w:lineRule="exact"/>
        <w:rPr>
          <w:sz w:val="20"/>
          <w:szCs w:val="20"/>
          <w:color w:val="auto"/>
        </w:rPr>
      </w:pPr>
    </w:p>
    <w:p>
      <w:pPr>
        <w:spacing w:after="0"/>
        <w:tabs>
          <w:tab w:leader="none" w:pos="1420" w:val="left"/>
        </w:tabs>
        <w:rPr>
          <w:sz w:val="20"/>
          <w:szCs w:val="20"/>
          <w:color w:val="auto"/>
        </w:rPr>
      </w:pPr>
      <w:r>
        <w:rPr>
          <w:rFonts w:ascii="Times New Roman" w:cs="Times New Roman" w:eastAsia="Times New Roman" w:hAnsi="Times New Roman"/>
          <w:sz w:val="20"/>
          <w:szCs w:val="20"/>
          <w:b w:val="1"/>
          <w:bCs w:val="1"/>
          <w:color w:val="auto"/>
        </w:rPr>
        <w:t>SECTION 11.</w:t>
      </w:r>
      <w:r>
        <w:rPr>
          <w:sz w:val="20"/>
          <w:szCs w:val="20"/>
          <w:color w:val="auto"/>
        </w:rPr>
        <w:tab/>
      </w:r>
      <w:r>
        <w:rPr>
          <w:rFonts w:ascii="Times New Roman" w:cs="Times New Roman" w:eastAsia="Times New Roman" w:hAnsi="Times New Roman"/>
          <w:sz w:val="19"/>
          <w:szCs w:val="19"/>
          <w:b w:val="1"/>
          <w:bCs w:val="1"/>
          <w:color w:val="auto"/>
        </w:rPr>
        <w:t>DEFINITIONS.</w:t>
      </w:r>
    </w:p>
    <w:p>
      <w:pPr>
        <w:spacing w:after="0" w:line="216" w:lineRule="exact"/>
        <w:rPr>
          <w:sz w:val="20"/>
          <w:szCs w:val="20"/>
          <w:color w:val="auto"/>
        </w:rPr>
      </w:pPr>
    </w:p>
    <w:p>
      <w:pPr>
        <w:ind w:left="1400" w:hanging="606"/>
        <w:spacing w:after="0"/>
        <w:tabs>
          <w:tab w:leader="none" w:pos="1400" w:val="left"/>
        </w:tabs>
        <w:numPr>
          <w:ilvl w:val="0"/>
          <w:numId w:val="3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Agreement</w:t>
      </w:r>
      <w:r>
        <w:rPr>
          <w:rFonts w:ascii="Times New Roman" w:cs="Times New Roman" w:eastAsia="Times New Roman" w:hAnsi="Times New Roman"/>
          <w:sz w:val="20"/>
          <w:szCs w:val="20"/>
          <w:color w:val="auto"/>
        </w:rPr>
        <w:t>” shall mean this Stock Grant Agreement.</w:t>
      </w:r>
    </w:p>
    <w:p>
      <w:pPr>
        <w:spacing w:after="0" w:line="215" w:lineRule="exact"/>
        <w:rPr>
          <w:rFonts w:ascii="Times New Roman" w:cs="Times New Roman" w:eastAsia="Times New Roman" w:hAnsi="Times New Roman"/>
          <w:sz w:val="20"/>
          <w:szCs w:val="20"/>
          <w:color w:val="auto"/>
        </w:rPr>
      </w:pPr>
    </w:p>
    <w:p>
      <w:pPr>
        <w:ind w:firstLine="794"/>
        <w:spacing w:after="0" w:line="273" w:lineRule="auto"/>
        <w:tabs>
          <w:tab w:leader="none" w:pos="1642" w:val="left"/>
        </w:tabs>
        <w:numPr>
          <w:ilvl w:val="0"/>
          <w:numId w:val="3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Board of Directors</w:t>
      </w:r>
      <w:r>
        <w:rPr>
          <w:rFonts w:ascii="Times New Roman" w:cs="Times New Roman" w:eastAsia="Times New Roman" w:hAnsi="Times New Roman"/>
          <w:sz w:val="20"/>
          <w:szCs w:val="20"/>
          <w:color w:val="auto"/>
        </w:rPr>
        <w:t>” shall mean the Board of Directors of the Company, as constituted from time to time or, if a Committee has been appointed, such Committee.</w:t>
      </w: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40"/>
          </w:cols>
          <w:pgMar w:left="320" w:top="261" w:right="339" w:bottom="1440" w:gutter="0" w:footer="0" w:header="0"/>
        </w:sectPr>
      </w:pPr>
    </w:p>
    <w:bookmarkStart w:id="327" w:name="page328"/>
    <w:bookmarkEnd w:id="327"/>
    <w:p>
      <w:pPr>
        <w:ind w:left="1400" w:hanging="606"/>
        <w:spacing w:after="0"/>
        <w:tabs>
          <w:tab w:leader="none" w:pos="1400" w:val="left"/>
        </w:tabs>
        <w:numPr>
          <w:ilvl w:val="0"/>
          <w:numId w:val="3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 shall mean Tarsus Pharmaceuticals, Inc., a Delaware corporation.</w:t>
      </w:r>
    </w:p>
    <w:p>
      <w:pPr>
        <w:spacing w:after="0" w:line="215" w:lineRule="exact"/>
        <w:rPr>
          <w:rFonts w:ascii="Times New Roman" w:cs="Times New Roman" w:eastAsia="Times New Roman" w:hAnsi="Times New Roman"/>
          <w:sz w:val="20"/>
          <w:szCs w:val="20"/>
          <w:color w:val="auto"/>
        </w:rPr>
      </w:pPr>
    </w:p>
    <w:p>
      <w:pPr>
        <w:ind w:left="1420" w:hanging="626"/>
        <w:spacing w:after="0"/>
        <w:tabs>
          <w:tab w:leader="none" w:pos="1420" w:val="left"/>
        </w:tabs>
        <w:numPr>
          <w:ilvl w:val="0"/>
          <w:numId w:val="3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Forfeiture Condition</w:t>
      </w:r>
      <w:r>
        <w:rPr>
          <w:rFonts w:ascii="Times New Roman" w:cs="Times New Roman" w:eastAsia="Times New Roman" w:hAnsi="Times New Roman"/>
          <w:sz w:val="20"/>
          <w:szCs w:val="20"/>
          <w:color w:val="auto"/>
        </w:rPr>
        <w:t>” shall mean the forfeiture condition described in Section 2.</w:t>
      </w:r>
    </w:p>
    <w:p>
      <w:pPr>
        <w:spacing w:after="0" w:line="215" w:lineRule="exact"/>
        <w:rPr>
          <w:rFonts w:ascii="Times New Roman" w:cs="Times New Roman" w:eastAsia="Times New Roman" w:hAnsi="Times New Roman"/>
          <w:sz w:val="20"/>
          <w:szCs w:val="20"/>
          <w:color w:val="auto"/>
        </w:rPr>
      </w:pPr>
    </w:p>
    <w:p>
      <w:pPr>
        <w:ind w:firstLine="794"/>
        <w:spacing w:after="0" w:line="273" w:lineRule="auto"/>
        <w:tabs>
          <w:tab w:leader="none" w:pos="1712" w:val="left"/>
        </w:tabs>
        <w:numPr>
          <w:ilvl w:val="0"/>
          <w:numId w:val="3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Immediate Family</w:t>
      </w:r>
      <w:r>
        <w:rPr>
          <w:rFonts w:ascii="Times New Roman" w:cs="Times New Roman" w:eastAsia="Times New Roman" w:hAnsi="Times New Roman"/>
          <w:sz w:val="20"/>
          <w:szCs w:val="20"/>
          <w:color w:val="auto"/>
        </w:rPr>
        <w:t>” shall mean any child, stepchild, grandchild, parent, stepparent, grandparent, spouse, sibling, mother-in-law, father-in-law, son-in-law, daughter-in-law, brother-in-law or sister-in-law and shall include adoptive relationships.</w:t>
      </w:r>
    </w:p>
    <w:p>
      <w:pPr>
        <w:spacing w:after="0" w:line="151" w:lineRule="exact"/>
        <w:rPr>
          <w:rFonts w:ascii="Times New Roman" w:cs="Times New Roman" w:eastAsia="Times New Roman" w:hAnsi="Times New Roman"/>
          <w:sz w:val="20"/>
          <w:szCs w:val="20"/>
          <w:color w:val="auto"/>
        </w:rPr>
      </w:pPr>
    </w:p>
    <w:p>
      <w:pPr>
        <w:ind w:left="1380" w:hanging="586"/>
        <w:spacing w:after="0"/>
        <w:tabs>
          <w:tab w:leader="none" w:pos="1380" w:val="left"/>
        </w:tabs>
        <w:numPr>
          <w:ilvl w:val="0"/>
          <w:numId w:val="3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Plan</w:t>
      </w:r>
      <w:r>
        <w:rPr>
          <w:rFonts w:ascii="Times New Roman" w:cs="Times New Roman" w:eastAsia="Times New Roman" w:hAnsi="Times New Roman"/>
          <w:sz w:val="20"/>
          <w:szCs w:val="20"/>
          <w:color w:val="auto"/>
        </w:rPr>
        <w:t>” shall mean the Tarsus Pharmaceuticals, Inc. 2016 Stock Plan, as amended.</w:t>
      </w:r>
    </w:p>
    <w:p>
      <w:pPr>
        <w:spacing w:after="0" w:line="215" w:lineRule="exact"/>
        <w:rPr>
          <w:rFonts w:ascii="Times New Roman" w:cs="Times New Roman" w:eastAsia="Times New Roman" w:hAnsi="Times New Roman"/>
          <w:sz w:val="20"/>
          <w:szCs w:val="20"/>
          <w:color w:val="auto"/>
        </w:rPr>
      </w:pPr>
    </w:p>
    <w:p>
      <w:pPr>
        <w:ind w:left="1420" w:hanging="626"/>
        <w:spacing w:after="0"/>
        <w:tabs>
          <w:tab w:leader="none" w:pos="1420" w:val="left"/>
        </w:tabs>
        <w:numPr>
          <w:ilvl w:val="0"/>
          <w:numId w:val="3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Restricted Share</w:t>
      </w:r>
      <w:r>
        <w:rPr>
          <w:rFonts w:ascii="Times New Roman" w:cs="Times New Roman" w:eastAsia="Times New Roman" w:hAnsi="Times New Roman"/>
          <w:sz w:val="20"/>
          <w:szCs w:val="20"/>
          <w:color w:val="auto"/>
        </w:rPr>
        <w:t>” shall mean a Transferred Share that is subject to the Forfeiture Condition.</w:t>
      </w:r>
    </w:p>
    <w:p>
      <w:pPr>
        <w:spacing w:after="0" w:line="215" w:lineRule="exact"/>
        <w:rPr>
          <w:rFonts w:ascii="Times New Roman" w:cs="Times New Roman" w:eastAsia="Times New Roman" w:hAnsi="Times New Roman"/>
          <w:sz w:val="20"/>
          <w:szCs w:val="20"/>
          <w:color w:val="auto"/>
        </w:rPr>
      </w:pPr>
    </w:p>
    <w:p>
      <w:pPr>
        <w:ind w:left="1420" w:hanging="626"/>
        <w:spacing w:after="0"/>
        <w:tabs>
          <w:tab w:leader="none" w:pos="1420" w:val="left"/>
        </w:tabs>
        <w:numPr>
          <w:ilvl w:val="0"/>
          <w:numId w:val="3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Right of First Refusal</w:t>
      </w:r>
      <w:r>
        <w:rPr>
          <w:rFonts w:ascii="Times New Roman" w:cs="Times New Roman" w:eastAsia="Times New Roman" w:hAnsi="Times New Roman"/>
          <w:sz w:val="20"/>
          <w:szCs w:val="20"/>
          <w:color w:val="auto"/>
        </w:rPr>
        <w:t>” shall mean the Company’s right of first refusal described in Section 3.</w:t>
      </w:r>
    </w:p>
    <w:p>
      <w:pPr>
        <w:spacing w:after="0" w:line="215" w:lineRule="exact"/>
        <w:rPr>
          <w:rFonts w:ascii="Times New Roman" w:cs="Times New Roman" w:eastAsia="Times New Roman" w:hAnsi="Times New Roman"/>
          <w:sz w:val="20"/>
          <w:szCs w:val="20"/>
          <w:color w:val="auto"/>
        </w:rPr>
      </w:pPr>
    </w:p>
    <w:p>
      <w:pPr>
        <w:ind w:left="1380" w:hanging="586"/>
        <w:spacing w:after="0"/>
        <w:tabs>
          <w:tab w:leader="none" w:pos="1380" w:val="left"/>
        </w:tabs>
        <w:numPr>
          <w:ilvl w:val="0"/>
          <w:numId w:val="3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Service</w:t>
      </w:r>
      <w:r>
        <w:rPr>
          <w:rFonts w:ascii="Times New Roman" w:cs="Times New Roman" w:eastAsia="Times New Roman" w:hAnsi="Times New Roman"/>
          <w:sz w:val="20"/>
          <w:szCs w:val="20"/>
          <w:color w:val="auto"/>
        </w:rPr>
        <w:t>” shall mean service as an Employee, Outside Director or Consultant.</w:t>
      </w:r>
    </w:p>
    <w:p>
      <w:pPr>
        <w:spacing w:after="0" w:line="215" w:lineRule="exact"/>
        <w:rPr>
          <w:rFonts w:ascii="Times New Roman" w:cs="Times New Roman" w:eastAsia="Times New Roman" w:hAnsi="Times New Roman"/>
          <w:sz w:val="20"/>
          <w:szCs w:val="20"/>
          <w:color w:val="auto"/>
        </w:rPr>
      </w:pPr>
    </w:p>
    <w:p>
      <w:pPr>
        <w:ind w:left="1640" w:hanging="846"/>
        <w:spacing w:after="0"/>
        <w:tabs>
          <w:tab w:leader="none" w:pos="1640" w:val="left"/>
        </w:tabs>
        <w:numPr>
          <w:ilvl w:val="0"/>
          <w:numId w:val="3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Subsequent Transferee</w:t>
      </w:r>
      <w:r>
        <w:rPr>
          <w:rFonts w:ascii="Times New Roman" w:cs="Times New Roman" w:eastAsia="Times New Roman" w:hAnsi="Times New Roman"/>
          <w:sz w:val="20"/>
          <w:szCs w:val="20"/>
          <w:color w:val="auto"/>
        </w:rPr>
        <w:t>” shall mean any person to whom the Transferee has directly or indirectly transferred any</w:t>
      </w:r>
    </w:p>
    <w:p>
      <w:pPr>
        <w:spacing w:after="0" w:line="25"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Transferred Shares.</w:t>
      </w:r>
    </w:p>
    <w:p>
      <w:pPr>
        <w:spacing w:after="0" w:line="189" w:lineRule="exact"/>
        <w:rPr>
          <w:rFonts w:ascii="Times New Roman" w:cs="Times New Roman" w:eastAsia="Times New Roman" w:hAnsi="Times New Roman"/>
          <w:sz w:val="20"/>
          <w:szCs w:val="20"/>
          <w:color w:val="auto"/>
        </w:rPr>
      </w:pPr>
    </w:p>
    <w:p>
      <w:pPr>
        <w:ind w:left="1420" w:hanging="626"/>
        <w:spacing w:after="0"/>
        <w:tabs>
          <w:tab w:leader="none" w:pos="1420" w:val="left"/>
        </w:tabs>
        <w:numPr>
          <w:ilvl w:val="0"/>
          <w:numId w:val="3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Transferee</w:t>
      </w:r>
      <w:r>
        <w:rPr>
          <w:rFonts w:ascii="Times New Roman" w:cs="Times New Roman" w:eastAsia="Times New Roman" w:hAnsi="Times New Roman"/>
          <w:sz w:val="20"/>
          <w:szCs w:val="20"/>
          <w:color w:val="auto"/>
        </w:rPr>
        <w:t>” shall mean the individual named in the Summary of Stock Grant.</w:t>
      </w:r>
    </w:p>
    <w:p>
      <w:pPr>
        <w:spacing w:after="0" w:line="215" w:lineRule="exact"/>
        <w:rPr>
          <w:rFonts w:ascii="Times New Roman" w:cs="Times New Roman" w:eastAsia="Times New Roman" w:hAnsi="Times New Roman"/>
          <w:sz w:val="20"/>
          <w:szCs w:val="20"/>
          <w:color w:val="auto"/>
        </w:rPr>
      </w:pPr>
    </w:p>
    <w:p>
      <w:pPr>
        <w:ind w:left="1380" w:hanging="586"/>
        <w:spacing w:after="0"/>
        <w:tabs>
          <w:tab w:leader="none" w:pos="1380" w:val="left"/>
        </w:tabs>
        <w:numPr>
          <w:ilvl w:val="0"/>
          <w:numId w:val="3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Transfer Notice</w:t>
      </w:r>
      <w:r>
        <w:rPr>
          <w:rFonts w:ascii="Times New Roman" w:cs="Times New Roman" w:eastAsia="Times New Roman" w:hAnsi="Times New Roman"/>
          <w:sz w:val="20"/>
          <w:szCs w:val="20"/>
          <w:color w:val="auto"/>
        </w:rPr>
        <w:t>” shall mean the notice of a proposed transfer of Transferred Shares described in Section 3.</w:t>
      </w:r>
    </w:p>
    <w:p>
      <w:pPr>
        <w:spacing w:after="0" w:line="215" w:lineRule="exact"/>
        <w:rPr>
          <w:rFonts w:ascii="Times New Roman" w:cs="Times New Roman" w:eastAsia="Times New Roman" w:hAnsi="Times New Roman"/>
          <w:sz w:val="20"/>
          <w:szCs w:val="20"/>
          <w:color w:val="auto"/>
        </w:rPr>
      </w:pPr>
    </w:p>
    <w:p>
      <w:pPr>
        <w:ind w:left="1480" w:hanging="686"/>
        <w:spacing w:after="0"/>
        <w:tabs>
          <w:tab w:leader="none" w:pos="1480" w:val="left"/>
        </w:tabs>
        <w:numPr>
          <w:ilvl w:val="0"/>
          <w:numId w:val="3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Transferred Shares</w:t>
      </w:r>
      <w:r>
        <w:rPr>
          <w:rFonts w:ascii="Times New Roman" w:cs="Times New Roman" w:eastAsia="Times New Roman" w:hAnsi="Times New Roman"/>
          <w:sz w:val="20"/>
          <w:szCs w:val="20"/>
          <w:color w:val="auto"/>
        </w:rPr>
        <w:t>” shall mean the Shares acquired by the Transferee pursuant to this Agreement.</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240"/>
          </w:cols>
          <w:pgMar w:left="320" w:top="261" w:right="339" w:bottom="1440" w:gutter="0" w:footer="0" w:header="0"/>
        </w:sectPr>
      </w:pPr>
    </w:p>
    <w:bookmarkStart w:id="328" w:name="page329"/>
    <w:bookmarkEnd w:id="328"/>
    <w:p>
      <w:pPr>
        <w:jc w:val="right"/>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w:t>
      </w:r>
      <w:r>
        <w:rPr>
          <w:rFonts w:ascii="Times New Roman" w:cs="Times New Roman" w:eastAsia="Times New Roman" w:hAnsi="Times New Roman"/>
          <w:sz w:val="16"/>
          <w:szCs w:val="16"/>
          <w:b w:val="1"/>
          <w:bCs w:val="1"/>
          <w:color w:val="auto"/>
        </w:rPr>
        <w:t>XHIBIT</w:t>
      </w:r>
      <w:r>
        <w:rPr>
          <w:rFonts w:ascii="Times New Roman" w:cs="Times New Roman" w:eastAsia="Times New Roman" w:hAnsi="Times New Roman"/>
          <w:sz w:val="20"/>
          <w:szCs w:val="20"/>
          <w:b w:val="1"/>
          <w:bCs w:val="1"/>
          <w:color w:val="auto"/>
        </w:rPr>
        <w:t xml:space="preserve"> I</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w:t>
      </w:r>
      <w:r>
        <w:rPr>
          <w:rFonts w:ascii="Times New Roman" w:cs="Times New Roman" w:eastAsia="Times New Roman" w:hAnsi="Times New Roman"/>
          <w:sz w:val="16"/>
          <w:szCs w:val="16"/>
          <w:b w:val="1"/>
          <w:bCs w:val="1"/>
          <w:color w:val="auto"/>
        </w:rPr>
        <w:t>ECTION</w:t>
      </w:r>
      <w:r>
        <w:rPr>
          <w:rFonts w:ascii="Times New Roman" w:cs="Times New Roman" w:eastAsia="Times New Roman" w:hAnsi="Times New Roman"/>
          <w:sz w:val="20"/>
          <w:szCs w:val="20"/>
          <w:b w:val="1"/>
          <w:bCs w:val="1"/>
          <w:color w:val="auto"/>
        </w:rPr>
        <w:t xml:space="preserve"> 83(b) E</w:t>
      </w:r>
      <w:r>
        <w:rPr>
          <w:rFonts w:ascii="Times New Roman" w:cs="Times New Roman" w:eastAsia="Times New Roman" w:hAnsi="Times New Roman"/>
          <w:sz w:val="16"/>
          <w:szCs w:val="16"/>
          <w:b w:val="1"/>
          <w:bCs w:val="1"/>
          <w:color w:val="auto"/>
        </w:rPr>
        <w:t>LECTION</w:t>
      </w:r>
    </w:p>
    <w:p>
      <w:pPr>
        <w:spacing w:after="0" w:line="224"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undersigned taxpayer hereby elects, pursuant to Section 83(b) of the Internal Revenue Code of 1986, as amended, and pursuant to Treasury Regulations Section 1.83-2, to include in gross income as compensation for services the fair market value of the shares described below.</w:t>
      </w:r>
    </w:p>
    <w:p>
      <w:pPr>
        <w:spacing w:after="0" w:line="189" w:lineRule="exact"/>
        <w:rPr>
          <w:sz w:val="20"/>
          <w:szCs w:val="20"/>
          <w:color w:val="auto"/>
        </w:rPr>
      </w:pPr>
    </w:p>
    <w:p>
      <w:pPr>
        <w:ind w:left="1800" w:hanging="564"/>
        <w:spacing w:after="0"/>
        <w:tabs>
          <w:tab w:leader="none" w:pos="1800" w:val="left"/>
        </w:tabs>
        <w:numPr>
          <w:ilvl w:val="0"/>
          <w:numId w:val="3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taxpayer who performed the services is:</w:t>
      </w:r>
    </w:p>
    <w:p>
      <w:pPr>
        <w:spacing w:after="0" w:line="131"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8"/>
          <w:szCs w:val="18"/>
          <w:color w:val="auto"/>
        </w:rPr>
        <w:t>Name: _________________________</w:t>
      </w:r>
    </w:p>
    <w:p>
      <w:pPr>
        <w:spacing w:after="0" w:line="63"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8"/>
          <w:szCs w:val="18"/>
          <w:color w:val="auto"/>
        </w:rPr>
        <w:t>Address: _______________________</w:t>
      </w:r>
    </w:p>
    <w:p>
      <w:pPr>
        <w:spacing w:after="0" w:line="63"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8"/>
          <w:szCs w:val="18"/>
          <w:color w:val="auto"/>
        </w:rPr>
        <w:t>________________________</w:t>
      </w:r>
    </w:p>
    <w:p>
      <w:pPr>
        <w:spacing w:after="0" w:line="63"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8"/>
          <w:szCs w:val="18"/>
          <w:color w:val="auto"/>
        </w:rPr>
        <w:t>Social Security No.: ___________________</w:t>
      </w:r>
    </w:p>
    <w:p>
      <w:pPr>
        <w:spacing w:after="0" w:line="131" w:lineRule="exact"/>
        <w:rPr>
          <w:sz w:val="20"/>
          <w:szCs w:val="20"/>
          <w:color w:val="auto"/>
        </w:rPr>
      </w:pPr>
    </w:p>
    <w:p>
      <w:pPr>
        <w:ind w:left="1800" w:hanging="564"/>
        <w:spacing w:after="0"/>
        <w:tabs>
          <w:tab w:leader="none" w:pos="1800" w:val="left"/>
        </w:tabs>
        <w:numPr>
          <w:ilvl w:val="0"/>
          <w:numId w:val="3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property with respect to which the election is made is ______ shares of the common stock of Tarsus Pharmaceuticals, Inc.</w:t>
      </w:r>
    </w:p>
    <w:p>
      <w:pPr>
        <w:spacing w:after="0" w:line="130" w:lineRule="exact"/>
        <w:rPr>
          <w:rFonts w:ascii="Times New Roman" w:cs="Times New Roman" w:eastAsia="Times New Roman" w:hAnsi="Times New Roman"/>
          <w:sz w:val="18"/>
          <w:szCs w:val="18"/>
          <w:color w:val="auto"/>
        </w:rPr>
      </w:pPr>
    </w:p>
    <w:p>
      <w:pPr>
        <w:ind w:left="1800" w:hanging="564"/>
        <w:spacing w:after="0"/>
        <w:tabs>
          <w:tab w:leader="none" w:pos="1800" w:val="left"/>
        </w:tabs>
        <w:numPr>
          <w:ilvl w:val="0"/>
          <w:numId w:val="3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property was transferred to the taxpayer on __________ __, ____.</w:t>
      </w:r>
    </w:p>
    <w:p>
      <w:pPr>
        <w:spacing w:after="0" w:line="130" w:lineRule="exact"/>
        <w:rPr>
          <w:rFonts w:ascii="Times New Roman" w:cs="Times New Roman" w:eastAsia="Times New Roman" w:hAnsi="Times New Roman"/>
          <w:sz w:val="18"/>
          <w:szCs w:val="18"/>
          <w:color w:val="auto"/>
        </w:rPr>
      </w:pPr>
    </w:p>
    <w:p>
      <w:pPr>
        <w:ind w:left="1800" w:hanging="564"/>
        <w:spacing w:after="0"/>
        <w:tabs>
          <w:tab w:leader="none" w:pos="1800" w:val="left"/>
        </w:tabs>
        <w:numPr>
          <w:ilvl w:val="0"/>
          <w:numId w:val="3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taxable year for which the election is made is the calendar year ____.</w:t>
      </w:r>
    </w:p>
    <w:p>
      <w:pPr>
        <w:spacing w:after="0" w:line="130" w:lineRule="exact"/>
        <w:rPr>
          <w:rFonts w:ascii="Times New Roman" w:cs="Times New Roman" w:eastAsia="Times New Roman" w:hAnsi="Times New Roman"/>
          <w:sz w:val="18"/>
          <w:szCs w:val="18"/>
          <w:color w:val="auto"/>
        </w:rPr>
      </w:pPr>
    </w:p>
    <w:p>
      <w:pPr>
        <w:ind w:left="1800" w:hanging="564"/>
        <w:spacing w:after="0" w:line="282" w:lineRule="auto"/>
        <w:tabs>
          <w:tab w:leader="none" w:pos="1800" w:val="left"/>
        </w:tabs>
        <w:numPr>
          <w:ilvl w:val="0"/>
          <w:numId w:val="3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property is subject to forfeiture if for any reason taxpayer’s service with the issuer terminates. The forfeiture condition lapses in a series of installments over a ____-year period ending on __________ __, ____.</w:t>
      </w:r>
    </w:p>
    <w:p>
      <w:pPr>
        <w:spacing w:after="0" w:line="67" w:lineRule="exact"/>
        <w:rPr>
          <w:rFonts w:ascii="Times New Roman" w:cs="Times New Roman" w:eastAsia="Times New Roman" w:hAnsi="Times New Roman"/>
          <w:sz w:val="18"/>
          <w:szCs w:val="18"/>
          <w:color w:val="auto"/>
        </w:rPr>
      </w:pPr>
    </w:p>
    <w:p>
      <w:pPr>
        <w:ind w:left="1800" w:right="20" w:hanging="564"/>
        <w:spacing w:after="0" w:line="282" w:lineRule="auto"/>
        <w:tabs>
          <w:tab w:leader="none" w:pos="1800" w:val="left"/>
        </w:tabs>
        <w:numPr>
          <w:ilvl w:val="0"/>
          <w:numId w:val="3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market value of such property at the time of transfer (determined without regard to any restriction other than a restriction that by its terms will never lapse) is $______ per share x ______ shares = $__________.</w:t>
      </w:r>
    </w:p>
    <w:p>
      <w:pPr>
        <w:spacing w:after="0" w:line="67" w:lineRule="exact"/>
        <w:rPr>
          <w:rFonts w:ascii="Times New Roman" w:cs="Times New Roman" w:eastAsia="Times New Roman" w:hAnsi="Times New Roman"/>
          <w:sz w:val="18"/>
          <w:szCs w:val="18"/>
          <w:color w:val="auto"/>
        </w:rPr>
      </w:pPr>
    </w:p>
    <w:p>
      <w:pPr>
        <w:ind w:left="1800" w:hanging="564"/>
        <w:spacing w:after="0"/>
        <w:tabs>
          <w:tab w:leader="none" w:pos="1800" w:val="left"/>
        </w:tabs>
        <w:numPr>
          <w:ilvl w:val="0"/>
          <w:numId w:val="3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amount was paid for such property.</w:t>
      </w:r>
    </w:p>
    <w:p>
      <w:pPr>
        <w:spacing w:after="0" w:line="126" w:lineRule="exact"/>
        <w:rPr>
          <w:rFonts w:ascii="Times New Roman" w:cs="Times New Roman" w:eastAsia="Times New Roman" w:hAnsi="Times New Roman"/>
          <w:sz w:val="18"/>
          <w:szCs w:val="18"/>
          <w:color w:val="auto"/>
        </w:rPr>
      </w:pPr>
    </w:p>
    <w:p>
      <w:pPr>
        <w:ind w:left="1800" w:hanging="564"/>
        <w:spacing w:after="0"/>
        <w:tabs>
          <w:tab w:leader="none" w:pos="1800" w:val="left"/>
        </w:tabs>
        <w:numPr>
          <w:ilvl w:val="0"/>
          <w:numId w:val="3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amount to include in gross income is $______. </w:t>
      </w:r>
      <w:r>
        <w:rPr>
          <w:rFonts w:ascii="Times New Roman" w:cs="Times New Roman" w:eastAsia="Times New Roman" w:hAnsi="Times New Roman"/>
          <w:sz w:val="18"/>
          <w:szCs w:val="18"/>
          <w:b w:val="1"/>
          <w:bCs w:val="1"/>
          <w:i w:val="1"/>
          <w:iCs w:val="1"/>
          <w:color w:val="auto"/>
        </w:rPr>
        <w:t>[The amount in Line 6.]</w:t>
      </w:r>
    </w:p>
    <w:p>
      <w:pPr>
        <w:spacing w:after="0" w:line="134" w:lineRule="exact"/>
        <w:rPr>
          <w:rFonts w:ascii="Times New Roman" w:cs="Times New Roman" w:eastAsia="Times New Roman" w:hAnsi="Times New Roman"/>
          <w:sz w:val="18"/>
          <w:szCs w:val="18"/>
          <w:color w:val="auto"/>
        </w:rPr>
      </w:pPr>
    </w:p>
    <w:p>
      <w:pPr>
        <w:ind w:left="1800" w:hanging="564"/>
        <w:spacing w:after="0" w:line="282" w:lineRule="auto"/>
        <w:tabs>
          <w:tab w:leader="none" w:pos="1800" w:val="left"/>
        </w:tabs>
        <w:numPr>
          <w:ilvl w:val="0"/>
          <w:numId w:val="3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this statement was furnished to Tarsus Pharmaceuticals, Inc., for whom taxpayer rendered the services underlying the transfer of such property.</w:t>
      </w:r>
    </w:p>
    <w:p>
      <w:pPr>
        <w:spacing w:after="0" w:line="67" w:lineRule="exact"/>
        <w:rPr>
          <w:rFonts w:ascii="Times New Roman" w:cs="Times New Roman" w:eastAsia="Times New Roman" w:hAnsi="Times New Roman"/>
          <w:sz w:val="18"/>
          <w:szCs w:val="18"/>
          <w:color w:val="auto"/>
        </w:rPr>
      </w:pPr>
    </w:p>
    <w:p>
      <w:pPr>
        <w:ind w:left="1800" w:hanging="564"/>
        <w:spacing w:after="0"/>
        <w:tabs>
          <w:tab w:leader="none" w:pos="1800" w:val="left"/>
        </w:tabs>
        <w:numPr>
          <w:ilvl w:val="0"/>
          <w:numId w:val="3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statement is executed on __________ __, ____.</w:t>
      </w:r>
    </w:p>
    <w:p>
      <w:pPr>
        <w:spacing w:after="0" w:line="200" w:lineRule="exact"/>
        <w:rPr>
          <w:sz w:val="20"/>
          <w:szCs w:val="20"/>
          <w:color w:val="auto"/>
        </w:rPr>
      </w:pPr>
    </w:p>
    <w:p>
      <w:pPr>
        <w:spacing w:after="0" w:line="282" w:lineRule="exact"/>
        <w:rPr>
          <w:sz w:val="20"/>
          <w:szCs w:val="20"/>
          <w:color w:val="auto"/>
        </w:rPr>
      </w:pPr>
    </w:p>
    <w:p>
      <w:pPr>
        <w:spacing w:after="0"/>
        <w:tabs>
          <w:tab w:leader="none" w:pos="5940" w:val="left"/>
        </w:tabs>
        <w:rPr>
          <w:sz w:val="20"/>
          <w:szCs w:val="20"/>
          <w:color w:val="auto"/>
        </w:rPr>
      </w:pPr>
      <w:r>
        <w:rPr>
          <w:rFonts w:ascii="Times New Roman" w:cs="Times New Roman" w:eastAsia="Times New Roman" w:hAnsi="Times New Roman"/>
          <w:sz w:val="18"/>
          <w:szCs w:val="18"/>
          <w:color w:val="auto"/>
        </w:rPr>
        <w:t>Spouse (if any)</w:t>
      </w:r>
      <w:r>
        <w:rPr>
          <w:sz w:val="20"/>
          <w:szCs w:val="20"/>
          <w:color w:val="auto"/>
        </w:rPr>
        <w:tab/>
      </w:r>
      <w:r>
        <w:rPr>
          <w:rFonts w:ascii="Times New Roman" w:cs="Times New Roman" w:eastAsia="Times New Roman" w:hAnsi="Times New Roman"/>
          <w:sz w:val="17"/>
          <w:szCs w:val="17"/>
          <w:color w:val="auto"/>
        </w:rPr>
        <w:t>Taxpayer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2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Within 30 days after the date of transfer of the property, this election must be filed with the Internal Revenue Service office where the taxpayer files his or her annual federal income tax return. The filing should be made by registered or certified mail, return receipt requested. The taxpayer must deliver a copy of the completed form to the Company.</w:t>
      </w:r>
    </w:p>
    <w:p>
      <w:pPr>
        <w:sectPr>
          <w:pgSz w:w="11900" w:h="16838" w:orient="portrait"/>
          <w:cols w:equalWidth="0" w:num="1">
            <w:col w:w="11240"/>
          </w:cols>
          <w:pgMar w:left="320" w:top="261" w:right="339" w:bottom="1440" w:gutter="0" w:footer="0" w:header="0"/>
        </w:sectPr>
      </w:pPr>
    </w:p>
    <w:bookmarkStart w:id="329" w:name="page330"/>
    <w:bookmarkEnd w:id="329"/>
    <w:p>
      <w:pPr>
        <w:jc w:val="right"/>
        <w:spacing w:after="0"/>
        <w:rPr>
          <w:sz w:val="20"/>
          <w:szCs w:val="20"/>
          <w:color w:val="auto"/>
        </w:rPr>
      </w:pPr>
      <w:r>
        <w:rPr>
          <w:rFonts w:ascii="Times New Roman" w:cs="Times New Roman" w:eastAsia="Times New Roman" w:hAnsi="Times New Roman"/>
          <w:sz w:val="20"/>
          <w:szCs w:val="20"/>
          <w:b w:val="1"/>
          <w:bCs w:val="1"/>
          <w:color w:val="auto"/>
        </w:rPr>
        <w:t>Exhibit 10.6</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w:t>
      </w:r>
      <w:r>
        <w:rPr>
          <w:rFonts w:ascii="Times New Roman" w:cs="Times New Roman" w:eastAsia="Times New Roman" w:hAnsi="Times New Roman"/>
          <w:sz w:val="16"/>
          <w:szCs w:val="16"/>
          <w:b w:val="1"/>
          <w:bCs w:val="1"/>
          <w:color w:val="auto"/>
        </w:rPr>
        <w:t>ARSUS</w:t>
      </w:r>
      <w:r>
        <w:rPr>
          <w:rFonts w:ascii="Times New Roman" w:cs="Times New Roman" w:eastAsia="Times New Roman" w:hAnsi="Times New Roman"/>
          <w:sz w:val="20"/>
          <w:szCs w:val="20"/>
          <w:b w:val="1"/>
          <w:bCs w:val="1"/>
          <w:color w:val="auto"/>
        </w:rPr>
        <w:t xml:space="preserve"> P</w:t>
      </w:r>
      <w:r>
        <w:rPr>
          <w:rFonts w:ascii="Times New Roman" w:cs="Times New Roman" w:eastAsia="Times New Roman" w:hAnsi="Times New Roman"/>
          <w:sz w:val="16"/>
          <w:szCs w:val="16"/>
          <w:b w:val="1"/>
          <w:bCs w:val="1"/>
          <w:color w:val="auto"/>
        </w:rPr>
        <w:t>HARMACEUTICALS</w:t>
      </w:r>
      <w:r>
        <w:rPr>
          <w:rFonts w:ascii="Times New Roman" w:cs="Times New Roman" w:eastAsia="Times New Roman" w:hAnsi="Times New Roman"/>
          <w:sz w:val="20"/>
          <w:szCs w:val="20"/>
          <w:b w:val="1"/>
          <w:bCs w:val="1"/>
          <w:color w:val="auto"/>
        </w:rPr>
        <w:t>, I</w:t>
      </w:r>
      <w:r>
        <w:rPr>
          <w:rFonts w:ascii="Times New Roman" w:cs="Times New Roman" w:eastAsia="Times New Roman" w:hAnsi="Times New Roman"/>
          <w:sz w:val="16"/>
          <w:szCs w:val="16"/>
          <w:b w:val="1"/>
          <w:bCs w:val="1"/>
          <w:color w:val="auto"/>
        </w:rPr>
        <w:t>NC</w:t>
      </w:r>
      <w:r>
        <w:rPr>
          <w:rFonts w:ascii="Times New Roman" w:cs="Times New Roman" w:eastAsia="Times New Roman" w:hAnsi="Times New Roman"/>
          <w:sz w:val="20"/>
          <w:szCs w:val="20"/>
          <w:b w:val="1"/>
          <w:bCs w:val="1"/>
          <w:color w:val="auto"/>
        </w:rPr>
        <w:t>.</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March 15, 2020</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Leo Greenstein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99695</wp:posOffset>
            </wp:positionV>
            <wp:extent cx="1139825" cy="825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113982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245745</wp:posOffset>
            </wp:positionV>
            <wp:extent cx="1139825" cy="825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1139825" cy="8255"/>
                    </a:xfrm>
                    <a:prstGeom prst="rect">
                      <a:avLst/>
                    </a:prstGeom>
                    <a:noFill/>
                  </pic:spPr>
                </pic:pic>
              </a:graphicData>
            </a:graphic>
          </wp:anchor>
        </w:drawing>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Dear Leo:</w:t>
      </w:r>
    </w:p>
    <w:p>
      <w:pPr>
        <w:spacing w:after="0" w:line="21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0"/>
          <w:szCs w:val="20"/>
          <w:color w:val="auto"/>
        </w:rPr>
        <w:t>Tarsus Pharmaceuticals, Inc. (the “Company”) is pleased to offer you employment on the following terms:</w:t>
      </w:r>
    </w:p>
    <w:p>
      <w:pPr>
        <w:spacing w:after="0" w:line="212" w:lineRule="exact"/>
        <w:rPr>
          <w:sz w:val="20"/>
          <w:szCs w:val="20"/>
          <w:color w:val="auto"/>
        </w:rPr>
      </w:pPr>
    </w:p>
    <w:p>
      <w:pPr>
        <w:jc w:val="both"/>
        <w:ind w:firstLine="570"/>
        <w:spacing w:after="0" w:line="247" w:lineRule="auto"/>
        <w:tabs>
          <w:tab w:leader="none" w:pos="1200" w:val="left"/>
        </w:tabs>
        <w:numPr>
          <w:ilvl w:val="0"/>
          <w:numId w:val="3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Position</w:t>
      </w:r>
      <w:r>
        <w:rPr>
          <w:rFonts w:ascii="Times New Roman" w:cs="Times New Roman" w:eastAsia="Times New Roman" w:hAnsi="Times New Roman"/>
          <w:sz w:val="20"/>
          <w:szCs w:val="20"/>
          <w:color w:val="auto"/>
        </w:rPr>
        <w:t>. Your title will be Chief Financial Officer. This is a full-time position, reporting to the Company’s Chief Executive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Officer. While you render services to the Company, you will not engage in any other employment, consulting or other business activity (whether full-time or part-time) that would create a conflict of interest with the Company. By signing this letter agreement, you confirm to the Company that you have no contractual commitments or other legal obligations that would prohibit you from performing your duties for the Company.</w:t>
      </w:r>
    </w:p>
    <w:p>
      <w:pPr>
        <w:spacing w:after="0" w:line="180" w:lineRule="exact"/>
        <w:rPr>
          <w:rFonts w:ascii="Times New Roman" w:cs="Times New Roman" w:eastAsia="Times New Roman" w:hAnsi="Times New Roman"/>
          <w:sz w:val="20"/>
          <w:szCs w:val="20"/>
          <w:color w:val="auto"/>
        </w:rPr>
      </w:pPr>
    </w:p>
    <w:p>
      <w:pPr>
        <w:jc w:val="both"/>
        <w:ind w:firstLine="570"/>
        <w:spacing w:after="0" w:line="244" w:lineRule="auto"/>
        <w:tabs>
          <w:tab w:leader="none" w:pos="1119" w:val="left"/>
        </w:tabs>
        <w:numPr>
          <w:ilvl w:val="0"/>
          <w:numId w:val="3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Cash Compensation</w:t>
      </w:r>
      <w:r>
        <w:rPr>
          <w:rFonts w:ascii="Times New Roman" w:cs="Times New Roman" w:eastAsia="Times New Roman" w:hAnsi="Times New Roman"/>
          <w:sz w:val="20"/>
          <w:szCs w:val="20"/>
          <w:color w:val="auto"/>
        </w:rPr>
        <w:t>. The Company will pay you a starting salary at the rate of $360,000 per year, payable in accordance with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Company’s standard payroll schedule. This salary will be subject to adjustment pursuant to the Company’s employee compensation policies in effect from time to time. In addition, you will be eligible to be considered for an incentive bonus for each fiscal year of the Company. The bonus (if any) will be awarded based on objective or subjective criteria established and approved by the Company’s Board of Directors (the “Board”). Your annual target bonus will be equal to 35% of your annual base salary. Any bonus for the fiscal year in which your employment begins will be prorated, based on the number of days you are employed by the Company during that fiscal year. Any bonus for a fiscal year will be paid within 2</w:t>
      </w:r>
      <w:r>
        <w:rPr>
          <w:rFonts w:ascii="Times New Roman" w:cs="Times New Roman" w:eastAsia="Times New Roman" w:hAnsi="Times New Roman"/>
          <w:sz w:val="16"/>
          <w:szCs w:val="16"/>
          <w:color w:val="auto"/>
        </w:rPr>
        <w:t>1</w:t>
      </w:r>
      <w:r>
        <w:rPr>
          <w:rFonts w:ascii="Times New Roman" w:cs="Times New Roman" w:eastAsia="Times New Roman" w:hAnsi="Times New Roman"/>
          <w:sz w:val="20"/>
          <w:szCs w:val="20"/>
          <w:color w:val="auto"/>
        </w:rPr>
        <w:t>⁄</w:t>
      </w:r>
      <w:r>
        <w:rPr>
          <w:rFonts w:ascii="Times New Roman" w:cs="Times New Roman" w:eastAsia="Times New Roman" w:hAnsi="Times New Roman"/>
          <w:sz w:val="16"/>
          <w:szCs w:val="16"/>
          <w:color w:val="auto"/>
        </w:rPr>
        <w:t>2</w:t>
      </w:r>
      <w:r>
        <w:rPr>
          <w:rFonts w:ascii="Times New Roman" w:cs="Times New Roman" w:eastAsia="Times New Roman" w:hAnsi="Times New Roman"/>
          <w:sz w:val="20"/>
          <w:szCs w:val="20"/>
          <w:color w:val="auto"/>
        </w:rPr>
        <w:t xml:space="preserve"> months after the close of that fiscal year, but only if you are still providing services to the Company at the time of payment. The determinations of the Board with respect to your bonus will be final and binding.</w:t>
      </w:r>
    </w:p>
    <w:p>
      <w:pPr>
        <w:spacing w:after="0" w:line="181" w:lineRule="exact"/>
        <w:rPr>
          <w:rFonts w:ascii="Times New Roman" w:cs="Times New Roman" w:eastAsia="Times New Roman" w:hAnsi="Times New Roman"/>
          <w:sz w:val="20"/>
          <w:szCs w:val="20"/>
          <w:color w:val="auto"/>
        </w:rPr>
      </w:pPr>
    </w:p>
    <w:p>
      <w:pPr>
        <w:jc w:val="both"/>
        <w:ind w:firstLine="570"/>
        <w:spacing w:after="0" w:line="250" w:lineRule="auto"/>
        <w:tabs>
          <w:tab w:leader="none" w:pos="1187" w:val="left"/>
        </w:tabs>
        <w:numPr>
          <w:ilvl w:val="0"/>
          <w:numId w:val="3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Signing Bonus</w:t>
      </w:r>
      <w:r>
        <w:rPr>
          <w:rFonts w:ascii="Times New Roman" w:cs="Times New Roman" w:eastAsia="Times New Roman" w:hAnsi="Times New Roman"/>
          <w:sz w:val="20"/>
          <w:szCs w:val="20"/>
          <w:color w:val="auto"/>
        </w:rPr>
        <w:t>. The Company will pay you a signing bonus in the amount of $40,000 within 30 days of your start date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“Signing Bonus”). If (i) you resign from your employment with the Company and such resignation does not constitute a Resignation for Good Reason or (ii) you are terminated by the Company for Cause, in either case prior to completing 12 months of continuous employment following your start date, you agree to repay 100% of the Signing Bonus within 30 days of your termination of employment.</w:t>
      </w:r>
    </w:p>
    <w:p>
      <w:pPr>
        <w:spacing w:after="0" w:line="175" w:lineRule="exact"/>
        <w:rPr>
          <w:rFonts w:ascii="Times New Roman" w:cs="Times New Roman" w:eastAsia="Times New Roman" w:hAnsi="Times New Roman"/>
          <w:sz w:val="20"/>
          <w:szCs w:val="20"/>
          <w:color w:val="auto"/>
        </w:rPr>
      </w:pPr>
    </w:p>
    <w:p>
      <w:pPr>
        <w:jc w:val="both"/>
        <w:ind w:right="20" w:firstLine="570"/>
        <w:spacing w:after="0" w:line="256" w:lineRule="auto"/>
        <w:tabs>
          <w:tab w:leader="none" w:pos="1268" w:val="left"/>
        </w:tabs>
        <w:numPr>
          <w:ilvl w:val="0"/>
          <w:numId w:val="3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Employee Benefits</w:t>
      </w:r>
      <w:r>
        <w:rPr>
          <w:rFonts w:ascii="Times New Roman" w:cs="Times New Roman" w:eastAsia="Times New Roman" w:hAnsi="Times New Roman"/>
          <w:sz w:val="20"/>
          <w:szCs w:val="20"/>
          <w:color w:val="auto"/>
        </w:rPr>
        <w:t>. As a regular employee of the Company, you will be eligible to participate in a number of Company-sponsored benefits. In addition, you will be entitled to paid vacation in accordance with the Company’s vacation policy, as in effect from time to time.</w:t>
      </w:r>
    </w:p>
    <w:p>
      <w:pPr>
        <w:spacing w:after="0" w:line="168" w:lineRule="exact"/>
        <w:rPr>
          <w:rFonts w:ascii="Times New Roman" w:cs="Times New Roman" w:eastAsia="Times New Roman" w:hAnsi="Times New Roman"/>
          <w:sz w:val="20"/>
          <w:szCs w:val="20"/>
          <w:color w:val="auto"/>
        </w:rPr>
      </w:pPr>
    </w:p>
    <w:p>
      <w:pPr>
        <w:jc w:val="both"/>
        <w:ind w:firstLine="570"/>
        <w:spacing w:after="0" w:line="256" w:lineRule="auto"/>
        <w:tabs>
          <w:tab w:leader="none" w:pos="1106" w:val="left"/>
        </w:tabs>
        <w:numPr>
          <w:ilvl w:val="0"/>
          <w:numId w:val="3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Stock Options</w:t>
      </w:r>
      <w:r>
        <w:rPr>
          <w:rFonts w:ascii="Times New Roman" w:cs="Times New Roman" w:eastAsia="Times New Roman" w:hAnsi="Times New Roman"/>
          <w:sz w:val="20"/>
          <w:szCs w:val="20"/>
          <w:color w:val="auto"/>
        </w:rPr>
        <w:t>. Subject to the approval of the Board or its Compensation Committee, you will be granted an option to purchase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1,041,077 shares of the Company’s Common Stock (the “Option”). The exercise price per share of the Option will be equal to the fair market value of the underlying Common Stock</w:t>
      </w:r>
    </w:p>
    <w:p>
      <w:pPr>
        <w:sectPr>
          <w:pgSz w:w="11900" w:h="16838" w:orient="portrait"/>
          <w:cols w:equalWidth="0" w:num="1">
            <w:col w:w="11240"/>
          </w:cols>
          <w:pgMar w:left="320" w:top="114" w:right="339" w:bottom="1440" w:gutter="0" w:footer="0" w:header="0"/>
        </w:sectPr>
      </w:pPr>
    </w:p>
    <w:bookmarkStart w:id="330" w:name="page331"/>
    <w:bookmarkEnd w:id="330"/>
    <w:p>
      <w:pPr>
        <w:spacing w:after="0"/>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Leo Greenstein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March 15, 2020</w:t>
      </w:r>
    </w:p>
    <w:p>
      <w:pPr>
        <w:spacing w:after="0"/>
        <w:rPr>
          <w:sz w:val="20"/>
          <w:szCs w:val="20"/>
          <w:color w:val="auto"/>
        </w:rPr>
      </w:pPr>
      <w:r>
        <w:rPr>
          <w:rFonts w:ascii="Times New Roman" w:cs="Times New Roman" w:eastAsia="Times New Roman" w:hAnsi="Times New Roman"/>
          <w:sz w:val="20"/>
          <w:szCs w:val="20"/>
          <w:color w:val="auto"/>
        </w:rPr>
        <w:t>Page 2</w:t>
      </w:r>
    </w:p>
    <w:p>
      <w:pPr>
        <w:spacing w:after="0" w:line="12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on the date of the grant. The Option will be subject to the terms and conditions applicable to options granted under the Company’s 2016 Stock Plan (the “Plan”), as described in the Plan and the applicable Stock Option Agreement. You will vest in 25% of the Option shares after 12 months of continuous service, and the balance will vest in equal monthly installments over the next 36 months of continuous service, as described in the applicable Stock Option Agreement.</w:t>
      </w:r>
    </w:p>
    <w:p>
      <w:pPr>
        <w:spacing w:after="0" w:line="180" w:lineRule="exact"/>
        <w:rPr>
          <w:sz w:val="20"/>
          <w:szCs w:val="20"/>
          <w:color w:val="auto"/>
        </w:rPr>
      </w:pPr>
    </w:p>
    <w:p>
      <w:pPr>
        <w:jc w:val="both"/>
        <w:ind w:right="20" w:firstLine="1123"/>
        <w:spacing w:after="0" w:line="254" w:lineRule="auto"/>
        <w:rPr>
          <w:sz w:val="20"/>
          <w:szCs w:val="20"/>
          <w:color w:val="auto"/>
        </w:rPr>
      </w:pPr>
      <w:r>
        <w:rPr>
          <w:rFonts w:ascii="Times New Roman" w:cs="Times New Roman" w:eastAsia="Times New Roman" w:hAnsi="Times New Roman"/>
          <w:sz w:val="20"/>
          <w:szCs w:val="20"/>
          <w:color w:val="auto"/>
        </w:rPr>
        <w:t>You will vest in 100% of your remaining unvested Option shares if (a) the Company is subject to a Change in Control before your service with the Company terminates and (b) you are subject to an Involuntary Termination within 12 months after that Change in Control.</w:t>
      </w:r>
    </w:p>
    <w:p>
      <w:pPr>
        <w:spacing w:after="0" w:line="170" w:lineRule="exact"/>
        <w:rPr>
          <w:sz w:val="20"/>
          <w:szCs w:val="20"/>
          <w:color w:val="auto"/>
        </w:rPr>
      </w:pPr>
    </w:p>
    <w:p>
      <w:pPr>
        <w:jc w:val="both"/>
        <w:ind w:right="20" w:firstLine="570"/>
        <w:spacing w:after="0" w:line="256" w:lineRule="auto"/>
        <w:tabs>
          <w:tab w:leader="none" w:pos="1119" w:val="left"/>
        </w:tabs>
        <w:numPr>
          <w:ilvl w:val="1"/>
          <w:numId w:val="3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Severance Benefits Outside of a Change in Control</w:t>
      </w:r>
      <w:r>
        <w:rPr>
          <w:rFonts w:ascii="Times New Roman" w:cs="Times New Roman" w:eastAsia="Times New Roman" w:hAnsi="Times New Roman"/>
          <w:sz w:val="20"/>
          <w:szCs w:val="20"/>
          <w:color w:val="auto"/>
        </w:rPr>
        <w:t>. In the event you are subject to an Involuntary Termination other than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connection with or within 12 months after a Change in Control, provided you satisfy the conditions described in Section 6(c) below, you will be entitled to the following benefits:</w:t>
      </w:r>
    </w:p>
    <w:p>
      <w:pPr>
        <w:spacing w:after="0" w:line="168" w:lineRule="exact"/>
        <w:rPr>
          <w:rFonts w:ascii="Times New Roman" w:cs="Times New Roman" w:eastAsia="Times New Roman" w:hAnsi="Times New Roman"/>
          <w:sz w:val="20"/>
          <w:szCs w:val="20"/>
          <w:color w:val="auto"/>
        </w:rPr>
      </w:pPr>
    </w:p>
    <w:p>
      <w:pPr>
        <w:jc w:val="both"/>
        <w:ind w:firstLine="1131"/>
        <w:spacing w:after="0" w:line="247" w:lineRule="auto"/>
        <w:tabs>
          <w:tab w:leader="none" w:pos="1846" w:val="left"/>
        </w:tabs>
        <w:numPr>
          <w:ilvl w:val="2"/>
          <w:numId w:val="3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Salary Continuation</w:t>
      </w:r>
      <w:r>
        <w:rPr>
          <w:rFonts w:ascii="Times New Roman" w:cs="Times New Roman" w:eastAsia="Times New Roman" w:hAnsi="Times New Roman"/>
          <w:sz w:val="20"/>
          <w:szCs w:val="20"/>
          <w:color w:val="auto"/>
        </w:rPr>
        <w:t>. The Company will continue to pay your base salary for a period of six (6) months after your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Separation. Your base salary will be paid at the rate in effect at the time of your Separation and in accordance with the Company’s standard payroll procedures. The salary continuation payments will commence within 60 days after your Separation and, once they commence, will include any unpaid amounts accrued from the date of your Separation. However, if the 60-day period described in the preceding sentence spans two calendar years, then the payments will in any event begin in the second calendar year.</w:t>
      </w:r>
    </w:p>
    <w:p>
      <w:pPr>
        <w:spacing w:after="0" w:line="180" w:lineRule="exact"/>
        <w:rPr>
          <w:rFonts w:ascii="Times New Roman" w:cs="Times New Roman" w:eastAsia="Times New Roman" w:hAnsi="Times New Roman"/>
          <w:sz w:val="20"/>
          <w:szCs w:val="20"/>
          <w:color w:val="auto"/>
        </w:rPr>
      </w:pPr>
    </w:p>
    <w:p>
      <w:pPr>
        <w:jc w:val="both"/>
        <w:ind w:firstLine="1131"/>
        <w:spacing w:after="0" w:line="246" w:lineRule="auto"/>
        <w:tabs>
          <w:tab w:leader="none" w:pos="1911" w:val="left"/>
        </w:tabs>
        <w:numPr>
          <w:ilvl w:val="2"/>
          <w:numId w:val="3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COBRA</w:t>
      </w:r>
      <w:r>
        <w:rPr>
          <w:rFonts w:ascii="Times New Roman" w:cs="Times New Roman" w:eastAsia="Times New Roman" w:hAnsi="Times New Roman"/>
          <w:sz w:val="20"/>
          <w:szCs w:val="20"/>
          <w:color w:val="auto"/>
        </w:rPr>
        <w:t>. Provided you elect to continue your health insurance coverage under the Consolidated Omnibus Budget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Reconciliation Act (“COBRA”) following your Separation, the Company will pay or reimburse you for your monthly premium under COBRA until the earliest of (i) the close of the six (6)-month period following your Separation, (ii) the expiration of your continuation coverage under COBRA or (iii) the date when you become eligible for substantially equivalent health insurance coverage in connection with new employment or self-employment (the “COBRA Benefit”). If necessary to avoid adverse tax consequences to you or the Company, the Company, in its sole discretion, reserves the right to treat the COBRA Benefit as taxable income.</w:t>
      </w:r>
    </w:p>
    <w:p>
      <w:pPr>
        <w:spacing w:after="0" w:line="178" w:lineRule="exact"/>
        <w:rPr>
          <w:rFonts w:ascii="Times New Roman" w:cs="Times New Roman" w:eastAsia="Times New Roman" w:hAnsi="Times New Roman"/>
          <w:sz w:val="20"/>
          <w:szCs w:val="20"/>
          <w:color w:val="auto"/>
        </w:rPr>
      </w:pPr>
    </w:p>
    <w:p>
      <w:pPr>
        <w:ind w:left="1920" w:hanging="789"/>
        <w:spacing w:after="0"/>
        <w:tabs>
          <w:tab w:leader="none" w:pos="1920" w:val="left"/>
        </w:tabs>
        <w:numPr>
          <w:ilvl w:val="2"/>
          <w:numId w:val="3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Conditions</w:t>
      </w:r>
      <w:r>
        <w:rPr>
          <w:rFonts w:ascii="Times New Roman" w:cs="Times New Roman" w:eastAsia="Times New Roman" w:hAnsi="Times New Roman"/>
          <w:sz w:val="20"/>
          <w:szCs w:val="20"/>
          <w:color w:val="auto"/>
        </w:rPr>
        <w:t>. This Section 6 will not apply unless you (i) have returned all Company property in your possession,</w:t>
      </w:r>
    </w:p>
    <w:p>
      <w:pPr>
        <w:spacing w:after="0" w:line="25" w:lineRule="exact"/>
        <w:rPr>
          <w:rFonts w:ascii="Times New Roman" w:cs="Times New Roman" w:eastAsia="Times New Roman" w:hAnsi="Times New Roman"/>
          <w:sz w:val="20"/>
          <w:szCs w:val="20"/>
          <w:color w:val="auto"/>
        </w:rPr>
      </w:pPr>
    </w:p>
    <w:p>
      <w:pPr>
        <w:jc w:val="both"/>
        <w:ind w:firstLine="8"/>
        <w:spacing w:after="0"/>
        <w:tabs>
          <w:tab w:leader="none" w:pos="301" w:val="left"/>
        </w:tabs>
        <w:numPr>
          <w:ilvl w:val="0"/>
          <w:numId w:val="3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have resigned as a member of the Boards of Directors of the Company and all of its subsidiaries, to the extent applicable, and (iii) have executed a general release of all claims that you may have against the Company or persons affiliated with the Company. The release must be in the form prescribed by the Company, without alterations. You must execute and return the release on or before the date specified by the Company in the prescribed form (the “Release Deadline”). The Release Deadline will in no event be later than 50 days after your Separation. If you fail to return the release on or before the Release Deadline, or if you revoke the release, then you will not be entitled to the benefits described in this Section 6.</w:t>
      </w:r>
    </w:p>
    <w:p>
      <w:pPr>
        <w:spacing w:after="0" w:line="187" w:lineRule="exact"/>
        <w:rPr>
          <w:rFonts w:ascii="Times New Roman" w:cs="Times New Roman" w:eastAsia="Times New Roman" w:hAnsi="Times New Roman"/>
          <w:sz w:val="20"/>
          <w:szCs w:val="20"/>
          <w:color w:val="auto"/>
        </w:rPr>
      </w:pPr>
    </w:p>
    <w:p>
      <w:pPr>
        <w:jc w:val="both"/>
        <w:ind w:firstLine="570"/>
        <w:spacing w:after="0" w:line="246" w:lineRule="auto"/>
        <w:tabs>
          <w:tab w:leader="none" w:pos="1146" w:val="left"/>
        </w:tabs>
        <w:numPr>
          <w:ilvl w:val="1"/>
          <w:numId w:val="3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Severance Benefits in Connection With a Change in Control</w:t>
      </w:r>
      <w:r>
        <w:rPr>
          <w:rFonts w:ascii="Times New Roman" w:cs="Times New Roman" w:eastAsia="Times New Roman" w:hAnsi="Times New Roman"/>
          <w:sz w:val="20"/>
          <w:szCs w:val="20"/>
          <w:color w:val="auto"/>
        </w:rPr>
        <w:t>. In the event you are subject to an Involuntary Termination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connection with or within 12 months after a Change in Control, provided you satisfy the conditions described in Section 6(c) above, you will be entitled to the benefits described in Sections 6(a) and 6(b) above (provided that the time periods applicable to each of the severance and COBRA benefits will be increased from six months to 18 months) plus the Bonus Payment. The Bonus Payment will be made in a lump sum within 60 days after your Separation; however, if the 60-day period described in the preceding sentence spans two calendar years, then the Bonus Payment will in any event be made in the second calendar</w:t>
      </w:r>
    </w:p>
    <w:p>
      <w:pPr>
        <w:sectPr>
          <w:pgSz w:w="11900" w:h="16838" w:orient="portrait"/>
          <w:cols w:equalWidth="0" w:num="1">
            <w:col w:w="11240"/>
          </w:cols>
          <w:pgMar w:left="320" w:top="265" w:right="339" w:bottom="1440" w:gutter="0" w:footer="0" w:header="0"/>
        </w:sectPr>
      </w:pPr>
    </w:p>
    <w:bookmarkStart w:id="331" w:name="page332"/>
    <w:bookmarkEnd w:id="331"/>
    <w:p>
      <w:pPr>
        <w:spacing w:after="0"/>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Leo Greenstein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March 15, 2020</w:t>
      </w:r>
    </w:p>
    <w:p>
      <w:pPr>
        <w:spacing w:after="0"/>
        <w:rPr>
          <w:sz w:val="20"/>
          <w:szCs w:val="20"/>
          <w:color w:val="auto"/>
        </w:rPr>
      </w:pPr>
      <w:r>
        <w:rPr>
          <w:rFonts w:ascii="Times New Roman" w:cs="Times New Roman" w:eastAsia="Times New Roman" w:hAnsi="Times New Roman"/>
          <w:sz w:val="20"/>
          <w:szCs w:val="20"/>
          <w:color w:val="auto"/>
        </w:rPr>
        <w:t>Page 3</w:t>
      </w:r>
    </w:p>
    <w:p>
      <w:pPr>
        <w:spacing w:after="0" w:line="12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year. For the sake of clarity, if you become entitled to the benefits in the preceding sentence you will not also be entitled to additional the benefits provided for in Sections 6(a) and (b) above. In addition, you will be entitled to the vesting acceleration benefits described in Section 5 above.</w:t>
      </w:r>
    </w:p>
    <w:p>
      <w:pPr>
        <w:spacing w:after="0" w:line="170" w:lineRule="exact"/>
        <w:rPr>
          <w:sz w:val="20"/>
          <w:szCs w:val="20"/>
          <w:color w:val="auto"/>
        </w:rPr>
      </w:pPr>
    </w:p>
    <w:p>
      <w:pPr>
        <w:jc w:val="both"/>
        <w:ind w:firstLine="570"/>
        <w:spacing w:after="0" w:line="256" w:lineRule="auto"/>
        <w:tabs>
          <w:tab w:leader="none" w:pos="1173" w:val="left"/>
        </w:tabs>
        <w:numPr>
          <w:ilvl w:val="0"/>
          <w:numId w:val="3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Proprietary Information and Inventions Agreement</w:t>
      </w:r>
      <w:r>
        <w:rPr>
          <w:rFonts w:ascii="Times New Roman" w:cs="Times New Roman" w:eastAsia="Times New Roman" w:hAnsi="Times New Roman"/>
          <w:sz w:val="20"/>
          <w:szCs w:val="20"/>
          <w:color w:val="auto"/>
        </w:rPr>
        <w:t>. Like all Company employees, you will be required, as a condition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your employment with the Company, to sign the Company’s standard Proprietary Information and Inventions Agreement, a copy of which is attached hereto as </w:t>
      </w:r>
      <w:r>
        <w:rPr>
          <w:rFonts w:ascii="Times New Roman" w:cs="Times New Roman" w:eastAsia="Times New Roman" w:hAnsi="Times New Roman"/>
          <w:sz w:val="20"/>
          <w:szCs w:val="20"/>
          <w:b w:val="1"/>
          <w:bCs w:val="1"/>
          <w:color w:val="auto"/>
        </w:rPr>
        <w:t>Exhibit A</w:t>
      </w:r>
      <w:r>
        <w:rPr>
          <w:rFonts w:ascii="Times New Roman" w:cs="Times New Roman" w:eastAsia="Times New Roman" w:hAnsi="Times New Roman"/>
          <w:sz w:val="20"/>
          <w:szCs w:val="20"/>
          <w:color w:val="auto"/>
        </w:rPr>
        <w:t>.</w:t>
      </w:r>
    </w:p>
    <w:p>
      <w:pPr>
        <w:spacing w:after="0" w:line="168" w:lineRule="exact"/>
        <w:rPr>
          <w:rFonts w:ascii="Times New Roman" w:cs="Times New Roman" w:eastAsia="Times New Roman" w:hAnsi="Times New Roman"/>
          <w:sz w:val="20"/>
          <w:szCs w:val="20"/>
          <w:color w:val="auto"/>
        </w:rPr>
      </w:pPr>
    </w:p>
    <w:p>
      <w:pPr>
        <w:jc w:val="both"/>
        <w:ind w:firstLine="570"/>
        <w:spacing w:after="0" w:line="246" w:lineRule="auto"/>
        <w:tabs>
          <w:tab w:leader="none" w:pos="1281" w:val="left"/>
        </w:tabs>
        <w:numPr>
          <w:ilvl w:val="0"/>
          <w:numId w:val="3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Employment Relationship</w:t>
      </w:r>
      <w:r>
        <w:rPr>
          <w:rFonts w:ascii="Times New Roman" w:cs="Times New Roman" w:eastAsia="Times New Roman" w:hAnsi="Times New Roman"/>
          <w:sz w:val="20"/>
          <w:szCs w:val="20"/>
          <w:color w:val="auto"/>
        </w:rPr>
        <w:t>. Employment with the Company is for no specific period of time. Your employment with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Company will be “at will,” meaning that either you or the Company may terminate your employment at any time and for any reason, with or without cause. Any contrary representations that may have been made to you are superseded by this letter agreement. This is the full and complete agreement between you and the Company on this term. Although your job duties, title, compensation and benefits, as well as the Company’s personnel policies and procedures, may change from time to time, the “at will” nature of your employment may only be changed in an express written agreement signed by you and a duly authorized officer of the Company (other than you).</w:t>
      </w:r>
    </w:p>
    <w:p>
      <w:pPr>
        <w:spacing w:after="0" w:line="178" w:lineRule="exact"/>
        <w:rPr>
          <w:rFonts w:ascii="Times New Roman" w:cs="Times New Roman" w:eastAsia="Times New Roman" w:hAnsi="Times New Roman"/>
          <w:sz w:val="20"/>
          <w:szCs w:val="20"/>
          <w:color w:val="auto"/>
        </w:rPr>
      </w:pPr>
    </w:p>
    <w:p>
      <w:pPr>
        <w:ind w:left="1220" w:hanging="650"/>
        <w:spacing w:after="0"/>
        <w:tabs>
          <w:tab w:leader="none" w:pos="1220" w:val="left"/>
        </w:tabs>
        <w:numPr>
          <w:ilvl w:val="0"/>
          <w:numId w:val="3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Tax Matters</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ind w:firstLine="1131"/>
        <w:spacing w:after="0" w:line="273" w:lineRule="auto"/>
        <w:tabs>
          <w:tab w:leader="none" w:pos="1995" w:val="left"/>
        </w:tabs>
        <w:numPr>
          <w:ilvl w:val="1"/>
          <w:numId w:val="3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Withholding</w:t>
      </w:r>
      <w:r>
        <w:rPr>
          <w:rFonts w:ascii="Times New Roman" w:cs="Times New Roman" w:eastAsia="Times New Roman" w:hAnsi="Times New Roman"/>
          <w:sz w:val="20"/>
          <w:szCs w:val="20"/>
          <w:color w:val="auto"/>
        </w:rPr>
        <w:t>. All forms of compensation referred to in this letter agreement are subject to reduction to reflect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applicable withholding and payroll taxes and other deductions required by law.</w:t>
      </w:r>
    </w:p>
    <w:p>
      <w:pPr>
        <w:spacing w:after="0" w:line="151" w:lineRule="exact"/>
        <w:rPr>
          <w:rFonts w:ascii="Times New Roman" w:cs="Times New Roman" w:eastAsia="Times New Roman" w:hAnsi="Times New Roman"/>
          <w:sz w:val="20"/>
          <w:szCs w:val="20"/>
          <w:color w:val="auto"/>
        </w:rPr>
      </w:pPr>
    </w:p>
    <w:p>
      <w:pPr>
        <w:jc w:val="both"/>
        <w:ind w:firstLine="1131"/>
        <w:spacing w:after="0" w:line="243" w:lineRule="auto"/>
        <w:tabs>
          <w:tab w:leader="none" w:pos="1884" w:val="left"/>
        </w:tabs>
        <w:numPr>
          <w:ilvl w:val="1"/>
          <w:numId w:val="3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Section 409A</w:t>
      </w:r>
      <w:r>
        <w:rPr>
          <w:rFonts w:ascii="Times New Roman" w:cs="Times New Roman" w:eastAsia="Times New Roman" w:hAnsi="Times New Roman"/>
          <w:sz w:val="20"/>
          <w:szCs w:val="20"/>
          <w:color w:val="auto"/>
        </w:rPr>
        <w:t>. The payments and benefits provided for under this letter agreement are intended to be exempt from</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Section 409A of the Internal Revenue Code of 1986, as amended (the “Code”), and any ambiguity arising under this letter agreement shall be interpreted in a manner consistent with that intent. Nonetheless, to the extent any payment or benefit provided under this letter agreement is deemed to be nonqualified deferred compensation that is subject to Section 409A of the Code, and if the Company determines that you are a “specified employee” under Section 409A(a)(2)(B)(i) of the Code at the time of your Separation, then any such payment(s), to the extent they are subject to Section 409A of the Code, will be made or commence, as applicable, on the first business day following (i) expiration of the six-month period measured from your Separation or (ii) the date of your death, with any payment installments that otherwise would have been paid prior to such date paid in a lump sum at that time. In addition, for purposes of Section 409A of the Code, each salary continuation payment under Section 6(a) is hereby designated as a separate payment.</w:t>
      </w:r>
    </w:p>
    <w:p>
      <w:pPr>
        <w:spacing w:after="0" w:line="185" w:lineRule="exact"/>
        <w:rPr>
          <w:rFonts w:ascii="Times New Roman" w:cs="Times New Roman" w:eastAsia="Times New Roman" w:hAnsi="Times New Roman"/>
          <w:sz w:val="20"/>
          <w:szCs w:val="20"/>
          <w:color w:val="auto"/>
        </w:rPr>
      </w:pPr>
    </w:p>
    <w:p>
      <w:pPr>
        <w:jc w:val="both"/>
        <w:ind w:firstLine="1131"/>
        <w:spacing w:after="0" w:line="256" w:lineRule="auto"/>
        <w:tabs>
          <w:tab w:leader="none" w:pos="1779" w:val="left"/>
        </w:tabs>
        <w:numPr>
          <w:ilvl w:val="1"/>
          <w:numId w:val="3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Tax Advice</w:t>
      </w:r>
      <w:r>
        <w:rPr>
          <w:rFonts w:ascii="Times New Roman" w:cs="Times New Roman" w:eastAsia="Times New Roman" w:hAnsi="Times New Roman"/>
          <w:sz w:val="20"/>
          <w:szCs w:val="20"/>
          <w:color w:val="auto"/>
        </w:rPr>
        <w:t>. You are encouraged to obtain your own tax advice regarding your compensation from the Company. You</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agree that the Company does not have a duty to design its compensation policies in a manner that minimizes your tax liabilities, and you will not make any claim against the Company or its Board of Directors related to tax liabilities arising from your compensation.</w:t>
      </w:r>
    </w:p>
    <w:p>
      <w:pPr>
        <w:spacing w:after="0" w:line="168" w:lineRule="exact"/>
        <w:rPr>
          <w:rFonts w:ascii="Times New Roman" w:cs="Times New Roman" w:eastAsia="Times New Roman" w:hAnsi="Times New Roman"/>
          <w:sz w:val="20"/>
          <w:szCs w:val="20"/>
          <w:color w:val="auto"/>
        </w:rPr>
      </w:pPr>
    </w:p>
    <w:p>
      <w:pPr>
        <w:jc w:val="both"/>
        <w:ind w:firstLine="570"/>
        <w:spacing w:after="0" w:line="250" w:lineRule="auto"/>
        <w:tabs>
          <w:tab w:leader="none" w:pos="1508" w:val="left"/>
        </w:tabs>
        <w:numPr>
          <w:ilvl w:val="0"/>
          <w:numId w:val="3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Interpretation and Amendment</w:t>
      </w:r>
      <w:r>
        <w:rPr>
          <w:rFonts w:ascii="Times New Roman" w:cs="Times New Roman" w:eastAsia="Times New Roman" w:hAnsi="Times New Roman"/>
          <w:sz w:val="20"/>
          <w:szCs w:val="20"/>
          <w:color w:val="auto"/>
        </w:rPr>
        <w:t>. This letter agreement and Exhibit A supersede and replace any prior agreements,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representations or understandings (whether written, oral, implied or otherwise) between you and the Company and constitute the complete agreement between you and the Company regarding the subject matter set forth herein. This letter agreement may not be amended or modified, except by an express written agreement signed by both you and a duly authorized officer of the Company.</w:t>
      </w:r>
    </w:p>
    <w:p>
      <w:pPr>
        <w:sectPr>
          <w:pgSz w:w="11900" w:h="16838" w:orient="portrait"/>
          <w:cols w:equalWidth="0" w:num="1">
            <w:col w:w="11240"/>
          </w:cols>
          <w:pgMar w:left="320" w:top="265" w:right="339" w:bottom="1440" w:gutter="0" w:footer="0" w:header="0"/>
        </w:sectPr>
      </w:pPr>
    </w:p>
    <w:bookmarkStart w:id="332" w:name="page333"/>
    <w:bookmarkEnd w:id="332"/>
    <w:p>
      <w:pPr>
        <w:spacing w:after="0"/>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Leo Greenstein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March 15, 2020</w:t>
      </w:r>
    </w:p>
    <w:p>
      <w:pPr>
        <w:spacing w:after="0"/>
        <w:rPr>
          <w:sz w:val="20"/>
          <w:szCs w:val="20"/>
          <w:color w:val="auto"/>
        </w:rPr>
      </w:pPr>
      <w:r>
        <w:rPr>
          <w:rFonts w:ascii="Times New Roman" w:cs="Times New Roman" w:eastAsia="Times New Roman" w:hAnsi="Times New Roman"/>
          <w:sz w:val="20"/>
          <w:szCs w:val="20"/>
          <w:color w:val="auto"/>
        </w:rPr>
        <w:t>Page 4</w:t>
      </w:r>
    </w:p>
    <w:p>
      <w:pPr>
        <w:spacing w:after="0" w:line="122" w:lineRule="exact"/>
        <w:rPr>
          <w:sz w:val="20"/>
          <w:szCs w:val="20"/>
          <w:color w:val="auto"/>
        </w:rPr>
      </w:pPr>
    </w:p>
    <w:p>
      <w:pPr>
        <w:ind w:left="560"/>
        <w:spacing w:after="0"/>
        <w:tabs>
          <w:tab w:leader="none" w:pos="1000" w:val="left"/>
        </w:tabs>
        <w:rPr>
          <w:sz w:val="20"/>
          <w:szCs w:val="20"/>
          <w:color w:val="auto"/>
        </w:rPr>
      </w:pPr>
      <w:r>
        <w:rPr>
          <w:rFonts w:ascii="Times New Roman" w:cs="Times New Roman" w:eastAsia="Times New Roman" w:hAnsi="Times New Roman"/>
          <w:sz w:val="20"/>
          <w:szCs w:val="20"/>
          <w:color w:val="auto"/>
        </w:rPr>
        <w:t>12.</w:t>
      </w:r>
      <w:r>
        <w:rPr>
          <w:sz w:val="20"/>
          <w:szCs w:val="20"/>
          <w:color w:val="auto"/>
        </w:rPr>
        <w:tab/>
      </w:r>
      <w:r>
        <w:rPr>
          <w:rFonts w:ascii="Times New Roman" w:cs="Times New Roman" w:eastAsia="Times New Roman" w:hAnsi="Times New Roman"/>
          <w:sz w:val="19"/>
          <w:szCs w:val="19"/>
          <w:b w:val="1"/>
          <w:bCs w:val="1"/>
          <w:color w:val="auto"/>
        </w:rPr>
        <w:t>Definitions</w:t>
      </w:r>
      <w:r>
        <w:rPr>
          <w:rFonts w:ascii="Times New Roman" w:cs="Times New Roman" w:eastAsia="Times New Roman" w:hAnsi="Times New Roman"/>
          <w:sz w:val="19"/>
          <w:szCs w:val="19"/>
          <w:color w:val="auto"/>
        </w:rPr>
        <w:t>. The following terms have the meaning set forth below wherever they are used in this letter agreement:</w:t>
      </w:r>
    </w:p>
    <w:p>
      <w:pPr>
        <w:spacing w:after="0" w:line="216" w:lineRule="exact"/>
        <w:rPr>
          <w:sz w:val="20"/>
          <w:szCs w:val="20"/>
          <w:color w:val="auto"/>
        </w:rPr>
      </w:pPr>
    </w:p>
    <w:p>
      <w:pPr>
        <w:jc w:val="both"/>
        <w:ind w:firstLine="1123"/>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Bonus Payment</w:t>
      </w:r>
      <w:r>
        <w:rPr>
          <w:rFonts w:ascii="Times New Roman" w:cs="Times New Roman" w:eastAsia="Times New Roman" w:hAnsi="Times New Roman"/>
          <w:sz w:val="20"/>
          <w:szCs w:val="20"/>
          <w:color w:val="auto"/>
        </w:rPr>
        <w:t>” means the sum of (a) a pro-rated portion of your target bonus amount for the year in which your Separation occurs and (b) 150% of your target bonus amount for the year in which your Separation occurs.</w:t>
      </w:r>
    </w:p>
    <w:p>
      <w:pPr>
        <w:spacing w:after="0" w:line="152" w:lineRule="exact"/>
        <w:rPr>
          <w:sz w:val="20"/>
          <w:szCs w:val="20"/>
          <w:color w:val="auto"/>
        </w:rPr>
      </w:pPr>
    </w:p>
    <w:p>
      <w:pPr>
        <w:jc w:val="both"/>
        <w:ind w:firstLine="1123"/>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Cause</w:t>
      </w:r>
      <w:r>
        <w:rPr>
          <w:rFonts w:ascii="Times New Roman" w:cs="Times New Roman" w:eastAsia="Times New Roman" w:hAnsi="Times New Roman"/>
          <w:sz w:val="20"/>
          <w:szCs w:val="20"/>
          <w:color w:val="auto"/>
        </w:rPr>
        <w:t>” means (a) your unauthorized use or disclosure of the Company’s confidential information or trade secrets, which use or disclosure causes material harm to the Company, (b) your material breach of any agreement between you and the Company, (c) your material failure to comply with the Company’s written policies or rules, (d) your conviction of, or your plea of “guilty” or “no contest” to, a felony under the laws of the United States or any State, (e) your gross negligence or willful misconduct, (f) your continuing failure to perform assigned duties after receiving written notification of the failure from the Board or (g) your failure to cooperate in good faith with a governmental or internal investigation of the Company or its directors, officers or employees, if the Company has requested your cooperation.</w:t>
      </w:r>
    </w:p>
    <w:p>
      <w:pPr>
        <w:spacing w:after="0" w:line="17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Change in Control</w:t>
      </w:r>
      <w:r>
        <w:rPr>
          <w:rFonts w:ascii="Times New Roman" w:cs="Times New Roman" w:eastAsia="Times New Roman" w:hAnsi="Times New Roman"/>
          <w:sz w:val="19"/>
          <w:szCs w:val="19"/>
          <w:color w:val="auto"/>
        </w:rPr>
        <w:t>” means (a) the consummation of a merger or consolidation of the Company with or into another entity or</w:t>
      </w:r>
    </w:p>
    <w:p>
      <w:pPr>
        <w:spacing w:after="0" w:line="37" w:lineRule="exact"/>
        <w:rPr>
          <w:sz w:val="20"/>
          <w:szCs w:val="20"/>
          <w:color w:val="auto"/>
        </w:rPr>
      </w:pPr>
    </w:p>
    <w:p>
      <w:pPr>
        <w:jc w:val="both"/>
        <w:ind w:firstLine="8"/>
        <w:spacing w:after="0" w:line="241" w:lineRule="auto"/>
        <w:tabs>
          <w:tab w:leader="none" w:pos="299" w:val="left"/>
        </w:tabs>
        <w:numPr>
          <w:ilvl w:val="0"/>
          <w:numId w:val="3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dissolution, liquidation or winding up of the Company. The foregoing notwithstanding, a merger or consolidation of the Company does not constitute a “Change in Control” if immediately after the merger or consolidation a majority of the voting power of the capital stock of the continuing or surviving entity, or any direct or indirect parent corporation of the continuing or surviving entity, will be owned by the persons who were the Company’s stockholders immediately prior to the merger or consolidation in substantially the same proportions as their ownership of the voting power of the Company’s capital stock immediately prior to the merger or consolidation.</w:t>
      </w:r>
    </w:p>
    <w:p>
      <w:pPr>
        <w:spacing w:after="0" w:line="18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Involuntary Termination</w:t>
      </w:r>
      <w:r>
        <w:rPr>
          <w:rFonts w:ascii="Times New Roman" w:cs="Times New Roman" w:eastAsia="Times New Roman" w:hAnsi="Times New Roman"/>
          <w:sz w:val="20"/>
          <w:szCs w:val="20"/>
          <w:color w:val="auto"/>
        </w:rPr>
        <w:t>” means either (a) your Termination Without Cause or (b) your Resignation for Good Reason.</w:t>
      </w:r>
    </w:p>
    <w:p>
      <w:pPr>
        <w:spacing w:after="0" w:line="216" w:lineRule="exact"/>
        <w:rPr>
          <w:sz w:val="20"/>
          <w:szCs w:val="20"/>
          <w:color w:val="auto"/>
        </w:rPr>
      </w:pPr>
    </w:p>
    <w:p>
      <w:pPr>
        <w:ind w:firstLine="1123"/>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Resignation for Good Reason</w:t>
      </w:r>
      <w:r>
        <w:rPr>
          <w:rFonts w:ascii="Times New Roman" w:cs="Times New Roman" w:eastAsia="Times New Roman" w:hAnsi="Times New Roman"/>
          <w:sz w:val="20"/>
          <w:szCs w:val="20"/>
          <w:color w:val="auto"/>
        </w:rPr>
        <w:t>” means a Separation as a result of your resignation within 12 months after one of the following conditions has come into existence without your consent:</w:t>
      </w:r>
    </w:p>
    <w:p>
      <w:pPr>
        <w:spacing w:after="0" w:line="48" w:lineRule="exact"/>
        <w:rPr>
          <w:sz w:val="20"/>
          <w:szCs w:val="20"/>
          <w:color w:val="auto"/>
        </w:rPr>
      </w:pPr>
    </w:p>
    <w:p>
      <w:pPr>
        <w:ind w:left="2240" w:hanging="604"/>
        <w:spacing w:after="0"/>
        <w:tabs>
          <w:tab w:leader="none" w:pos="2240" w:val="left"/>
        </w:tabs>
        <w:numPr>
          <w:ilvl w:val="0"/>
          <w:numId w:val="3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material diminution of your base salary;</w:t>
      </w:r>
    </w:p>
    <w:p>
      <w:pPr>
        <w:spacing w:after="0" w:line="107" w:lineRule="exact"/>
        <w:rPr>
          <w:rFonts w:ascii="Times New Roman" w:cs="Times New Roman" w:eastAsia="Times New Roman" w:hAnsi="Times New Roman"/>
          <w:sz w:val="20"/>
          <w:szCs w:val="20"/>
          <w:color w:val="auto"/>
        </w:rPr>
      </w:pPr>
    </w:p>
    <w:p>
      <w:pPr>
        <w:ind w:left="2260" w:hanging="624"/>
        <w:spacing w:after="0"/>
        <w:tabs>
          <w:tab w:leader="none" w:pos="2260" w:val="left"/>
        </w:tabs>
        <w:numPr>
          <w:ilvl w:val="0"/>
          <w:numId w:val="3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material diminution of your authority, duties or responsibilities; or</w:t>
      </w:r>
    </w:p>
    <w:p>
      <w:pPr>
        <w:spacing w:after="0" w:line="107" w:lineRule="exact"/>
        <w:rPr>
          <w:rFonts w:ascii="Times New Roman" w:cs="Times New Roman" w:eastAsia="Times New Roman" w:hAnsi="Times New Roman"/>
          <w:sz w:val="20"/>
          <w:szCs w:val="20"/>
          <w:color w:val="auto"/>
        </w:rPr>
      </w:pPr>
    </w:p>
    <w:p>
      <w:pPr>
        <w:ind w:left="2240" w:hanging="604"/>
        <w:spacing w:after="0"/>
        <w:tabs>
          <w:tab w:leader="none" w:pos="2240" w:val="left"/>
        </w:tabs>
        <w:numPr>
          <w:ilvl w:val="0"/>
          <w:numId w:val="3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material change in the geographic location at which you must perform your services for the Company.</w:t>
      </w:r>
    </w:p>
    <w:p>
      <w:pPr>
        <w:spacing w:after="0" w:line="216" w:lineRule="exact"/>
        <w:rPr>
          <w:sz w:val="20"/>
          <w:szCs w:val="20"/>
          <w:color w:val="auto"/>
        </w:rPr>
      </w:pPr>
    </w:p>
    <w:p>
      <w:pPr>
        <w:jc w:val="both"/>
        <w:ind w:firstLine="1123"/>
        <w:spacing w:after="0" w:line="254" w:lineRule="auto"/>
        <w:rPr>
          <w:sz w:val="20"/>
          <w:szCs w:val="20"/>
          <w:color w:val="auto"/>
        </w:rPr>
      </w:pPr>
      <w:r>
        <w:rPr>
          <w:rFonts w:ascii="Times New Roman" w:cs="Times New Roman" w:eastAsia="Times New Roman" w:hAnsi="Times New Roman"/>
          <w:sz w:val="20"/>
          <w:szCs w:val="20"/>
          <w:color w:val="auto"/>
        </w:rPr>
        <w:t>A Resignation for Good Reason will not be deemed to have occurred unless you give the Company written notice of the condition within 90 days after the condition comes into existence and the Company fails to remedy the condition within 30 days after receiving your written notice.</w:t>
      </w:r>
    </w:p>
    <w:p>
      <w:pPr>
        <w:spacing w:after="0" w:line="170"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Separation</w:t>
      </w:r>
      <w:r>
        <w:rPr>
          <w:rFonts w:ascii="Times New Roman" w:cs="Times New Roman" w:eastAsia="Times New Roman" w:hAnsi="Times New Roman"/>
          <w:sz w:val="20"/>
          <w:szCs w:val="20"/>
          <w:color w:val="auto"/>
        </w:rPr>
        <w:t>” means a “separation from service,” as defined in the regulations under Section 409A of the Code.</w:t>
      </w:r>
    </w:p>
    <w:p>
      <w:pPr>
        <w:sectPr>
          <w:pgSz w:w="11900" w:h="16838" w:orient="portrait"/>
          <w:cols w:equalWidth="0" w:num="1">
            <w:col w:w="11240"/>
          </w:cols>
          <w:pgMar w:left="320" w:top="265" w:right="339" w:bottom="1440" w:gutter="0" w:footer="0" w:header="0"/>
        </w:sectPr>
      </w:pPr>
    </w:p>
    <w:bookmarkStart w:id="333" w:name="page334"/>
    <w:bookmarkEnd w:id="333"/>
    <w:p>
      <w:pPr>
        <w:spacing w:after="0"/>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Leo Greenstein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March 15, 2020</w:t>
      </w:r>
    </w:p>
    <w:p>
      <w:pPr>
        <w:spacing w:after="0"/>
        <w:rPr>
          <w:sz w:val="20"/>
          <w:szCs w:val="20"/>
          <w:color w:val="auto"/>
        </w:rPr>
      </w:pPr>
      <w:r>
        <w:rPr>
          <w:rFonts w:ascii="Times New Roman" w:cs="Times New Roman" w:eastAsia="Times New Roman" w:hAnsi="Times New Roman"/>
          <w:sz w:val="20"/>
          <w:szCs w:val="20"/>
          <w:color w:val="auto"/>
        </w:rPr>
        <w:t>Page 5</w:t>
      </w:r>
    </w:p>
    <w:p>
      <w:pPr>
        <w:spacing w:after="0" w:line="122" w:lineRule="exact"/>
        <w:rPr>
          <w:sz w:val="20"/>
          <w:szCs w:val="20"/>
          <w:color w:val="auto"/>
        </w:rPr>
      </w:pPr>
    </w:p>
    <w:p>
      <w:pPr>
        <w:ind w:firstLine="1123"/>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Termination Without Cause</w:t>
      </w:r>
      <w:r>
        <w:rPr>
          <w:rFonts w:ascii="Times New Roman" w:cs="Times New Roman" w:eastAsia="Times New Roman" w:hAnsi="Times New Roman"/>
          <w:sz w:val="20"/>
          <w:szCs w:val="20"/>
          <w:color w:val="auto"/>
        </w:rPr>
        <w:t>” means a Separation as a result of a termination of your employment by the Company without Cause, provided you are willing and able to continue performing services within the meaning of Treasury Regulation 1.409A-1(n)(1).</w:t>
      </w:r>
    </w:p>
    <w:p>
      <w:pPr>
        <w:spacing w:after="0" w:line="1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w:t>
      </w:r>
    </w:p>
    <w:p>
      <w:pPr>
        <w:sectPr>
          <w:pgSz w:w="11900" w:h="16838" w:orient="portrait"/>
          <w:cols w:equalWidth="0" w:num="1">
            <w:col w:w="11240"/>
          </w:cols>
          <w:pgMar w:left="320" w:top="265" w:right="339" w:bottom="1440" w:gutter="0" w:footer="0" w:header="0"/>
        </w:sectPr>
      </w:pPr>
    </w:p>
    <w:bookmarkStart w:id="334" w:name="page335"/>
    <w:bookmarkEnd w:id="334"/>
    <w:p>
      <w:pPr>
        <w:spacing w:after="0"/>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Leo Greenstein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March 15, 2020</w:t>
      </w:r>
    </w:p>
    <w:p>
      <w:pPr>
        <w:spacing w:after="0"/>
        <w:rPr>
          <w:sz w:val="20"/>
          <w:szCs w:val="20"/>
          <w:color w:val="auto"/>
        </w:rPr>
      </w:pPr>
      <w:r>
        <w:rPr>
          <w:rFonts w:ascii="Times New Roman" w:cs="Times New Roman" w:eastAsia="Times New Roman" w:hAnsi="Times New Roman"/>
          <w:sz w:val="20"/>
          <w:szCs w:val="20"/>
          <w:color w:val="auto"/>
        </w:rPr>
        <w:t>Page 6</w:t>
      </w:r>
    </w:p>
    <w:p>
      <w:pPr>
        <w:spacing w:after="0" w:line="126" w:lineRule="exact"/>
        <w:rPr>
          <w:sz w:val="20"/>
          <w:szCs w:val="20"/>
          <w:color w:val="auto"/>
        </w:rPr>
      </w:pPr>
    </w:p>
    <w:p>
      <w:pPr>
        <w:jc w:val="both"/>
        <w:ind w:firstLine="1123"/>
        <w:spacing w:after="0" w:line="246" w:lineRule="auto"/>
        <w:rPr>
          <w:sz w:val="20"/>
          <w:szCs w:val="20"/>
          <w:color w:val="auto"/>
        </w:rPr>
      </w:pPr>
      <w:r>
        <w:rPr>
          <w:rFonts w:ascii="Times New Roman" w:cs="Times New Roman" w:eastAsia="Times New Roman" w:hAnsi="Times New Roman"/>
          <w:sz w:val="20"/>
          <w:szCs w:val="20"/>
          <w:color w:val="auto"/>
        </w:rPr>
        <w:t>We hope that you will accept our offer to join the Company. You may indicate your agreement with these terms and accept this offer by signing and dating both the enclosed duplicate original of this letter agreement and the enclosed Proprietary Information and Inventions Agreement and returning them to me. This offer, if not accepted, will expire at the close of business on March 20, 2020. As required by law, your employment with the Company is contingent upon your providing legal proof of your identity and authorization to work in the United States. Your employment is also contingent upon your starting work with the Company on or before April 20, 2020.</w:t>
      </w:r>
    </w:p>
    <w:p>
      <w:pPr>
        <w:spacing w:after="0" w:line="293" w:lineRule="exact"/>
        <w:rPr>
          <w:sz w:val="20"/>
          <w:szCs w:val="20"/>
          <w:color w:val="auto"/>
        </w:rPr>
      </w:pPr>
    </w:p>
    <w:p>
      <w:pPr>
        <w:ind w:left="1140"/>
        <w:spacing w:after="0"/>
        <w:tabs>
          <w:tab w:leader="none" w:pos="5340" w:val="left"/>
        </w:tabs>
        <w:rPr>
          <w:sz w:val="20"/>
          <w:szCs w:val="20"/>
          <w:color w:val="auto"/>
        </w:rPr>
      </w:pPr>
      <w:r>
        <w:rPr>
          <w:rFonts w:ascii="Times New Roman" w:cs="Times New Roman" w:eastAsia="Times New Roman" w:hAnsi="Times New Roman"/>
          <w:sz w:val="20"/>
          <w:szCs w:val="20"/>
          <w:color w:val="auto"/>
        </w:rPr>
        <w:t>If you have any questions, please call me at</w:t>
      </w:r>
      <w:r>
        <w:rPr>
          <w:sz w:val="20"/>
          <w:szCs w:val="20"/>
          <w:color w:val="auto"/>
        </w:rPr>
        <w:tab/>
      </w:r>
      <w:r>
        <w:rPr>
          <w:rFonts w:ascii="Times New Roman" w:cs="Times New Roman" w:eastAsia="Times New Roman" w:hAnsi="Times New Roman"/>
          <w:sz w:val="20"/>
          <w:szCs w:val="20"/>
          <w:color w:val="auto"/>
        </w:rPr>
        <w:t>.</w:t>
      </w:r>
    </w:p>
    <w:p>
      <w:pPr>
        <w:spacing w:after="0" w:line="364"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20"/>
          <w:szCs w:val="20"/>
          <w:color w:val="auto"/>
        </w:rPr>
        <w:t>Very truly yours,</w:t>
      </w:r>
    </w:p>
    <w:p>
      <w:pPr>
        <w:spacing w:after="0" w:line="337" w:lineRule="exact"/>
        <w:rPr>
          <w:sz w:val="20"/>
          <w:szCs w:val="20"/>
          <w:color w:val="auto"/>
        </w:rPr>
      </w:pPr>
    </w:p>
    <w:p>
      <w:pPr>
        <w:ind w:left="6940"/>
        <w:spacing w:after="0"/>
        <w:rPr>
          <w:sz w:val="20"/>
          <w:szCs w:val="20"/>
          <w:color w:val="auto"/>
        </w:rPr>
      </w:pPr>
      <w:r>
        <w:rPr>
          <w:rFonts w:ascii="Times New Roman" w:cs="Times New Roman" w:eastAsia="Times New Roman" w:hAnsi="Times New Roman"/>
          <w:sz w:val="20"/>
          <w:szCs w:val="20"/>
          <w:color w:val="auto"/>
        </w:rPr>
        <w:t>T</w:t>
      </w:r>
      <w:r>
        <w:rPr>
          <w:rFonts w:ascii="Times New Roman" w:cs="Times New Roman" w:eastAsia="Times New Roman" w:hAnsi="Times New Roman"/>
          <w:sz w:val="16"/>
          <w:szCs w:val="16"/>
          <w:color w:val="auto"/>
        </w:rPr>
        <w:t>ARSUS</w:t>
      </w:r>
      <w:r>
        <w:rPr>
          <w:rFonts w:ascii="Times New Roman" w:cs="Times New Roman" w:eastAsia="Times New Roman" w:hAnsi="Times New Roman"/>
          <w:sz w:val="20"/>
          <w:szCs w:val="20"/>
          <w:color w:val="auto"/>
        </w:rPr>
        <w:t xml:space="preserve"> P</w:t>
      </w:r>
      <w:r>
        <w:rPr>
          <w:rFonts w:ascii="Times New Roman" w:cs="Times New Roman" w:eastAsia="Times New Roman" w:hAnsi="Times New Roman"/>
          <w:sz w:val="16"/>
          <w:szCs w:val="16"/>
          <w:color w:val="auto"/>
        </w:rPr>
        <w:t>HARMACEUTICALS</w:t>
      </w:r>
      <w:r>
        <w:rPr>
          <w:rFonts w:ascii="Times New Roman" w:cs="Times New Roman" w:eastAsia="Times New Roman" w:hAnsi="Times New Roman"/>
          <w:sz w:val="20"/>
          <w:szCs w:val="20"/>
          <w:color w:val="auto"/>
        </w:rPr>
        <w:t>, I</w:t>
      </w:r>
      <w:r>
        <w:rPr>
          <w:rFonts w:ascii="Times New Roman" w:cs="Times New Roman" w:eastAsia="Times New Roman" w:hAnsi="Times New Roman"/>
          <w:sz w:val="16"/>
          <w:szCs w:val="16"/>
          <w:color w:val="auto"/>
        </w:rPr>
        <w:t>NC</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6940"/>
        <w:spacing w:after="0"/>
        <w:tabs>
          <w:tab w:leader="none" w:pos="7420" w:val="left"/>
        </w:tabs>
        <w:rPr>
          <w:sz w:val="20"/>
          <w:szCs w:val="20"/>
          <w:color w:val="auto"/>
        </w:rPr>
      </w:pPr>
      <w:r>
        <w:rPr>
          <w:rFonts w:ascii="Times New Roman" w:cs="Times New Roman" w:eastAsia="Times New Roman" w:hAnsi="Times New Roman"/>
          <w:sz w:val="20"/>
          <w:szCs w:val="20"/>
          <w:color w:val="auto"/>
        </w:rPr>
        <w:t>By:</w:t>
        <w:tab/>
        <w:t>/s/ Bobak Azamian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4685665</wp:posOffset>
            </wp:positionH>
            <wp:positionV relativeFrom="paragraph">
              <wp:posOffset>13970</wp:posOffset>
            </wp:positionV>
            <wp:extent cx="2451735" cy="889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2451735" cy="8890"/>
                    </a:xfrm>
                    <a:prstGeom prst="rect">
                      <a:avLst/>
                    </a:prstGeom>
                    <a:noFill/>
                  </pic:spPr>
                </pic:pic>
              </a:graphicData>
            </a:graphic>
          </wp:anchor>
        </w:drawing>
      </w:r>
    </w:p>
    <w:p>
      <w:pPr>
        <w:spacing w:after="0" w:line="4" w:lineRule="exact"/>
        <w:rPr>
          <w:sz w:val="20"/>
          <w:szCs w:val="20"/>
          <w:color w:val="auto"/>
        </w:rPr>
      </w:pPr>
    </w:p>
    <w:p>
      <w:pPr>
        <w:ind w:left="6940"/>
        <w:spacing w:after="0"/>
        <w:rPr>
          <w:sz w:val="20"/>
          <w:szCs w:val="20"/>
          <w:color w:val="auto"/>
        </w:rPr>
      </w:pPr>
      <w:r>
        <w:rPr>
          <w:rFonts w:ascii="Times New Roman" w:cs="Times New Roman" w:eastAsia="Times New Roman" w:hAnsi="Times New Roman"/>
          <w:sz w:val="18"/>
          <w:szCs w:val="18"/>
          <w:color w:val="auto"/>
        </w:rPr>
        <w:t xml:space="preserve">Title: </w:t>
      </w:r>
      <w:r>
        <w:rPr>
          <w:rFonts w:ascii="Times New Roman" w:cs="Times New Roman" w:eastAsia="Times New Roman" w:hAnsi="Times New Roman"/>
          <w:sz w:val="19"/>
          <w:szCs w:val="19"/>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4685665</wp:posOffset>
            </wp:positionH>
            <wp:positionV relativeFrom="paragraph">
              <wp:posOffset>14605</wp:posOffset>
            </wp:positionV>
            <wp:extent cx="2451735" cy="825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24517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 have read and accept this employment offer: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Leo Greenstein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1423670" cy="825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1423670" cy="8255"/>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Signature of Leo Greenstein</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Dated: March 18, 2020</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Attachment</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Exhibit A: Proprietary Information and Inventions Agreement</w:t>
      </w:r>
    </w:p>
    <w:p>
      <w:pPr>
        <w:sectPr>
          <w:pgSz w:w="11900" w:h="16838" w:orient="portrait"/>
          <w:cols w:equalWidth="0" w:num="1">
            <w:col w:w="11240"/>
          </w:cols>
          <w:pgMar w:left="320" w:top="265" w:right="339" w:bottom="1440" w:gutter="0" w:footer="0" w:header="0"/>
        </w:sectPr>
      </w:pPr>
    </w:p>
    <w:bookmarkStart w:id="335" w:name="page336"/>
    <w:bookmarkEnd w:id="335"/>
    <w:p>
      <w:pPr>
        <w:jc w:val="right"/>
        <w:spacing w:after="0"/>
        <w:rPr>
          <w:sz w:val="20"/>
          <w:szCs w:val="20"/>
          <w:color w:val="auto"/>
        </w:rPr>
      </w:pPr>
      <w:r>
        <w:rPr>
          <w:rFonts w:ascii="Times New Roman" w:cs="Times New Roman" w:eastAsia="Times New Roman" w:hAnsi="Times New Roman"/>
          <w:sz w:val="20"/>
          <w:szCs w:val="20"/>
          <w:b w:val="1"/>
          <w:bCs w:val="1"/>
          <w:color w:val="auto"/>
        </w:rPr>
        <w:t>Exhibit 10.7</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w:t>
      </w:r>
      <w:r>
        <w:rPr>
          <w:rFonts w:ascii="Times New Roman" w:cs="Times New Roman" w:eastAsia="Times New Roman" w:hAnsi="Times New Roman"/>
          <w:sz w:val="16"/>
          <w:szCs w:val="16"/>
          <w:b w:val="1"/>
          <w:bCs w:val="1"/>
          <w:color w:val="auto"/>
        </w:rPr>
        <w:t>ARSUS</w:t>
      </w:r>
      <w:r>
        <w:rPr>
          <w:rFonts w:ascii="Times New Roman" w:cs="Times New Roman" w:eastAsia="Times New Roman" w:hAnsi="Times New Roman"/>
          <w:sz w:val="20"/>
          <w:szCs w:val="20"/>
          <w:b w:val="1"/>
          <w:bCs w:val="1"/>
          <w:color w:val="auto"/>
        </w:rPr>
        <w:t xml:space="preserve"> P</w:t>
      </w:r>
      <w:r>
        <w:rPr>
          <w:rFonts w:ascii="Times New Roman" w:cs="Times New Roman" w:eastAsia="Times New Roman" w:hAnsi="Times New Roman"/>
          <w:sz w:val="16"/>
          <w:szCs w:val="16"/>
          <w:b w:val="1"/>
          <w:bCs w:val="1"/>
          <w:color w:val="auto"/>
        </w:rPr>
        <w:t>HARMACEUTICALS</w:t>
      </w:r>
      <w:r>
        <w:rPr>
          <w:rFonts w:ascii="Times New Roman" w:cs="Times New Roman" w:eastAsia="Times New Roman" w:hAnsi="Times New Roman"/>
          <w:sz w:val="20"/>
          <w:szCs w:val="20"/>
          <w:b w:val="1"/>
          <w:bCs w:val="1"/>
          <w:color w:val="auto"/>
        </w:rPr>
        <w:t>, I</w:t>
      </w:r>
      <w:r>
        <w:rPr>
          <w:rFonts w:ascii="Times New Roman" w:cs="Times New Roman" w:eastAsia="Times New Roman" w:hAnsi="Times New Roman"/>
          <w:sz w:val="16"/>
          <w:szCs w:val="16"/>
          <w:b w:val="1"/>
          <w:bCs w:val="1"/>
          <w:color w:val="auto"/>
        </w:rPr>
        <w:t>NC</w:t>
      </w:r>
      <w:r>
        <w:rPr>
          <w:rFonts w:ascii="Times New Roman" w:cs="Times New Roman" w:eastAsia="Times New Roman" w:hAnsi="Times New Roman"/>
          <w:sz w:val="20"/>
          <w:szCs w:val="20"/>
          <w:b w:val="1"/>
          <w:bCs w:val="1"/>
          <w:color w:val="auto"/>
        </w:rPr>
        <w:t>.</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June 4, 2020</w:t>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Seshadri Neervannan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99695</wp:posOffset>
            </wp:positionV>
            <wp:extent cx="1139825" cy="825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113982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245745</wp:posOffset>
            </wp:positionV>
            <wp:extent cx="1139825" cy="889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1139825" cy="8890"/>
                    </a:xfrm>
                    <a:prstGeom prst="rect">
                      <a:avLst/>
                    </a:prstGeom>
                    <a:noFill/>
                  </pic:spPr>
                </pic:pic>
              </a:graphicData>
            </a:graphic>
          </wp:anchor>
        </w:drawing>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Dear Sesha:</w:t>
      </w:r>
    </w:p>
    <w:p>
      <w:pPr>
        <w:spacing w:after="0" w:line="21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0"/>
          <w:szCs w:val="20"/>
          <w:color w:val="auto"/>
        </w:rPr>
        <w:t>Tarsus Pharmaceuticals, Inc. (the “Company”) is pleased to offer you employment on the following terms:</w:t>
      </w:r>
    </w:p>
    <w:p>
      <w:pPr>
        <w:spacing w:after="0" w:line="212" w:lineRule="exact"/>
        <w:rPr>
          <w:sz w:val="20"/>
          <w:szCs w:val="20"/>
          <w:color w:val="auto"/>
        </w:rPr>
      </w:pPr>
    </w:p>
    <w:p>
      <w:pPr>
        <w:jc w:val="both"/>
        <w:ind w:firstLine="570"/>
        <w:spacing w:after="0" w:line="247" w:lineRule="auto"/>
        <w:tabs>
          <w:tab w:leader="none" w:pos="1187" w:val="left"/>
        </w:tabs>
        <w:numPr>
          <w:ilvl w:val="0"/>
          <w:numId w:val="3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Position</w:t>
      </w:r>
      <w:r>
        <w:rPr>
          <w:rFonts w:ascii="Times New Roman" w:cs="Times New Roman" w:eastAsia="Times New Roman" w:hAnsi="Times New Roman"/>
          <w:sz w:val="20"/>
          <w:szCs w:val="20"/>
          <w:color w:val="auto"/>
        </w:rPr>
        <w:t>. Your title will be Chief Operating Officer. This is a full-time position, reporting to the Company’s Chief Executive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Officer. While you render services to the Company, you will not engage in any other employment, consulting or other business activity (whether full-time or part-time) that would create a conflict of interest with the Company. By signing this letter agreement, you confirm to the Company that you have no contractual commitments or other legal obligations that would prohibit you from performing your duties for the Company.</w:t>
      </w:r>
    </w:p>
    <w:p>
      <w:pPr>
        <w:spacing w:after="0" w:line="180" w:lineRule="exact"/>
        <w:rPr>
          <w:rFonts w:ascii="Times New Roman" w:cs="Times New Roman" w:eastAsia="Times New Roman" w:hAnsi="Times New Roman"/>
          <w:sz w:val="20"/>
          <w:szCs w:val="20"/>
          <w:color w:val="auto"/>
        </w:rPr>
      </w:pPr>
    </w:p>
    <w:p>
      <w:pPr>
        <w:jc w:val="both"/>
        <w:ind w:firstLine="570"/>
        <w:spacing w:after="0" w:line="244" w:lineRule="auto"/>
        <w:tabs>
          <w:tab w:leader="none" w:pos="1119" w:val="left"/>
        </w:tabs>
        <w:numPr>
          <w:ilvl w:val="0"/>
          <w:numId w:val="3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Cash Compensation</w:t>
      </w:r>
      <w:r>
        <w:rPr>
          <w:rFonts w:ascii="Times New Roman" w:cs="Times New Roman" w:eastAsia="Times New Roman" w:hAnsi="Times New Roman"/>
          <w:sz w:val="20"/>
          <w:szCs w:val="20"/>
          <w:color w:val="auto"/>
        </w:rPr>
        <w:t>. The Company will pay you a starting salary at the rate of $400,000 per year, payable in accordance with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Company’s standard payroll schedule. This salary will be subject to adjustment pursuant to the Company’s employee compensation policies in effect from time to time. In addition, you will be eligible to be considered for an incentive bonus for each fiscal year of the Company. The bonus (if any) will be awarded based on objective or subjective criteria established and approved by the Company’s Board of Directors (the “Board”). Your annual target bonus will be equal to 35% of your annual base salary. Any bonus for the fiscal year in which your employment begins will be prorated, based on the number of days you are employed by the Company during that fiscal year. Any bonus for a fiscal year will be paid within 2</w:t>
      </w:r>
      <w:r>
        <w:rPr>
          <w:rFonts w:ascii="Times New Roman" w:cs="Times New Roman" w:eastAsia="Times New Roman" w:hAnsi="Times New Roman"/>
          <w:sz w:val="16"/>
          <w:szCs w:val="16"/>
          <w:color w:val="auto"/>
        </w:rPr>
        <w:t>1</w:t>
      </w:r>
      <w:r>
        <w:rPr>
          <w:rFonts w:ascii="Times New Roman" w:cs="Times New Roman" w:eastAsia="Times New Roman" w:hAnsi="Times New Roman"/>
          <w:sz w:val="20"/>
          <w:szCs w:val="20"/>
          <w:color w:val="auto"/>
        </w:rPr>
        <w:t>⁄</w:t>
      </w:r>
      <w:r>
        <w:rPr>
          <w:rFonts w:ascii="Times New Roman" w:cs="Times New Roman" w:eastAsia="Times New Roman" w:hAnsi="Times New Roman"/>
          <w:sz w:val="16"/>
          <w:szCs w:val="16"/>
          <w:color w:val="auto"/>
        </w:rPr>
        <w:t>2</w:t>
      </w:r>
      <w:r>
        <w:rPr>
          <w:rFonts w:ascii="Times New Roman" w:cs="Times New Roman" w:eastAsia="Times New Roman" w:hAnsi="Times New Roman"/>
          <w:sz w:val="20"/>
          <w:szCs w:val="20"/>
          <w:color w:val="auto"/>
        </w:rPr>
        <w:t xml:space="preserve"> months after the close of that fiscal year, but only if you are still providing services to the Company at the end of that fiscal year. The determinations of the Board with respect to your bonus will be final and binding.</w:t>
      </w:r>
    </w:p>
    <w:p>
      <w:pPr>
        <w:spacing w:after="0" w:line="181" w:lineRule="exact"/>
        <w:rPr>
          <w:rFonts w:ascii="Times New Roman" w:cs="Times New Roman" w:eastAsia="Times New Roman" w:hAnsi="Times New Roman"/>
          <w:sz w:val="20"/>
          <w:szCs w:val="20"/>
          <w:color w:val="auto"/>
        </w:rPr>
      </w:pPr>
    </w:p>
    <w:p>
      <w:pPr>
        <w:jc w:val="both"/>
        <w:ind w:firstLine="570"/>
        <w:spacing w:after="0" w:line="246" w:lineRule="auto"/>
        <w:tabs>
          <w:tab w:leader="none" w:pos="1119" w:val="left"/>
        </w:tabs>
        <w:numPr>
          <w:ilvl w:val="0"/>
          <w:numId w:val="3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Signing Bonus</w:t>
      </w:r>
      <w:r>
        <w:rPr>
          <w:rFonts w:ascii="Times New Roman" w:cs="Times New Roman" w:eastAsia="Times New Roman" w:hAnsi="Times New Roman"/>
          <w:sz w:val="20"/>
          <w:szCs w:val="20"/>
          <w:color w:val="auto"/>
        </w:rPr>
        <w:t>. If you are employed by the Company on the payments dates, the Company will pay you a signing bonus in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aggregate amount of $75,000 (the “Signing Bonus”). 50% of the Signing Bonus will be paid by January 31, 2021 and another 50% of the Signing Bonus will be paid by July 31, 2021. If (i) you resign from your employment with the Company and such resignation does not constitute a Resignation for Good Reason or (ii) you are terminated by the Company for Cause, in either case prior to completing 12 months of continuous employment following your start date, you agree to repay 100% of the Signing Bonus within 30 days of your termination of employment.</w:t>
      </w:r>
    </w:p>
    <w:p>
      <w:pPr>
        <w:spacing w:after="0" w:line="178" w:lineRule="exact"/>
        <w:rPr>
          <w:rFonts w:ascii="Times New Roman" w:cs="Times New Roman" w:eastAsia="Times New Roman" w:hAnsi="Times New Roman"/>
          <w:sz w:val="20"/>
          <w:szCs w:val="20"/>
          <w:color w:val="auto"/>
        </w:rPr>
      </w:pPr>
    </w:p>
    <w:p>
      <w:pPr>
        <w:jc w:val="both"/>
        <w:ind w:right="20" w:firstLine="570"/>
        <w:spacing w:after="0" w:line="256" w:lineRule="auto"/>
        <w:tabs>
          <w:tab w:leader="none" w:pos="1268" w:val="left"/>
        </w:tabs>
        <w:numPr>
          <w:ilvl w:val="0"/>
          <w:numId w:val="3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Employee Benefits</w:t>
      </w:r>
      <w:r>
        <w:rPr>
          <w:rFonts w:ascii="Times New Roman" w:cs="Times New Roman" w:eastAsia="Times New Roman" w:hAnsi="Times New Roman"/>
          <w:sz w:val="20"/>
          <w:szCs w:val="20"/>
          <w:color w:val="auto"/>
        </w:rPr>
        <w:t>. As a regular employee of the Company, you will be eligible to participate in a number of Company-sponsored benefits. In addition, you will be entitled to paid vacation in accordance with the Company’s vacation policy, as in effect from time to time.</w:t>
      </w:r>
    </w:p>
    <w:p>
      <w:pPr>
        <w:sectPr>
          <w:pgSz w:w="11900" w:h="16838" w:orient="portrait"/>
          <w:cols w:equalWidth="0" w:num="1">
            <w:col w:w="11240"/>
          </w:cols>
          <w:pgMar w:left="320" w:top="114" w:right="339" w:bottom="1440" w:gutter="0" w:footer="0" w:header="0"/>
        </w:sectPr>
      </w:pPr>
    </w:p>
    <w:bookmarkStart w:id="336" w:name="page337"/>
    <w:bookmarkEnd w:id="336"/>
    <w:p>
      <w:pPr>
        <w:spacing w:after="0"/>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Aziz Mottiwala</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June 22, 2020</w:t>
      </w:r>
    </w:p>
    <w:p>
      <w:pPr>
        <w:spacing w:after="0"/>
        <w:rPr>
          <w:sz w:val="20"/>
          <w:szCs w:val="20"/>
          <w:color w:val="auto"/>
        </w:rPr>
      </w:pPr>
      <w:r>
        <w:rPr>
          <w:rFonts w:ascii="Times New Roman" w:cs="Times New Roman" w:eastAsia="Times New Roman" w:hAnsi="Times New Roman"/>
          <w:sz w:val="20"/>
          <w:szCs w:val="20"/>
          <w:color w:val="auto"/>
        </w:rPr>
        <w:t>Page 2</w:t>
      </w:r>
    </w:p>
    <w:p>
      <w:pPr>
        <w:spacing w:after="0" w:line="122" w:lineRule="exact"/>
        <w:rPr>
          <w:sz w:val="20"/>
          <w:szCs w:val="20"/>
          <w:color w:val="auto"/>
        </w:rPr>
      </w:pPr>
    </w:p>
    <w:p>
      <w:pPr>
        <w:jc w:val="both"/>
        <w:ind w:firstLine="570"/>
        <w:spacing w:after="0" w:line="246" w:lineRule="auto"/>
        <w:tabs>
          <w:tab w:leader="none" w:pos="1106" w:val="left"/>
        </w:tabs>
        <w:numPr>
          <w:ilvl w:val="0"/>
          <w:numId w:val="3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Stock Options</w:t>
      </w:r>
      <w:r>
        <w:rPr>
          <w:rFonts w:ascii="Times New Roman" w:cs="Times New Roman" w:eastAsia="Times New Roman" w:hAnsi="Times New Roman"/>
          <w:sz w:val="20"/>
          <w:szCs w:val="20"/>
          <w:color w:val="auto"/>
        </w:rPr>
        <w:t>. Subject to the approval of the Board or its Compensation Committee, you will be granted an option to purchase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1,735,128 shares of the Company’s Common Stock (the “Option”). The exercise price per share of the Option will be equal to the fair market value of the underlying Common Stock on the date of the grant. The Option will be subject to the terms and conditions applicable to options granted under the Company’s 2016 Stock Plan (the “Plan”), as described in the Plan and the applicable Stock Option Agreement. You will vest in 25% of the Option shares after 12 months of continuous service, and the balance will vest in equal monthly installments over the next 36 months of continuous service, as described in the applicable Stock Option Agreement.</w:t>
      </w:r>
    </w:p>
    <w:p>
      <w:pPr>
        <w:spacing w:after="0" w:line="183" w:lineRule="exact"/>
        <w:rPr>
          <w:sz w:val="20"/>
          <w:szCs w:val="20"/>
          <w:color w:val="auto"/>
        </w:rPr>
      </w:pPr>
    </w:p>
    <w:p>
      <w:pPr>
        <w:jc w:val="both"/>
        <w:ind w:right="20" w:firstLine="1123"/>
        <w:spacing w:after="0" w:line="254" w:lineRule="auto"/>
        <w:rPr>
          <w:sz w:val="20"/>
          <w:szCs w:val="20"/>
          <w:color w:val="auto"/>
        </w:rPr>
      </w:pPr>
      <w:r>
        <w:rPr>
          <w:rFonts w:ascii="Times New Roman" w:cs="Times New Roman" w:eastAsia="Times New Roman" w:hAnsi="Times New Roman"/>
          <w:sz w:val="20"/>
          <w:szCs w:val="20"/>
          <w:color w:val="auto"/>
        </w:rPr>
        <w:t>You will vest in 100% of your remaining unvested Option shares if (a) the Company is subject to a Change in Control before your service with the Company terminates and (b) you are subject to an Involuntary Termination within 12 months after that Change in Control.</w:t>
      </w:r>
    </w:p>
    <w:p>
      <w:pPr>
        <w:spacing w:after="0" w:line="170" w:lineRule="exact"/>
        <w:rPr>
          <w:sz w:val="20"/>
          <w:szCs w:val="20"/>
          <w:color w:val="auto"/>
        </w:rPr>
      </w:pPr>
    </w:p>
    <w:p>
      <w:pPr>
        <w:jc w:val="both"/>
        <w:ind w:right="20" w:firstLine="570"/>
        <w:spacing w:after="0" w:line="256" w:lineRule="auto"/>
        <w:tabs>
          <w:tab w:leader="none" w:pos="1119" w:val="left"/>
        </w:tabs>
        <w:numPr>
          <w:ilvl w:val="1"/>
          <w:numId w:val="3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Severance Benefits Outside of a Change in Control</w:t>
      </w:r>
      <w:r>
        <w:rPr>
          <w:rFonts w:ascii="Times New Roman" w:cs="Times New Roman" w:eastAsia="Times New Roman" w:hAnsi="Times New Roman"/>
          <w:sz w:val="20"/>
          <w:szCs w:val="20"/>
          <w:color w:val="auto"/>
        </w:rPr>
        <w:t>. In the event you are subject to an Involuntary Termination other than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connection with or within 12 months after a Change in Control, provided you satisfy the conditions described in Section 6(c) below, you will be entitled to the following benefits:</w:t>
      </w:r>
    </w:p>
    <w:p>
      <w:pPr>
        <w:spacing w:after="0" w:line="168" w:lineRule="exact"/>
        <w:rPr>
          <w:rFonts w:ascii="Times New Roman" w:cs="Times New Roman" w:eastAsia="Times New Roman" w:hAnsi="Times New Roman"/>
          <w:sz w:val="20"/>
          <w:szCs w:val="20"/>
          <w:color w:val="auto"/>
        </w:rPr>
      </w:pPr>
    </w:p>
    <w:p>
      <w:pPr>
        <w:jc w:val="both"/>
        <w:ind w:firstLine="1131"/>
        <w:spacing w:after="0" w:line="247" w:lineRule="auto"/>
        <w:tabs>
          <w:tab w:leader="none" w:pos="1806" w:val="left"/>
        </w:tabs>
        <w:numPr>
          <w:ilvl w:val="2"/>
          <w:numId w:val="3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Salary Continuation</w:t>
      </w:r>
      <w:r>
        <w:rPr>
          <w:rFonts w:ascii="Times New Roman" w:cs="Times New Roman" w:eastAsia="Times New Roman" w:hAnsi="Times New Roman"/>
          <w:sz w:val="20"/>
          <w:szCs w:val="20"/>
          <w:color w:val="auto"/>
        </w:rPr>
        <w:t>. The Company will continue to pay your base salary for a period of nine (9) months after your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Separation. Your base salary will be paid at the rate in effect at the time of your Separation and in accordance with the Company’s standard payroll procedures. The salary continuation payments will commence within 60 days after your Separation and, once they commence, will include any unpaid amounts accrued from the date of your Separation. However, if the 60-day period described in the preceding sentence spans two calendar years, then the payments will in any event begin in the second calendar year.</w:t>
      </w:r>
    </w:p>
    <w:p>
      <w:pPr>
        <w:spacing w:after="0" w:line="180" w:lineRule="exact"/>
        <w:rPr>
          <w:rFonts w:ascii="Times New Roman" w:cs="Times New Roman" w:eastAsia="Times New Roman" w:hAnsi="Times New Roman"/>
          <w:sz w:val="20"/>
          <w:szCs w:val="20"/>
          <w:color w:val="auto"/>
        </w:rPr>
      </w:pPr>
    </w:p>
    <w:p>
      <w:pPr>
        <w:jc w:val="both"/>
        <w:ind w:firstLine="1131"/>
        <w:spacing w:after="0" w:line="246" w:lineRule="auto"/>
        <w:tabs>
          <w:tab w:leader="none" w:pos="1911" w:val="left"/>
        </w:tabs>
        <w:numPr>
          <w:ilvl w:val="2"/>
          <w:numId w:val="3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COBRA</w:t>
      </w:r>
      <w:r>
        <w:rPr>
          <w:rFonts w:ascii="Times New Roman" w:cs="Times New Roman" w:eastAsia="Times New Roman" w:hAnsi="Times New Roman"/>
          <w:sz w:val="20"/>
          <w:szCs w:val="20"/>
          <w:color w:val="auto"/>
        </w:rPr>
        <w:t>. Provided you elect to continue your health insurance coverage under the Consolidated Omnibus Budget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Reconciliation Act (“COBRA”) following your Separation, the Company will pay or reimburse you for your monthly premium under COBRA until the earliest of (i) the close of the nine (9)-month period following your Separation, (ii) the expiration of your continuation coverage under COBRA or (iii) the date when you become eligible for substantially equivalent health insurance coverage in connection with new employment or self-employment (the “COBRA Benefit”). If necessary to avoid adverse tax consequences to you or the Company, the Company, in its sole discretion, reserves the right to treat the COBRA Benefit as taxable income.</w:t>
      </w:r>
    </w:p>
    <w:p>
      <w:pPr>
        <w:spacing w:after="0" w:line="178" w:lineRule="exact"/>
        <w:rPr>
          <w:rFonts w:ascii="Times New Roman" w:cs="Times New Roman" w:eastAsia="Times New Roman" w:hAnsi="Times New Roman"/>
          <w:sz w:val="20"/>
          <w:szCs w:val="20"/>
          <w:color w:val="auto"/>
        </w:rPr>
      </w:pPr>
    </w:p>
    <w:p>
      <w:pPr>
        <w:ind w:left="1920" w:hanging="789"/>
        <w:spacing w:after="0"/>
        <w:tabs>
          <w:tab w:leader="none" w:pos="1920" w:val="left"/>
        </w:tabs>
        <w:numPr>
          <w:ilvl w:val="2"/>
          <w:numId w:val="3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Conditions</w:t>
      </w:r>
      <w:r>
        <w:rPr>
          <w:rFonts w:ascii="Times New Roman" w:cs="Times New Roman" w:eastAsia="Times New Roman" w:hAnsi="Times New Roman"/>
          <w:sz w:val="20"/>
          <w:szCs w:val="20"/>
          <w:color w:val="auto"/>
        </w:rPr>
        <w:t>. This Section 6 will not apply unless you (i) have returned all Company property in your possession,</w:t>
      </w:r>
    </w:p>
    <w:p>
      <w:pPr>
        <w:spacing w:after="0" w:line="25" w:lineRule="exact"/>
        <w:rPr>
          <w:rFonts w:ascii="Times New Roman" w:cs="Times New Roman" w:eastAsia="Times New Roman" w:hAnsi="Times New Roman"/>
          <w:sz w:val="20"/>
          <w:szCs w:val="20"/>
          <w:color w:val="auto"/>
        </w:rPr>
      </w:pPr>
    </w:p>
    <w:p>
      <w:pPr>
        <w:jc w:val="both"/>
        <w:ind w:firstLine="8"/>
        <w:spacing w:after="0"/>
        <w:tabs>
          <w:tab w:leader="none" w:pos="301" w:val="left"/>
        </w:tabs>
        <w:numPr>
          <w:ilvl w:val="0"/>
          <w:numId w:val="3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have resigned as a member of the Boards of Directors of the Company and all of its subsidiaries, to the extent applicable, and (iii) have executed a general release of all claims that you may have against the Company or persons affiliated with the Company. The release must be in the form prescribed by the Company, without alterations. You must execute and return the release on or before the date specified by the Company in the prescribed form (the “Release Deadline”). The Release Deadline will in no event be later than 50 days after your Separation. If you fail to return the release on or before the Release Deadline, or if you revoke the release, then you will not be entitled to the benefits described in this Section 6.</w:t>
      </w:r>
    </w:p>
    <w:p>
      <w:pPr>
        <w:spacing w:after="0" w:line="187" w:lineRule="exact"/>
        <w:rPr>
          <w:rFonts w:ascii="Times New Roman" w:cs="Times New Roman" w:eastAsia="Times New Roman" w:hAnsi="Times New Roman"/>
          <w:sz w:val="20"/>
          <w:szCs w:val="20"/>
          <w:color w:val="auto"/>
        </w:rPr>
      </w:pPr>
    </w:p>
    <w:p>
      <w:pPr>
        <w:jc w:val="both"/>
        <w:ind w:firstLine="570"/>
        <w:spacing w:after="0" w:line="250" w:lineRule="auto"/>
        <w:tabs>
          <w:tab w:leader="none" w:pos="1146" w:val="left"/>
        </w:tabs>
        <w:numPr>
          <w:ilvl w:val="1"/>
          <w:numId w:val="3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Severance Benefits in Connection With a Change in Control</w:t>
      </w:r>
      <w:r>
        <w:rPr>
          <w:rFonts w:ascii="Times New Roman" w:cs="Times New Roman" w:eastAsia="Times New Roman" w:hAnsi="Times New Roman"/>
          <w:sz w:val="20"/>
          <w:szCs w:val="20"/>
          <w:color w:val="auto"/>
        </w:rPr>
        <w:t>. In the event you are subject to an Involuntary Termination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connection with or within 12 months after a Change in Control, provided you satisfy the conditions described in Section 6(c) above, you will be entitled to the benefits described in Sections 6(a) and 6(b) above (provided that the time periods applicable to each of the severance and COBRA benefits</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1240"/>
          </w:cols>
          <w:pgMar w:left="320" w:top="265" w:right="339" w:bottom="1440" w:gutter="0" w:footer="0" w:header="0"/>
        </w:sectPr>
      </w:pPr>
    </w:p>
    <w:bookmarkStart w:id="337" w:name="page338"/>
    <w:bookmarkEnd w:id="337"/>
    <w:p>
      <w:pPr>
        <w:spacing w:after="0"/>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Aziz Mottiwala</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June 22, 2020</w:t>
      </w:r>
    </w:p>
    <w:p>
      <w:pPr>
        <w:spacing w:after="0"/>
        <w:rPr>
          <w:sz w:val="20"/>
          <w:szCs w:val="20"/>
          <w:color w:val="auto"/>
        </w:rPr>
      </w:pPr>
      <w:r>
        <w:rPr>
          <w:rFonts w:ascii="Times New Roman" w:cs="Times New Roman" w:eastAsia="Times New Roman" w:hAnsi="Times New Roman"/>
          <w:sz w:val="20"/>
          <w:szCs w:val="20"/>
          <w:color w:val="auto"/>
        </w:rPr>
        <w:t>Page 3</w:t>
      </w:r>
    </w:p>
    <w:p>
      <w:pPr>
        <w:spacing w:after="0" w:line="12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will be increased from nine (9) months to twelve (12) months) plus the Bonus Payment. The Bonus Payment will be made in a lump sum within 60 days after your Separation; however, if the 60-day period described in the preceding sentence spans two calendar years, then the Bonus Payment will in any event be made in the second calendar year. For the sake of clarity, if you become entitled to the benefits in the preceding sentence you will not also be entitled to additional the benefits provided for in Sections 6(a) and (b) above. In addition, you will be entitled to the vesting acceleration benefits described in Section 5 above.</w:t>
      </w:r>
    </w:p>
    <w:p>
      <w:pPr>
        <w:spacing w:after="0" w:line="181" w:lineRule="exact"/>
        <w:rPr>
          <w:sz w:val="20"/>
          <w:szCs w:val="20"/>
          <w:color w:val="auto"/>
        </w:rPr>
      </w:pPr>
    </w:p>
    <w:p>
      <w:pPr>
        <w:jc w:val="both"/>
        <w:ind w:firstLine="570"/>
        <w:spacing w:after="0" w:line="256" w:lineRule="auto"/>
        <w:tabs>
          <w:tab w:leader="none" w:pos="1173" w:val="left"/>
        </w:tabs>
        <w:numPr>
          <w:ilvl w:val="0"/>
          <w:numId w:val="3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Proprietary Information and Inventions Agreement</w:t>
      </w:r>
      <w:r>
        <w:rPr>
          <w:rFonts w:ascii="Times New Roman" w:cs="Times New Roman" w:eastAsia="Times New Roman" w:hAnsi="Times New Roman"/>
          <w:sz w:val="20"/>
          <w:szCs w:val="20"/>
          <w:color w:val="auto"/>
        </w:rPr>
        <w:t>. Like all Company employees, you will be required, as a condition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your employment with the Company, to sign the Company’s standard Proprietary Information and Inventions Agreement, a copy of which is attached hereto as </w:t>
      </w:r>
      <w:r>
        <w:rPr>
          <w:rFonts w:ascii="Times New Roman" w:cs="Times New Roman" w:eastAsia="Times New Roman" w:hAnsi="Times New Roman"/>
          <w:sz w:val="20"/>
          <w:szCs w:val="20"/>
          <w:b w:val="1"/>
          <w:bCs w:val="1"/>
          <w:color w:val="auto"/>
        </w:rPr>
        <w:t>Exhibit A</w:t>
      </w:r>
      <w:r>
        <w:rPr>
          <w:rFonts w:ascii="Times New Roman" w:cs="Times New Roman" w:eastAsia="Times New Roman" w:hAnsi="Times New Roman"/>
          <w:sz w:val="20"/>
          <w:szCs w:val="20"/>
          <w:color w:val="auto"/>
        </w:rPr>
        <w:t>.</w:t>
      </w:r>
    </w:p>
    <w:p>
      <w:pPr>
        <w:spacing w:after="0" w:line="168" w:lineRule="exact"/>
        <w:rPr>
          <w:rFonts w:ascii="Times New Roman" w:cs="Times New Roman" w:eastAsia="Times New Roman" w:hAnsi="Times New Roman"/>
          <w:sz w:val="20"/>
          <w:szCs w:val="20"/>
          <w:color w:val="auto"/>
        </w:rPr>
      </w:pPr>
    </w:p>
    <w:p>
      <w:pPr>
        <w:jc w:val="both"/>
        <w:ind w:firstLine="570"/>
        <w:spacing w:after="0" w:line="246" w:lineRule="auto"/>
        <w:tabs>
          <w:tab w:leader="none" w:pos="1281" w:val="left"/>
        </w:tabs>
        <w:numPr>
          <w:ilvl w:val="0"/>
          <w:numId w:val="3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Employment Relationship</w:t>
      </w:r>
      <w:r>
        <w:rPr>
          <w:rFonts w:ascii="Times New Roman" w:cs="Times New Roman" w:eastAsia="Times New Roman" w:hAnsi="Times New Roman"/>
          <w:sz w:val="20"/>
          <w:szCs w:val="20"/>
          <w:color w:val="auto"/>
        </w:rPr>
        <w:t>. Employment with the Company is for no specific period of time. Your employment with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Company will be “at will,” meaning that either you or the Company may terminate your employment at any time and for any reason, with or without cause. Any contrary representations that may have been made to you are superseded by this letter agreement. This is the full and complete agreement between you and the Company on this term. Although your job duties, title, compensation and benefits, as well as the Company’s personnel policies and procedures, may change from time to time, the “at will” nature of your employment may only be changed in an express written agreement signed by you and a duly authorized officer of the Company (other than you).</w:t>
      </w:r>
    </w:p>
    <w:p>
      <w:pPr>
        <w:spacing w:after="0" w:line="178" w:lineRule="exact"/>
        <w:rPr>
          <w:rFonts w:ascii="Times New Roman" w:cs="Times New Roman" w:eastAsia="Times New Roman" w:hAnsi="Times New Roman"/>
          <w:sz w:val="20"/>
          <w:szCs w:val="20"/>
          <w:color w:val="auto"/>
        </w:rPr>
      </w:pPr>
    </w:p>
    <w:p>
      <w:pPr>
        <w:ind w:left="1220" w:hanging="650"/>
        <w:spacing w:after="0"/>
        <w:tabs>
          <w:tab w:leader="none" w:pos="1220" w:val="left"/>
        </w:tabs>
        <w:numPr>
          <w:ilvl w:val="0"/>
          <w:numId w:val="3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Tax Matters</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ind w:firstLine="1131"/>
        <w:spacing w:after="0" w:line="273" w:lineRule="auto"/>
        <w:tabs>
          <w:tab w:leader="none" w:pos="1995" w:val="left"/>
        </w:tabs>
        <w:numPr>
          <w:ilvl w:val="1"/>
          <w:numId w:val="3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Withholding</w:t>
      </w:r>
      <w:r>
        <w:rPr>
          <w:rFonts w:ascii="Times New Roman" w:cs="Times New Roman" w:eastAsia="Times New Roman" w:hAnsi="Times New Roman"/>
          <w:sz w:val="20"/>
          <w:szCs w:val="20"/>
          <w:color w:val="auto"/>
        </w:rPr>
        <w:t>. All forms of compensation referred to in this letter agreement are subject to reduction to reflect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applicable withholding and payroll taxes and other deductions required by law.</w:t>
      </w:r>
    </w:p>
    <w:p>
      <w:pPr>
        <w:spacing w:after="0" w:line="151" w:lineRule="exact"/>
        <w:rPr>
          <w:rFonts w:ascii="Times New Roman" w:cs="Times New Roman" w:eastAsia="Times New Roman" w:hAnsi="Times New Roman"/>
          <w:sz w:val="20"/>
          <w:szCs w:val="20"/>
          <w:color w:val="auto"/>
        </w:rPr>
      </w:pPr>
    </w:p>
    <w:p>
      <w:pPr>
        <w:jc w:val="both"/>
        <w:ind w:firstLine="1131"/>
        <w:spacing w:after="0" w:line="243" w:lineRule="auto"/>
        <w:tabs>
          <w:tab w:leader="none" w:pos="1884" w:val="left"/>
        </w:tabs>
        <w:numPr>
          <w:ilvl w:val="1"/>
          <w:numId w:val="3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Section 409A</w:t>
      </w:r>
      <w:r>
        <w:rPr>
          <w:rFonts w:ascii="Times New Roman" w:cs="Times New Roman" w:eastAsia="Times New Roman" w:hAnsi="Times New Roman"/>
          <w:sz w:val="20"/>
          <w:szCs w:val="20"/>
          <w:color w:val="auto"/>
        </w:rPr>
        <w:t>. The payments and benefits provided for under this letter agreement are intended to be exempt from</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Section 409A of the Internal Revenue Code of 1986, as amended (the “Code”), and any ambiguity arising under this letter agreement shall be interpreted in a manner consistent with that intent. Nonetheless, to the extent any payment or benefit provided under this letter agreement is deemed to be nonqualified deferred compensation that is subject to Section 409A of the Code, and if the Company determines that you are a “specified employee” under Section 409A(a)(2)(B)(i) of the Code at the time of your Separation, then any such payment(s), to the extent they are subject to Section 409A of the Code, will be made or commence, as applicable, on the first business day following (i) expiration of the six-month period measured from your Separation or (ii) the date of your death, with any payment installments that otherwise would have been paid prior to such date paid in a lump sum at that time. In addition, for purposes of Section 409A of the Code, each salary continuation payment under Section 6(a) is hereby designated as a separate payment.</w:t>
      </w:r>
    </w:p>
    <w:p>
      <w:pPr>
        <w:spacing w:after="0" w:line="185" w:lineRule="exact"/>
        <w:rPr>
          <w:rFonts w:ascii="Times New Roman" w:cs="Times New Roman" w:eastAsia="Times New Roman" w:hAnsi="Times New Roman"/>
          <w:sz w:val="20"/>
          <w:szCs w:val="20"/>
          <w:color w:val="auto"/>
        </w:rPr>
      </w:pPr>
    </w:p>
    <w:p>
      <w:pPr>
        <w:jc w:val="both"/>
        <w:ind w:firstLine="1131"/>
        <w:spacing w:after="0" w:line="256" w:lineRule="auto"/>
        <w:tabs>
          <w:tab w:leader="none" w:pos="1779" w:val="left"/>
        </w:tabs>
        <w:numPr>
          <w:ilvl w:val="1"/>
          <w:numId w:val="3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Tax Advice</w:t>
      </w:r>
      <w:r>
        <w:rPr>
          <w:rFonts w:ascii="Times New Roman" w:cs="Times New Roman" w:eastAsia="Times New Roman" w:hAnsi="Times New Roman"/>
          <w:sz w:val="20"/>
          <w:szCs w:val="20"/>
          <w:color w:val="auto"/>
        </w:rPr>
        <w:t>. You are encouraged to obtain your own tax advice regarding your compensation from the Company. You</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agree that the Company does not have a duty to design its compensation policies in a manner that minimizes your tax liabilities, and you will not make any claim against the Company or its Board of Directors related to tax liabilities arising from your compensation.</w:t>
      </w:r>
    </w:p>
    <w:p>
      <w:pPr>
        <w:spacing w:after="0" w:line="168" w:lineRule="exact"/>
        <w:rPr>
          <w:rFonts w:ascii="Times New Roman" w:cs="Times New Roman" w:eastAsia="Times New Roman" w:hAnsi="Times New Roman"/>
          <w:sz w:val="20"/>
          <w:szCs w:val="20"/>
          <w:color w:val="auto"/>
        </w:rPr>
      </w:pPr>
    </w:p>
    <w:p>
      <w:pPr>
        <w:jc w:val="both"/>
        <w:ind w:firstLine="570"/>
        <w:spacing w:after="0" w:line="256" w:lineRule="auto"/>
        <w:tabs>
          <w:tab w:leader="none" w:pos="1242" w:val="left"/>
        </w:tabs>
        <w:numPr>
          <w:ilvl w:val="0"/>
          <w:numId w:val="3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Interpretation and Amendment</w:t>
      </w:r>
      <w:r>
        <w:rPr>
          <w:rFonts w:ascii="Times New Roman" w:cs="Times New Roman" w:eastAsia="Times New Roman" w:hAnsi="Times New Roman"/>
          <w:sz w:val="20"/>
          <w:szCs w:val="20"/>
          <w:color w:val="auto"/>
        </w:rPr>
        <w:t>. This letter agreement and Exhibit A supersede and replace any prior agreements,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representations or understandings (whether written, oral, implied or otherwise) between you and the Company and constitute the complete agreement between you and the Company regarding the</w:t>
      </w:r>
    </w:p>
    <w:p>
      <w:pPr>
        <w:spacing w:after="0" w:line="1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1240"/>
          </w:cols>
          <w:pgMar w:left="320" w:top="265" w:right="339" w:bottom="1440" w:gutter="0" w:footer="0" w:header="0"/>
        </w:sectPr>
      </w:pPr>
    </w:p>
    <w:bookmarkStart w:id="338" w:name="page339"/>
    <w:bookmarkEnd w:id="338"/>
    <w:p>
      <w:pPr>
        <w:spacing w:after="0"/>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Aziz Mottiwala</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June 22, 2020</w:t>
      </w:r>
    </w:p>
    <w:p>
      <w:pPr>
        <w:spacing w:after="0"/>
        <w:rPr>
          <w:sz w:val="20"/>
          <w:szCs w:val="20"/>
          <w:color w:val="auto"/>
        </w:rPr>
      </w:pPr>
      <w:r>
        <w:rPr>
          <w:rFonts w:ascii="Times New Roman" w:cs="Times New Roman" w:eastAsia="Times New Roman" w:hAnsi="Times New Roman"/>
          <w:sz w:val="20"/>
          <w:szCs w:val="20"/>
          <w:color w:val="auto"/>
        </w:rPr>
        <w:t>Page 4</w:t>
      </w:r>
    </w:p>
    <w:p>
      <w:pPr>
        <w:spacing w:after="0" w:line="126"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subject matter set forth herein. This letter agreement may not be amended or modified, except by an express written agreement signed by both you and a duly authorized officer of the Company.</w:t>
      </w:r>
    </w:p>
    <w:p>
      <w:pPr>
        <w:spacing w:after="0" w:line="155" w:lineRule="exact"/>
        <w:rPr>
          <w:sz w:val="20"/>
          <w:szCs w:val="20"/>
          <w:color w:val="auto"/>
        </w:rPr>
      </w:pPr>
    </w:p>
    <w:p>
      <w:pPr>
        <w:ind w:left="1220" w:hanging="650"/>
        <w:spacing w:after="0"/>
        <w:tabs>
          <w:tab w:leader="none" w:pos="1220" w:val="left"/>
        </w:tabs>
        <w:numPr>
          <w:ilvl w:val="0"/>
          <w:numId w:val="3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Definitions</w:t>
      </w:r>
      <w:r>
        <w:rPr>
          <w:rFonts w:ascii="Times New Roman" w:cs="Times New Roman" w:eastAsia="Times New Roman" w:hAnsi="Times New Roman"/>
          <w:sz w:val="20"/>
          <w:szCs w:val="20"/>
          <w:color w:val="auto"/>
        </w:rPr>
        <w:t>. The following terms have the meaning set forth below wherever they are used in this letter agreement:</w:t>
      </w:r>
    </w:p>
    <w:p>
      <w:pPr>
        <w:spacing w:after="0" w:line="216" w:lineRule="exact"/>
        <w:rPr>
          <w:sz w:val="20"/>
          <w:szCs w:val="20"/>
          <w:color w:val="auto"/>
        </w:rPr>
      </w:pPr>
    </w:p>
    <w:p>
      <w:pPr>
        <w:jc w:val="both"/>
        <w:ind w:firstLine="1123"/>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Bonus Payment</w:t>
      </w:r>
      <w:r>
        <w:rPr>
          <w:rFonts w:ascii="Times New Roman" w:cs="Times New Roman" w:eastAsia="Times New Roman" w:hAnsi="Times New Roman"/>
          <w:sz w:val="20"/>
          <w:szCs w:val="20"/>
          <w:color w:val="auto"/>
        </w:rPr>
        <w:t>” means the sum of (a) a pro-rated portion of your target bonus amount for the year in which your Separation occurs and (b) 100% of your target bonus amount for the year in which your Separation occurs.</w:t>
      </w:r>
    </w:p>
    <w:p>
      <w:pPr>
        <w:spacing w:after="0" w:line="152" w:lineRule="exact"/>
        <w:rPr>
          <w:sz w:val="20"/>
          <w:szCs w:val="20"/>
          <w:color w:val="auto"/>
        </w:rPr>
      </w:pPr>
    </w:p>
    <w:p>
      <w:pPr>
        <w:jc w:val="both"/>
        <w:ind w:firstLine="1123"/>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Cause</w:t>
      </w:r>
      <w:r>
        <w:rPr>
          <w:rFonts w:ascii="Times New Roman" w:cs="Times New Roman" w:eastAsia="Times New Roman" w:hAnsi="Times New Roman"/>
          <w:sz w:val="20"/>
          <w:szCs w:val="20"/>
          <w:color w:val="auto"/>
        </w:rPr>
        <w:t>” means (a) your unauthorized use or disclosure of the Company’s confidential information or trade secrets, which use or disclosure causes material harm to the Company, (b) your material breach of any agreement between you and the Company, (c) your material failure to comply with the Company’s written policies or rules, (d) your conviction of, or your plea of “guilty” or “no contest” to, a felony under the laws of the United States or any State, (e) your gross negligence or willful misconduct, (f) your continuing failure to perform assigned duties after receiving written notification of the failure from the Board or (g) your failure to cooperate in good faith with a governmental or internal investigation of the Company or its directors, officers or employees, if the Company has requested your cooperation.</w:t>
      </w:r>
    </w:p>
    <w:p>
      <w:pPr>
        <w:spacing w:after="0" w:line="17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Change in Control</w:t>
      </w:r>
      <w:r>
        <w:rPr>
          <w:rFonts w:ascii="Times New Roman" w:cs="Times New Roman" w:eastAsia="Times New Roman" w:hAnsi="Times New Roman"/>
          <w:sz w:val="19"/>
          <w:szCs w:val="19"/>
          <w:color w:val="auto"/>
        </w:rPr>
        <w:t>” means (a) the consummation of a merger or consolidation of the Company with or into another entity or</w:t>
      </w:r>
    </w:p>
    <w:p>
      <w:pPr>
        <w:spacing w:after="0" w:line="37" w:lineRule="exact"/>
        <w:rPr>
          <w:sz w:val="20"/>
          <w:szCs w:val="20"/>
          <w:color w:val="auto"/>
        </w:rPr>
      </w:pPr>
    </w:p>
    <w:p>
      <w:pPr>
        <w:jc w:val="both"/>
        <w:ind w:firstLine="8"/>
        <w:spacing w:after="0" w:line="241" w:lineRule="auto"/>
        <w:tabs>
          <w:tab w:leader="none" w:pos="299" w:val="left"/>
        </w:tabs>
        <w:numPr>
          <w:ilvl w:val="0"/>
          <w:numId w:val="3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dissolution, liquidation or winding up of the Company. The foregoing notwithstanding, a merger or consolidation of the Company does not constitute a “Change in Control” if immediately after the merger or consolidation a majority of the voting power of the capital stock of the continuing or surviving entity, or any direct or indirect parent corporation of the continuing or surviving entity, will be owned by the persons who were the Company’s stockholders immediately prior to the merger or consolidation in substantially the same proportions as their ownership of the voting power of the Company’s capital stock immediately prior to the merger or consolidation.</w:t>
      </w:r>
    </w:p>
    <w:p>
      <w:pPr>
        <w:spacing w:after="0" w:line="18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Involuntary Termination</w:t>
      </w:r>
      <w:r>
        <w:rPr>
          <w:rFonts w:ascii="Times New Roman" w:cs="Times New Roman" w:eastAsia="Times New Roman" w:hAnsi="Times New Roman"/>
          <w:sz w:val="20"/>
          <w:szCs w:val="20"/>
          <w:color w:val="auto"/>
        </w:rPr>
        <w:t>” means either (a) your Termination Without Cause or (b) your Resignation for Good Reason.</w:t>
      </w:r>
    </w:p>
    <w:p>
      <w:pPr>
        <w:spacing w:after="0" w:line="216" w:lineRule="exact"/>
        <w:rPr>
          <w:sz w:val="20"/>
          <w:szCs w:val="20"/>
          <w:color w:val="auto"/>
        </w:rPr>
      </w:pPr>
    </w:p>
    <w:p>
      <w:pPr>
        <w:ind w:firstLine="1123"/>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Resignation for Good Reason</w:t>
      </w:r>
      <w:r>
        <w:rPr>
          <w:rFonts w:ascii="Times New Roman" w:cs="Times New Roman" w:eastAsia="Times New Roman" w:hAnsi="Times New Roman"/>
          <w:sz w:val="20"/>
          <w:szCs w:val="20"/>
          <w:color w:val="auto"/>
        </w:rPr>
        <w:t>” means a Separation as a result of your resignation within 12 months after one of the following conditions has come into existence without your consent:</w:t>
      </w:r>
    </w:p>
    <w:p>
      <w:pPr>
        <w:spacing w:after="0" w:line="48" w:lineRule="exact"/>
        <w:rPr>
          <w:sz w:val="20"/>
          <w:szCs w:val="20"/>
          <w:color w:val="auto"/>
        </w:rPr>
      </w:pPr>
    </w:p>
    <w:p>
      <w:pPr>
        <w:ind w:left="2240" w:hanging="604"/>
        <w:spacing w:after="0"/>
        <w:tabs>
          <w:tab w:leader="none" w:pos="2240" w:val="left"/>
        </w:tabs>
        <w:numPr>
          <w:ilvl w:val="0"/>
          <w:numId w:val="3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material diminution of your base salary;</w:t>
      </w:r>
    </w:p>
    <w:p>
      <w:pPr>
        <w:spacing w:after="0" w:line="107" w:lineRule="exact"/>
        <w:rPr>
          <w:rFonts w:ascii="Times New Roman" w:cs="Times New Roman" w:eastAsia="Times New Roman" w:hAnsi="Times New Roman"/>
          <w:sz w:val="20"/>
          <w:szCs w:val="20"/>
          <w:color w:val="auto"/>
        </w:rPr>
      </w:pPr>
    </w:p>
    <w:p>
      <w:pPr>
        <w:ind w:left="2260" w:hanging="624"/>
        <w:spacing w:after="0"/>
        <w:tabs>
          <w:tab w:leader="none" w:pos="2260" w:val="left"/>
        </w:tabs>
        <w:numPr>
          <w:ilvl w:val="0"/>
          <w:numId w:val="3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material diminution of your authority, duties or responsibilities; or</w:t>
      </w:r>
    </w:p>
    <w:p>
      <w:pPr>
        <w:spacing w:after="0" w:line="107" w:lineRule="exact"/>
        <w:rPr>
          <w:rFonts w:ascii="Times New Roman" w:cs="Times New Roman" w:eastAsia="Times New Roman" w:hAnsi="Times New Roman"/>
          <w:sz w:val="20"/>
          <w:szCs w:val="20"/>
          <w:color w:val="auto"/>
        </w:rPr>
      </w:pPr>
    </w:p>
    <w:p>
      <w:pPr>
        <w:ind w:left="2240" w:hanging="604"/>
        <w:spacing w:after="0"/>
        <w:tabs>
          <w:tab w:leader="none" w:pos="2240" w:val="left"/>
        </w:tabs>
        <w:numPr>
          <w:ilvl w:val="0"/>
          <w:numId w:val="3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material change in the geographic location at which you must perform your services for the Company.</w:t>
      </w:r>
    </w:p>
    <w:p>
      <w:pPr>
        <w:spacing w:after="0" w:line="216" w:lineRule="exact"/>
        <w:rPr>
          <w:sz w:val="20"/>
          <w:szCs w:val="20"/>
          <w:color w:val="auto"/>
        </w:rPr>
      </w:pPr>
    </w:p>
    <w:p>
      <w:pPr>
        <w:jc w:val="both"/>
        <w:ind w:firstLine="1123"/>
        <w:spacing w:after="0" w:line="254" w:lineRule="auto"/>
        <w:rPr>
          <w:sz w:val="20"/>
          <w:szCs w:val="20"/>
          <w:color w:val="auto"/>
        </w:rPr>
      </w:pPr>
      <w:r>
        <w:rPr>
          <w:rFonts w:ascii="Times New Roman" w:cs="Times New Roman" w:eastAsia="Times New Roman" w:hAnsi="Times New Roman"/>
          <w:sz w:val="20"/>
          <w:szCs w:val="20"/>
          <w:color w:val="auto"/>
        </w:rPr>
        <w:t>A Resignation for Good Reason will not be deemed to have occurred unless you give the Company written notice of the condition within 90 days after the condition comes into existence and the Company fails to remedy the condition within 30 days after receiving your written notice.</w:t>
      </w:r>
    </w:p>
    <w:p>
      <w:pPr>
        <w:spacing w:after="0" w:line="170"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Separation</w:t>
      </w:r>
      <w:r>
        <w:rPr>
          <w:rFonts w:ascii="Times New Roman" w:cs="Times New Roman" w:eastAsia="Times New Roman" w:hAnsi="Times New Roman"/>
          <w:sz w:val="20"/>
          <w:szCs w:val="20"/>
          <w:color w:val="auto"/>
        </w:rPr>
        <w:t>” means a “separation from service,” as defined in the regulations under Section 409A of the Code.</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p>
      <w:pPr>
        <w:sectPr>
          <w:pgSz w:w="11900" w:h="16838" w:orient="portrait"/>
          <w:cols w:equalWidth="0" w:num="1">
            <w:col w:w="11240"/>
          </w:cols>
          <w:pgMar w:left="320" w:top="265" w:right="339" w:bottom="1440" w:gutter="0" w:footer="0" w:header="0"/>
        </w:sectPr>
      </w:pPr>
    </w:p>
    <w:bookmarkStart w:id="339" w:name="page340"/>
    <w:bookmarkEnd w:id="339"/>
    <w:p>
      <w:pPr>
        <w:spacing w:after="0"/>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Aziz Mottiwala</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June 22, 2020</w:t>
      </w:r>
    </w:p>
    <w:p>
      <w:pPr>
        <w:spacing w:after="0"/>
        <w:rPr>
          <w:sz w:val="20"/>
          <w:szCs w:val="20"/>
          <w:color w:val="auto"/>
        </w:rPr>
      </w:pPr>
      <w:r>
        <w:rPr>
          <w:rFonts w:ascii="Times New Roman" w:cs="Times New Roman" w:eastAsia="Times New Roman" w:hAnsi="Times New Roman"/>
          <w:sz w:val="20"/>
          <w:szCs w:val="20"/>
          <w:color w:val="auto"/>
        </w:rPr>
        <w:t>Page 5</w:t>
      </w:r>
    </w:p>
    <w:p>
      <w:pPr>
        <w:spacing w:after="0" w:line="122" w:lineRule="exact"/>
        <w:rPr>
          <w:sz w:val="20"/>
          <w:szCs w:val="20"/>
          <w:color w:val="auto"/>
        </w:rPr>
      </w:pPr>
    </w:p>
    <w:p>
      <w:pPr>
        <w:ind w:firstLine="1123"/>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Termination Without Cause</w:t>
      </w:r>
      <w:r>
        <w:rPr>
          <w:rFonts w:ascii="Times New Roman" w:cs="Times New Roman" w:eastAsia="Times New Roman" w:hAnsi="Times New Roman"/>
          <w:sz w:val="20"/>
          <w:szCs w:val="20"/>
          <w:color w:val="auto"/>
        </w:rPr>
        <w:t>” means a Separation as a result of a termination of your employment by the Company without Cause, provided you are willing and able to continue performing services within the meaning of Treasury Regulation 1.409A-1(n)(1).</w:t>
      </w:r>
    </w:p>
    <w:p>
      <w:pPr>
        <w:spacing w:after="0" w:line="1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w:t>
      </w:r>
    </w:p>
    <w:p>
      <w:pPr>
        <w:spacing w:after="0" w:line="1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w:t>
      </w:r>
    </w:p>
    <w:p>
      <w:pPr>
        <w:sectPr>
          <w:pgSz w:w="11900" w:h="16838" w:orient="portrait"/>
          <w:cols w:equalWidth="0" w:num="1">
            <w:col w:w="11240"/>
          </w:cols>
          <w:pgMar w:left="320" w:top="265" w:right="339" w:bottom="1440" w:gutter="0" w:footer="0" w:header="0"/>
        </w:sectPr>
      </w:pPr>
    </w:p>
    <w:bookmarkStart w:id="340" w:name="page341"/>
    <w:bookmarkEnd w:id="340"/>
    <w:p>
      <w:pPr>
        <w:spacing w:after="0"/>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Aziz Mottiwala</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June 22, 2020</w:t>
      </w:r>
    </w:p>
    <w:p>
      <w:pPr>
        <w:spacing w:after="0"/>
        <w:rPr>
          <w:sz w:val="20"/>
          <w:szCs w:val="20"/>
          <w:color w:val="auto"/>
        </w:rPr>
      </w:pPr>
      <w:r>
        <w:rPr>
          <w:rFonts w:ascii="Times New Roman" w:cs="Times New Roman" w:eastAsia="Times New Roman" w:hAnsi="Times New Roman"/>
          <w:sz w:val="20"/>
          <w:szCs w:val="20"/>
          <w:color w:val="auto"/>
        </w:rPr>
        <w:t>Page 6</w:t>
      </w:r>
    </w:p>
    <w:p>
      <w:pPr>
        <w:spacing w:after="0" w:line="126" w:lineRule="exact"/>
        <w:rPr>
          <w:sz w:val="20"/>
          <w:szCs w:val="20"/>
          <w:color w:val="auto"/>
        </w:rPr>
      </w:pPr>
    </w:p>
    <w:p>
      <w:pPr>
        <w:jc w:val="both"/>
        <w:ind w:firstLine="1123"/>
        <w:spacing w:after="0" w:line="245" w:lineRule="auto"/>
        <w:rPr>
          <w:sz w:val="20"/>
          <w:szCs w:val="20"/>
          <w:color w:val="auto"/>
        </w:rPr>
      </w:pPr>
      <w:r>
        <w:rPr>
          <w:rFonts w:ascii="Times New Roman" w:cs="Times New Roman" w:eastAsia="Times New Roman" w:hAnsi="Times New Roman"/>
          <w:sz w:val="20"/>
          <w:szCs w:val="20"/>
          <w:color w:val="auto"/>
        </w:rPr>
        <w:t>We hope that you will accept our offer to join the Company. You may indicate your agreement with these terms and accept this offer by signing and dating both the enclosed duplicate original of this letter agreement and the enclosed Proprietary Information and Inventions Agreement and returning them to me. This offer, if not accepted, will expire at the close of business on June 5, 2020. Your employment with the Company is contingent upon satisfactory completion of a background check, Board approval and, as required by law, upon your providing legal proof of your identity and authorization to work in the United States. Your employment is also contingent upon your starting work with the Company on or before July 13, 2020.</w:t>
      </w:r>
    </w:p>
    <w:p>
      <w:pPr>
        <w:spacing w:after="0" w:line="292" w:lineRule="exact"/>
        <w:rPr>
          <w:sz w:val="20"/>
          <w:szCs w:val="20"/>
          <w:color w:val="auto"/>
        </w:rPr>
      </w:pPr>
    </w:p>
    <w:p>
      <w:pPr>
        <w:ind w:left="1140"/>
        <w:spacing w:after="0"/>
        <w:tabs>
          <w:tab w:leader="none" w:pos="5340" w:val="left"/>
        </w:tabs>
        <w:rPr>
          <w:sz w:val="20"/>
          <w:szCs w:val="20"/>
          <w:color w:val="auto"/>
        </w:rPr>
      </w:pPr>
      <w:r>
        <w:rPr>
          <w:rFonts w:ascii="Times New Roman" w:cs="Times New Roman" w:eastAsia="Times New Roman" w:hAnsi="Times New Roman"/>
          <w:sz w:val="20"/>
          <w:szCs w:val="20"/>
          <w:color w:val="auto"/>
        </w:rPr>
        <w:t>If you have any questions, please call me at</w:t>
      </w:r>
      <w:r>
        <w:rPr>
          <w:sz w:val="20"/>
          <w:szCs w:val="20"/>
          <w:color w:val="auto"/>
        </w:rPr>
        <w:tab/>
      </w:r>
      <w:r>
        <w:rPr>
          <w:rFonts w:ascii="Times New Roman" w:cs="Times New Roman" w:eastAsia="Times New Roman" w:hAnsi="Times New Roman"/>
          <w:sz w:val="20"/>
          <w:szCs w:val="20"/>
          <w:color w:val="auto"/>
        </w:rPr>
        <w:t>.</w:t>
      </w:r>
    </w:p>
    <w:p>
      <w:pPr>
        <w:spacing w:after="0" w:line="364"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20"/>
          <w:szCs w:val="20"/>
          <w:color w:val="auto"/>
        </w:rPr>
        <w:t>Very truly yours,</w:t>
      </w:r>
    </w:p>
    <w:p>
      <w:pPr>
        <w:spacing w:after="0" w:line="337" w:lineRule="exact"/>
        <w:rPr>
          <w:sz w:val="20"/>
          <w:szCs w:val="20"/>
          <w:color w:val="auto"/>
        </w:rPr>
      </w:pPr>
    </w:p>
    <w:p>
      <w:pPr>
        <w:ind w:left="6940"/>
        <w:spacing w:after="0"/>
        <w:rPr>
          <w:sz w:val="20"/>
          <w:szCs w:val="20"/>
          <w:color w:val="auto"/>
        </w:rPr>
      </w:pPr>
      <w:r>
        <w:rPr>
          <w:rFonts w:ascii="Times New Roman" w:cs="Times New Roman" w:eastAsia="Times New Roman" w:hAnsi="Times New Roman"/>
          <w:sz w:val="20"/>
          <w:szCs w:val="20"/>
          <w:color w:val="auto"/>
        </w:rPr>
        <w:t>T</w:t>
      </w:r>
      <w:r>
        <w:rPr>
          <w:rFonts w:ascii="Times New Roman" w:cs="Times New Roman" w:eastAsia="Times New Roman" w:hAnsi="Times New Roman"/>
          <w:sz w:val="16"/>
          <w:szCs w:val="16"/>
          <w:color w:val="auto"/>
        </w:rPr>
        <w:t>ARSUS</w:t>
      </w:r>
      <w:r>
        <w:rPr>
          <w:rFonts w:ascii="Times New Roman" w:cs="Times New Roman" w:eastAsia="Times New Roman" w:hAnsi="Times New Roman"/>
          <w:sz w:val="20"/>
          <w:szCs w:val="20"/>
          <w:color w:val="auto"/>
        </w:rPr>
        <w:t xml:space="preserve"> P</w:t>
      </w:r>
      <w:r>
        <w:rPr>
          <w:rFonts w:ascii="Times New Roman" w:cs="Times New Roman" w:eastAsia="Times New Roman" w:hAnsi="Times New Roman"/>
          <w:sz w:val="16"/>
          <w:szCs w:val="16"/>
          <w:color w:val="auto"/>
        </w:rPr>
        <w:t>HARMACEUTICALS</w:t>
      </w:r>
      <w:r>
        <w:rPr>
          <w:rFonts w:ascii="Times New Roman" w:cs="Times New Roman" w:eastAsia="Times New Roman" w:hAnsi="Times New Roman"/>
          <w:sz w:val="20"/>
          <w:szCs w:val="20"/>
          <w:color w:val="auto"/>
        </w:rPr>
        <w:t>, I</w:t>
      </w:r>
      <w:r>
        <w:rPr>
          <w:rFonts w:ascii="Times New Roman" w:cs="Times New Roman" w:eastAsia="Times New Roman" w:hAnsi="Times New Roman"/>
          <w:sz w:val="16"/>
          <w:szCs w:val="16"/>
          <w:color w:val="auto"/>
        </w:rPr>
        <w:t>NC</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6940"/>
        <w:spacing w:after="0"/>
        <w:tabs>
          <w:tab w:leader="none" w:pos="7420" w:val="left"/>
        </w:tabs>
        <w:rPr>
          <w:sz w:val="20"/>
          <w:szCs w:val="20"/>
          <w:color w:val="auto"/>
        </w:rPr>
      </w:pPr>
      <w:r>
        <w:rPr>
          <w:rFonts w:ascii="Times New Roman" w:cs="Times New Roman" w:eastAsia="Times New Roman" w:hAnsi="Times New Roman"/>
          <w:sz w:val="20"/>
          <w:szCs w:val="20"/>
          <w:color w:val="auto"/>
        </w:rPr>
        <w:t>By:</w:t>
        <w:tab/>
        <w:t>/s/ Bobak Azamian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4685665</wp:posOffset>
            </wp:positionH>
            <wp:positionV relativeFrom="paragraph">
              <wp:posOffset>13970</wp:posOffset>
            </wp:positionV>
            <wp:extent cx="2451735" cy="825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2451735" cy="8255"/>
                    </a:xfrm>
                    <a:prstGeom prst="rect">
                      <a:avLst/>
                    </a:prstGeom>
                    <a:noFill/>
                  </pic:spPr>
                </pic:pic>
              </a:graphicData>
            </a:graphic>
          </wp:anchor>
        </w:drawing>
      </w:r>
    </w:p>
    <w:p>
      <w:pPr>
        <w:spacing w:after="0" w:line="4" w:lineRule="exact"/>
        <w:rPr>
          <w:sz w:val="20"/>
          <w:szCs w:val="20"/>
          <w:color w:val="auto"/>
        </w:rPr>
      </w:pPr>
    </w:p>
    <w:p>
      <w:pPr>
        <w:ind w:left="6940"/>
        <w:spacing w:after="0"/>
        <w:rPr>
          <w:sz w:val="20"/>
          <w:szCs w:val="20"/>
          <w:color w:val="auto"/>
        </w:rPr>
      </w:pPr>
      <w:r>
        <w:rPr>
          <w:rFonts w:ascii="Times New Roman" w:cs="Times New Roman" w:eastAsia="Times New Roman" w:hAnsi="Times New Roman"/>
          <w:sz w:val="18"/>
          <w:szCs w:val="18"/>
          <w:color w:val="auto"/>
        </w:rPr>
        <w:t xml:space="preserve">Title: </w:t>
      </w:r>
      <w:r>
        <w:rPr>
          <w:rFonts w:ascii="Times New Roman" w:cs="Times New Roman" w:eastAsia="Times New Roman" w:hAnsi="Times New Roman"/>
          <w:sz w:val="19"/>
          <w:szCs w:val="19"/>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4685665</wp:posOffset>
            </wp:positionH>
            <wp:positionV relativeFrom="paragraph">
              <wp:posOffset>14605</wp:posOffset>
            </wp:positionV>
            <wp:extent cx="2451735" cy="825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24517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 have read and accept this employment offer: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Seshadri Neervannan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1723390" cy="825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1723390" cy="825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Signature of Seshadri Neervannan</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Dated: June 4, 2020</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Attachment</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Exhibit A: Proprietary Information and Inventions Agreement</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w:t>
      </w:r>
    </w:p>
    <w:p>
      <w:pPr>
        <w:sectPr>
          <w:pgSz w:w="11900" w:h="16838" w:orient="portrait"/>
          <w:cols w:equalWidth="0" w:num="1">
            <w:col w:w="11240"/>
          </w:cols>
          <w:pgMar w:left="320" w:top="265" w:right="339" w:bottom="1440" w:gutter="0" w:footer="0" w:header="0"/>
        </w:sectPr>
      </w:pPr>
    </w:p>
    <w:bookmarkStart w:id="341" w:name="page342"/>
    <w:bookmarkEnd w:id="341"/>
    <w:p>
      <w:pPr>
        <w:jc w:val="right"/>
        <w:spacing w:after="0"/>
        <w:rPr>
          <w:sz w:val="20"/>
          <w:szCs w:val="20"/>
          <w:color w:val="auto"/>
        </w:rPr>
      </w:pPr>
      <w:r>
        <w:rPr>
          <w:rFonts w:ascii="Times New Roman" w:cs="Times New Roman" w:eastAsia="Times New Roman" w:hAnsi="Times New Roman"/>
          <w:sz w:val="20"/>
          <w:szCs w:val="20"/>
          <w:b w:val="1"/>
          <w:bCs w:val="1"/>
          <w:color w:val="auto"/>
        </w:rPr>
        <w:t>Exhibit 10.8</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w:t>
      </w:r>
      <w:r>
        <w:rPr>
          <w:rFonts w:ascii="Times New Roman" w:cs="Times New Roman" w:eastAsia="Times New Roman" w:hAnsi="Times New Roman"/>
          <w:sz w:val="16"/>
          <w:szCs w:val="16"/>
          <w:b w:val="1"/>
          <w:bCs w:val="1"/>
          <w:color w:val="auto"/>
        </w:rPr>
        <w:t>ARSUS</w:t>
      </w:r>
      <w:r>
        <w:rPr>
          <w:rFonts w:ascii="Times New Roman" w:cs="Times New Roman" w:eastAsia="Times New Roman" w:hAnsi="Times New Roman"/>
          <w:sz w:val="20"/>
          <w:szCs w:val="20"/>
          <w:b w:val="1"/>
          <w:bCs w:val="1"/>
          <w:color w:val="auto"/>
        </w:rPr>
        <w:t xml:space="preserve"> P</w:t>
      </w:r>
      <w:r>
        <w:rPr>
          <w:rFonts w:ascii="Times New Roman" w:cs="Times New Roman" w:eastAsia="Times New Roman" w:hAnsi="Times New Roman"/>
          <w:sz w:val="16"/>
          <w:szCs w:val="16"/>
          <w:b w:val="1"/>
          <w:bCs w:val="1"/>
          <w:color w:val="auto"/>
        </w:rPr>
        <w:t>HARMACEUTICALS</w:t>
      </w:r>
      <w:r>
        <w:rPr>
          <w:rFonts w:ascii="Times New Roman" w:cs="Times New Roman" w:eastAsia="Times New Roman" w:hAnsi="Times New Roman"/>
          <w:sz w:val="20"/>
          <w:szCs w:val="20"/>
          <w:b w:val="1"/>
          <w:bCs w:val="1"/>
          <w:color w:val="auto"/>
        </w:rPr>
        <w:t>, I</w:t>
      </w:r>
      <w:r>
        <w:rPr>
          <w:rFonts w:ascii="Times New Roman" w:cs="Times New Roman" w:eastAsia="Times New Roman" w:hAnsi="Times New Roman"/>
          <w:sz w:val="16"/>
          <w:szCs w:val="16"/>
          <w:b w:val="1"/>
          <w:bCs w:val="1"/>
          <w:color w:val="auto"/>
        </w:rPr>
        <w:t>NC</w:t>
      </w:r>
      <w:r>
        <w:rPr>
          <w:rFonts w:ascii="Times New Roman" w:cs="Times New Roman" w:eastAsia="Times New Roman" w:hAnsi="Times New Roman"/>
          <w:sz w:val="20"/>
          <w:szCs w:val="20"/>
          <w:b w:val="1"/>
          <w:bCs w:val="1"/>
          <w:color w:val="auto"/>
        </w:rPr>
        <w:t>.</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October 29, 2018</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Mark J Holdbrook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99695</wp:posOffset>
            </wp:positionV>
            <wp:extent cx="1139825" cy="825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113982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194310</wp:posOffset>
            </wp:positionV>
            <wp:extent cx="1139825" cy="825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1139825" cy="8255"/>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Dear Mark:</w:t>
      </w:r>
    </w:p>
    <w:p>
      <w:pPr>
        <w:spacing w:after="0" w:line="21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20"/>
          <w:szCs w:val="20"/>
          <w:color w:val="auto"/>
        </w:rPr>
        <w:t>Tarsus Pharmaceuticals, Inc.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is pleased to offer you employment on the following terms:</w:t>
      </w:r>
    </w:p>
    <w:p>
      <w:pPr>
        <w:spacing w:after="0" w:line="212" w:lineRule="exact"/>
        <w:rPr>
          <w:sz w:val="20"/>
          <w:szCs w:val="20"/>
          <w:color w:val="auto"/>
        </w:rPr>
      </w:pPr>
    </w:p>
    <w:p>
      <w:pPr>
        <w:jc w:val="both"/>
        <w:ind w:firstLine="570"/>
        <w:spacing w:after="0" w:line="247" w:lineRule="auto"/>
        <w:tabs>
          <w:tab w:leader="none" w:pos="1281" w:val="left"/>
        </w:tabs>
        <w:numPr>
          <w:ilvl w:val="0"/>
          <w:numId w:val="3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Position</w:t>
      </w:r>
      <w:r>
        <w:rPr>
          <w:rFonts w:ascii="Times New Roman" w:cs="Times New Roman" w:eastAsia="Times New Roman" w:hAnsi="Times New Roman"/>
          <w:sz w:val="20"/>
          <w:szCs w:val="20"/>
          <w:color w:val="auto"/>
        </w:rPr>
        <w:t>. Your initial title will be Vice President, Clinical Affairs, and you will report to the Company’s Chief Executive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Officer. This is a full-time position. While you render services to the Company, you will not engage in any other employment, consulting or other business activity (whether full-time or part-time) that would create a conflict of interest with the Company. By signing this letter agreement, you confirm to the Company that you have no contractual commitments or other legal obligations that would prohibit you from performing your duties for the Company.</w:t>
      </w:r>
    </w:p>
    <w:p>
      <w:pPr>
        <w:spacing w:after="0" w:line="180" w:lineRule="exact"/>
        <w:rPr>
          <w:rFonts w:ascii="Times New Roman" w:cs="Times New Roman" w:eastAsia="Times New Roman" w:hAnsi="Times New Roman"/>
          <w:sz w:val="20"/>
          <w:szCs w:val="20"/>
          <w:color w:val="auto"/>
        </w:rPr>
      </w:pPr>
    </w:p>
    <w:p>
      <w:pPr>
        <w:jc w:val="both"/>
        <w:ind w:firstLine="570"/>
        <w:spacing w:after="0" w:line="257" w:lineRule="auto"/>
        <w:tabs>
          <w:tab w:leader="none" w:pos="1173" w:val="left"/>
        </w:tabs>
        <w:numPr>
          <w:ilvl w:val="0"/>
          <w:numId w:val="32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Cash Compensation</w:t>
      </w:r>
      <w:r>
        <w:rPr>
          <w:rFonts w:ascii="Times New Roman" w:cs="Times New Roman" w:eastAsia="Times New Roman" w:hAnsi="Times New Roman"/>
          <w:sz w:val="19"/>
          <w:szCs w:val="19"/>
          <w:color w:val="auto"/>
        </w:rPr>
        <w:t>. The Company will pay you a starting salary at the rate of $250,000.00 per year, payable in accordance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with the Company’s standard payroll schedule. This salary will be subject to adjustment pursuant to the Company’s employee compensation policies in effect from time to time. In addition, commencing upon the closing of the Company’s Series B Preferred Stock financing, you will be eligible to be considered for an incentive bonus for each fiscal year of the Company. The bonus (if any) will be awarded based on objective or subjective criteria established by the Company’s Chief Executive Officer and approved by the Company’s Board of Directors. Your target bonus, which is payable upon on the closing of the Company’s Series B Preferred Stock financing pursuant to which the Company raises at least $7,000,000.00, will be equal to 20.00% of your annual base salary. Any bonus for the fiscal year in which your employment begins will be prorated, based on the number of days you are employed by the Company during that fiscal year. Any bonus for a fiscal year will be paid within 2</w:t>
      </w:r>
      <w:r>
        <w:rPr>
          <w:rFonts w:ascii="Times New Roman" w:cs="Times New Roman" w:eastAsia="Times New Roman" w:hAnsi="Times New Roman"/>
          <w:sz w:val="15"/>
          <w:szCs w:val="15"/>
          <w:color w:val="auto"/>
        </w:rPr>
        <w:t>1</w:t>
      </w:r>
      <w:r>
        <w:rPr>
          <w:rFonts w:ascii="Times New Roman" w:cs="Times New Roman" w:eastAsia="Times New Roman" w:hAnsi="Times New Roman"/>
          <w:sz w:val="19"/>
          <w:szCs w:val="19"/>
          <w:color w:val="auto"/>
        </w:rPr>
        <w:t>⁄</w:t>
      </w:r>
      <w:r>
        <w:rPr>
          <w:rFonts w:ascii="Times New Roman" w:cs="Times New Roman" w:eastAsia="Times New Roman" w:hAnsi="Times New Roman"/>
          <w:sz w:val="15"/>
          <w:szCs w:val="15"/>
          <w:color w:val="auto"/>
        </w:rPr>
        <w:t>2</w:t>
      </w:r>
      <w:r>
        <w:rPr>
          <w:rFonts w:ascii="Times New Roman" w:cs="Times New Roman" w:eastAsia="Times New Roman" w:hAnsi="Times New Roman"/>
          <w:sz w:val="19"/>
          <w:szCs w:val="19"/>
          <w:color w:val="auto"/>
        </w:rPr>
        <w:t xml:space="preserve"> months after the close of that fiscal year, but only if you are still employed by the Company at the time of payment. The determinations of the Company’s Board of Directors with respect to your bonus will be final and binding.</w:t>
      </w:r>
    </w:p>
    <w:p>
      <w:pPr>
        <w:spacing w:after="0" w:line="171" w:lineRule="exact"/>
        <w:rPr>
          <w:rFonts w:ascii="Times New Roman" w:cs="Times New Roman" w:eastAsia="Times New Roman" w:hAnsi="Times New Roman"/>
          <w:sz w:val="19"/>
          <w:szCs w:val="19"/>
          <w:color w:val="auto"/>
        </w:rPr>
      </w:pPr>
    </w:p>
    <w:p>
      <w:pPr>
        <w:jc w:val="both"/>
        <w:ind w:right="20" w:firstLine="570"/>
        <w:spacing w:after="0" w:line="256" w:lineRule="auto"/>
        <w:tabs>
          <w:tab w:leader="none" w:pos="1268" w:val="left"/>
        </w:tabs>
        <w:numPr>
          <w:ilvl w:val="0"/>
          <w:numId w:val="3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Employee Benefits</w:t>
      </w:r>
      <w:r>
        <w:rPr>
          <w:rFonts w:ascii="Times New Roman" w:cs="Times New Roman" w:eastAsia="Times New Roman" w:hAnsi="Times New Roman"/>
          <w:sz w:val="20"/>
          <w:szCs w:val="20"/>
          <w:color w:val="auto"/>
        </w:rPr>
        <w:t>. As a regular employee of the Company, you will be eligible to participate in a number of Company-sponsored benefits. In addition, you will be entitled to paid vacation in accordance with the Company’s vacation policy, as in effect from time to time.</w:t>
      </w:r>
    </w:p>
    <w:p>
      <w:pPr>
        <w:spacing w:after="0" w:line="168" w:lineRule="exact"/>
        <w:rPr>
          <w:rFonts w:ascii="Times New Roman" w:cs="Times New Roman" w:eastAsia="Times New Roman" w:hAnsi="Times New Roman"/>
          <w:sz w:val="20"/>
          <w:szCs w:val="20"/>
          <w:color w:val="auto"/>
        </w:rPr>
      </w:pPr>
    </w:p>
    <w:p>
      <w:pPr>
        <w:jc w:val="both"/>
        <w:ind w:firstLine="570"/>
        <w:spacing w:after="0" w:line="247" w:lineRule="auto"/>
        <w:tabs>
          <w:tab w:leader="none" w:pos="1416" w:val="left"/>
        </w:tabs>
        <w:numPr>
          <w:ilvl w:val="0"/>
          <w:numId w:val="3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Stock Options</w:t>
      </w:r>
      <w:r>
        <w:rPr>
          <w:rFonts w:ascii="Times New Roman" w:cs="Times New Roman" w:eastAsia="Times New Roman" w:hAnsi="Times New Roman"/>
          <w:sz w:val="20"/>
          <w:szCs w:val="20"/>
          <w:color w:val="auto"/>
        </w:rPr>
        <w:t>. You were granted an option to purchase up to 622,500 shares of the Company’s Common Stock 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November 29, 2017 (the “</w:t>
      </w:r>
      <w:r>
        <w:rPr>
          <w:rFonts w:ascii="Times New Roman" w:cs="Times New Roman" w:eastAsia="Times New Roman" w:hAnsi="Times New Roman"/>
          <w:sz w:val="20"/>
          <w:szCs w:val="20"/>
          <w:u w:val="single" w:color="auto"/>
          <w:color w:val="auto"/>
        </w:rPr>
        <w:t>Option</w:t>
      </w:r>
      <w:r>
        <w:rPr>
          <w:rFonts w:ascii="Times New Roman" w:cs="Times New Roman" w:eastAsia="Times New Roman" w:hAnsi="Times New Roman"/>
          <w:sz w:val="20"/>
          <w:szCs w:val="20"/>
          <w:color w:val="auto"/>
        </w:rPr>
        <w:t>”) pursuant to the terms of that certain Consulting Agreement by and between you and the Company, dated November 1, 2017 (the “</w:t>
      </w:r>
      <w:r>
        <w:rPr>
          <w:rFonts w:ascii="Times New Roman" w:cs="Times New Roman" w:eastAsia="Times New Roman" w:hAnsi="Times New Roman"/>
          <w:sz w:val="20"/>
          <w:szCs w:val="20"/>
          <w:u w:val="single" w:color="auto"/>
          <w:color w:val="auto"/>
        </w:rPr>
        <w:t>Consulting Agreement</w:t>
      </w:r>
      <w:r>
        <w:rPr>
          <w:rFonts w:ascii="Times New Roman" w:cs="Times New Roman" w:eastAsia="Times New Roman" w:hAnsi="Times New Roman"/>
          <w:sz w:val="20"/>
          <w:szCs w:val="20"/>
          <w:color w:val="auto"/>
        </w:rPr>
        <w:t>”). The Company’s Board of Directors (the “Board”) or its Compensation Committee may, in its sole discretion, decide to issue you additional stock options. The terms of any such additional stock options shall be as determined by the Board or its Compensation Committee, as applicable, at the time such options are granted, if at all.</w:t>
      </w:r>
    </w:p>
    <w:p>
      <w:pPr>
        <w:sectPr>
          <w:pgSz w:w="11900" w:h="16838" w:orient="portrait"/>
          <w:cols w:equalWidth="0" w:num="1">
            <w:col w:w="11240"/>
          </w:cols>
          <w:pgMar w:left="320" w:top="114" w:right="339" w:bottom="1440" w:gutter="0" w:footer="0" w:header="0"/>
        </w:sectPr>
      </w:pPr>
    </w:p>
    <w:bookmarkStart w:id="342" w:name="page343"/>
    <w:bookmarkEnd w:id="342"/>
    <w:p>
      <w:pPr>
        <w:spacing w:after="0"/>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Mark Holdbrook</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October 29, 2018</w:t>
      </w:r>
    </w:p>
    <w:p>
      <w:pPr>
        <w:spacing w:after="0"/>
        <w:rPr>
          <w:sz w:val="20"/>
          <w:szCs w:val="20"/>
          <w:color w:val="auto"/>
        </w:rPr>
      </w:pPr>
      <w:r>
        <w:rPr>
          <w:rFonts w:ascii="Times New Roman" w:cs="Times New Roman" w:eastAsia="Times New Roman" w:hAnsi="Times New Roman"/>
          <w:sz w:val="20"/>
          <w:szCs w:val="20"/>
          <w:color w:val="auto"/>
        </w:rPr>
        <w:t>Page 2</w:t>
      </w:r>
    </w:p>
    <w:p>
      <w:pPr>
        <w:spacing w:after="0" w:line="122" w:lineRule="exact"/>
        <w:rPr>
          <w:sz w:val="20"/>
          <w:szCs w:val="20"/>
          <w:color w:val="auto"/>
        </w:rPr>
      </w:pPr>
    </w:p>
    <w:p>
      <w:pPr>
        <w:jc w:val="both"/>
        <w:ind w:firstLine="570"/>
        <w:spacing w:after="0" w:line="256" w:lineRule="auto"/>
        <w:tabs>
          <w:tab w:leader="none" w:pos="1173" w:val="left"/>
        </w:tabs>
        <w:numPr>
          <w:ilvl w:val="0"/>
          <w:numId w:val="3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Proprietary Information and Inventions Agreement</w:t>
      </w:r>
      <w:r>
        <w:rPr>
          <w:rFonts w:ascii="Times New Roman" w:cs="Times New Roman" w:eastAsia="Times New Roman" w:hAnsi="Times New Roman"/>
          <w:sz w:val="20"/>
          <w:szCs w:val="20"/>
          <w:color w:val="auto"/>
        </w:rPr>
        <w:t>. Like all Company employees, you will be required, as a condition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your employment with the Company, to sign the Company’s standard Proprietary Information and Inventions Agreement, a copy of which is attached hereto as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w:t>
      </w:r>
    </w:p>
    <w:p>
      <w:pPr>
        <w:spacing w:after="0" w:line="168" w:lineRule="exact"/>
        <w:rPr>
          <w:rFonts w:ascii="Times New Roman" w:cs="Times New Roman" w:eastAsia="Times New Roman" w:hAnsi="Times New Roman"/>
          <w:sz w:val="20"/>
          <w:szCs w:val="20"/>
          <w:color w:val="auto"/>
        </w:rPr>
      </w:pPr>
    </w:p>
    <w:p>
      <w:pPr>
        <w:jc w:val="both"/>
        <w:ind w:firstLine="570"/>
        <w:spacing w:after="0" w:line="246" w:lineRule="auto"/>
        <w:tabs>
          <w:tab w:leader="none" w:pos="1281" w:val="left"/>
        </w:tabs>
        <w:numPr>
          <w:ilvl w:val="0"/>
          <w:numId w:val="3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Employment Relationship</w:t>
      </w:r>
      <w:r>
        <w:rPr>
          <w:rFonts w:ascii="Times New Roman" w:cs="Times New Roman" w:eastAsia="Times New Roman" w:hAnsi="Times New Roman"/>
          <w:sz w:val="20"/>
          <w:szCs w:val="20"/>
          <w:color w:val="auto"/>
        </w:rPr>
        <w:t>. Employment with the Company is for no specific period of time. Your employment with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Company will be “at will,” meaning that either you or the Company may terminate your employment at any time and for any reason, with or without cause. Any contrary representations that may have been made to you are superseded by this letter agreement. This is the full and complete agreement between you and the Company on this term. Although your job duties, title, compensation and benefits, as well as the Company’s personnel policies and procedures, may change from time to time, the “at will” nature of your employment may only be changed in an express written agreement signed by you and a duly authorized officer of the Company (other than you).</w:t>
      </w:r>
    </w:p>
    <w:p>
      <w:pPr>
        <w:spacing w:after="0" w:line="178" w:lineRule="exact"/>
        <w:rPr>
          <w:rFonts w:ascii="Times New Roman" w:cs="Times New Roman" w:eastAsia="Times New Roman" w:hAnsi="Times New Roman"/>
          <w:sz w:val="20"/>
          <w:szCs w:val="20"/>
          <w:color w:val="auto"/>
        </w:rPr>
      </w:pPr>
    </w:p>
    <w:p>
      <w:pPr>
        <w:jc w:val="both"/>
        <w:ind w:firstLine="570"/>
        <w:spacing w:after="0" w:line="250" w:lineRule="auto"/>
        <w:tabs>
          <w:tab w:leader="none" w:pos="1308" w:val="left"/>
        </w:tabs>
        <w:numPr>
          <w:ilvl w:val="0"/>
          <w:numId w:val="3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Termination of Consulting Agreement</w:t>
      </w:r>
      <w:r>
        <w:rPr>
          <w:rFonts w:ascii="Times New Roman" w:cs="Times New Roman" w:eastAsia="Times New Roman" w:hAnsi="Times New Roman"/>
          <w:sz w:val="20"/>
          <w:szCs w:val="20"/>
          <w:color w:val="auto"/>
        </w:rPr>
        <w:t>. Notwithstanding Section 4 thereof, you hereby acknowledge and agree that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Consulting Agreement shall automatically and immediately terminate upon the commencement of your employment with the Company. For the avoidance of doubt, there shall be no break in Service as defined in the Option as a result of the commencement of your employment by the Company.</w:t>
      </w:r>
    </w:p>
    <w:p>
      <w:pPr>
        <w:spacing w:after="0" w:line="175" w:lineRule="exact"/>
        <w:rPr>
          <w:rFonts w:ascii="Times New Roman" w:cs="Times New Roman" w:eastAsia="Times New Roman" w:hAnsi="Times New Roman"/>
          <w:sz w:val="20"/>
          <w:szCs w:val="20"/>
          <w:color w:val="auto"/>
        </w:rPr>
      </w:pPr>
    </w:p>
    <w:p>
      <w:pPr>
        <w:ind w:left="1120" w:hanging="550"/>
        <w:spacing w:after="0"/>
        <w:tabs>
          <w:tab w:leader="none" w:pos="1120" w:val="left"/>
        </w:tabs>
        <w:numPr>
          <w:ilvl w:val="0"/>
          <w:numId w:val="3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Tax Matters</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ind w:firstLine="1131"/>
        <w:spacing w:after="0" w:line="273" w:lineRule="auto"/>
        <w:tabs>
          <w:tab w:leader="none" w:pos="1995" w:val="left"/>
        </w:tabs>
        <w:numPr>
          <w:ilvl w:val="1"/>
          <w:numId w:val="3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Withholding</w:t>
      </w:r>
      <w:r>
        <w:rPr>
          <w:rFonts w:ascii="Times New Roman" w:cs="Times New Roman" w:eastAsia="Times New Roman" w:hAnsi="Times New Roman"/>
          <w:sz w:val="20"/>
          <w:szCs w:val="20"/>
          <w:color w:val="auto"/>
        </w:rPr>
        <w:t>. All forms of compensation referred to in this letter agreement are subject to reduction to reflect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applicable withholding and payroll taxes and other deductions required by law.</w:t>
      </w:r>
    </w:p>
    <w:p>
      <w:pPr>
        <w:spacing w:after="0" w:line="151" w:lineRule="exact"/>
        <w:rPr>
          <w:rFonts w:ascii="Times New Roman" w:cs="Times New Roman" w:eastAsia="Times New Roman" w:hAnsi="Times New Roman"/>
          <w:sz w:val="20"/>
          <w:szCs w:val="20"/>
          <w:color w:val="auto"/>
        </w:rPr>
      </w:pPr>
    </w:p>
    <w:p>
      <w:pPr>
        <w:jc w:val="both"/>
        <w:ind w:firstLine="1131"/>
        <w:spacing w:after="0" w:line="256" w:lineRule="auto"/>
        <w:tabs>
          <w:tab w:leader="none" w:pos="1790" w:val="left"/>
        </w:tabs>
        <w:numPr>
          <w:ilvl w:val="1"/>
          <w:numId w:val="3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Tax Advice</w:t>
      </w:r>
      <w:r>
        <w:rPr>
          <w:rFonts w:ascii="Times New Roman" w:cs="Times New Roman" w:eastAsia="Times New Roman" w:hAnsi="Times New Roman"/>
          <w:sz w:val="20"/>
          <w:szCs w:val="20"/>
          <w:color w:val="auto"/>
        </w:rPr>
        <w:t>. You are encouraged to obtain your own tax advice regarding your compensation from the Company. You</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agree that the Company does not have a duty to design its compensation policies in a manner that minimizes your tax liabilities, and you will not make any claim against the Company or its Board of Directors related to tax liabilities arising from your compensation.</w:t>
      </w:r>
    </w:p>
    <w:p>
      <w:pPr>
        <w:spacing w:after="0" w:line="168" w:lineRule="exact"/>
        <w:rPr>
          <w:rFonts w:ascii="Times New Roman" w:cs="Times New Roman" w:eastAsia="Times New Roman" w:hAnsi="Times New Roman"/>
          <w:sz w:val="20"/>
          <w:szCs w:val="20"/>
          <w:color w:val="auto"/>
        </w:rPr>
      </w:pPr>
    </w:p>
    <w:p>
      <w:pPr>
        <w:jc w:val="both"/>
        <w:ind w:firstLine="570"/>
        <w:spacing w:after="0" w:line="243" w:lineRule="auto"/>
        <w:tabs>
          <w:tab w:leader="none" w:pos="1389" w:val="left"/>
        </w:tabs>
        <w:numPr>
          <w:ilvl w:val="0"/>
          <w:numId w:val="3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Interpretation, Amendment and Enforcement</w:t>
      </w:r>
      <w:r>
        <w:rPr>
          <w:rFonts w:ascii="Times New Roman" w:cs="Times New Roman" w:eastAsia="Times New Roman" w:hAnsi="Times New Roman"/>
          <w:sz w:val="20"/>
          <w:szCs w:val="20"/>
          <w:color w:val="auto"/>
        </w:rPr>
        <w:t>. This letter agreement and Exhibit A supersede and replace any prior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agreements, representations or understandings (whether written, oral, implied or otherwise) between you and the Company and constitute the complete agreement between you and the Company regarding the subject matter set forth herein. This letter agreement may not be amended or modified, except by an express written agreement signed by both you and a duly authorized officer of the Company. The terms of this letter agreement and the resolution of any disputes as to the meaning, effect, performance or validity of this letter agreement or arising out of, related to, or in any way connected with, this letter agreement, your employment with the Company or any other relationship between you and the Company (the “</w:t>
      </w:r>
      <w:r>
        <w:rPr>
          <w:rFonts w:ascii="Times New Roman" w:cs="Times New Roman" w:eastAsia="Times New Roman" w:hAnsi="Times New Roman"/>
          <w:sz w:val="20"/>
          <w:szCs w:val="20"/>
          <w:u w:val="single" w:color="auto"/>
          <w:color w:val="auto"/>
        </w:rPr>
        <w:t>Disputes</w:t>
      </w:r>
      <w:r>
        <w:rPr>
          <w:rFonts w:ascii="Times New Roman" w:cs="Times New Roman" w:eastAsia="Times New Roman" w:hAnsi="Times New Roman"/>
          <w:sz w:val="20"/>
          <w:szCs w:val="20"/>
          <w:color w:val="auto"/>
        </w:rPr>
        <w:t>”) will be governed by California law, excluding laws relating to conflicts or choice of law. You and the Company submit to the exclusive personal jurisdiction of the federal and state courts located in Orange County, California in connection with any Dispute or any claim related to any Dispute.</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1240"/>
          </w:cols>
          <w:pgMar w:left="320" w:top="265" w:right="339" w:bottom="1440" w:gutter="0" w:footer="0" w:header="0"/>
        </w:sectPr>
      </w:pPr>
    </w:p>
    <w:bookmarkStart w:id="343" w:name="page344"/>
    <w:bookmarkEnd w:id="343"/>
    <w:p>
      <w:pPr>
        <w:spacing w:after="0"/>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Mark Holdbrook</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October 29, 2018</w:t>
      </w:r>
    </w:p>
    <w:p>
      <w:pPr>
        <w:spacing w:after="0"/>
        <w:rPr>
          <w:sz w:val="20"/>
          <w:szCs w:val="20"/>
          <w:color w:val="auto"/>
        </w:rPr>
      </w:pPr>
      <w:r>
        <w:rPr>
          <w:rFonts w:ascii="Times New Roman" w:cs="Times New Roman" w:eastAsia="Times New Roman" w:hAnsi="Times New Roman"/>
          <w:sz w:val="20"/>
          <w:szCs w:val="20"/>
          <w:color w:val="auto"/>
        </w:rPr>
        <w:t>Page 3</w:t>
      </w:r>
    </w:p>
    <w:p>
      <w:pPr>
        <w:spacing w:after="0" w:line="126" w:lineRule="exact"/>
        <w:rPr>
          <w:sz w:val="20"/>
          <w:szCs w:val="20"/>
          <w:color w:val="auto"/>
        </w:rPr>
      </w:pPr>
    </w:p>
    <w:p>
      <w:pPr>
        <w:jc w:val="both"/>
        <w:ind w:firstLine="562"/>
        <w:spacing w:after="0" w:line="246" w:lineRule="auto"/>
        <w:rPr>
          <w:sz w:val="20"/>
          <w:szCs w:val="20"/>
          <w:color w:val="auto"/>
        </w:rPr>
      </w:pPr>
      <w:r>
        <w:rPr>
          <w:rFonts w:ascii="Times New Roman" w:cs="Times New Roman" w:eastAsia="Times New Roman" w:hAnsi="Times New Roman"/>
          <w:sz w:val="20"/>
          <w:szCs w:val="20"/>
          <w:color w:val="auto"/>
        </w:rPr>
        <w:t>We hope that you will accept our offer to join the Company. You may indicate your agreement with these terms and accept this offer by signing and dating both the enclosed duplicate original of this letter agreement and the enclosed Proprietary Information and Inventions Agreement and returning them to me. This offer, if not accepted, will expire at the close of business on October 31, 2018. As required by law, your employment with the Company is contingent upon your providing legal proof of your identity and authorization to work in the United States. Your employment is also contingent upon your starting work with the Company on or before November 1, 2018.</w:t>
      </w:r>
    </w:p>
    <w:p>
      <w:pPr>
        <w:spacing w:after="0" w:line="185" w:lineRule="exact"/>
        <w:rPr>
          <w:sz w:val="20"/>
          <w:szCs w:val="20"/>
          <w:color w:val="auto"/>
        </w:rPr>
      </w:pPr>
    </w:p>
    <w:p>
      <w:pPr>
        <w:ind w:left="1140"/>
        <w:spacing w:after="0"/>
        <w:tabs>
          <w:tab w:leader="none" w:pos="5340" w:val="left"/>
        </w:tabs>
        <w:rPr>
          <w:sz w:val="20"/>
          <w:szCs w:val="20"/>
          <w:color w:val="auto"/>
        </w:rPr>
      </w:pPr>
      <w:r>
        <w:rPr>
          <w:rFonts w:ascii="Times New Roman" w:cs="Times New Roman" w:eastAsia="Times New Roman" w:hAnsi="Times New Roman"/>
          <w:sz w:val="20"/>
          <w:szCs w:val="20"/>
          <w:color w:val="auto"/>
        </w:rPr>
        <w:t>If you have any questions, please call me at</w:t>
      </w:r>
      <w:r>
        <w:rPr>
          <w:sz w:val="20"/>
          <w:szCs w:val="20"/>
          <w:color w:val="auto"/>
        </w:rPr>
        <w:tab/>
      </w:r>
      <w:r>
        <w:rPr>
          <w:rFonts w:ascii="Times New Roman" w:cs="Times New Roman" w:eastAsia="Times New Roman" w:hAnsi="Times New Roman"/>
          <w:sz w:val="20"/>
          <w:szCs w:val="20"/>
          <w:color w:val="auto"/>
        </w:rPr>
        <w:t>.</w:t>
      </w:r>
    </w:p>
    <w:p>
      <w:pPr>
        <w:spacing w:after="0" w:line="364"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20"/>
          <w:szCs w:val="20"/>
          <w:color w:val="auto"/>
        </w:rPr>
        <w:t>Very truly yours,</w:t>
      </w:r>
    </w:p>
    <w:p>
      <w:pPr>
        <w:spacing w:after="0" w:line="337" w:lineRule="exact"/>
        <w:rPr>
          <w:sz w:val="20"/>
          <w:szCs w:val="20"/>
          <w:color w:val="auto"/>
        </w:rPr>
      </w:pPr>
    </w:p>
    <w:p>
      <w:pPr>
        <w:ind w:left="6940"/>
        <w:spacing w:after="0"/>
        <w:rPr>
          <w:sz w:val="20"/>
          <w:szCs w:val="20"/>
          <w:color w:val="auto"/>
        </w:rPr>
      </w:pPr>
      <w:r>
        <w:rPr>
          <w:rFonts w:ascii="Times New Roman" w:cs="Times New Roman" w:eastAsia="Times New Roman" w:hAnsi="Times New Roman"/>
          <w:sz w:val="20"/>
          <w:szCs w:val="20"/>
          <w:color w:val="auto"/>
        </w:rPr>
        <w:t>T</w:t>
      </w:r>
      <w:r>
        <w:rPr>
          <w:rFonts w:ascii="Times New Roman" w:cs="Times New Roman" w:eastAsia="Times New Roman" w:hAnsi="Times New Roman"/>
          <w:sz w:val="16"/>
          <w:szCs w:val="16"/>
          <w:color w:val="auto"/>
        </w:rPr>
        <w:t>ARSUS</w:t>
      </w:r>
      <w:r>
        <w:rPr>
          <w:rFonts w:ascii="Times New Roman" w:cs="Times New Roman" w:eastAsia="Times New Roman" w:hAnsi="Times New Roman"/>
          <w:sz w:val="20"/>
          <w:szCs w:val="20"/>
          <w:color w:val="auto"/>
        </w:rPr>
        <w:t xml:space="preserve"> P</w:t>
      </w:r>
      <w:r>
        <w:rPr>
          <w:rFonts w:ascii="Times New Roman" w:cs="Times New Roman" w:eastAsia="Times New Roman" w:hAnsi="Times New Roman"/>
          <w:sz w:val="16"/>
          <w:szCs w:val="16"/>
          <w:color w:val="auto"/>
        </w:rPr>
        <w:t>HARMACEUTICALS</w:t>
      </w:r>
      <w:r>
        <w:rPr>
          <w:rFonts w:ascii="Times New Roman" w:cs="Times New Roman" w:eastAsia="Times New Roman" w:hAnsi="Times New Roman"/>
          <w:sz w:val="20"/>
          <w:szCs w:val="20"/>
          <w:color w:val="auto"/>
        </w:rPr>
        <w:t>, I</w:t>
      </w:r>
      <w:r>
        <w:rPr>
          <w:rFonts w:ascii="Times New Roman" w:cs="Times New Roman" w:eastAsia="Times New Roman" w:hAnsi="Times New Roman"/>
          <w:sz w:val="16"/>
          <w:szCs w:val="16"/>
          <w:color w:val="auto"/>
        </w:rPr>
        <w:t>NC</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6940"/>
        <w:spacing w:after="0"/>
        <w:tabs>
          <w:tab w:leader="none" w:pos="7420" w:val="left"/>
        </w:tabs>
        <w:rPr>
          <w:sz w:val="20"/>
          <w:szCs w:val="20"/>
          <w:color w:val="auto"/>
        </w:rPr>
      </w:pPr>
      <w:r>
        <w:rPr>
          <w:rFonts w:ascii="Times New Roman" w:cs="Times New Roman" w:eastAsia="Times New Roman" w:hAnsi="Times New Roman"/>
          <w:sz w:val="20"/>
          <w:szCs w:val="20"/>
          <w:color w:val="auto"/>
        </w:rPr>
        <w:t>By:</w:t>
        <w:tab/>
        <w:t>/s/ Bobak Azamian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4685665</wp:posOffset>
            </wp:positionH>
            <wp:positionV relativeFrom="paragraph">
              <wp:posOffset>13970</wp:posOffset>
            </wp:positionV>
            <wp:extent cx="2451735" cy="825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2451735" cy="8255"/>
                    </a:xfrm>
                    <a:prstGeom prst="rect">
                      <a:avLst/>
                    </a:prstGeom>
                    <a:noFill/>
                  </pic:spPr>
                </pic:pic>
              </a:graphicData>
            </a:graphic>
          </wp:anchor>
        </w:drawing>
      </w:r>
    </w:p>
    <w:p>
      <w:pPr>
        <w:spacing w:after="0" w:line="4" w:lineRule="exact"/>
        <w:rPr>
          <w:sz w:val="20"/>
          <w:szCs w:val="20"/>
          <w:color w:val="auto"/>
        </w:rPr>
      </w:pPr>
    </w:p>
    <w:p>
      <w:pPr>
        <w:ind w:left="6940"/>
        <w:spacing w:after="0"/>
        <w:rPr>
          <w:sz w:val="20"/>
          <w:szCs w:val="20"/>
          <w:color w:val="auto"/>
        </w:rPr>
      </w:pPr>
      <w:r>
        <w:rPr>
          <w:rFonts w:ascii="Times New Roman" w:cs="Times New Roman" w:eastAsia="Times New Roman" w:hAnsi="Times New Roman"/>
          <w:sz w:val="18"/>
          <w:szCs w:val="18"/>
          <w:color w:val="auto"/>
        </w:rPr>
        <w:t xml:space="preserve">Title: </w:t>
      </w:r>
      <w:r>
        <w:rPr>
          <w:rFonts w:ascii="Times New Roman" w:cs="Times New Roman" w:eastAsia="Times New Roman" w:hAnsi="Times New Roman"/>
          <w:sz w:val="19"/>
          <w:szCs w:val="19"/>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4685665</wp:posOffset>
            </wp:positionH>
            <wp:positionV relativeFrom="paragraph">
              <wp:posOffset>14605</wp:posOffset>
            </wp:positionV>
            <wp:extent cx="2451735" cy="825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24517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 have read and accept this employment offer:</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MARK HOLDBROOK</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Mark Holdbrook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1500505" cy="825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1500505" cy="825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Signature of Mark Holdbrook</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Dated: October 31, 2018</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Attachments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Proprietary Information and Inventions Agreement</w:t>
      </w:r>
    </w:p>
    <w:p>
      <w:pPr>
        <w:spacing w:after="0" w:line="1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1240"/>
          </w:cols>
          <w:pgMar w:left="320" w:top="265" w:right="339" w:bottom="1440" w:gutter="0" w:footer="0" w:header="0"/>
        </w:sectPr>
      </w:pPr>
    </w:p>
    <w:bookmarkStart w:id="344" w:name="page345"/>
    <w:bookmarkEnd w:id="344"/>
    <w:p>
      <w:pPr>
        <w:jc w:val="right"/>
        <w:spacing w:after="0"/>
        <w:rPr>
          <w:sz w:val="20"/>
          <w:szCs w:val="20"/>
          <w:color w:val="auto"/>
        </w:rPr>
      </w:pPr>
      <w:r>
        <w:rPr>
          <w:rFonts w:ascii="Times New Roman" w:cs="Times New Roman" w:eastAsia="Times New Roman" w:hAnsi="Times New Roman"/>
          <w:sz w:val="20"/>
          <w:szCs w:val="20"/>
          <w:b w:val="1"/>
          <w:bCs w:val="1"/>
          <w:color w:val="auto"/>
        </w:rPr>
        <w:t>Exhibit 10.9</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w:t>
      </w:r>
      <w:r>
        <w:rPr>
          <w:rFonts w:ascii="Times New Roman" w:cs="Times New Roman" w:eastAsia="Times New Roman" w:hAnsi="Times New Roman"/>
          <w:sz w:val="16"/>
          <w:szCs w:val="16"/>
          <w:b w:val="1"/>
          <w:bCs w:val="1"/>
          <w:color w:val="auto"/>
        </w:rPr>
        <w:t>ARSUS</w:t>
      </w:r>
      <w:r>
        <w:rPr>
          <w:rFonts w:ascii="Times New Roman" w:cs="Times New Roman" w:eastAsia="Times New Roman" w:hAnsi="Times New Roman"/>
          <w:sz w:val="20"/>
          <w:szCs w:val="20"/>
          <w:b w:val="1"/>
          <w:bCs w:val="1"/>
          <w:color w:val="auto"/>
        </w:rPr>
        <w:t xml:space="preserve"> P</w:t>
      </w:r>
      <w:r>
        <w:rPr>
          <w:rFonts w:ascii="Times New Roman" w:cs="Times New Roman" w:eastAsia="Times New Roman" w:hAnsi="Times New Roman"/>
          <w:sz w:val="16"/>
          <w:szCs w:val="16"/>
          <w:b w:val="1"/>
          <w:bCs w:val="1"/>
          <w:color w:val="auto"/>
        </w:rPr>
        <w:t>HARMACEUTICALS</w:t>
      </w:r>
      <w:r>
        <w:rPr>
          <w:rFonts w:ascii="Times New Roman" w:cs="Times New Roman" w:eastAsia="Times New Roman" w:hAnsi="Times New Roman"/>
          <w:sz w:val="20"/>
          <w:szCs w:val="20"/>
          <w:b w:val="1"/>
          <w:bCs w:val="1"/>
          <w:color w:val="auto"/>
        </w:rPr>
        <w:t>, I</w:t>
      </w:r>
      <w:r>
        <w:rPr>
          <w:rFonts w:ascii="Times New Roman" w:cs="Times New Roman" w:eastAsia="Times New Roman" w:hAnsi="Times New Roman"/>
          <w:sz w:val="16"/>
          <w:szCs w:val="16"/>
          <w:b w:val="1"/>
          <w:bCs w:val="1"/>
          <w:color w:val="auto"/>
        </w:rPr>
        <w:t>NC</w:t>
      </w:r>
      <w:r>
        <w:rPr>
          <w:rFonts w:ascii="Times New Roman" w:cs="Times New Roman" w:eastAsia="Times New Roman" w:hAnsi="Times New Roman"/>
          <w:sz w:val="20"/>
          <w:szCs w:val="20"/>
          <w:b w:val="1"/>
          <w:bCs w:val="1"/>
          <w:color w:val="auto"/>
        </w:rPr>
        <w:t>.</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June 22, 2020</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Aziz Mottiwala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99695</wp:posOffset>
            </wp:positionV>
            <wp:extent cx="1139825" cy="825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113982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245745</wp:posOffset>
            </wp:positionV>
            <wp:extent cx="1139825" cy="889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11398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Dear Aziz:</w:t>
      </w:r>
    </w:p>
    <w:p>
      <w:pPr>
        <w:spacing w:after="0" w:line="21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0"/>
          <w:szCs w:val="20"/>
          <w:color w:val="auto"/>
        </w:rPr>
        <w:t>Tarsus Pharmaceuticals, Inc. (the “Company”) is pleased to offer you employment on the following terms:</w:t>
      </w:r>
    </w:p>
    <w:p>
      <w:pPr>
        <w:spacing w:after="0" w:line="212" w:lineRule="exact"/>
        <w:rPr>
          <w:sz w:val="20"/>
          <w:szCs w:val="20"/>
          <w:color w:val="auto"/>
        </w:rPr>
      </w:pPr>
    </w:p>
    <w:p>
      <w:pPr>
        <w:jc w:val="both"/>
        <w:ind w:firstLine="570"/>
        <w:spacing w:after="0" w:line="247" w:lineRule="auto"/>
        <w:tabs>
          <w:tab w:leader="none" w:pos="1133" w:val="left"/>
        </w:tabs>
        <w:numPr>
          <w:ilvl w:val="0"/>
          <w:numId w:val="3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Position</w:t>
      </w:r>
      <w:r>
        <w:rPr>
          <w:rFonts w:ascii="Times New Roman" w:cs="Times New Roman" w:eastAsia="Times New Roman" w:hAnsi="Times New Roman"/>
          <w:sz w:val="20"/>
          <w:szCs w:val="20"/>
          <w:color w:val="auto"/>
        </w:rPr>
        <w:t>. Your title will be Chief Commercial Officer. This is a full-time position, reporting to the Company’s Chief Executive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Officer. While you render services to the Company, you will not engage in any other employment, consulting or other business activity (whether full-time or part-time) that would create a conflict of interest with the Company. By signing this letter agreement, you confirm to the Company that you have no contractual commitments or other legal obligations that would prohibit you from performing your duties for the Company.</w:t>
      </w:r>
    </w:p>
    <w:p>
      <w:pPr>
        <w:spacing w:after="0" w:line="180" w:lineRule="exact"/>
        <w:rPr>
          <w:rFonts w:ascii="Times New Roman" w:cs="Times New Roman" w:eastAsia="Times New Roman" w:hAnsi="Times New Roman"/>
          <w:sz w:val="20"/>
          <w:szCs w:val="20"/>
          <w:color w:val="auto"/>
        </w:rPr>
      </w:pPr>
    </w:p>
    <w:p>
      <w:pPr>
        <w:jc w:val="both"/>
        <w:ind w:firstLine="570"/>
        <w:spacing w:after="0" w:line="244" w:lineRule="auto"/>
        <w:tabs>
          <w:tab w:leader="none" w:pos="1119" w:val="left"/>
        </w:tabs>
        <w:numPr>
          <w:ilvl w:val="0"/>
          <w:numId w:val="3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Cash Compensation</w:t>
      </w:r>
      <w:r>
        <w:rPr>
          <w:rFonts w:ascii="Times New Roman" w:cs="Times New Roman" w:eastAsia="Times New Roman" w:hAnsi="Times New Roman"/>
          <w:sz w:val="20"/>
          <w:szCs w:val="20"/>
          <w:color w:val="auto"/>
        </w:rPr>
        <w:t>. The Company will pay you a starting salary at the rate of $360,000 per year, payable in accordance with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Company’s standard payroll schedule. This salary will be subject to adjustment pursuant to the Company’s employee compensation policies in effect from time to time. In addition, you will be eligible to be considered for an incentive bonus for each fiscal year of the Company. The bonus (if any) will be awarded based on objective or subjective criteria established and approved by the Company’s Board of Directors (the “Board”). Your annual target bonus will be equal to 35% of your annual base salary. Any bonus for the fiscal year in which your employment begins will be prorated, based on the number of days you are employed by the Company during that fiscal year. Any bonus for a fiscal year will be paid within 2</w:t>
      </w:r>
      <w:r>
        <w:rPr>
          <w:rFonts w:ascii="Times New Roman" w:cs="Times New Roman" w:eastAsia="Times New Roman" w:hAnsi="Times New Roman"/>
          <w:sz w:val="16"/>
          <w:szCs w:val="16"/>
          <w:color w:val="auto"/>
        </w:rPr>
        <w:t>1</w:t>
      </w:r>
      <w:r>
        <w:rPr>
          <w:rFonts w:ascii="Times New Roman" w:cs="Times New Roman" w:eastAsia="Times New Roman" w:hAnsi="Times New Roman"/>
          <w:sz w:val="20"/>
          <w:szCs w:val="20"/>
          <w:color w:val="auto"/>
        </w:rPr>
        <w:t>⁄</w:t>
      </w:r>
      <w:r>
        <w:rPr>
          <w:rFonts w:ascii="Times New Roman" w:cs="Times New Roman" w:eastAsia="Times New Roman" w:hAnsi="Times New Roman"/>
          <w:sz w:val="16"/>
          <w:szCs w:val="16"/>
          <w:color w:val="auto"/>
        </w:rPr>
        <w:t>2</w:t>
      </w:r>
      <w:r>
        <w:rPr>
          <w:rFonts w:ascii="Times New Roman" w:cs="Times New Roman" w:eastAsia="Times New Roman" w:hAnsi="Times New Roman"/>
          <w:sz w:val="20"/>
          <w:szCs w:val="20"/>
          <w:color w:val="auto"/>
        </w:rPr>
        <w:t xml:space="preserve"> months after the close of that fiscal year, but only if you are still providing services to the Company at the time of payment. The determinations of the Board with respect to your bonus will be final and binding.</w:t>
      </w:r>
    </w:p>
    <w:p>
      <w:pPr>
        <w:spacing w:after="0" w:line="181" w:lineRule="exact"/>
        <w:rPr>
          <w:rFonts w:ascii="Times New Roman" w:cs="Times New Roman" w:eastAsia="Times New Roman" w:hAnsi="Times New Roman"/>
          <w:sz w:val="20"/>
          <w:szCs w:val="20"/>
          <w:color w:val="auto"/>
        </w:rPr>
      </w:pPr>
    </w:p>
    <w:p>
      <w:pPr>
        <w:jc w:val="both"/>
        <w:ind w:firstLine="570"/>
        <w:spacing w:after="0" w:line="246" w:lineRule="auto"/>
        <w:tabs>
          <w:tab w:leader="none" w:pos="1119" w:val="left"/>
        </w:tabs>
        <w:numPr>
          <w:ilvl w:val="0"/>
          <w:numId w:val="3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Signing Bonus</w:t>
      </w:r>
      <w:r>
        <w:rPr>
          <w:rFonts w:ascii="Times New Roman" w:cs="Times New Roman" w:eastAsia="Times New Roman" w:hAnsi="Times New Roman"/>
          <w:sz w:val="20"/>
          <w:szCs w:val="20"/>
          <w:color w:val="auto"/>
        </w:rPr>
        <w:t>. If you are employed by the Company on the payments dates, the Company will pay you a signing bonus in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aggregate amount of $100,000 (the “Signing Bonus”). 50% of the Signing Bonus will be paid within 15 days of your start date and another 50% of the Signing Bonus will be paid by your six month anniversary of your start date. If (i) you resign from your employment with the Company and such resignation does not constitute a Resignation for Good Reason or (ii) you are terminated by the Company for Cause, in either case prior to completing 12 months of continuous employment following your start date, you agree to repay 100% of the Signing Bonus within 30 days of your termination of employment.</w:t>
      </w:r>
    </w:p>
    <w:p>
      <w:pPr>
        <w:spacing w:after="0" w:line="178" w:lineRule="exact"/>
        <w:rPr>
          <w:rFonts w:ascii="Times New Roman" w:cs="Times New Roman" w:eastAsia="Times New Roman" w:hAnsi="Times New Roman"/>
          <w:sz w:val="20"/>
          <w:szCs w:val="20"/>
          <w:color w:val="auto"/>
        </w:rPr>
      </w:pPr>
    </w:p>
    <w:p>
      <w:pPr>
        <w:jc w:val="both"/>
        <w:ind w:right="20" w:firstLine="570"/>
        <w:spacing w:after="0" w:line="256" w:lineRule="auto"/>
        <w:tabs>
          <w:tab w:leader="none" w:pos="1268" w:val="left"/>
        </w:tabs>
        <w:numPr>
          <w:ilvl w:val="0"/>
          <w:numId w:val="3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Employee Benefits</w:t>
      </w:r>
      <w:r>
        <w:rPr>
          <w:rFonts w:ascii="Times New Roman" w:cs="Times New Roman" w:eastAsia="Times New Roman" w:hAnsi="Times New Roman"/>
          <w:sz w:val="20"/>
          <w:szCs w:val="20"/>
          <w:color w:val="auto"/>
        </w:rPr>
        <w:t>. As a regular employee of the Company, you will be eligible to participate in a number of Company-sponsored benefits. In addition, you will be entitled to paid vacation in accordance with the Company’s vacation policy, as in effect from time to time.</w:t>
      </w:r>
    </w:p>
    <w:p>
      <w:pPr>
        <w:sectPr>
          <w:pgSz w:w="11900" w:h="16838" w:orient="portrait"/>
          <w:cols w:equalWidth="0" w:num="1">
            <w:col w:w="11240"/>
          </w:cols>
          <w:pgMar w:left="320" w:top="114" w:right="339" w:bottom="1440" w:gutter="0" w:footer="0" w:header="0"/>
        </w:sectPr>
      </w:pPr>
    </w:p>
    <w:bookmarkStart w:id="345" w:name="page346"/>
    <w:bookmarkEnd w:id="345"/>
    <w:p>
      <w:pPr>
        <w:spacing w:after="0"/>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Aziz Mottiwala</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June 22, 2020</w:t>
      </w:r>
    </w:p>
    <w:p>
      <w:pPr>
        <w:spacing w:after="0"/>
        <w:rPr>
          <w:sz w:val="20"/>
          <w:szCs w:val="20"/>
          <w:color w:val="auto"/>
        </w:rPr>
      </w:pPr>
      <w:r>
        <w:rPr>
          <w:rFonts w:ascii="Times New Roman" w:cs="Times New Roman" w:eastAsia="Times New Roman" w:hAnsi="Times New Roman"/>
          <w:sz w:val="20"/>
          <w:szCs w:val="20"/>
          <w:color w:val="auto"/>
        </w:rPr>
        <w:t>Page 2</w:t>
      </w:r>
    </w:p>
    <w:p>
      <w:pPr>
        <w:spacing w:after="0" w:line="122" w:lineRule="exact"/>
        <w:rPr>
          <w:sz w:val="20"/>
          <w:szCs w:val="20"/>
          <w:color w:val="auto"/>
        </w:rPr>
      </w:pPr>
    </w:p>
    <w:p>
      <w:pPr>
        <w:jc w:val="both"/>
        <w:ind w:firstLine="570"/>
        <w:spacing w:after="0" w:line="246" w:lineRule="auto"/>
        <w:tabs>
          <w:tab w:leader="none" w:pos="1106" w:val="left"/>
        </w:tabs>
        <w:numPr>
          <w:ilvl w:val="0"/>
          <w:numId w:val="3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Stock Options</w:t>
      </w:r>
      <w:r>
        <w:rPr>
          <w:rFonts w:ascii="Times New Roman" w:cs="Times New Roman" w:eastAsia="Times New Roman" w:hAnsi="Times New Roman"/>
          <w:sz w:val="20"/>
          <w:szCs w:val="20"/>
          <w:color w:val="auto"/>
        </w:rPr>
        <w:t>. Subject to the approval of the Board or its Compensation Committee, you will be granted an option to purchase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778,329 shares of the Company’s Common Stock (the “Option”). The exercise price per share of the Option will be equal to the fair market value of the underlying Common Stock on the date of the grant. The Option will be subject to the terms and conditions applicable to options granted under the Company’s 2016 Stock Plan (the “Plan”), as described in the Plan and the applicable Stock Option Agreement. You will vest in 25% of the Option shares after 12 months of continuous service, and the balance will vest in equal monthly installments over the next 36 months of continuous service, as described in the applicable Stock Option Agreement.</w:t>
      </w:r>
    </w:p>
    <w:p>
      <w:pPr>
        <w:spacing w:after="0" w:line="183" w:lineRule="exact"/>
        <w:rPr>
          <w:sz w:val="20"/>
          <w:szCs w:val="20"/>
          <w:color w:val="auto"/>
        </w:rPr>
      </w:pPr>
    </w:p>
    <w:p>
      <w:pPr>
        <w:jc w:val="both"/>
        <w:ind w:right="20" w:firstLine="1123"/>
        <w:spacing w:after="0" w:line="254" w:lineRule="auto"/>
        <w:rPr>
          <w:sz w:val="20"/>
          <w:szCs w:val="20"/>
          <w:color w:val="auto"/>
        </w:rPr>
      </w:pPr>
      <w:r>
        <w:rPr>
          <w:rFonts w:ascii="Times New Roman" w:cs="Times New Roman" w:eastAsia="Times New Roman" w:hAnsi="Times New Roman"/>
          <w:sz w:val="20"/>
          <w:szCs w:val="20"/>
          <w:color w:val="auto"/>
        </w:rPr>
        <w:t>You will vest in 100% of your remaining unvested Option shares if (a) the Company is subject to a Change in Control before your service with the Company terminates and (b) you are subject to an Involuntary Termination within 12 months after that Change in Control.</w:t>
      </w:r>
    </w:p>
    <w:p>
      <w:pPr>
        <w:spacing w:after="0" w:line="170" w:lineRule="exact"/>
        <w:rPr>
          <w:sz w:val="20"/>
          <w:szCs w:val="20"/>
          <w:color w:val="auto"/>
        </w:rPr>
      </w:pPr>
    </w:p>
    <w:p>
      <w:pPr>
        <w:jc w:val="both"/>
        <w:ind w:right="20" w:firstLine="570"/>
        <w:spacing w:after="0" w:line="256" w:lineRule="auto"/>
        <w:tabs>
          <w:tab w:leader="none" w:pos="1127" w:val="left"/>
        </w:tabs>
        <w:numPr>
          <w:ilvl w:val="1"/>
          <w:numId w:val="3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Severance Benefits Outside of a Change in Control</w:t>
      </w:r>
      <w:r>
        <w:rPr>
          <w:rFonts w:ascii="Times New Roman" w:cs="Times New Roman" w:eastAsia="Times New Roman" w:hAnsi="Times New Roman"/>
          <w:sz w:val="20"/>
          <w:szCs w:val="20"/>
          <w:color w:val="auto"/>
        </w:rPr>
        <w:t>. In the event you are subject to an Involuntary Termination other than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connection with or within 12 months after a Change in Control, provided you satisfy the conditions described in Section 6(c) below, you will be entitled to the following benefits:</w:t>
      </w:r>
    </w:p>
    <w:p>
      <w:pPr>
        <w:spacing w:after="0" w:line="168" w:lineRule="exact"/>
        <w:rPr>
          <w:rFonts w:ascii="Times New Roman" w:cs="Times New Roman" w:eastAsia="Times New Roman" w:hAnsi="Times New Roman"/>
          <w:sz w:val="20"/>
          <w:szCs w:val="20"/>
          <w:color w:val="auto"/>
        </w:rPr>
      </w:pPr>
    </w:p>
    <w:p>
      <w:pPr>
        <w:jc w:val="both"/>
        <w:ind w:firstLine="1131"/>
        <w:spacing w:after="0" w:line="247" w:lineRule="auto"/>
        <w:tabs>
          <w:tab w:leader="none" w:pos="1806" w:val="left"/>
        </w:tabs>
        <w:numPr>
          <w:ilvl w:val="2"/>
          <w:numId w:val="3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Salary Continuation</w:t>
      </w:r>
      <w:r>
        <w:rPr>
          <w:rFonts w:ascii="Times New Roman" w:cs="Times New Roman" w:eastAsia="Times New Roman" w:hAnsi="Times New Roman"/>
          <w:sz w:val="20"/>
          <w:szCs w:val="20"/>
          <w:color w:val="auto"/>
        </w:rPr>
        <w:t>. The Company will continue to pay your base salary for a period of nine (9) months after your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Separation. Your base salary will be paid at the rate in effect at the time of your Separation and in accordance with the Company’s standard payroll procedures. The salary continuation payments will commence within 60 days after your Separation and, once they commence, will include any unpaid amounts accrued from the date of your Separation. However, if the 60-day period described in the preceding sentence spans two calendar years, then the payments will in any event begin in the second calendar year.</w:t>
      </w:r>
    </w:p>
    <w:p>
      <w:pPr>
        <w:spacing w:after="0" w:line="180" w:lineRule="exact"/>
        <w:rPr>
          <w:rFonts w:ascii="Times New Roman" w:cs="Times New Roman" w:eastAsia="Times New Roman" w:hAnsi="Times New Roman"/>
          <w:sz w:val="20"/>
          <w:szCs w:val="20"/>
          <w:color w:val="auto"/>
        </w:rPr>
      </w:pPr>
    </w:p>
    <w:p>
      <w:pPr>
        <w:jc w:val="both"/>
        <w:ind w:firstLine="1131"/>
        <w:spacing w:after="0" w:line="246" w:lineRule="auto"/>
        <w:tabs>
          <w:tab w:leader="none" w:pos="1911" w:val="left"/>
        </w:tabs>
        <w:numPr>
          <w:ilvl w:val="2"/>
          <w:numId w:val="3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COBRA</w:t>
      </w:r>
      <w:r>
        <w:rPr>
          <w:rFonts w:ascii="Times New Roman" w:cs="Times New Roman" w:eastAsia="Times New Roman" w:hAnsi="Times New Roman"/>
          <w:sz w:val="20"/>
          <w:szCs w:val="20"/>
          <w:color w:val="auto"/>
        </w:rPr>
        <w:t>. Provided you elect to continue your health insurance coverage under the Consolidated Omnibus Budget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Reconciliation Act (“COBRA”) following your Separation, the Company will pay or reimburse you for your monthly premium under COBRA until the earliest of (i) the close of the nine (9)-month period following your Separation, (ii) the expiration of your continuation coverage under COBRA or (iii) the date when you become eligible for substantially equivalent health insurance coverage in connection with new employment or self-employment (the “COBRA Benefit”). If necessary to avoid adverse tax consequences to you or the Company, the Company, in its sole discretion, reserves the right to treat the COBRA Benefit as taxable income.</w:t>
      </w:r>
    </w:p>
    <w:p>
      <w:pPr>
        <w:spacing w:after="0" w:line="178" w:lineRule="exact"/>
        <w:rPr>
          <w:rFonts w:ascii="Times New Roman" w:cs="Times New Roman" w:eastAsia="Times New Roman" w:hAnsi="Times New Roman"/>
          <w:sz w:val="20"/>
          <w:szCs w:val="20"/>
          <w:color w:val="auto"/>
        </w:rPr>
      </w:pPr>
    </w:p>
    <w:p>
      <w:pPr>
        <w:ind w:left="1920" w:hanging="789"/>
        <w:spacing w:after="0"/>
        <w:tabs>
          <w:tab w:leader="none" w:pos="1920" w:val="left"/>
        </w:tabs>
        <w:numPr>
          <w:ilvl w:val="2"/>
          <w:numId w:val="3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Conditions</w:t>
      </w:r>
      <w:r>
        <w:rPr>
          <w:rFonts w:ascii="Times New Roman" w:cs="Times New Roman" w:eastAsia="Times New Roman" w:hAnsi="Times New Roman"/>
          <w:sz w:val="20"/>
          <w:szCs w:val="20"/>
          <w:color w:val="auto"/>
        </w:rPr>
        <w:t>. This Section 6 will not apply unless you (i) have returned all Company property in your possession,</w:t>
      </w:r>
    </w:p>
    <w:p>
      <w:pPr>
        <w:spacing w:after="0" w:line="25" w:lineRule="exact"/>
        <w:rPr>
          <w:rFonts w:ascii="Times New Roman" w:cs="Times New Roman" w:eastAsia="Times New Roman" w:hAnsi="Times New Roman"/>
          <w:sz w:val="20"/>
          <w:szCs w:val="20"/>
          <w:color w:val="auto"/>
        </w:rPr>
      </w:pPr>
    </w:p>
    <w:p>
      <w:pPr>
        <w:jc w:val="both"/>
        <w:ind w:firstLine="8"/>
        <w:spacing w:after="0"/>
        <w:tabs>
          <w:tab w:leader="none" w:pos="301" w:val="left"/>
        </w:tabs>
        <w:numPr>
          <w:ilvl w:val="0"/>
          <w:numId w:val="3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have resigned as a member of the Boards of Directors of the Company and all of its subsidiaries, to the extent applicable, and (iii) have executed a general release of all claims that you may have against the Company or persons affiliated with the Company. The release must be in the form prescribed by the Company, without alterations. You must execute and return the release on or before the date specified by the Company in the prescribed form (the “Release Deadline”). The Release Deadline will in no event be later than 50 days after your Separation. If you fail to return the release on or before the Release Deadline, or if you revoke the release, then you will not be entitled to the benefits described in this Section 6.</w:t>
      </w:r>
    </w:p>
    <w:p>
      <w:pPr>
        <w:spacing w:after="0" w:line="187" w:lineRule="exact"/>
        <w:rPr>
          <w:rFonts w:ascii="Times New Roman" w:cs="Times New Roman" w:eastAsia="Times New Roman" w:hAnsi="Times New Roman"/>
          <w:sz w:val="20"/>
          <w:szCs w:val="20"/>
          <w:color w:val="auto"/>
        </w:rPr>
      </w:pPr>
    </w:p>
    <w:p>
      <w:pPr>
        <w:jc w:val="both"/>
        <w:ind w:firstLine="570"/>
        <w:spacing w:after="0" w:line="250" w:lineRule="auto"/>
        <w:tabs>
          <w:tab w:leader="none" w:pos="1146" w:val="left"/>
        </w:tabs>
        <w:numPr>
          <w:ilvl w:val="1"/>
          <w:numId w:val="3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Severance Benefits in Connection With a Change in Control</w:t>
      </w:r>
      <w:r>
        <w:rPr>
          <w:rFonts w:ascii="Times New Roman" w:cs="Times New Roman" w:eastAsia="Times New Roman" w:hAnsi="Times New Roman"/>
          <w:sz w:val="20"/>
          <w:szCs w:val="20"/>
          <w:color w:val="auto"/>
        </w:rPr>
        <w:t>. In the event you are subject to an Involuntary Termination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connection with or within 12 months after a Change in Control, provided you satisfy the conditions described in Section 6(c) above, you will be entitled to the benefits described in Sections 6(a) and 6(b) above (provided that the time periods applicable to each of the severance and COBRA benefits will be increased from nine (9) months to twelve (12) months) plus the Bonus Payment. The Bonus Payment</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1240"/>
          </w:cols>
          <w:pgMar w:left="320" w:top="265" w:right="339" w:bottom="1440" w:gutter="0" w:footer="0" w:header="0"/>
        </w:sectPr>
      </w:pPr>
    </w:p>
    <w:bookmarkStart w:id="346" w:name="page347"/>
    <w:bookmarkEnd w:id="346"/>
    <w:p>
      <w:pPr>
        <w:spacing w:after="0"/>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Aziz Mottiwala</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June 22, 2020</w:t>
      </w:r>
    </w:p>
    <w:p>
      <w:pPr>
        <w:spacing w:after="0"/>
        <w:rPr>
          <w:sz w:val="20"/>
          <w:szCs w:val="20"/>
          <w:color w:val="auto"/>
        </w:rPr>
      </w:pPr>
      <w:r>
        <w:rPr>
          <w:rFonts w:ascii="Times New Roman" w:cs="Times New Roman" w:eastAsia="Times New Roman" w:hAnsi="Times New Roman"/>
          <w:sz w:val="20"/>
          <w:szCs w:val="20"/>
          <w:color w:val="auto"/>
        </w:rPr>
        <w:t>Page 3</w:t>
      </w:r>
    </w:p>
    <w:p>
      <w:pPr>
        <w:spacing w:after="0" w:line="126"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will be made in a lump sum within 60 days after your Separation; however, if the 60-day period described in the preceding sentence spans two calendar years, then the Bonus Payment will in any event be made in the second calendar year. For the sake of clarity, if you become entitled to the benefits in the preceding sentence you will not also be entitled to additional the benefits provided for in Sections 6(a) and</w:t>
      </w:r>
    </w:p>
    <w:p>
      <w:pPr>
        <w:ind w:left="280" w:hanging="272"/>
        <w:spacing w:after="0"/>
        <w:tabs>
          <w:tab w:leader="none" w:pos="280" w:val="left"/>
        </w:tabs>
        <w:numPr>
          <w:ilvl w:val="0"/>
          <w:numId w:val="3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above. In addition, you will be entitled to the vesting acceleration benefits described in Section 5 above.</w:t>
      </w:r>
    </w:p>
    <w:p>
      <w:pPr>
        <w:spacing w:after="0" w:line="189" w:lineRule="exact"/>
        <w:rPr>
          <w:rFonts w:ascii="Times New Roman" w:cs="Times New Roman" w:eastAsia="Times New Roman" w:hAnsi="Times New Roman"/>
          <w:sz w:val="20"/>
          <w:szCs w:val="20"/>
          <w:color w:val="auto"/>
        </w:rPr>
      </w:pPr>
    </w:p>
    <w:p>
      <w:pPr>
        <w:jc w:val="both"/>
        <w:ind w:firstLine="570"/>
        <w:spacing w:after="0" w:line="256" w:lineRule="auto"/>
        <w:tabs>
          <w:tab w:leader="none" w:pos="1173" w:val="left"/>
        </w:tabs>
        <w:numPr>
          <w:ilvl w:val="1"/>
          <w:numId w:val="3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Proprietary Information and Inventions Agreement</w:t>
      </w:r>
      <w:r>
        <w:rPr>
          <w:rFonts w:ascii="Times New Roman" w:cs="Times New Roman" w:eastAsia="Times New Roman" w:hAnsi="Times New Roman"/>
          <w:sz w:val="20"/>
          <w:szCs w:val="20"/>
          <w:color w:val="auto"/>
        </w:rPr>
        <w:t>. Like all Company employees, you will be required, as a condition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your employment with the Company, to sign the Company’s standard Proprietary Information and Inventions Agreement, a copy of which is attached hereto as </w:t>
      </w:r>
      <w:r>
        <w:rPr>
          <w:rFonts w:ascii="Times New Roman" w:cs="Times New Roman" w:eastAsia="Times New Roman" w:hAnsi="Times New Roman"/>
          <w:sz w:val="20"/>
          <w:szCs w:val="20"/>
          <w:b w:val="1"/>
          <w:bCs w:val="1"/>
          <w:color w:val="auto"/>
        </w:rPr>
        <w:t>Exhibit A</w:t>
      </w:r>
      <w:r>
        <w:rPr>
          <w:rFonts w:ascii="Times New Roman" w:cs="Times New Roman" w:eastAsia="Times New Roman" w:hAnsi="Times New Roman"/>
          <w:sz w:val="20"/>
          <w:szCs w:val="20"/>
          <w:color w:val="auto"/>
        </w:rPr>
        <w:t>.</w:t>
      </w:r>
    </w:p>
    <w:p>
      <w:pPr>
        <w:spacing w:after="0" w:line="168" w:lineRule="exact"/>
        <w:rPr>
          <w:rFonts w:ascii="Times New Roman" w:cs="Times New Roman" w:eastAsia="Times New Roman" w:hAnsi="Times New Roman"/>
          <w:sz w:val="20"/>
          <w:szCs w:val="20"/>
          <w:color w:val="auto"/>
        </w:rPr>
      </w:pPr>
    </w:p>
    <w:p>
      <w:pPr>
        <w:jc w:val="both"/>
        <w:ind w:firstLine="570"/>
        <w:spacing w:after="0" w:line="246" w:lineRule="auto"/>
        <w:tabs>
          <w:tab w:leader="none" w:pos="1281" w:val="left"/>
        </w:tabs>
        <w:numPr>
          <w:ilvl w:val="1"/>
          <w:numId w:val="3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Employment Relationship</w:t>
      </w:r>
      <w:r>
        <w:rPr>
          <w:rFonts w:ascii="Times New Roman" w:cs="Times New Roman" w:eastAsia="Times New Roman" w:hAnsi="Times New Roman"/>
          <w:sz w:val="20"/>
          <w:szCs w:val="20"/>
          <w:color w:val="auto"/>
        </w:rPr>
        <w:t>. Employment with the Company is for no specific period of time. Your employment with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Company will be “at will,” meaning that either you or the Company may terminate your employment at any time and for any reason, with or without cause. Any contrary representations that may have been made to you are superseded by this letter agreement. This is the full and complete agreement between you and the Company on this term. Although your job duties, title, compensation and benefits, as well as the Company’s personnel policies and procedures, may change from time to time, the “at will” nature of your employment may only be changed in an express written agreement signed by you and a duly authorized officer of the Company (other than you).</w:t>
      </w:r>
    </w:p>
    <w:p>
      <w:pPr>
        <w:spacing w:after="0" w:line="178" w:lineRule="exact"/>
        <w:rPr>
          <w:rFonts w:ascii="Times New Roman" w:cs="Times New Roman" w:eastAsia="Times New Roman" w:hAnsi="Times New Roman"/>
          <w:sz w:val="20"/>
          <w:szCs w:val="20"/>
          <w:color w:val="auto"/>
        </w:rPr>
      </w:pPr>
    </w:p>
    <w:p>
      <w:pPr>
        <w:ind w:left="1220" w:hanging="650"/>
        <w:spacing w:after="0"/>
        <w:tabs>
          <w:tab w:leader="none" w:pos="1220" w:val="left"/>
        </w:tabs>
        <w:numPr>
          <w:ilvl w:val="1"/>
          <w:numId w:val="3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Tax Matters</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ind w:firstLine="1131"/>
        <w:spacing w:after="0" w:line="273" w:lineRule="auto"/>
        <w:tabs>
          <w:tab w:leader="none" w:pos="1995" w:val="left"/>
        </w:tabs>
        <w:numPr>
          <w:ilvl w:val="2"/>
          <w:numId w:val="3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Withholding</w:t>
      </w:r>
      <w:r>
        <w:rPr>
          <w:rFonts w:ascii="Times New Roman" w:cs="Times New Roman" w:eastAsia="Times New Roman" w:hAnsi="Times New Roman"/>
          <w:sz w:val="20"/>
          <w:szCs w:val="20"/>
          <w:color w:val="auto"/>
        </w:rPr>
        <w:t>. All forms of compensation referred to in this letter agreement are subject to reduction to reflect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applicable withholding and payroll taxes and other deductions required by law.</w:t>
      </w:r>
    </w:p>
    <w:p>
      <w:pPr>
        <w:spacing w:after="0" w:line="151" w:lineRule="exact"/>
        <w:rPr>
          <w:rFonts w:ascii="Times New Roman" w:cs="Times New Roman" w:eastAsia="Times New Roman" w:hAnsi="Times New Roman"/>
          <w:sz w:val="20"/>
          <w:szCs w:val="20"/>
          <w:color w:val="auto"/>
        </w:rPr>
      </w:pPr>
    </w:p>
    <w:p>
      <w:pPr>
        <w:jc w:val="both"/>
        <w:ind w:firstLine="1131"/>
        <w:spacing w:after="0" w:line="243" w:lineRule="auto"/>
        <w:tabs>
          <w:tab w:leader="none" w:pos="1884" w:val="left"/>
        </w:tabs>
        <w:numPr>
          <w:ilvl w:val="2"/>
          <w:numId w:val="3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Section 409A</w:t>
      </w:r>
      <w:r>
        <w:rPr>
          <w:rFonts w:ascii="Times New Roman" w:cs="Times New Roman" w:eastAsia="Times New Roman" w:hAnsi="Times New Roman"/>
          <w:sz w:val="20"/>
          <w:szCs w:val="20"/>
          <w:color w:val="auto"/>
        </w:rPr>
        <w:t>. The payments and benefits provided for under this letter agreement are intended to be exempt from</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Section 409A of the Internal Revenue Code of 1986, as amended (the “Code”), and any ambiguity arising under this letter agreement shall be interpreted in a manner consistent with that intent. Nonetheless, to the extent any payment or benefit provided under this letter agreement is deemed to be nonqualified deferred compensation that is subject to Section 409A of the Code, and if the Company determines that you are a “specified employee” under Section 409A(a)(2)(B)(i) of the Code at the time of your Separation, then any such payment(s), to the extent they are subject to Section 409A of the Code, will be made or commence, as applicable, on the first business day following (i) expiration of the six-month period measured from your Separation or (ii) the date of your death, with any payment installments that otherwise would have been paid prior to such date paid in a lump sum at that time. In addition, for purposes of Section 409A of the Code, each salary continuation payment under Section 6(a) is hereby designated as a separate payment.</w:t>
      </w:r>
    </w:p>
    <w:p>
      <w:pPr>
        <w:spacing w:after="0" w:line="185" w:lineRule="exact"/>
        <w:rPr>
          <w:rFonts w:ascii="Times New Roman" w:cs="Times New Roman" w:eastAsia="Times New Roman" w:hAnsi="Times New Roman"/>
          <w:sz w:val="20"/>
          <w:szCs w:val="20"/>
          <w:color w:val="auto"/>
        </w:rPr>
      </w:pPr>
    </w:p>
    <w:p>
      <w:pPr>
        <w:jc w:val="both"/>
        <w:ind w:firstLine="1131"/>
        <w:spacing w:after="0" w:line="256" w:lineRule="auto"/>
        <w:tabs>
          <w:tab w:leader="none" w:pos="1779" w:val="left"/>
        </w:tabs>
        <w:numPr>
          <w:ilvl w:val="2"/>
          <w:numId w:val="3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Tax Advice</w:t>
      </w:r>
      <w:r>
        <w:rPr>
          <w:rFonts w:ascii="Times New Roman" w:cs="Times New Roman" w:eastAsia="Times New Roman" w:hAnsi="Times New Roman"/>
          <w:sz w:val="20"/>
          <w:szCs w:val="20"/>
          <w:color w:val="auto"/>
        </w:rPr>
        <w:t>. You are encouraged to obtain your own tax advice regarding your compensation from the Company. You</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agree that the Company does not have a duty to design its compensation policies in a manner that minimizes your tax liabilities, and you will not make any claim against the Company or its Board of Directors related to tax liabilities arising from your compensation.</w:t>
      </w:r>
    </w:p>
    <w:p>
      <w:pPr>
        <w:spacing w:after="0" w:line="168" w:lineRule="exact"/>
        <w:rPr>
          <w:rFonts w:ascii="Times New Roman" w:cs="Times New Roman" w:eastAsia="Times New Roman" w:hAnsi="Times New Roman"/>
          <w:sz w:val="20"/>
          <w:szCs w:val="20"/>
          <w:color w:val="auto"/>
        </w:rPr>
      </w:pPr>
    </w:p>
    <w:p>
      <w:pPr>
        <w:jc w:val="both"/>
        <w:ind w:firstLine="570"/>
        <w:spacing w:after="0" w:line="250" w:lineRule="auto"/>
        <w:tabs>
          <w:tab w:leader="none" w:pos="1508" w:val="left"/>
        </w:tabs>
        <w:numPr>
          <w:ilvl w:val="1"/>
          <w:numId w:val="3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Interpretation and Amendment</w:t>
      </w:r>
      <w:r>
        <w:rPr>
          <w:rFonts w:ascii="Times New Roman" w:cs="Times New Roman" w:eastAsia="Times New Roman" w:hAnsi="Times New Roman"/>
          <w:sz w:val="20"/>
          <w:szCs w:val="20"/>
          <w:color w:val="auto"/>
        </w:rPr>
        <w:t>. This letter agreement and Exhibit A supersede and replace any prior agreements,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representations or understandings (whether written, oral, implied or otherwise) between you and the Company and constitute the complete agreement between you and the Company regarding the subject matter set forth herein. This letter agreement may not be amended or modified, except by an express written agreement signed by both you and a duly authorized officer of the Company.</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1240"/>
          </w:cols>
          <w:pgMar w:left="320" w:top="265" w:right="339" w:bottom="1440" w:gutter="0" w:footer="0" w:header="0"/>
        </w:sectPr>
      </w:pPr>
    </w:p>
    <w:bookmarkStart w:id="347" w:name="page348"/>
    <w:bookmarkEnd w:id="347"/>
    <w:p>
      <w:pPr>
        <w:spacing w:after="0"/>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Aziz Mottiwala</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June 22, 2020</w:t>
      </w:r>
    </w:p>
    <w:p>
      <w:pPr>
        <w:spacing w:after="0"/>
        <w:rPr>
          <w:sz w:val="20"/>
          <w:szCs w:val="20"/>
          <w:color w:val="auto"/>
        </w:rPr>
      </w:pPr>
      <w:r>
        <w:rPr>
          <w:rFonts w:ascii="Times New Roman" w:cs="Times New Roman" w:eastAsia="Times New Roman" w:hAnsi="Times New Roman"/>
          <w:sz w:val="20"/>
          <w:szCs w:val="20"/>
          <w:color w:val="auto"/>
        </w:rPr>
        <w:t>Page 4</w:t>
      </w:r>
    </w:p>
    <w:p>
      <w:pPr>
        <w:spacing w:after="0" w:line="122" w:lineRule="exact"/>
        <w:rPr>
          <w:sz w:val="20"/>
          <w:szCs w:val="20"/>
          <w:color w:val="auto"/>
        </w:rPr>
      </w:pPr>
    </w:p>
    <w:p>
      <w:pPr>
        <w:ind w:left="1220" w:hanging="650"/>
        <w:spacing w:after="0"/>
        <w:tabs>
          <w:tab w:leader="none" w:pos="1220" w:val="left"/>
        </w:tabs>
        <w:numPr>
          <w:ilvl w:val="0"/>
          <w:numId w:val="3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Definitions</w:t>
      </w:r>
      <w:r>
        <w:rPr>
          <w:rFonts w:ascii="Times New Roman" w:cs="Times New Roman" w:eastAsia="Times New Roman" w:hAnsi="Times New Roman"/>
          <w:sz w:val="20"/>
          <w:szCs w:val="20"/>
          <w:color w:val="auto"/>
        </w:rPr>
        <w:t>. The following terms have the meaning set forth below wherever they are used in this letter agreement:</w:t>
      </w:r>
    </w:p>
    <w:p>
      <w:pPr>
        <w:spacing w:after="0" w:line="216" w:lineRule="exact"/>
        <w:rPr>
          <w:sz w:val="20"/>
          <w:szCs w:val="20"/>
          <w:color w:val="auto"/>
        </w:rPr>
      </w:pPr>
    </w:p>
    <w:p>
      <w:pPr>
        <w:jc w:val="both"/>
        <w:ind w:firstLine="1123"/>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Bonus Payment</w:t>
      </w:r>
      <w:r>
        <w:rPr>
          <w:rFonts w:ascii="Times New Roman" w:cs="Times New Roman" w:eastAsia="Times New Roman" w:hAnsi="Times New Roman"/>
          <w:sz w:val="20"/>
          <w:szCs w:val="20"/>
          <w:color w:val="auto"/>
        </w:rPr>
        <w:t>” means the sum of (a) a pro-rated portion of your target bonus amount for the year in which your Separation occurs and (b) 100% of your target bonus amount for the year in which your Separation occurs.</w:t>
      </w:r>
    </w:p>
    <w:p>
      <w:pPr>
        <w:spacing w:after="0" w:line="152" w:lineRule="exact"/>
        <w:rPr>
          <w:sz w:val="20"/>
          <w:szCs w:val="20"/>
          <w:color w:val="auto"/>
        </w:rPr>
      </w:pPr>
    </w:p>
    <w:p>
      <w:pPr>
        <w:jc w:val="both"/>
        <w:ind w:firstLine="1123"/>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Cause</w:t>
      </w:r>
      <w:r>
        <w:rPr>
          <w:rFonts w:ascii="Times New Roman" w:cs="Times New Roman" w:eastAsia="Times New Roman" w:hAnsi="Times New Roman"/>
          <w:sz w:val="20"/>
          <w:szCs w:val="20"/>
          <w:color w:val="auto"/>
        </w:rPr>
        <w:t>” means (a) your unauthorized use or disclosure of the Company’s confidential information or trade secrets, which use or disclosure causes material harm to the Company, (b) your material breach of any agreement between you and the Company, (c) your material failure to comply with the Company’s written policies or rules, (d) your conviction of, or your plea of “guilty” or “no contest” to, a felony under the laws of the United States or any State, (e) your gross negligence or willful misconduct, (f) your continuing failure to perform assigned duties after receiving written notification of the failure from the Board or (g) your failure to cooperate in good faith with a governmental or internal investigation of the Company or its directors, officers or employees, if the Company has requested your cooperation.</w:t>
      </w:r>
    </w:p>
    <w:p>
      <w:pPr>
        <w:spacing w:after="0" w:line="17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Change in Control</w:t>
      </w:r>
      <w:r>
        <w:rPr>
          <w:rFonts w:ascii="Times New Roman" w:cs="Times New Roman" w:eastAsia="Times New Roman" w:hAnsi="Times New Roman"/>
          <w:sz w:val="19"/>
          <w:szCs w:val="19"/>
          <w:color w:val="auto"/>
        </w:rPr>
        <w:t>” means (a) the consummation of a merger or consolidation of the Company with or into another entity or</w:t>
      </w:r>
    </w:p>
    <w:p>
      <w:pPr>
        <w:spacing w:after="0" w:line="37" w:lineRule="exact"/>
        <w:rPr>
          <w:sz w:val="20"/>
          <w:szCs w:val="20"/>
          <w:color w:val="auto"/>
        </w:rPr>
      </w:pPr>
    </w:p>
    <w:p>
      <w:pPr>
        <w:jc w:val="both"/>
        <w:ind w:firstLine="8"/>
        <w:spacing w:after="0" w:line="241" w:lineRule="auto"/>
        <w:tabs>
          <w:tab w:leader="none" w:pos="299" w:val="left"/>
        </w:tabs>
        <w:numPr>
          <w:ilvl w:val="0"/>
          <w:numId w:val="3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dissolution, liquidation or winding up of the Company. The foregoing notwithstanding, a merger or consolidation of the Company does not constitute a “Change in Control” if immediately after the merger or consolidation a majority of the voting power of the capital stock of the continuing or surviving entity, or any direct or indirect parent corporation of the continuing or surviving entity, will be owned by the persons who were the Company’s stockholders immediately prior to the merger or consolidation in substantially the same proportions as their ownership of the voting power of the Company’s capital stock immediately prior to the merger or consolidation.</w:t>
      </w:r>
    </w:p>
    <w:p>
      <w:pPr>
        <w:spacing w:after="0" w:line="183"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Involuntary Termination</w:t>
      </w:r>
      <w:r>
        <w:rPr>
          <w:rFonts w:ascii="Times New Roman" w:cs="Times New Roman" w:eastAsia="Times New Roman" w:hAnsi="Times New Roman"/>
          <w:sz w:val="20"/>
          <w:szCs w:val="20"/>
          <w:color w:val="auto"/>
        </w:rPr>
        <w:t>” means either (a) your Termination Without Cause or (b) your Resignation for Good Reason.</w:t>
      </w:r>
    </w:p>
    <w:p>
      <w:pPr>
        <w:spacing w:after="0" w:line="216" w:lineRule="exact"/>
        <w:rPr>
          <w:sz w:val="20"/>
          <w:szCs w:val="20"/>
          <w:color w:val="auto"/>
        </w:rPr>
      </w:pPr>
    </w:p>
    <w:p>
      <w:pPr>
        <w:ind w:firstLine="1123"/>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Resignation for Good Reason</w:t>
      </w:r>
      <w:r>
        <w:rPr>
          <w:rFonts w:ascii="Times New Roman" w:cs="Times New Roman" w:eastAsia="Times New Roman" w:hAnsi="Times New Roman"/>
          <w:sz w:val="20"/>
          <w:szCs w:val="20"/>
          <w:color w:val="auto"/>
        </w:rPr>
        <w:t>” means a Separation as a result of your resignation within 12 months after one of the following conditions has come into existence without your consent:</w:t>
      </w:r>
    </w:p>
    <w:p>
      <w:pPr>
        <w:spacing w:after="0" w:line="156" w:lineRule="exact"/>
        <w:rPr>
          <w:sz w:val="20"/>
          <w:szCs w:val="20"/>
          <w:color w:val="auto"/>
        </w:rPr>
      </w:pPr>
    </w:p>
    <w:p>
      <w:pPr>
        <w:ind w:left="2240" w:hanging="604"/>
        <w:spacing w:after="0"/>
        <w:tabs>
          <w:tab w:leader="none" w:pos="2240" w:val="left"/>
        </w:tabs>
        <w:numPr>
          <w:ilvl w:val="0"/>
          <w:numId w:val="3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material diminution of your base salary;</w:t>
      </w:r>
    </w:p>
    <w:p>
      <w:pPr>
        <w:spacing w:after="0" w:line="215" w:lineRule="exact"/>
        <w:rPr>
          <w:rFonts w:ascii="Times New Roman" w:cs="Times New Roman" w:eastAsia="Times New Roman" w:hAnsi="Times New Roman"/>
          <w:sz w:val="20"/>
          <w:szCs w:val="20"/>
          <w:color w:val="auto"/>
        </w:rPr>
      </w:pPr>
    </w:p>
    <w:p>
      <w:pPr>
        <w:ind w:left="2260" w:hanging="624"/>
        <w:spacing w:after="0"/>
        <w:tabs>
          <w:tab w:leader="none" w:pos="2260" w:val="left"/>
        </w:tabs>
        <w:numPr>
          <w:ilvl w:val="0"/>
          <w:numId w:val="3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material diminution of your authority, duties or responsibilities; or</w:t>
      </w:r>
    </w:p>
    <w:p>
      <w:pPr>
        <w:spacing w:after="0" w:line="215" w:lineRule="exact"/>
        <w:rPr>
          <w:rFonts w:ascii="Times New Roman" w:cs="Times New Roman" w:eastAsia="Times New Roman" w:hAnsi="Times New Roman"/>
          <w:sz w:val="20"/>
          <w:szCs w:val="20"/>
          <w:color w:val="auto"/>
        </w:rPr>
      </w:pPr>
    </w:p>
    <w:p>
      <w:pPr>
        <w:ind w:left="2240" w:hanging="604"/>
        <w:spacing w:after="0"/>
        <w:tabs>
          <w:tab w:leader="none" w:pos="2240" w:val="left"/>
        </w:tabs>
        <w:numPr>
          <w:ilvl w:val="0"/>
          <w:numId w:val="3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material change in the geographic location at which you must perform your services for the Company.</w:t>
      </w:r>
    </w:p>
    <w:p>
      <w:pPr>
        <w:spacing w:after="0" w:line="216" w:lineRule="exact"/>
        <w:rPr>
          <w:sz w:val="20"/>
          <w:szCs w:val="20"/>
          <w:color w:val="auto"/>
        </w:rPr>
      </w:pPr>
    </w:p>
    <w:p>
      <w:pPr>
        <w:jc w:val="both"/>
        <w:ind w:firstLine="1123"/>
        <w:spacing w:after="0" w:line="254" w:lineRule="auto"/>
        <w:rPr>
          <w:sz w:val="20"/>
          <w:szCs w:val="20"/>
          <w:color w:val="auto"/>
        </w:rPr>
      </w:pPr>
      <w:r>
        <w:rPr>
          <w:rFonts w:ascii="Times New Roman" w:cs="Times New Roman" w:eastAsia="Times New Roman" w:hAnsi="Times New Roman"/>
          <w:sz w:val="20"/>
          <w:szCs w:val="20"/>
          <w:color w:val="auto"/>
        </w:rPr>
        <w:t>A Resignation for Good Reason will not be deemed to have occurred unless you give the Company written notice of the condition within 90 days after the condition comes into existence and the Company fails to remedy the condition within 30 days after receiving your written notice.</w:t>
      </w:r>
    </w:p>
    <w:p>
      <w:pPr>
        <w:spacing w:after="0" w:line="170"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Separation</w:t>
      </w:r>
      <w:r>
        <w:rPr>
          <w:rFonts w:ascii="Times New Roman" w:cs="Times New Roman" w:eastAsia="Times New Roman" w:hAnsi="Times New Roman"/>
          <w:sz w:val="20"/>
          <w:szCs w:val="20"/>
          <w:color w:val="auto"/>
        </w:rPr>
        <w:t>” means a “separation from service,” as defined in the regulations under Section 409A of the Code.</w:t>
      </w:r>
    </w:p>
    <w:p>
      <w:pPr>
        <w:spacing w:after="0" w:line="216" w:lineRule="exact"/>
        <w:rPr>
          <w:sz w:val="20"/>
          <w:szCs w:val="20"/>
          <w:color w:val="auto"/>
        </w:rPr>
      </w:pPr>
    </w:p>
    <w:p>
      <w:pPr>
        <w:jc w:val="both"/>
        <w:ind w:firstLine="1123"/>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Termination Without Cause</w:t>
      </w:r>
      <w:r>
        <w:rPr>
          <w:rFonts w:ascii="Times New Roman" w:cs="Times New Roman" w:eastAsia="Times New Roman" w:hAnsi="Times New Roman"/>
          <w:sz w:val="20"/>
          <w:szCs w:val="20"/>
          <w:color w:val="auto"/>
        </w:rPr>
        <w:t>” means a Separation as a result of a termination of your employment by the Company without Cause, provided you are willing and able to continue performing services within the meaning of Treasury Regulation 1.409A-1(n)(1).</w:t>
      </w:r>
    </w:p>
    <w:p>
      <w:pPr>
        <w:spacing w:after="0" w:line="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p>
      <w:pPr>
        <w:sectPr>
          <w:pgSz w:w="11900" w:h="16838" w:orient="portrait"/>
          <w:cols w:equalWidth="0" w:num="1">
            <w:col w:w="11240"/>
          </w:cols>
          <w:pgMar w:left="320" w:top="265" w:right="339" w:bottom="1440" w:gutter="0" w:footer="0" w:header="0"/>
        </w:sectPr>
      </w:pPr>
    </w:p>
    <w:bookmarkStart w:id="348" w:name="page349"/>
    <w:bookmarkEnd w:id="348"/>
    <w:p>
      <w:pPr>
        <w:spacing w:after="0"/>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Aziz Mottiwala</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June 22, 2020</w:t>
      </w:r>
    </w:p>
    <w:p>
      <w:pPr>
        <w:spacing w:after="0"/>
        <w:rPr>
          <w:sz w:val="20"/>
          <w:szCs w:val="20"/>
          <w:color w:val="auto"/>
        </w:rPr>
      </w:pPr>
      <w:r>
        <w:rPr>
          <w:rFonts w:ascii="Times New Roman" w:cs="Times New Roman" w:eastAsia="Times New Roman" w:hAnsi="Times New Roman"/>
          <w:sz w:val="20"/>
          <w:szCs w:val="20"/>
          <w:color w:val="auto"/>
        </w:rPr>
        <w:t>Page 5</w:t>
      </w:r>
    </w:p>
    <w:p>
      <w:pPr>
        <w:spacing w:after="0" w:line="12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0"/>
          <w:szCs w:val="20"/>
          <w:color w:val="auto"/>
        </w:rPr>
        <w:t>*****</w:t>
      </w:r>
    </w:p>
    <w:p>
      <w:pPr>
        <w:spacing w:after="0" w:line="14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0"/>
          <w:szCs w:val="20"/>
          <w:color w:val="auto"/>
        </w:rPr>
        <w:t>5</w:t>
      </w:r>
    </w:p>
    <w:p>
      <w:pPr>
        <w:sectPr>
          <w:pgSz w:w="11900" w:h="16838" w:orient="portrait"/>
          <w:cols w:equalWidth="0" w:num="1">
            <w:col w:w="10139"/>
          </w:cols>
          <w:pgMar w:left="320" w:top="265" w:right="1440" w:bottom="1440" w:gutter="0" w:footer="0" w:header="0"/>
        </w:sectPr>
      </w:pPr>
    </w:p>
    <w:bookmarkStart w:id="349" w:name="page350"/>
    <w:bookmarkEnd w:id="349"/>
    <w:p>
      <w:pPr>
        <w:spacing w:after="0"/>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Aziz Mottiwala</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June 22, 2020</w:t>
      </w:r>
    </w:p>
    <w:p>
      <w:pPr>
        <w:spacing w:after="0"/>
        <w:rPr>
          <w:sz w:val="20"/>
          <w:szCs w:val="20"/>
          <w:color w:val="auto"/>
        </w:rPr>
      </w:pPr>
      <w:r>
        <w:rPr>
          <w:rFonts w:ascii="Times New Roman" w:cs="Times New Roman" w:eastAsia="Times New Roman" w:hAnsi="Times New Roman"/>
          <w:sz w:val="20"/>
          <w:szCs w:val="20"/>
          <w:color w:val="auto"/>
        </w:rPr>
        <w:t>Page 6</w:t>
      </w:r>
    </w:p>
    <w:p>
      <w:pPr>
        <w:spacing w:after="0" w:line="126" w:lineRule="exact"/>
        <w:rPr>
          <w:sz w:val="20"/>
          <w:szCs w:val="20"/>
          <w:color w:val="auto"/>
        </w:rPr>
      </w:pPr>
    </w:p>
    <w:p>
      <w:pPr>
        <w:jc w:val="both"/>
        <w:ind w:firstLine="1123"/>
        <w:spacing w:after="0" w:line="245" w:lineRule="auto"/>
        <w:rPr>
          <w:sz w:val="20"/>
          <w:szCs w:val="20"/>
          <w:color w:val="auto"/>
        </w:rPr>
      </w:pPr>
      <w:r>
        <w:rPr>
          <w:rFonts w:ascii="Times New Roman" w:cs="Times New Roman" w:eastAsia="Times New Roman" w:hAnsi="Times New Roman"/>
          <w:sz w:val="20"/>
          <w:szCs w:val="20"/>
          <w:color w:val="auto"/>
        </w:rPr>
        <w:t>We hope that you will accept our offer to join the Company. You may indicate your agreement with these terms and accept this offer by signing and dating both the enclosed duplicate original of this letter agreement and the enclosed Proprietary Information and Inventions Agreement and returning them to me. This offer, if not accepted, will expire at the close of business on June 24, 2020. Your employment with the Company is contingent upon satisfactory completion of a background check, Board approval and, as required by law, upon your providing legal proof of your identity and authorization to work in the United States. Your employment is also contingent upon your starting work with the Company on or before August 17, 2020.</w:t>
      </w:r>
    </w:p>
    <w:p>
      <w:pPr>
        <w:spacing w:after="0" w:line="292"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0"/>
          <w:szCs w:val="20"/>
          <w:color w:val="auto"/>
        </w:rPr>
        <w:t>If you have any questions, please call me at</w:t>
      </w:r>
    </w:p>
    <w:p>
      <w:pPr>
        <w:spacing w:after="0" w:line="364"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20"/>
          <w:szCs w:val="20"/>
          <w:color w:val="auto"/>
        </w:rPr>
        <w:t>Very truly yours,</w:t>
      </w:r>
    </w:p>
    <w:p>
      <w:pPr>
        <w:spacing w:after="0" w:line="337" w:lineRule="exact"/>
        <w:rPr>
          <w:sz w:val="20"/>
          <w:szCs w:val="20"/>
          <w:color w:val="auto"/>
        </w:rPr>
      </w:pPr>
    </w:p>
    <w:p>
      <w:pPr>
        <w:ind w:left="6940"/>
        <w:spacing w:after="0"/>
        <w:rPr>
          <w:sz w:val="20"/>
          <w:szCs w:val="20"/>
          <w:color w:val="auto"/>
        </w:rPr>
      </w:pPr>
      <w:r>
        <w:rPr>
          <w:rFonts w:ascii="Times New Roman" w:cs="Times New Roman" w:eastAsia="Times New Roman" w:hAnsi="Times New Roman"/>
          <w:sz w:val="20"/>
          <w:szCs w:val="20"/>
          <w:color w:val="auto"/>
        </w:rPr>
        <w:t>T</w:t>
      </w:r>
      <w:r>
        <w:rPr>
          <w:rFonts w:ascii="Times New Roman" w:cs="Times New Roman" w:eastAsia="Times New Roman" w:hAnsi="Times New Roman"/>
          <w:sz w:val="16"/>
          <w:szCs w:val="16"/>
          <w:color w:val="auto"/>
        </w:rPr>
        <w:t>ARSUS</w:t>
      </w:r>
      <w:r>
        <w:rPr>
          <w:rFonts w:ascii="Times New Roman" w:cs="Times New Roman" w:eastAsia="Times New Roman" w:hAnsi="Times New Roman"/>
          <w:sz w:val="20"/>
          <w:szCs w:val="20"/>
          <w:color w:val="auto"/>
        </w:rPr>
        <w:t xml:space="preserve"> P</w:t>
      </w:r>
      <w:r>
        <w:rPr>
          <w:rFonts w:ascii="Times New Roman" w:cs="Times New Roman" w:eastAsia="Times New Roman" w:hAnsi="Times New Roman"/>
          <w:sz w:val="16"/>
          <w:szCs w:val="16"/>
          <w:color w:val="auto"/>
        </w:rPr>
        <w:t>HARMACEUTICALS</w:t>
      </w:r>
      <w:r>
        <w:rPr>
          <w:rFonts w:ascii="Times New Roman" w:cs="Times New Roman" w:eastAsia="Times New Roman" w:hAnsi="Times New Roman"/>
          <w:sz w:val="20"/>
          <w:szCs w:val="20"/>
          <w:color w:val="auto"/>
        </w:rPr>
        <w:t>, I</w:t>
      </w:r>
      <w:r>
        <w:rPr>
          <w:rFonts w:ascii="Times New Roman" w:cs="Times New Roman" w:eastAsia="Times New Roman" w:hAnsi="Times New Roman"/>
          <w:sz w:val="16"/>
          <w:szCs w:val="16"/>
          <w:color w:val="auto"/>
        </w:rPr>
        <w:t>NC</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6940"/>
        <w:spacing w:after="0"/>
        <w:tabs>
          <w:tab w:leader="none" w:pos="7420" w:val="left"/>
        </w:tabs>
        <w:rPr>
          <w:sz w:val="20"/>
          <w:szCs w:val="20"/>
          <w:color w:val="auto"/>
        </w:rPr>
      </w:pPr>
      <w:r>
        <w:rPr>
          <w:rFonts w:ascii="Times New Roman" w:cs="Times New Roman" w:eastAsia="Times New Roman" w:hAnsi="Times New Roman"/>
          <w:sz w:val="20"/>
          <w:szCs w:val="20"/>
          <w:color w:val="auto"/>
        </w:rPr>
        <w:t>By:</w:t>
        <w:tab/>
        <w:t>/s/ Bobak Azamian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4685665</wp:posOffset>
            </wp:positionH>
            <wp:positionV relativeFrom="paragraph">
              <wp:posOffset>13970</wp:posOffset>
            </wp:positionV>
            <wp:extent cx="2451735" cy="825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2451735" cy="8255"/>
                    </a:xfrm>
                    <a:prstGeom prst="rect">
                      <a:avLst/>
                    </a:prstGeom>
                    <a:noFill/>
                  </pic:spPr>
                </pic:pic>
              </a:graphicData>
            </a:graphic>
          </wp:anchor>
        </w:drawing>
      </w:r>
    </w:p>
    <w:p>
      <w:pPr>
        <w:spacing w:after="0" w:line="4" w:lineRule="exact"/>
        <w:rPr>
          <w:sz w:val="20"/>
          <w:szCs w:val="20"/>
          <w:color w:val="auto"/>
        </w:rPr>
      </w:pPr>
    </w:p>
    <w:p>
      <w:pPr>
        <w:ind w:left="6940"/>
        <w:spacing w:after="0"/>
        <w:rPr>
          <w:sz w:val="20"/>
          <w:szCs w:val="20"/>
          <w:color w:val="auto"/>
        </w:rPr>
      </w:pPr>
      <w:r>
        <w:rPr>
          <w:rFonts w:ascii="Times New Roman" w:cs="Times New Roman" w:eastAsia="Times New Roman" w:hAnsi="Times New Roman"/>
          <w:sz w:val="18"/>
          <w:szCs w:val="18"/>
          <w:color w:val="auto"/>
        </w:rPr>
        <w:t xml:space="preserve">Title: </w:t>
      </w:r>
      <w:r>
        <w:rPr>
          <w:rFonts w:ascii="Times New Roman" w:cs="Times New Roman" w:eastAsia="Times New Roman" w:hAnsi="Times New Roman"/>
          <w:sz w:val="19"/>
          <w:szCs w:val="19"/>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4685665</wp:posOffset>
            </wp:positionH>
            <wp:positionV relativeFrom="paragraph">
              <wp:posOffset>14605</wp:posOffset>
            </wp:positionV>
            <wp:extent cx="2451735" cy="825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24517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 have read and accept this employment offer:</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Aziz Mottiwala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1437640" cy="825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1437640" cy="8255"/>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Signature of Aziz Mottiwala</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Dated: June 23, 2020</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Attachment</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Exhibit A: Proprietary Information and Inventions Agreement</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w:t>
      </w:r>
    </w:p>
    <w:p>
      <w:pPr>
        <w:sectPr>
          <w:pgSz w:w="11900" w:h="16838" w:orient="portrait"/>
          <w:cols w:equalWidth="0" w:num="1">
            <w:col w:w="11240"/>
          </w:cols>
          <w:pgMar w:left="320" w:top="265" w:right="339" w:bottom="1440" w:gutter="0" w:footer="0" w:header="0"/>
        </w:sectPr>
      </w:pPr>
    </w:p>
    <w:bookmarkStart w:id="350" w:name="page351"/>
    <w:bookmarkEnd w:id="350"/>
    <w:p>
      <w:pPr>
        <w:jc w:val="right"/>
        <w:spacing w:after="0"/>
        <w:rPr>
          <w:sz w:val="20"/>
          <w:szCs w:val="20"/>
          <w:color w:val="auto"/>
        </w:rPr>
      </w:pPr>
      <w:r>
        <w:rPr>
          <w:rFonts w:ascii="Times New Roman" w:cs="Times New Roman" w:eastAsia="Times New Roman" w:hAnsi="Times New Roman"/>
          <w:sz w:val="20"/>
          <w:szCs w:val="20"/>
          <w:b w:val="1"/>
          <w:bCs w:val="1"/>
          <w:color w:val="auto"/>
        </w:rPr>
        <w:t>EXHIBIT 10.13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20"/>
          <w:szCs w:val="20"/>
          <w:b w:val="1"/>
          <w:bCs w:val="1"/>
          <w:color w:val="auto"/>
        </w:rPr>
        <w:t>LEASE</w:t>
      </w:r>
    </w:p>
    <w:p>
      <w:pPr>
        <w:spacing w:after="0" w:line="324"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20"/>
          <w:szCs w:val="20"/>
          <w:b w:val="1"/>
          <w:bCs w:val="1"/>
          <w:color w:val="auto"/>
        </w:rPr>
        <w:t>BETWEEN</w:t>
      </w:r>
    </w:p>
    <w:p>
      <w:pPr>
        <w:spacing w:after="0" w:line="324"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20"/>
          <w:szCs w:val="20"/>
          <w:b w:val="1"/>
          <w:bCs w:val="1"/>
          <w:color w:val="auto"/>
        </w:rPr>
        <w:t>DISCOVERY BUSINESS CENTER LLC</w:t>
      </w:r>
    </w:p>
    <w:p>
      <w:pPr>
        <w:spacing w:after="0" w:line="324"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20"/>
          <w:szCs w:val="20"/>
          <w:b w:val="1"/>
          <w:bCs w:val="1"/>
          <w:color w:val="auto"/>
        </w:rPr>
        <w:t>AND</w:t>
      </w:r>
    </w:p>
    <w:p>
      <w:pPr>
        <w:spacing w:after="0" w:line="324"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20"/>
          <w:szCs w:val="20"/>
          <w:b w:val="1"/>
          <w:bCs w:val="1"/>
          <w:color w:val="auto"/>
        </w:rPr>
        <w:t>TARSUS PHARMACEUTICALS, INC.</w:t>
      </w:r>
    </w:p>
    <w:p>
      <w:pPr>
        <w:sectPr>
          <w:pgSz w:w="11900" w:h="16838" w:orient="portrait"/>
          <w:cols w:equalWidth="0" w:num="1">
            <w:col w:w="10120"/>
          </w:cols>
          <w:pgMar w:left="1440" w:top="114" w:right="339" w:bottom="1440" w:gutter="0" w:footer="0" w:header="0"/>
        </w:sectPr>
      </w:pPr>
    </w:p>
    <w:bookmarkStart w:id="351" w:name="page352"/>
    <w:bookmarkEnd w:id="351"/>
    <w:p>
      <w:pPr>
        <w:jc w:val="center"/>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LEASE</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(Short Form)</w:t>
      </w:r>
    </w:p>
    <w:p>
      <w:pPr>
        <w:spacing w:after="0" w:line="203" w:lineRule="exact"/>
        <w:rPr>
          <w:sz w:val="20"/>
          <w:szCs w:val="20"/>
          <w:color w:val="auto"/>
        </w:rPr>
      </w:pPr>
    </w:p>
    <w:p>
      <w:pPr>
        <w:ind w:firstLine="674"/>
        <w:spacing w:after="0" w:line="300" w:lineRule="auto"/>
        <w:rPr>
          <w:sz w:val="20"/>
          <w:szCs w:val="20"/>
          <w:color w:val="auto"/>
        </w:rPr>
      </w:pPr>
      <w:r>
        <w:rPr>
          <w:rFonts w:ascii="Times New Roman" w:cs="Times New Roman" w:eastAsia="Times New Roman" w:hAnsi="Times New Roman"/>
          <w:sz w:val="19"/>
          <w:szCs w:val="19"/>
          <w:color w:val="auto"/>
        </w:rPr>
        <w:t xml:space="preserve">THIS LEASE is made as of May 28, 2020, by and between </w:t>
      </w:r>
      <w:r>
        <w:rPr>
          <w:rFonts w:ascii="Times New Roman" w:cs="Times New Roman" w:eastAsia="Times New Roman" w:hAnsi="Times New Roman"/>
          <w:sz w:val="19"/>
          <w:szCs w:val="19"/>
          <w:b w:val="1"/>
          <w:bCs w:val="1"/>
          <w:color w:val="auto"/>
        </w:rPr>
        <w:t>DISCOVERY BUSINESS CENTER LLC</w:t>
      </w:r>
      <w:r>
        <w:rPr>
          <w:rFonts w:ascii="Times New Roman" w:cs="Times New Roman" w:eastAsia="Times New Roman" w:hAnsi="Times New Roman"/>
          <w:sz w:val="19"/>
          <w:szCs w:val="19"/>
          <w:color w:val="auto"/>
        </w:rPr>
        <w:t>, a Delaware limited liability company, hereafter called “</w:t>
      </w:r>
      <w:r>
        <w:rPr>
          <w:rFonts w:ascii="Times New Roman" w:cs="Times New Roman" w:eastAsia="Times New Roman" w:hAnsi="Times New Roman"/>
          <w:sz w:val="19"/>
          <w:szCs w:val="19"/>
          <w:b w:val="1"/>
          <w:bCs w:val="1"/>
          <w:color w:val="auto"/>
        </w:rPr>
        <w:t>Landlord,</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b w:val="1"/>
          <w:bCs w:val="1"/>
          <w:color w:val="auto"/>
        </w:rPr>
        <w:t>TARSUS PHARMACEUTICALS, INC.</w:t>
      </w:r>
      <w:r>
        <w:rPr>
          <w:rFonts w:ascii="Times New Roman" w:cs="Times New Roman" w:eastAsia="Times New Roman" w:hAnsi="Times New Roman"/>
          <w:sz w:val="19"/>
          <w:szCs w:val="19"/>
          <w:color w:val="auto"/>
        </w:rPr>
        <w:t>, a Delaware corporation, hereafter called “</w:t>
      </w:r>
      <w:r>
        <w:rPr>
          <w:rFonts w:ascii="Times New Roman" w:cs="Times New Roman" w:eastAsia="Times New Roman" w:hAnsi="Times New Roman"/>
          <w:sz w:val="19"/>
          <w:szCs w:val="19"/>
          <w:b w:val="1"/>
          <w:bCs w:val="1"/>
          <w:color w:val="auto"/>
        </w:rPr>
        <w:t>Tenant.</w:t>
      </w:r>
      <w:r>
        <w:rPr>
          <w:rFonts w:ascii="Times New Roman" w:cs="Times New Roman" w:eastAsia="Times New Roman" w:hAnsi="Times New Roman"/>
          <w:sz w:val="19"/>
          <w:szCs w:val="19"/>
          <w:color w:val="auto"/>
        </w:rPr>
        <w:t>”</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1. BASIC LEASE PROVISIONS</w:t>
      </w:r>
    </w:p>
    <w:p>
      <w:pPr>
        <w:spacing w:after="0" w:line="229" w:lineRule="exact"/>
        <w:rPr>
          <w:sz w:val="20"/>
          <w:szCs w:val="20"/>
          <w:color w:val="auto"/>
        </w:rPr>
      </w:pPr>
    </w:p>
    <w:p>
      <w:pPr>
        <w:ind w:firstLine="674"/>
        <w:spacing w:after="0" w:line="273" w:lineRule="auto"/>
        <w:rPr>
          <w:sz w:val="20"/>
          <w:szCs w:val="20"/>
          <w:color w:val="auto"/>
        </w:rPr>
      </w:pPr>
      <w:r>
        <w:rPr>
          <w:rFonts w:ascii="Times New Roman" w:cs="Times New Roman" w:eastAsia="Times New Roman" w:hAnsi="Times New Roman"/>
          <w:sz w:val="20"/>
          <w:szCs w:val="20"/>
          <w:color w:val="auto"/>
        </w:rPr>
        <w:t>Each reference in this Lease to the “</w:t>
      </w:r>
      <w:r>
        <w:rPr>
          <w:rFonts w:ascii="Times New Roman" w:cs="Times New Roman" w:eastAsia="Times New Roman" w:hAnsi="Times New Roman"/>
          <w:sz w:val="20"/>
          <w:szCs w:val="20"/>
          <w:b w:val="1"/>
          <w:bCs w:val="1"/>
          <w:color w:val="auto"/>
        </w:rPr>
        <w:t>Basic Lease Provisions</w:t>
      </w:r>
      <w:r>
        <w:rPr>
          <w:rFonts w:ascii="Times New Roman" w:cs="Times New Roman" w:eastAsia="Times New Roman" w:hAnsi="Times New Roman"/>
          <w:sz w:val="20"/>
          <w:szCs w:val="20"/>
          <w:color w:val="auto"/>
        </w:rPr>
        <w:t>” shall mean and refer to the following collective terms, the application of which shall be governed by the provisions in the remaining Articles of this Lease.</w:t>
      </w:r>
    </w:p>
    <w:p>
      <w:pPr>
        <w:spacing w:after="0" w:line="206" w:lineRule="exact"/>
        <w:rPr>
          <w:sz w:val="20"/>
          <w:szCs w:val="20"/>
          <w:color w:val="auto"/>
        </w:rPr>
      </w:pPr>
    </w:p>
    <w:p>
      <w:pPr>
        <w:ind w:left="660" w:hanging="652"/>
        <w:spacing w:after="0"/>
        <w:tabs>
          <w:tab w:leader="none" w:pos="660" w:val="left"/>
        </w:tabs>
        <w:numPr>
          <w:ilvl w:val="0"/>
          <w:numId w:val="3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Tenant’s Trade Name</w:t>
      </w:r>
      <w:r>
        <w:rPr>
          <w:rFonts w:ascii="Times New Roman" w:cs="Times New Roman" w:eastAsia="Times New Roman" w:hAnsi="Times New Roman"/>
          <w:sz w:val="20"/>
          <w:szCs w:val="20"/>
          <w:color w:val="auto"/>
        </w:rPr>
        <w:t>: N/A</w:t>
      </w:r>
    </w:p>
    <w:p>
      <w:pPr>
        <w:spacing w:after="0" w:line="269" w:lineRule="exact"/>
        <w:rPr>
          <w:rFonts w:ascii="Times New Roman" w:cs="Times New Roman" w:eastAsia="Times New Roman" w:hAnsi="Times New Roman"/>
          <w:sz w:val="20"/>
          <w:szCs w:val="20"/>
          <w:color w:val="auto"/>
        </w:rPr>
      </w:pPr>
    </w:p>
    <w:p>
      <w:pPr>
        <w:ind w:left="660" w:hanging="652"/>
        <w:spacing w:after="0"/>
        <w:tabs>
          <w:tab w:leader="none" w:pos="660" w:val="left"/>
        </w:tabs>
        <w:numPr>
          <w:ilvl w:val="0"/>
          <w:numId w:val="3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Premises</w:t>
      </w:r>
      <w:r>
        <w:rPr>
          <w:rFonts w:ascii="Times New Roman" w:cs="Times New Roman" w:eastAsia="Times New Roman" w:hAnsi="Times New Roman"/>
          <w:sz w:val="20"/>
          <w:szCs w:val="20"/>
          <w:color w:val="auto"/>
        </w:rPr>
        <w:t>:</w:t>
      </w:r>
    </w:p>
    <w:p>
      <w:pPr>
        <w:spacing w:after="0" w:line="229" w:lineRule="exact"/>
        <w:rPr>
          <w:rFonts w:ascii="Times New Roman" w:cs="Times New Roman" w:eastAsia="Times New Roman" w:hAnsi="Times New Roman"/>
          <w:sz w:val="20"/>
          <w:szCs w:val="20"/>
          <w:color w:val="auto"/>
        </w:rPr>
      </w:pPr>
    </w:p>
    <w:p>
      <w:pPr>
        <w:ind w:left="68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Suite No.</w:t>
      </w:r>
      <w:r>
        <w:rPr>
          <w:rFonts w:ascii="Times New Roman" w:cs="Times New Roman" w:eastAsia="Times New Roman" w:hAnsi="Times New Roman"/>
          <w:sz w:val="20"/>
          <w:szCs w:val="20"/>
          <w:color w:val="auto"/>
        </w:rPr>
        <w:t>:</w:t>
      </w:r>
      <w:r>
        <w:rPr>
          <w:rFonts w:ascii="Times New Roman" w:cs="Times New Roman" w:eastAsia="Times New Roman" w:hAnsi="Times New Roman"/>
          <w:sz w:val="19"/>
          <w:szCs w:val="19"/>
          <w:color w:val="auto"/>
        </w:rPr>
        <w:t>160 (The Premises are more particularly described in Section 2.1.)</w:t>
      </w:r>
    </w:p>
    <w:p>
      <w:pPr>
        <w:spacing w:after="0" w:line="25" w:lineRule="exact"/>
        <w:rPr>
          <w:rFonts w:ascii="Times New Roman" w:cs="Times New Roman" w:eastAsia="Times New Roman" w:hAnsi="Times New Roman"/>
          <w:sz w:val="20"/>
          <w:szCs w:val="20"/>
          <w:color w:val="auto"/>
        </w:rPr>
      </w:pPr>
    </w:p>
    <w:p>
      <w:pPr>
        <w:ind w:left="68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Address of Building: </w:t>
      </w:r>
      <w:r>
        <w:rPr>
          <w:rFonts w:ascii="Times New Roman" w:cs="Times New Roman" w:eastAsia="Times New Roman" w:hAnsi="Times New Roman"/>
          <w:sz w:val="20"/>
          <w:szCs w:val="20"/>
          <w:color w:val="auto"/>
        </w:rPr>
        <w:t>15440 Laguna Canyon Road, Irvine, CA 92618</w:t>
      </w:r>
    </w:p>
    <w:p>
      <w:pPr>
        <w:ind w:left="68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Project Description</w:t>
      </w:r>
      <w:r>
        <w:rPr>
          <w:rFonts w:ascii="Times New Roman" w:cs="Times New Roman" w:eastAsia="Times New Roman" w:hAnsi="Times New Roman"/>
          <w:sz w:val="20"/>
          <w:szCs w:val="20"/>
          <w:color w:val="auto"/>
        </w:rPr>
        <w:t>: Discovery Park (as shown 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Exhibit 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to this Lease)</w:t>
      </w:r>
    </w:p>
    <w:p>
      <w:pPr>
        <w:spacing w:after="0" w:line="243" w:lineRule="exact"/>
        <w:rPr>
          <w:rFonts w:ascii="Times New Roman" w:cs="Times New Roman" w:eastAsia="Times New Roman" w:hAnsi="Times New Roman"/>
          <w:sz w:val="20"/>
          <w:szCs w:val="20"/>
          <w:color w:val="auto"/>
        </w:rPr>
      </w:pPr>
    </w:p>
    <w:p>
      <w:pPr>
        <w:ind w:left="660" w:hanging="652"/>
        <w:spacing w:after="0"/>
        <w:tabs>
          <w:tab w:leader="none" w:pos="660" w:val="left"/>
        </w:tabs>
        <w:numPr>
          <w:ilvl w:val="0"/>
          <w:numId w:val="3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Use of Premises</w:t>
      </w:r>
      <w:r>
        <w:rPr>
          <w:rFonts w:ascii="Times New Roman" w:cs="Times New Roman" w:eastAsia="Times New Roman" w:hAnsi="Times New Roman"/>
          <w:sz w:val="20"/>
          <w:szCs w:val="20"/>
          <w:color w:val="auto"/>
        </w:rPr>
        <w:t>: General office and laboratory and for no other use.</w:t>
      </w:r>
    </w:p>
    <w:p>
      <w:pPr>
        <w:spacing w:after="0" w:line="269" w:lineRule="exact"/>
        <w:rPr>
          <w:rFonts w:ascii="Times New Roman" w:cs="Times New Roman" w:eastAsia="Times New Roman" w:hAnsi="Times New Roman"/>
          <w:sz w:val="20"/>
          <w:szCs w:val="20"/>
          <w:color w:val="auto"/>
        </w:rPr>
      </w:pPr>
    </w:p>
    <w:p>
      <w:pPr>
        <w:ind w:left="660" w:hanging="652"/>
        <w:spacing w:after="0"/>
        <w:tabs>
          <w:tab w:leader="none" w:pos="660" w:val="left"/>
        </w:tabs>
        <w:numPr>
          <w:ilvl w:val="0"/>
          <w:numId w:val="3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Estimated Commencement Date</w:t>
      </w:r>
      <w:r>
        <w:rPr>
          <w:rFonts w:ascii="Times New Roman" w:cs="Times New Roman" w:eastAsia="Times New Roman" w:hAnsi="Times New Roman"/>
          <w:sz w:val="20"/>
          <w:szCs w:val="20"/>
          <w:color w:val="auto"/>
        </w:rPr>
        <w:t>: 8 weeks following the date of this Lease.</w:t>
      </w:r>
    </w:p>
    <w:p>
      <w:pPr>
        <w:spacing w:after="0" w:line="269" w:lineRule="exact"/>
        <w:rPr>
          <w:rFonts w:ascii="Times New Roman" w:cs="Times New Roman" w:eastAsia="Times New Roman" w:hAnsi="Times New Roman"/>
          <w:sz w:val="20"/>
          <w:szCs w:val="20"/>
          <w:color w:val="auto"/>
        </w:rPr>
      </w:pPr>
    </w:p>
    <w:p>
      <w:pPr>
        <w:ind w:left="660" w:hanging="652"/>
        <w:spacing w:after="0"/>
        <w:tabs>
          <w:tab w:leader="none" w:pos="660" w:val="left"/>
        </w:tabs>
        <w:numPr>
          <w:ilvl w:val="0"/>
          <w:numId w:val="3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Lease Term</w:t>
      </w:r>
      <w:r>
        <w:rPr>
          <w:rFonts w:ascii="Times New Roman" w:cs="Times New Roman" w:eastAsia="Times New Roman" w:hAnsi="Times New Roman"/>
          <w:sz w:val="20"/>
          <w:szCs w:val="20"/>
          <w:color w:val="auto"/>
        </w:rPr>
        <w:t>: The Term of this Lease shall expire on January 31, 2024.</w:t>
      </w:r>
    </w:p>
    <w:p>
      <w:pPr>
        <w:spacing w:after="0" w:line="273" w:lineRule="exact"/>
        <w:rPr>
          <w:rFonts w:ascii="Times New Roman" w:cs="Times New Roman" w:eastAsia="Times New Roman" w:hAnsi="Times New Roman"/>
          <w:sz w:val="20"/>
          <w:szCs w:val="20"/>
          <w:color w:val="auto"/>
        </w:rPr>
      </w:pPr>
    </w:p>
    <w:p>
      <w:pPr>
        <w:ind w:left="660" w:hanging="652"/>
        <w:spacing w:after="0"/>
        <w:tabs>
          <w:tab w:leader="none" w:pos="660" w:val="left"/>
        </w:tabs>
        <w:numPr>
          <w:ilvl w:val="0"/>
          <w:numId w:val="3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Basic Rent:</w:t>
      </w:r>
    </w:p>
    <w:p>
      <w:pPr>
        <w:spacing w:after="0" w:line="266" w:lineRule="exact"/>
        <w:rPr>
          <w:sz w:val="20"/>
          <w:szCs w:val="20"/>
          <w:color w:val="auto"/>
        </w:rPr>
      </w:pPr>
    </w:p>
    <w:tbl>
      <w:tblPr>
        <w:tblLayout w:type="fixed"/>
        <w:tblInd w:w="880" w:type="dxa"/>
        <w:tblCellMar>
          <w:top w:w="0" w:type="dxa"/>
          <w:left w:w="0" w:type="dxa"/>
          <w:bottom w:w="0" w:type="dxa"/>
          <w:right w:w="0" w:type="dxa"/>
        </w:tblCellMar>
      </w:tblPr>
      <w:tr>
        <w:trPr>
          <w:trHeight w:val="233"/>
        </w:trPr>
        <w:tc>
          <w:tcPr>
            <w:tcW w:w="2740" w:type="dxa"/>
            <w:vAlign w:val="bottom"/>
          </w:tcPr>
          <w:p>
            <w:pPr>
              <w:jc w:val="center"/>
              <w:ind w:right="441"/>
              <w:spacing w:after="0"/>
              <w:rPr>
                <w:sz w:val="20"/>
                <w:szCs w:val="20"/>
                <w:color w:val="auto"/>
              </w:rPr>
            </w:pPr>
            <w:r>
              <w:rPr>
                <w:rFonts w:ascii="Times New Roman" w:cs="Times New Roman" w:eastAsia="Times New Roman" w:hAnsi="Times New Roman"/>
                <w:sz w:val="20"/>
                <w:szCs w:val="20"/>
                <w:b w:val="1"/>
                <w:bCs w:val="1"/>
                <w:color w:val="auto"/>
                <w:w w:val="97"/>
              </w:rPr>
              <w:t>Months of Term or Period</w:t>
            </w:r>
          </w:p>
        </w:tc>
        <w:tc>
          <w:tcPr>
            <w:tcW w:w="450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Monthly Rate Per Rentable Square Foot</w:t>
            </w:r>
          </w:p>
        </w:tc>
        <w:tc>
          <w:tcPr>
            <w:tcW w:w="2220" w:type="dxa"/>
            <w:vAlign w:val="bottom"/>
          </w:tcPr>
          <w:p>
            <w:pPr>
              <w:jc w:val="center"/>
              <w:ind w:left="441"/>
              <w:spacing w:after="0"/>
              <w:rPr>
                <w:sz w:val="20"/>
                <w:szCs w:val="20"/>
                <w:color w:val="auto"/>
              </w:rPr>
            </w:pPr>
            <w:r>
              <w:rPr>
                <w:rFonts w:ascii="Times New Roman" w:cs="Times New Roman" w:eastAsia="Times New Roman" w:hAnsi="Times New Roman"/>
                <w:sz w:val="20"/>
                <w:szCs w:val="20"/>
                <w:b w:val="1"/>
                <w:bCs w:val="1"/>
                <w:color w:val="auto"/>
                <w:w w:val="98"/>
              </w:rPr>
              <w:t>Monthly Basic Rent</w:t>
            </w:r>
          </w:p>
        </w:tc>
      </w:tr>
      <w:tr>
        <w:trPr>
          <w:trHeight w:val="230"/>
        </w:trPr>
        <w:tc>
          <w:tcPr>
            <w:tcW w:w="2740" w:type="dxa"/>
            <w:vAlign w:val="bottom"/>
          </w:tcPr>
          <w:p>
            <w:pPr>
              <w:jc w:val="center"/>
              <w:ind w:right="441"/>
              <w:spacing w:after="0"/>
              <w:rPr>
                <w:sz w:val="20"/>
                <w:szCs w:val="20"/>
                <w:color w:val="auto"/>
              </w:rPr>
            </w:pPr>
            <w:r>
              <w:rPr>
                <w:rFonts w:ascii="Times New Roman" w:cs="Times New Roman" w:eastAsia="Times New Roman" w:hAnsi="Times New Roman"/>
                <w:sz w:val="20"/>
                <w:szCs w:val="20"/>
                <w:color w:val="auto"/>
              </w:rPr>
              <w:t>1 to 12</w:t>
            </w:r>
          </w:p>
        </w:tc>
        <w:tc>
          <w:tcPr>
            <w:tcW w:w="45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$2.38</w:t>
            </w:r>
          </w:p>
        </w:tc>
        <w:tc>
          <w:tcPr>
            <w:tcW w:w="2220" w:type="dxa"/>
            <w:vAlign w:val="bottom"/>
          </w:tcPr>
          <w:p>
            <w:pPr>
              <w:jc w:val="center"/>
              <w:ind w:left="461"/>
              <w:spacing w:after="0"/>
              <w:rPr>
                <w:sz w:val="20"/>
                <w:szCs w:val="20"/>
                <w:color w:val="auto"/>
              </w:rPr>
            </w:pPr>
            <w:r>
              <w:rPr>
                <w:rFonts w:ascii="Times New Roman" w:cs="Times New Roman" w:eastAsia="Times New Roman" w:hAnsi="Times New Roman"/>
                <w:sz w:val="20"/>
                <w:szCs w:val="20"/>
                <w:color w:val="auto"/>
                <w:w w:val="99"/>
              </w:rPr>
              <w:t>$13,313.72</w:t>
            </w:r>
          </w:p>
        </w:tc>
      </w:tr>
      <w:tr>
        <w:trPr>
          <w:trHeight w:val="230"/>
        </w:trPr>
        <w:tc>
          <w:tcPr>
            <w:tcW w:w="2740" w:type="dxa"/>
            <w:vAlign w:val="bottom"/>
          </w:tcPr>
          <w:p>
            <w:pPr>
              <w:jc w:val="center"/>
              <w:ind w:right="441"/>
              <w:spacing w:after="0"/>
              <w:rPr>
                <w:sz w:val="20"/>
                <w:szCs w:val="20"/>
                <w:color w:val="auto"/>
              </w:rPr>
            </w:pPr>
            <w:r>
              <w:rPr>
                <w:rFonts w:ascii="Times New Roman" w:cs="Times New Roman" w:eastAsia="Times New Roman" w:hAnsi="Times New Roman"/>
                <w:sz w:val="20"/>
                <w:szCs w:val="20"/>
                <w:color w:val="auto"/>
                <w:w w:val="97"/>
              </w:rPr>
              <w:t>13 to 24</w:t>
            </w:r>
          </w:p>
        </w:tc>
        <w:tc>
          <w:tcPr>
            <w:tcW w:w="45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$2.48</w:t>
            </w:r>
          </w:p>
        </w:tc>
        <w:tc>
          <w:tcPr>
            <w:tcW w:w="2220" w:type="dxa"/>
            <w:vAlign w:val="bottom"/>
          </w:tcPr>
          <w:p>
            <w:pPr>
              <w:jc w:val="center"/>
              <w:ind w:left="461"/>
              <w:spacing w:after="0"/>
              <w:rPr>
                <w:sz w:val="20"/>
                <w:szCs w:val="20"/>
                <w:color w:val="auto"/>
              </w:rPr>
            </w:pPr>
            <w:r>
              <w:rPr>
                <w:rFonts w:ascii="Times New Roman" w:cs="Times New Roman" w:eastAsia="Times New Roman" w:hAnsi="Times New Roman"/>
                <w:sz w:val="20"/>
                <w:szCs w:val="20"/>
                <w:color w:val="auto"/>
                <w:w w:val="99"/>
              </w:rPr>
              <w:t>$13,873.12</w:t>
            </w:r>
          </w:p>
        </w:tc>
      </w:tr>
      <w:tr>
        <w:trPr>
          <w:trHeight w:val="229"/>
        </w:trPr>
        <w:tc>
          <w:tcPr>
            <w:tcW w:w="2740" w:type="dxa"/>
            <w:vAlign w:val="bottom"/>
          </w:tcPr>
          <w:p>
            <w:pPr>
              <w:jc w:val="center"/>
              <w:ind w:right="441"/>
              <w:spacing w:after="0"/>
              <w:rPr>
                <w:sz w:val="20"/>
                <w:szCs w:val="20"/>
                <w:color w:val="auto"/>
              </w:rPr>
            </w:pPr>
            <w:r>
              <w:rPr>
                <w:rFonts w:ascii="Times New Roman" w:cs="Times New Roman" w:eastAsia="Times New Roman" w:hAnsi="Times New Roman"/>
                <w:sz w:val="20"/>
                <w:szCs w:val="20"/>
                <w:color w:val="auto"/>
                <w:w w:val="97"/>
              </w:rPr>
              <w:t>25 to 36</w:t>
            </w:r>
          </w:p>
        </w:tc>
        <w:tc>
          <w:tcPr>
            <w:tcW w:w="45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$2.58</w:t>
            </w:r>
          </w:p>
        </w:tc>
        <w:tc>
          <w:tcPr>
            <w:tcW w:w="2220" w:type="dxa"/>
            <w:vAlign w:val="bottom"/>
          </w:tcPr>
          <w:p>
            <w:pPr>
              <w:jc w:val="center"/>
              <w:ind w:left="461"/>
              <w:spacing w:after="0"/>
              <w:rPr>
                <w:sz w:val="20"/>
                <w:szCs w:val="20"/>
                <w:color w:val="auto"/>
              </w:rPr>
            </w:pPr>
            <w:r>
              <w:rPr>
                <w:rFonts w:ascii="Times New Roman" w:cs="Times New Roman" w:eastAsia="Times New Roman" w:hAnsi="Times New Roman"/>
                <w:sz w:val="20"/>
                <w:szCs w:val="20"/>
                <w:color w:val="auto"/>
                <w:w w:val="99"/>
              </w:rPr>
              <w:t>$14,432.52</w:t>
            </w:r>
          </w:p>
        </w:tc>
      </w:tr>
      <w:tr>
        <w:trPr>
          <w:trHeight w:val="258"/>
        </w:trPr>
        <w:tc>
          <w:tcPr>
            <w:tcW w:w="2740" w:type="dxa"/>
            <w:vAlign w:val="bottom"/>
          </w:tcPr>
          <w:p>
            <w:pPr>
              <w:jc w:val="center"/>
              <w:ind w:right="441"/>
              <w:spacing w:after="0"/>
              <w:rPr>
                <w:sz w:val="20"/>
                <w:szCs w:val="20"/>
                <w:color w:val="auto"/>
              </w:rPr>
            </w:pPr>
            <w:r>
              <w:rPr>
                <w:rFonts w:ascii="Times New Roman" w:cs="Times New Roman" w:eastAsia="Times New Roman" w:hAnsi="Times New Roman"/>
                <w:sz w:val="20"/>
                <w:szCs w:val="20"/>
                <w:color w:val="auto"/>
                <w:w w:val="97"/>
              </w:rPr>
              <w:t>37 to 1/31/24</w:t>
            </w:r>
          </w:p>
        </w:tc>
        <w:tc>
          <w:tcPr>
            <w:tcW w:w="45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$2.68</w:t>
            </w:r>
          </w:p>
        </w:tc>
        <w:tc>
          <w:tcPr>
            <w:tcW w:w="2220" w:type="dxa"/>
            <w:vAlign w:val="bottom"/>
          </w:tcPr>
          <w:p>
            <w:pPr>
              <w:jc w:val="center"/>
              <w:ind w:left="461"/>
              <w:spacing w:after="0"/>
              <w:rPr>
                <w:sz w:val="20"/>
                <w:szCs w:val="20"/>
                <w:color w:val="auto"/>
              </w:rPr>
            </w:pPr>
            <w:r>
              <w:rPr>
                <w:rFonts w:ascii="Times New Roman" w:cs="Times New Roman" w:eastAsia="Times New Roman" w:hAnsi="Times New Roman"/>
                <w:sz w:val="20"/>
                <w:szCs w:val="20"/>
                <w:color w:val="auto"/>
                <w:w w:val="99"/>
              </w:rPr>
              <w:t>$14,991.92</w:t>
            </w:r>
          </w:p>
        </w:tc>
      </w:tr>
    </w:tbl>
    <w:p>
      <w:pPr>
        <w:spacing w:after="0" w:line="214" w:lineRule="exact"/>
        <w:rPr>
          <w:sz w:val="20"/>
          <w:szCs w:val="20"/>
          <w:color w:val="auto"/>
        </w:rPr>
      </w:pPr>
    </w:p>
    <w:p>
      <w:pPr>
        <w:jc w:val="both"/>
        <w:ind w:firstLine="674"/>
        <w:spacing w:after="0" w:line="242" w:lineRule="auto"/>
        <w:rPr>
          <w:sz w:val="20"/>
          <w:szCs w:val="20"/>
          <w:color w:val="auto"/>
        </w:rPr>
      </w:pPr>
      <w:r>
        <w:rPr>
          <w:rFonts w:ascii="Times New Roman" w:cs="Times New Roman" w:eastAsia="Times New Roman" w:hAnsi="Times New Roman"/>
          <w:sz w:val="20"/>
          <w:szCs w:val="20"/>
          <w:color w:val="auto"/>
        </w:rPr>
        <w:t>Notwithstanding the above schedule of Basic Rent to the contrary, as long as Tenant is not in Default (as defined in Section 14.1) under this Lease, Tenant shall be entitled to an abatement of 3 full calendar months of Basic Rent in the aggregate amount of $39,941.16 (i.e. $13,313.72 per month) (the “</w:t>
      </w:r>
      <w:r>
        <w:rPr>
          <w:rFonts w:ascii="Times New Roman" w:cs="Times New Roman" w:eastAsia="Times New Roman" w:hAnsi="Times New Roman"/>
          <w:sz w:val="20"/>
          <w:szCs w:val="20"/>
          <w:b w:val="1"/>
          <w:bCs w:val="1"/>
          <w:color w:val="auto"/>
        </w:rPr>
        <w:t>Abated Basic Rent</w:t>
      </w:r>
      <w:r>
        <w:rPr>
          <w:rFonts w:ascii="Times New Roman" w:cs="Times New Roman" w:eastAsia="Times New Roman" w:hAnsi="Times New Roman"/>
          <w:sz w:val="20"/>
          <w:szCs w:val="20"/>
          <w:color w:val="auto"/>
        </w:rPr>
        <w:t>”) for the first 2 full calendar months of the Term (the “</w:t>
      </w:r>
      <w:r>
        <w:rPr>
          <w:rFonts w:ascii="Times New Roman" w:cs="Times New Roman" w:eastAsia="Times New Roman" w:hAnsi="Times New Roman"/>
          <w:sz w:val="20"/>
          <w:szCs w:val="20"/>
          <w:b w:val="1"/>
          <w:bCs w:val="1"/>
          <w:color w:val="auto"/>
        </w:rPr>
        <w:t>Abatement Period</w:t>
      </w:r>
      <w:r>
        <w:rPr>
          <w:rFonts w:ascii="Times New Roman" w:cs="Times New Roman" w:eastAsia="Times New Roman" w:hAnsi="Times New Roman"/>
          <w:sz w:val="20"/>
          <w:szCs w:val="20"/>
          <w:color w:val="auto"/>
        </w:rPr>
        <w:t>”). In the event this Lease is terminated by Landlord as a result of an uncured Default by Tenant occurring at any time during the Term, the unamortized portion of the Abated Rent (based upon the full Abated Rent being amortized on a straight-line basis over the initial 43-month Term) shall be immediately due and payable to Landlord, but only to the extent Landlord is not otherwise “</w:t>
      </w:r>
      <w:r>
        <w:rPr>
          <w:rFonts w:ascii="Times New Roman" w:cs="Times New Roman" w:eastAsia="Times New Roman" w:hAnsi="Times New Roman"/>
          <w:sz w:val="20"/>
          <w:szCs w:val="20"/>
          <w:b w:val="1"/>
          <w:bCs w:val="1"/>
          <w:color w:val="auto"/>
        </w:rPr>
        <w:t>made whole</w:t>
      </w:r>
      <w:r>
        <w:rPr>
          <w:rFonts w:ascii="Times New Roman" w:cs="Times New Roman" w:eastAsia="Times New Roman" w:hAnsi="Times New Roman"/>
          <w:sz w:val="20"/>
          <w:szCs w:val="20"/>
          <w:color w:val="auto"/>
        </w:rPr>
        <w:t>” for such portion of the unamortized Abated Rent through its recovery of leasehold damages in general. The payment by Tenant of the Abated Basic Rent in the event of a Default shall not limit or affect any of Landlord’s other rights, pursuant to this Lease or at law or in equity. Only Basic Rent shall be abated during the Abatement Period and all other additional rent and other costs and charges specified in this Lease shall remain due and payable pursuant to the provisions of this Lease.</w:t>
      </w:r>
    </w:p>
    <w:p>
      <w:pPr>
        <w:spacing w:after="0" w:line="1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261" w:right="339" w:bottom="1440" w:gutter="0" w:footer="0" w:header="0"/>
        </w:sectPr>
      </w:pPr>
    </w:p>
    <w:bookmarkStart w:id="352" w:name="page353"/>
    <w:bookmarkEnd w:id="352"/>
    <w:p>
      <w:pPr>
        <w:ind w:left="560" w:hanging="552"/>
        <w:spacing w:after="0" w:line="273" w:lineRule="auto"/>
        <w:tabs>
          <w:tab w:leader="none" w:pos="560" w:val="left"/>
        </w:tabs>
        <w:numPr>
          <w:ilvl w:val="0"/>
          <w:numId w:val="3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Expense Recovery Period</w:t>
      </w:r>
      <w:r>
        <w:rPr>
          <w:rFonts w:ascii="Times New Roman" w:cs="Times New Roman" w:eastAsia="Times New Roman" w:hAnsi="Times New Roman"/>
          <w:sz w:val="20"/>
          <w:szCs w:val="20"/>
          <w:color w:val="auto"/>
        </w:rPr>
        <w:t>: Every twelve month period during the Term (or portion thereof during the first and last Lease years)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ending June 30.</w:t>
      </w:r>
    </w:p>
    <w:p>
      <w:pPr>
        <w:spacing w:after="0" w:line="178" w:lineRule="exact"/>
        <w:rPr>
          <w:rFonts w:ascii="Times New Roman" w:cs="Times New Roman" w:eastAsia="Times New Roman" w:hAnsi="Times New Roman"/>
          <w:sz w:val="20"/>
          <w:szCs w:val="20"/>
          <w:color w:val="auto"/>
        </w:rPr>
      </w:pPr>
    </w:p>
    <w:p>
      <w:pPr>
        <w:ind w:left="560" w:hanging="552"/>
        <w:spacing w:after="0"/>
        <w:tabs>
          <w:tab w:leader="none" w:pos="560" w:val="left"/>
        </w:tabs>
        <w:numPr>
          <w:ilvl w:val="0"/>
          <w:numId w:val="3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Floor Area of Premises</w:t>
      </w:r>
      <w:r>
        <w:rPr>
          <w:rFonts w:ascii="Times New Roman" w:cs="Times New Roman" w:eastAsia="Times New Roman" w:hAnsi="Times New Roman"/>
          <w:sz w:val="20"/>
          <w:szCs w:val="20"/>
          <w:color w:val="auto"/>
        </w:rPr>
        <w:t>: approximately 5,594 rentable square feet</w:t>
      </w:r>
    </w:p>
    <w:p>
      <w:pPr>
        <w:spacing w:after="0" w:line="21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0"/>
          <w:szCs w:val="20"/>
          <w:b w:val="1"/>
          <w:bCs w:val="1"/>
          <w:color w:val="auto"/>
        </w:rPr>
        <w:t>Floor Area of Building</w:t>
      </w:r>
      <w:r>
        <w:rPr>
          <w:rFonts w:ascii="Times New Roman" w:cs="Times New Roman" w:eastAsia="Times New Roman" w:hAnsi="Times New Roman"/>
          <w:sz w:val="20"/>
          <w:szCs w:val="20"/>
          <w:color w:val="auto"/>
        </w:rPr>
        <w:t>: approximately 62,814 rentable square feet</w:t>
      </w:r>
    </w:p>
    <w:p>
      <w:pPr>
        <w:spacing w:after="0" w:line="243" w:lineRule="exact"/>
        <w:rPr>
          <w:sz w:val="20"/>
          <w:szCs w:val="20"/>
          <w:color w:val="auto"/>
        </w:rPr>
      </w:pPr>
    </w:p>
    <w:p>
      <w:pPr>
        <w:ind w:left="660" w:hanging="652"/>
        <w:spacing w:after="0"/>
        <w:tabs>
          <w:tab w:leader="none" w:pos="660" w:val="left"/>
        </w:tabs>
        <w:numPr>
          <w:ilvl w:val="0"/>
          <w:numId w:val="3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Security Deposit</w:t>
      </w:r>
      <w:r>
        <w:rPr>
          <w:rFonts w:ascii="Times New Roman" w:cs="Times New Roman" w:eastAsia="Times New Roman" w:hAnsi="Times New Roman"/>
          <w:sz w:val="20"/>
          <w:szCs w:val="20"/>
          <w:color w:val="auto"/>
        </w:rPr>
        <w:t>: $44,796.75</w:t>
      </w:r>
    </w:p>
    <w:p>
      <w:pPr>
        <w:spacing w:after="0" w:line="242" w:lineRule="exact"/>
        <w:rPr>
          <w:rFonts w:ascii="Times New Roman" w:cs="Times New Roman" w:eastAsia="Times New Roman" w:hAnsi="Times New Roman"/>
          <w:sz w:val="20"/>
          <w:szCs w:val="20"/>
          <w:color w:val="auto"/>
        </w:rPr>
      </w:pPr>
    </w:p>
    <w:p>
      <w:pPr>
        <w:ind w:left="660" w:right="20" w:hanging="652"/>
        <w:spacing w:after="0" w:line="273" w:lineRule="auto"/>
        <w:tabs>
          <w:tab w:leader="none" w:pos="660" w:val="left"/>
        </w:tabs>
        <w:numPr>
          <w:ilvl w:val="0"/>
          <w:numId w:val="3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Broker(s)</w:t>
      </w:r>
      <w:r>
        <w:rPr>
          <w:rFonts w:ascii="Times New Roman" w:cs="Times New Roman" w:eastAsia="Times New Roman" w:hAnsi="Times New Roman"/>
          <w:sz w:val="20"/>
          <w:szCs w:val="20"/>
          <w:color w:val="auto"/>
        </w:rPr>
        <w:t>: Irvine Management Company (“</w:t>
      </w:r>
      <w:r>
        <w:rPr>
          <w:rFonts w:ascii="Times New Roman" w:cs="Times New Roman" w:eastAsia="Times New Roman" w:hAnsi="Times New Roman"/>
          <w:sz w:val="20"/>
          <w:szCs w:val="20"/>
          <w:b w:val="1"/>
          <w:bCs w:val="1"/>
          <w:color w:val="auto"/>
        </w:rPr>
        <w:t>Landlord’s Broker</w:t>
      </w:r>
      <w:r>
        <w:rPr>
          <w:rFonts w:ascii="Times New Roman" w:cs="Times New Roman" w:eastAsia="Times New Roman" w:hAnsi="Times New Roman"/>
          <w:sz w:val="20"/>
          <w:szCs w:val="20"/>
          <w:color w:val="auto"/>
        </w:rPr>
        <w:t>”) is the agent of Landlord exclusively and CBRE (“</w:t>
      </w:r>
      <w:r>
        <w:rPr>
          <w:rFonts w:ascii="Times New Roman" w:cs="Times New Roman" w:eastAsia="Times New Roman" w:hAnsi="Times New Roman"/>
          <w:sz w:val="20"/>
          <w:szCs w:val="20"/>
          <w:b w:val="1"/>
          <w:bCs w:val="1"/>
          <w:color w:val="auto"/>
        </w:rPr>
        <w:t>Tenant’s Broker</w:t>
      </w:r>
      <w:r>
        <w:rPr>
          <w:rFonts w:ascii="Times New Roman" w:cs="Times New Roman" w:eastAsia="Times New Roman" w:hAnsi="Times New Roman"/>
          <w:sz w:val="20"/>
          <w:szCs w:val="20"/>
          <w:color w:val="auto"/>
        </w:rPr>
        <w:t>”) is the agent of Tenant exclusively.</w:t>
      </w:r>
    </w:p>
    <w:p>
      <w:pPr>
        <w:spacing w:after="0" w:line="178" w:lineRule="exact"/>
        <w:rPr>
          <w:rFonts w:ascii="Times New Roman" w:cs="Times New Roman" w:eastAsia="Times New Roman" w:hAnsi="Times New Roman"/>
          <w:sz w:val="20"/>
          <w:szCs w:val="20"/>
          <w:color w:val="auto"/>
        </w:rPr>
      </w:pPr>
    </w:p>
    <w:p>
      <w:pPr>
        <w:ind w:left="660" w:hanging="652"/>
        <w:spacing w:after="0"/>
        <w:tabs>
          <w:tab w:leader="none" w:pos="660" w:val="left"/>
        </w:tabs>
        <w:numPr>
          <w:ilvl w:val="0"/>
          <w:numId w:val="3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Parking</w:t>
      </w:r>
      <w:r>
        <w:rPr>
          <w:rFonts w:ascii="Times New Roman" w:cs="Times New Roman" w:eastAsia="Times New Roman" w:hAnsi="Times New Roman"/>
          <w:sz w:val="20"/>
          <w:szCs w:val="20"/>
          <w:color w:val="auto"/>
        </w:rPr>
        <w:t>: 22 parking spaces in accordance with the provisions set forth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Exhibit 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to this Lease.</w:t>
      </w:r>
    </w:p>
    <w:p>
      <w:pPr>
        <w:spacing w:after="0" w:line="242" w:lineRule="exact"/>
        <w:rPr>
          <w:rFonts w:ascii="Times New Roman" w:cs="Times New Roman" w:eastAsia="Times New Roman" w:hAnsi="Times New Roman"/>
          <w:sz w:val="20"/>
          <w:szCs w:val="20"/>
          <w:color w:val="auto"/>
        </w:rPr>
      </w:pPr>
    </w:p>
    <w:p>
      <w:pPr>
        <w:ind w:left="660" w:hanging="652"/>
        <w:spacing w:after="0"/>
        <w:tabs>
          <w:tab w:leader="none" w:pos="660" w:val="left"/>
        </w:tabs>
        <w:numPr>
          <w:ilvl w:val="0"/>
          <w:numId w:val="3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Address for Payments and Notices</w:t>
      </w:r>
      <w:r>
        <w:rPr>
          <w:rFonts w:ascii="Times New Roman" w:cs="Times New Roman" w:eastAsia="Times New Roman" w:hAnsi="Times New Roman"/>
          <w:sz w:val="20"/>
          <w:szCs w:val="20"/>
          <w:color w:val="auto"/>
        </w:rPr>
        <w:t>:</w:t>
      </w:r>
    </w:p>
    <w:p>
      <w:pPr>
        <w:spacing w:after="0" w:line="247" w:lineRule="exact"/>
        <w:rPr>
          <w:sz w:val="20"/>
          <w:szCs w:val="20"/>
          <w:color w:val="auto"/>
        </w:rPr>
      </w:pPr>
    </w:p>
    <w:p>
      <w:pPr>
        <w:spacing w:after="0"/>
        <w:tabs>
          <w:tab w:leader="none" w:pos="5840" w:val="left"/>
        </w:tabs>
        <w:rPr>
          <w:sz w:val="20"/>
          <w:szCs w:val="20"/>
          <w:color w:val="auto"/>
        </w:rPr>
      </w:pPr>
      <w:r>
        <w:rPr>
          <w:rFonts w:ascii="Times New Roman" w:cs="Times New Roman" w:eastAsia="Times New Roman" w:hAnsi="Times New Roman"/>
          <w:sz w:val="20"/>
          <w:szCs w:val="20"/>
          <w:color w:val="auto"/>
        </w:rPr>
        <w:t>LANDLORD</w:t>
      </w:r>
      <w:r>
        <w:rPr>
          <w:sz w:val="20"/>
          <w:szCs w:val="20"/>
          <w:color w:val="auto"/>
        </w:rPr>
        <w:tab/>
      </w:r>
      <w:r>
        <w:rPr>
          <w:rFonts w:ascii="Times New Roman" w:cs="Times New Roman" w:eastAsia="Times New Roman" w:hAnsi="Times New Roman"/>
          <w:sz w:val="20"/>
          <w:szCs w:val="20"/>
          <w:color w:val="auto"/>
        </w:rPr>
        <w:t>TENANT</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Payment Registration Address: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Email tenantportal@irvinecompany.com to request an account for the TARSUS PHARMACEUTICALS, INC.</w:t>
      </w:r>
    </w:p>
    <w:p>
      <w:pPr>
        <w:spacing w:after="0" w:line="22" w:lineRule="exact"/>
        <w:rPr>
          <w:sz w:val="20"/>
          <w:szCs w:val="20"/>
          <w:color w:val="auto"/>
        </w:rPr>
      </w:pPr>
    </w:p>
    <w:p>
      <w:pPr>
        <w:ind w:left="5860" w:right="2260" w:hanging="5844"/>
        <w:spacing w:after="0" w:line="246" w:lineRule="auto"/>
        <w:tabs>
          <w:tab w:leader="none" w:pos="5840" w:val="left"/>
        </w:tabs>
        <w:rPr>
          <w:sz w:val="20"/>
          <w:szCs w:val="20"/>
          <w:color w:val="auto"/>
        </w:rPr>
      </w:pPr>
      <w:r>
        <w:rPr>
          <w:rFonts w:ascii="Times New Roman" w:cs="Times New Roman" w:eastAsia="Times New Roman" w:hAnsi="Times New Roman"/>
          <w:sz w:val="20"/>
          <w:szCs w:val="20"/>
          <w:color w:val="auto"/>
        </w:rPr>
        <w:t>Tenant Payment Portal.</w:t>
      </w:r>
      <w:r>
        <w:rPr>
          <w:sz w:val="20"/>
          <w:szCs w:val="20"/>
          <w:color w:val="auto"/>
        </w:rPr>
        <w:tab/>
      </w:r>
      <w:r>
        <w:rPr>
          <w:rFonts w:ascii="Times New Roman" w:cs="Times New Roman" w:eastAsia="Times New Roman" w:hAnsi="Times New Roman"/>
          <w:sz w:val="20"/>
          <w:szCs w:val="20"/>
          <w:color w:val="auto"/>
        </w:rPr>
        <w:t>15440 Laguna Canyon Road, Suite 160 Irvine, CA 92618</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Notice Address: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IRVINE COMPANY LLC</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550 Newport Center Drive</w:t>
      </w:r>
    </w:p>
    <w:p>
      <w:pPr>
        <w:spacing w:after="0"/>
        <w:rPr>
          <w:sz w:val="20"/>
          <w:szCs w:val="20"/>
          <w:color w:val="auto"/>
        </w:rPr>
      </w:pPr>
      <w:r>
        <w:rPr>
          <w:rFonts w:ascii="Times New Roman" w:cs="Times New Roman" w:eastAsia="Times New Roman" w:hAnsi="Times New Roman"/>
          <w:sz w:val="20"/>
          <w:szCs w:val="20"/>
          <w:color w:val="auto"/>
        </w:rPr>
        <w:t>Newport Beach, CA 92660</w:t>
      </w:r>
    </w:p>
    <w:p>
      <w:pPr>
        <w:spacing w:after="0"/>
        <w:rPr>
          <w:sz w:val="20"/>
          <w:szCs w:val="20"/>
          <w:color w:val="auto"/>
        </w:rPr>
      </w:pPr>
      <w:r>
        <w:rPr>
          <w:rFonts w:ascii="Times New Roman" w:cs="Times New Roman" w:eastAsia="Times New Roman" w:hAnsi="Times New Roman"/>
          <w:sz w:val="20"/>
          <w:szCs w:val="20"/>
          <w:color w:val="auto"/>
        </w:rPr>
        <w:t>Attn: Senior Vice President, Operations Office Properties</w:t>
      </w:r>
    </w:p>
    <w:p>
      <w:pPr>
        <w:spacing w:after="0" w:line="203" w:lineRule="exact"/>
        <w:rPr>
          <w:sz w:val="20"/>
          <w:szCs w:val="20"/>
          <w:color w:val="auto"/>
        </w:rPr>
      </w:pPr>
    </w:p>
    <w:p>
      <w:pPr>
        <w:ind w:firstLine="674"/>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LIST OF LEASE EXHIBITS </w:t>
      </w:r>
      <w:r>
        <w:rPr>
          <w:rFonts w:ascii="Times New Roman" w:cs="Times New Roman" w:eastAsia="Times New Roman" w:hAnsi="Times New Roman"/>
          <w:sz w:val="20"/>
          <w:szCs w:val="20"/>
          <w:color w:val="auto"/>
        </w:rPr>
        <w:t>(All exhibits, riders and addenda attached to this Lease are hereby incorporated into and made a part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 this Lease):</w:t>
      </w:r>
    </w:p>
    <w:p>
      <w:pPr>
        <w:sectPr>
          <w:pgSz w:w="11900" w:h="16838" w:orient="portrait"/>
          <w:cols w:equalWidth="0" w:num="1">
            <w:col w:w="11240"/>
          </w:cols>
          <w:pgMar w:left="320" w:top="261" w:right="339" w:bottom="1440" w:gutter="0" w:footer="0" w:header="0"/>
        </w:sectPr>
      </w:pP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B</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J</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X</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Y</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Description of Premises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Expenses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Utilities and Services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Tenant’s Insurance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Rules and Regulations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Parking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Additional Provisions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Landlord’s Disclosures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Survey Form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Work Letter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Project Description</w:t>
      </w:r>
    </w:p>
    <w:p>
      <w:pPr>
        <w:spacing w:after="0" w:line="139" w:lineRule="exact"/>
        <w:rPr>
          <w:sz w:val="20"/>
          <w:szCs w:val="20"/>
          <w:color w:val="auto"/>
        </w:rPr>
      </w:pPr>
    </w:p>
    <w:p>
      <w:pPr>
        <w:sectPr>
          <w:pgSz w:w="11900" w:h="16838" w:orient="portrait"/>
          <w:cols w:equalWidth="0" w:num="2">
            <w:col w:w="4580" w:space="720"/>
            <w:col w:w="5940"/>
          </w:cols>
          <w:pgMar w:left="320" w:top="261" w:right="3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6"/>
          <w:szCs w:val="16"/>
          <w:color w:val="auto"/>
        </w:rPr>
        <w:t>2</w:t>
      </w:r>
    </w:p>
    <w:p>
      <w:pPr>
        <w:sectPr>
          <w:pgSz w:w="11900" w:h="16838" w:orient="portrait"/>
          <w:cols w:equalWidth="0" w:num="1">
            <w:col w:w="11240"/>
          </w:cols>
          <w:pgMar w:left="320" w:top="261" w:right="339" w:bottom="1440" w:gutter="0" w:footer="0" w:header="0"/>
          <w:type w:val="continuous"/>
        </w:sectPr>
      </w:pPr>
    </w:p>
    <w:bookmarkStart w:id="353" w:name="page354"/>
    <w:bookmarkEnd w:id="353"/>
    <w:p>
      <w:pPr>
        <w:jc w:val="center"/>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ARTICLE 2. . PREMISES</w:t>
      </w:r>
    </w:p>
    <w:p>
      <w:pPr>
        <w:spacing w:after="0" w:line="216" w:lineRule="exact"/>
        <w:rPr>
          <w:sz w:val="20"/>
          <w:szCs w:val="20"/>
          <w:color w:val="auto"/>
        </w:rPr>
      </w:pPr>
    </w:p>
    <w:p>
      <w:pPr>
        <w:jc w:val="both"/>
        <w:ind w:firstLine="562"/>
        <w:spacing w:after="0" w:line="247" w:lineRule="auto"/>
        <w:rPr>
          <w:sz w:val="20"/>
          <w:szCs w:val="20"/>
          <w:color w:val="auto"/>
        </w:rPr>
      </w:pPr>
      <w:r>
        <w:rPr>
          <w:rFonts w:ascii="Times New Roman" w:cs="Times New Roman" w:eastAsia="Times New Roman" w:hAnsi="Times New Roman"/>
          <w:sz w:val="20"/>
          <w:szCs w:val="20"/>
          <w:b w:val="1"/>
          <w:bCs w:val="1"/>
          <w:color w:val="auto"/>
        </w:rPr>
        <w:t>2.1 LEASED PREMISES</w:t>
      </w:r>
      <w:r>
        <w:rPr>
          <w:rFonts w:ascii="Times New Roman" w:cs="Times New Roman" w:eastAsia="Times New Roman" w:hAnsi="Times New Roman"/>
          <w:sz w:val="20"/>
          <w:szCs w:val="20"/>
          <w:color w:val="auto"/>
        </w:rPr>
        <w:t>. Landlord leases to Tenant and Tenant leases from Landlord the Premises shown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Premises</w:t>
      </w:r>
      <w:r>
        <w:rPr>
          <w:rFonts w:ascii="Times New Roman" w:cs="Times New Roman" w:eastAsia="Times New Roman" w:hAnsi="Times New Roman"/>
          <w:sz w:val="20"/>
          <w:szCs w:val="20"/>
          <w:color w:val="auto"/>
        </w:rPr>
        <w:t>”), containing approximately the floor area set forth in Item 8 of the Basic Lease Provisions (the “</w:t>
      </w:r>
      <w:r>
        <w:rPr>
          <w:rFonts w:ascii="Times New Roman" w:cs="Times New Roman" w:eastAsia="Times New Roman" w:hAnsi="Times New Roman"/>
          <w:sz w:val="20"/>
          <w:szCs w:val="20"/>
          <w:b w:val="1"/>
          <w:bCs w:val="1"/>
          <w:color w:val="auto"/>
        </w:rPr>
        <w:t>Floor Area</w:t>
      </w:r>
      <w:r>
        <w:rPr>
          <w:rFonts w:ascii="Times New Roman" w:cs="Times New Roman" w:eastAsia="Times New Roman" w:hAnsi="Times New Roman"/>
          <w:sz w:val="20"/>
          <w:szCs w:val="20"/>
          <w:color w:val="auto"/>
        </w:rPr>
        <w:t>”). The Premises are located in the building identified in Item 2 of the Basic Lease Provisions (the “</w:t>
      </w:r>
      <w:r>
        <w:rPr>
          <w:rFonts w:ascii="Times New Roman" w:cs="Times New Roman" w:eastAsia="Times New Roman" w:hAnsi="Times New Roman"/>
          <w:sz w:val="20"/>
          <w:szCs w:val="20"/>
          <w:b w:val="1"/>
          <w:bCs w:val="1"/>
          <w:color w:val="auto"/>
        </w:rPr>
        <w:t>Building</w:t>
      </w:r>
      <w:r>
        <w:rPr>
          <w:rFonts w:ascii="Times New Roman" w:cs="Times New Roman" w:eastAsia="Times New Roman" w:hAnsi="Times New Roman"/>
          <w:sz w:val="20"/>
          <w:szCs w:val="20"/>
          <w:color w:val="auto"/>
        </w:rPr>
        <w:t>”), which is a portion of the project described in Item 2 (the “</w:t>
      </w:r>
      <w:r>
        <w:rPr>
          <w:rFonts w:ascii="Times New Roman" w:cs="Times New Roman" w:eastAsia="Times New Roman" w:hAnsi="Times New Roman"/>
          <w:sz w:val="20"/>
          <w:szCs w:val="20"/>
          <w:b w:val="1"/>
          <w:bCs w:val="1"/>
          <w:color w:val="auto"/>
        </w:rPr>
        <w:t>Project</w:t>
      </w:r>
      <w:r>
        <w:rPr>
          <w:rFonts w:ascii="Times New Roman" w:cs="Times New Roman" w:eastAsia="Times New Roman" w:hAnsi="Times New Roman"/>
          <w:sz w:val="20"/>
          <w:szCs w:val="20"/>
          <w:color w:val="auto"/>
        </w:rPr>
        <w:t>”). Landlord and Tenant stipulate and agree that the Floor Area of Premises set forth in Item 8 of the Basic Lease Provisions is correct.</w:t>
      </w:r>
    </w:p>
    <w:p>
      <w:pPr>
        <w:spacing w:after="0" w:line="180" w:lineRule="exact"/>
        <w:rPr>
          <w:sz w:val="20"/>
          <w:szCs w:val="20"/>
          <w:color w:val="auto"/>
        </w:rPr>
      </w:pPr>
    </w:p>
    <w:p>
      <w:pPr>
        <w:jc w:val="both"/>
        <w:ind w:firstLine="562"/>
        <w:spacing w:after="0" w:line="245" w:lineRule="auto"/>
        <w:rPr>
          <w:sz w:val="20"/>
          <w:szCs w:val="20"/>
          <w:color w:val="auto"/>
        </w:rPr>
      </w:pPr>
      <w:r>
        <w:rPr>
          <w:rFonts w:ascii="Times New Roman" w:cs="Times New Roman" w:eastAsia="Times New Roman" w:hAnsi="Times New Roman"/>
          <w:sz w:val="20"/>
          <w:szCs w:val="20"/>
          <w:b w:val="1"/>
          <w:bCs w:val="1"/>
          <w:color w:val="auto"/>
        </w:rPr>
        <w:t xml:space="preserve">2.2 ACCEPTANCE OF PREMISES </w:t>
      </w:r>
      <w:r>
        <w:rPr>
          <w:rFonts w:ascii="Times New Roman" w:cs="Times New Roman" w:eastAsia="Times New Roman" w:hAnsi="Times New Roman"/>
          <w:sz w:val="20"/>
          <w:szCs w:val="20"/>
          <w:color w:val="auto"/>
        </w:rPr>
        <w:t>. Tenant acknowledges that neither Landlord nor any representative of Landlord has made 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representation or warranty with respect to the Premises, the Building or the Project or the suitability or fitness of either for any purpose, except as set forth in this Lease. Tenant acknowledges that the flooring materials which may be installed within portions of the Premises located on the ground floor of the Building may be limited by the moisture content of the Building slab and underlying soils. The taking of possession or use of the Premises by Tenant for any purpose other than construction shall conclusively establish that the Premises and the Building were in satisfactory condition and in conformity with the provisions of this Lease in all respects. Nothing contained in this Section 2.2 shall affect the commencement of the Term or the obligation of Tenant to pay rent.</w:t>
      </w:r>
    </w:p>
    <w:p>
      <w:pPr>
        <w:spacing w:after="0" w:line="179" w:lineRule="exact"/>
        <w:rPr>
          <w:sz w:val="20"/>
          <w:szCs w:val="20"/>
          <w:color w:val="auto"/>
        </w:rPr>
      </w:pPr>
    </w:p>
    <w:p>
      <w:pPr>
        <w:jc w:val="both"/>
        <w:ind w:firstLine="562"/>
        <w:spacing w:after="0" w:line="246" w:lineRule="auto"/>
        <w:rPr>
          <w:sz w:val="20"/>
          <w:szCs w:val="20"/>
          <w:color w:val="auto"/>
        </w:rPr>
      </w:pPr>
      <w:r>
        <w:rPr>
          <w:rFonts w:ascii="Times New Roman" w:cs="Times New Roman" w:eastAsia="Times New Roman" w:hAnsi="Times New Roman"/>
          <w:sz w:val="20"/>
          <w:szCs w:val="20"/>
          <w:b w:val="1"/>
          <w:bCs w:val="1"/>
          <w:color w:val="auto"/>
        </w:rPr>
        <w:t>2.3 GOOD WORKING ORDER WARRANTY</w:t>
      </w:r>
      <w:r>
        <w:rPr>
          <w:rFonts w:ascii="Times New Roman" w:cs="Times New Roman" w:eastAsia="Times New Roman" w:hAnsi="Times New Roman"/>
          <w:sz w:val="20"/>
          <w:szCs w:val="20"/>
          <w:color w:val="auto"/>
        </w:rPr>
        <w:t>. Landlord warrants to Tenant that the fire sprinkler system, lighting, heating,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ventilation and air conditioning systems and electrical systems serving the Premises shall be in good operating condition as of the day the Premises are delivered to Tenant. Provided that Tenant shall notify Landlord of a non- compliance with the foregoing warranty not later than 60 days following the day the Premises are delivered to Tenant, then Landlord shall, except as otherwise provided in this Lease, promptly after receipt of written notice from Tenant setting forth the nature and extent of such non-compliance, rectify same at Landlord’s sole cost and expense (and not as a Project Cost).</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3. TERM</w:t>
      </w:r>
    </w:p>
    <w:p>
      <w:pPr>
        <w:spacing w:after="0" w:line="216" w:lineRule="exact"/>
        <w:rPr>
          <w:sz w:val="20"/>
          <w:szCs w:val="20"/>
          <w:color w:val="auto"/>
        </w:rPr>
      </w:pPr>
    </w:p>
    <w:p>
      <w:pPr>
        <w:jc w:val="both"/>
        <w:ind w:firstLine="562"/>
        <w:spacing w:after="0" w:line="243" w:lineRule="auto"/>
        <w:rPr>
          <w:sz w:val="20"/>
          <w:szCs w:val="20"/>
          <w:color w:val="auto"/>
        </w:rPr>
      </w:pPr>
      <w:r>
        <w:rPr>
          <w:rFonts w:ascii="Times New Roman" w:cs="Times New Roman" w:eastAsia="Times New Roman" w:hAnsi="Times New Roman"/>
          <w:sz w:val="20"/>
          <w:szCs w:val="20"/>
          <w:b w:val="1"/>
          <w:bCs w:val="1"/>
          <w:color w:val="auto"/>
        </w:rPr>
        <w:t>3.1 GENERAL</w:t>
      </w:r>
      <w:r>
        <w:rPr>
          <w:rFonts w:ascii="Times New Roman" w:cs="Times New Roman" w:eastAsia="Times New Roman" w:hAnsi="Times New Roman"/>
          <w:sz w:val="20"/>
          <w:szCs w:val="20"/>
          <w:color w:val="auto"/>
        </w:rPr>
        <w:t>. The term of this Lease (“</w:t>
      </w:r>
      <w:r>
        <w:rPr>
          <w:rFonts w:ascii="Times New Roman" w:cs="Times New Roman" w:eastAsia="Times New Roman" w:hAnsi="Times New Roman"/>
          <w:sz w:val="20"/>
          <w:szCs w:val="20"/>
          <w:b w:val="1"/>
          <w:bCs w:val="1"/>
          <w:color w:val="auto"/>
        </w:rPr>
        <w:t>Term</w:t>
      </w:r>
      <w:r>
        <w:rPr>
          <w:rFonts w:ascii="Times New Roman" w:cs="Times New Roman" w:eastAsia="Times New Roman" w:hAnsi="Times New Roman"/>
          <w:sz w:val="20"/>
          <w:szCs w:val="20"/>
          <w:color w:val="auto"/>
        </w:rPr>
        <w:t>”) shall be for the period shown in Item 5 of the Basic Lease Provisions. The Term</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shall commence (“</w:t>
      </w:r>
      <w:r>
        <w:rPr>
          <w:rFonts w:ascii="Times New Roman" w:cs="Times New Roman" w:eastAsia="Times New Roman" w:hAnsi="Times New Roman"/>
          <w:sz w:val="20"/>
          <w:szCs w:val="20"/>
          <w:b w:val="1"/>
          <w:bCs w:val="1"/>
          <w:color w:val="auto"/>
        </w:rPr>
        <w:t>Commencement Date</w:t>
      </w:r>
      <w:r>
        <w:rPr>
          <w:rFonts w:ascii="Times New Roman" w:cs="Times New Roman" w:eastAsia="Times New Roman" w:hAnsi="Times New Roman"/>
          <w:sz w:val="20"/>
          <w:szCs w:val="20"/>
          <w:color w:val="auto"/>
        </w:rPr>
        <w:t>”) on the earlier of (a) the date the Premises are deemed “</w:t>
      </w:r>
      <w:r>
        <w:rPr>
          <w:rFonts w:ascii="Times New Roman" w:cs="Times New Roman" w:eastAsia="Times New Roman" w:hAnsi="Times New Roman"/>
          <w:sz w:val="20"/>
          <w:szCs w:val="20"/>
          <w:b w:val="1"/>
          <w:bCs w:val="1"/>
          <w:color w:val="auto"/>
        </w:rPr>
        <w:t>ready for occupancy</w:t>
      </w:r>
      <w:r>
        <w:rPr>
          <w:rFonts w:ascii="Times New Roman" w:cs="Times New Roman" w:eastAsia="Times New Roman" w:hAnsi="Times New Roman"/>
          <w:sz w:val="20"/>
          <w:szCs w:val="20"/>
          <w:color w:val="auto"/>
        </w:rPr>
        <w:t>” (as hereinafter defined) and possession thereof is delivered to Tenant, or (b) the date Tenant commences its regular business activities within the Premises. Promptly following request by Landlord, the parties shall memorialize on a form provided by Landlord (the “</w:t>
      </w:r>
      <w:r>
        <w:rPr>
          <w:rFonts w:ascii="Times New Roman" w:cs="Times New Roman" w:eastAsia="Times New Roman" w:hAnsi="Times New Roman"/>
          <w:sz w:val="20"/>
          <w:szCs w:val="20"/>
          <w:b w:val="1"/>
          <w:bCs w:val="1"/>
          <w:color w:val="auto"/>
        </w:rPr>
        <w:t>Commencement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Memorandum</w:t>
      </w:r>
      <w:r>
        <w:rPr>
          <w:rFonts w:ascii="Times New Roman" w:cs="Times New Roman" w:eastAsia="Times New Roman" w:hAnsi="Times New Roman"/>
          <w:sz w:val="20"/>
          <w:szCs w:val="20"/>
          <w:color w:val="auto"/>
        </w:rPr>
        <w:t>”) the actual Commencement Date and the expiration date (“</w:t>
      </w:r>
      <w:r>
        <w:rPr>
          <w:rFonts w:ascii="Times New Roman" w:cs="Times New Roman" w:eastAsia="Times New Roman" w:hAnsi="Times New Roman"/>
          <w:sz w:val="20"/>
          <w:szCs w:val="20"/>
          <w:b w:val="1"/>
          <w:bCs w:val="1"/>
          <w:color w:val="auto"/>
        </w:rPr>
        <w:t>Expiration Date</w:t>
      </w:r>
      <w:r>
        <w:rPr>
          <w:rFonts w:ascii="Times New Roman" w:cs="Times New Roman" w:eastAsia="Times New Roman" w:hAnsi="Times New Roman"/>
          <w:sz w:val="20"/>
          <w:szCs w:val="20"/>
          <w:color w:val="auto"/>
        </w:rPr>
        <w:t>”) of this Lease; should Tenant fail to execute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 return the Commencement Memorandum to Landlord within 10 business days (or provide specific written objections thereto within that period), then Landlord’s determination of the Commencement and Expiration Dates as set forth in the Commencement Memorandum shall be conclusive. The Premises shall be deemed “</w:t>
      </w:r>
      <w:r>
        <w:rPr>
          <w:rFonts w:ascii="Times New Roman" w:cs="Times New Roman" w:eastAsia="Times New Roman" w:hAnsi="Times New Roman"/>
          <w:sz w:val="20"/>
          <w:szCs w:val="20"/>
          <w:b w:val="1"/>
          <w:bCs w:val="1"/>
          <w:color w:val="auto"/>
        </w:rPr>
        <w:t>ready for occupancy</w:t>
      </w:r>
      <w:r>
        <w:rPr>
          <w:rFonts w:ascii="Times New Roman" w:cs="Times New Roman" w:eastAsia="Times New Roman" w:hAnsi="Times New Roman"/>
          <w:sz w:val="20"/>
          <w:szCs w:val="20"/>
          <w:color w:val="auto"/>
        </w:rPr>
        <w:t>” when Landlord, to the extent applicable, (i) has substantially completed all the work required to be completed by Landlord pursuant to the Work Letter (if any) attached to this Lease but for minor punch list matters, and (ii) has obtained the requisite governmental approvals for Tenant’s occupancy in connection with such work.</w:t>
      </w:r>
    </w:p>
    <w:p>
      <w:pPr>
        <w:spacing w:after="0" w:line="182" w:lineRule="exact"/>
        <w:rPr>
          <w:sz w:val="20"/>
          <w:szCs w:val="20"/>
          <w:color w:val="auto"/>
        </w:rPr>
      </w:pPr>
    </w:p>
    <w:p>
      <w:pPr>
        <w:jc w:val="both"/>
        <w:ind w:firstLine="562"/>
        <w:spacing w:after="0" w:line="250" w:lineRule="auto"/>
        <w:rPr>
          <w:sz w:val="20"/>
          <w:szCs w:val="20"/>
          <w:color w:val="auto"/>
        </w:rPr>
      </w:pPr>
      <w:r>
        <w:rPr>
          <w:rFonts w:ascii="Times New Roman" w:cs="Times New Roman" w:eastAsia="Times New Roman" w:hAnsi="Times New Roman"/>
          <w:sz w:val="20"/>
          <w:szCs w:val="20"/>
          <w:b w:val="1"/>
          <w:bCs w:val="1"/>
          <w:color w:val="auto"/>
        </w:rPr>
        <w:t>3.2 DELAY IN POSSESSION</w:t>
      </w:r>
      <w:r>
        <w:rPr>
          <w:rFonts w:ascii="Times New Roman" w:cs="Times New Roman" w:eastAsia="Times New Roman" w:hAnsi="Times New Roman"/>
          <w:sz w:val="20"/>
          <w:szCs w:val="20"/>
          <w:color w:val="auto"/>
        </w:rPr>
        <w:t>. If Landlord, for any reason whatsoever, cannot deliver possession of the Premises to Tenant on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before the Estimated Commencement Date set forth in Item 4 of the Basic Lease Provisions, this Lease shall not be void or voidable nor shall Landlord be liable to Tenant for any resulting loss or damage. However, Tenant shall not be liable for any rent until the Commencement Date occurs as provided in Section 3.1 above, except that if Landlord’s failure to</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261" w:right="339" w:bottom="1440" w:gutter="0" w:footer="0" w:header="0"/>
        </w:sectPr>
      </w:pPr>
    </w:p>
    <w:bookmarkStart w:id="354" w:name="page355"/>
    <w:bookmarkEnd w:id="354"/>
    <w:p>
      <w:pPr>
        <w:jc w:val="both"/>
        <w:spacing w:after="0" w:line="243"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substantially complete all work required of Landlord pursuant to Section 3.1(i) above is attributable to any Tenant Delay described in the Work Letter attached to this Lease, then the Premises shall be deemed ready for occupancy, and Landlord shall be entitled to full performance by Tenant (including the payment of rent), as of the date Landlord would have been able to substantially complete such work and deliver the Premises to Tenant but for the Tenant Delay(s). Notwithstanding the foregoing, Landlord shall not tender possession of the Premises to Tenant during any period in which Tenant (i) is prevented from occupying the Premises by or in connection with any “</w:t>
      </w:r>
      <w:r>
        <w:rPr>
          <w:rFonts w:ascii="Times New Roman" w:cs="Times New Roman" w:eastAsia="Times New Roman" w:hAnsi="Times New Roman"/>
          <w:sz w:val="20"/>
          <w:szCs w:val="20"/>
          <w:b w:val="1"/>
          <w:bCs w:val="1"/>
          <w:color w:val="auto"/>
        </w:rPr>
        <w:t>shelter in place</w:t>
      </w:r>
      <w:r>
        <w:rPr>
          <w:rFonts w:ascii="Times New Roman" w:cs="Times New Roman" w:eastAsia="Times New Roman" w:hAnsi="Times New Roman"/>
          <w:sz w:val="20"/>
          <w:szCs w:val="20"/>
          <w:color w:val="auto"/>
        </w:rPr>
        <w:t>” or similar order issued by any federal, state, or local governmental agency in connection with the COVID-19 pandemic, or (ii) is advised by official recommendation issued by any public health agency in connection with the COVID-19 pandemic that it not occupy the Premises for its regular business activities.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4. RENT AND OPERATING EXPENSES</w:t>
      </w:r>
    </w:p>
    <w:p>
      <w:pPr>
        <w:spacing w:after="0" w:line="216" w:lineRule="exact"/>
        <w:rPr>
          <w:sz w:val="20"/>
          <w:szCs w:val="20"/>
          <w:color w:val="auto"/>
        </w:rPr>
      </w:pPr>
    </w:p>
    <w:p>
      <w:pPr>
        <w:jc w:val="both"/>
        <w:ind w:firstLine="562"/>
        <w:spacing w:after="0" w:line="244" w:lineRule="auto"/>
        <w:rPr>
          <w:sz w:val="20"/>
          <w:szCs w:val="20"/>
          <w:color w:val="auto"/>
        </w:rPr>
      </w:pPr>
      <w:r>
        <w:rPr>
          <w:rFonts w:ascii="Times New Roman" w:cs="Times New Roman" w:eastAsia="Times New Roman" w:hAnsi="Times New Roman"/>
          <w:sz w:val="20"/>
          <w:szCs w:val="20"/>
          <w:b w:val="1"/>
          <w:bCs w:val="1"/>
          <w:color w:val="auto"/>
        </w:rPr>
        <w:t>4.1 BASIC RENT</w:t>
      </w:r>
      <w:r>
        <w:rPr>
          <w:rFonts w:ascii="Times New Roman" w:cs="Times New Roman" w:eastAsia="Times New Roman" w:hAnsi="Times New Roman"/>
          <w:sz w:val="20"/>
          <w:szCs w:val="20"/>
          <w:color w:val="auto"/>
        </w:rPr>
        <w:t>. From and after the Commencement Date, Tenant shall pay to Landlord without deduction or offset a Basic Rent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for the Premises in the total amount shown (including subsequent adjustments, if any) in Item 6 of the Basic Lease Provisions (the “</w:t>
      </w:r>
      <w:r>
        <w:rPr>
          <w:rFonts w:ascii="Times New Roman" w:cs="Times New Roman" w:eastAsia="Times New Roman" w:hAnsi="Times New Roman"/>
          <w:sz w:val="20"/>
          <w:szCs w:val="20"/>
          <w:b w:val="1"/>
          <w:bCs w:val="1"/>
          <w:color w:val="auto"/>
        </w:rPr>
        <w:t>Basic</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Rent</w:t>
      </w:r>
      <w:r>
        <w:rPr>
          <w:rFonts w:ascii="Times New Roman" w:cs="Times New Roman" w:eastAsia="Times New Roman" w:hAnsi="Times New Roman"/>
          <w:sz w:val="20"/>
          <w:szCs w:val="20"/>
          <w:color w:val="auto"/>
        </w:rPr>
        <w:t>”). If the Commencement Date is other than the first day of a calendar month, any rental adjustment shown in Item 6 shall be deemed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occur on the first day of the next calendar month following the specified monthly anniversary of the Commencement Date. The Basic Rent shall be due and payable in advance commencing on the Commencement Date and continuing thereafter on the first day of each successive calendar month of the Term, as prorated for any partial month. No demand, notice or invoice shall be required. An installment in the amount of 1 full month’s Basic Rent at the initial rate specified in Item 6 of the Basic Lease Provisions, and 1 month’s estimated Tenant’s Share of Operating Expenses shall be delivered to Landlord concurrently with Tenant’s execution of this Lease.</w:t>
      </w:r>
    </w:p>
    <w:p>
      <w:pPr>
        <w:spacing w:after="0" w:line="182" w:lineRule="exact"/>
        <w:rPr>
          <w:sz w:val="20"/>
          <w:szCs w:val="20"/>
          <w:color w:val="auto"/>
        </w:rPr>
      </w:pPr>
    </w:p>
    <w:p>
      <w:pPr>
        <w:ind w:left="560"/>
        <w:spacing w:after="0"/>
        <w:tabs>
          <w:tab w:leader="none" w:pos="1000" w:val="left"/>
        </w:tabs>
        <w:rPr>
          <w:sz w:val="20"/>
          <w:szCs w:val="20"/>
          <w:color w:val="auto"/>
        </w:rPr>
      </w:pPr>
      <w:r>
        <w:rPr>
          <w:rFonts w:ascii="Times New Roman" w:cs="Times New Roman" w:eastAsia="Times New Roman" w:hAnsi="Times New Roman"/>
          <w:sz w:val="20"/>
          <w:szCs w:val="20"/>
          <w:b w:val="1"/>
          <w:bCs w:val="1"/>
          <w:color w:val="auto"/>
        </w:rPr>
        <w:t>4.2</w:t>
      </w:r>
      <w:r>
        <w:rPr>
          <w:sz w:val="20"/>
          <w:szCs w:val="20"/>
          <w:color w:val="auto"/>
        </w:rPr>
        <w:tab/>
      </w:r>
      <w:r>
        <w:rPr>
          <w:rFonts w:ascii="Times New Roman" w:cs="Times New Roman" w:eastAsia="Times New Roman" w:hAnsi="Times New Roman"/>
          <w:sz w:val="19"/>
          <w:szCs w:val="19"/>
          <w:b w:val="1"/>
          <w:bCs w:val="1"/>
          <w:color w:val="auto"/>
        </w:rPr>
        <w:t>OPERATING EXPENSES</w:t>
      </w:r>
      <w:r>
        <w:rPr>
          <w:rFonts w:ascii="Times New Roman" w:cs="Times New Roman" w:eastAsia="Times New Roman" w:hAnsi="Times New Roman"/>
          <w:sz w:val="19"/>
          <w:szCs w:val="19"/>
          <w:color w:val="auto"/>
        </w:rPr>
        <w:t>. Tenant shall pay Tenant’s Share of Operating Expenses in accordance with</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u w:val="single" w:color="auto"/>
          <w:color w:val="auto"/>
        </w:rPr>
        <w:t>Exhibit B</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of this Lease.</w:t>
      </w:r>
    </w:p>
    <w:p>
      <w:pPr>
        <w:spacing w:after="0" w:line="216" w:lineRule="exact"/>
        <w:rPr>
          <w:sz w:val="20"/>
          <w:szCs w:val="20"/>
          <w:color w:val="auto"/>
        </w:rPr>
      </w:pPr>
    </w:p>
    <w:p>
      <w:pPr>
        <w:jc w:val="both"/>
        <w:ind w:firstLine="562"/>
        <w:spacing w:after="0" w:line="242" w:lineRule="auto"/>
        <w:rPr>
          <w:sz w:val="20"/>
          <w:szCs w:val="20"/>
          <w:color w:val="auto"/>
        </w:rPr>
      </w:pPr>
      <w:r>
        <w:rPr>
          <w:rFonts w:ascii="Times New Roman" w:cs="Times New Roman" w:eastAsia="Times New Roman" w:hAnsi="Times New Roman"/>
          <w:sz w:val="20"/>
          <w:szCs w:val="20"/>
          <w:b w:val="1"/>
          <w:bCs w:val="1"/>
          <w:color w:val="auto"/>
        </w:rPr>
        <w:t>4.3 SECURITY DEPOSIT</w:t>
      </w:r>
      <w:r>
        <w:rPr>
          <w:rFonts w:ascii="Times New Roman" w:cs="Times New Roman" w:eastAsia="Times New Roman" w:hAnsi="Times New Roman"/>
          <w:sz w:val="20"/>
          <w:szCs w:val="20"/>
          <w:color w:val="auto"/>
        </w:rPr>
        <w:t>. Concurrently with Tenant’s delivery of this Lease, Tenant shall deposit with Landlord the sum, if 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stated in Item 9 of the Basic Lease Provisions (the “</w:t>
      </w:r>
      <w:r>
        <w:rPr>
          <w:rFonts w:ascii="Times New Roman" w:cs="Times New Roman" w:eastAsia="Times New Roman" w:hAnsi="Times New Roman"/>
          <w:sz w:val="20"/>
          <w:szCs w:val="20"/>
          <w:b w:val="1"/>
          <w:bCs w:val="1"/>
          <w:color w:val="auto"/>
        </w:rPr>
        <w:t>Security Deposit</w:t>
      </w:r>
      <w:r>
        <w:rPr>
          <w:rFonts w:ascii="Times New Roman" w:cs="Times New Roman" w:eastAsia="Times New Roman" w:hAnsi="Times New Roman"/>
          <w:sz w:val="20"/>
          <w:szCs w:val="20"/>
          <w:color w:val="auto"/>
        </w:rPr>
        <w:t>”), to be held by Landlord as security for the full and faithful performance of Tenant’s obligations under this Lease, to pay any rental sums, including without limitation such additional rent as may be owing under any provision hereof, and to maintain the Premises as required by this Lease. Upon any Default by Tenant, Landlord may apply all or part of the Security Deposit as full or partial compensation. If any portion of the Security Deposit is so applied, Tenant shall within 5 days after written demand by Landlord deposit cash with Landlord in an amount sufficient to restore the Security Deposit to its original amount. Landlord shall not be required to keep the Security Deposit separate from its general funds, and Tenant shall not be entitled to interest on the Security Deposit. In no event may Tenant utilize all or any portion of the Security Deposit as a payment toward any rental sum due under this Lease. Any unapplied balance of the Security Deposit shall be returned to Tenant or, at Landlord’s option, to the last assignee of Tenant’s interest in this Lease within 30 days following the termination of this Lease and Tenant’s vacation of the Premises. Tenant hereby waives the provisions of Section 1950.7 of the California Civil Code, or any similar or successor laws now or hereafter in effect. Notwithstanding the foregoing, provided Tenant has not been in Default hereunder, Landlord shall reduce the Security Deposit, and credit such reduction against the Basic Rent due hereunder, in the amounts of $13,873.12 and $14,432.52 as of the first day of the 24th and 36th Lease months, respectively.</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5. USES</w:t>
      </w:r>
    </w:p>
    <w:p>
      <w:pPr>
        <w:spacing w:after="0" w:line="216" w:lineRule="exact"/>
        <w:rPr>
          <w:sz w:val="20"/>
          <w:szCs w:val="20"/>
          <w:color w:val="auto"/>
        </w:rPr>
      </w:pPr>
    </w:p>
    <w:p>
      <w:pPr>
        <w:jc w:val="both"/>
        <w:ind w:firstLine="562"/>
        <w:spacing w:after="0" w:line="273" w:lineRule="auto"/>
        <w:rPr>
          <w:sz w:val="20"/>
          <w:szCs w:val="20"/>
          <w:color w:val="auto"/>
        </w:rPr>
      </w:pPr>
      <w:r>
        <w:rPr>
          <w:rFonts w:ascii="Times New Roman" w:cs="Times New Roman" w:eastAsia="Times New Roman" w:hAnsi="Times New Roman"/>
          <w:sz w:val="20"/>
          <w:szCs w:val="20"/>
          <w:b w:val="1"/>
          <w:bCs w:val="1"/>
          <w:color w:val="auto"/>
        </w:rPr>
        <w:t>5.1 USE</w:t>
      </w:r>
      <w:r>
        <w:rPr>
          <w:rFonts w:ascii="Times New Roman" w:cs="Times New Roman" w:eastAsia="Times New Roman" w:hAnsi="Times New Roman"/>
          <w:sz w:val="20"/>
          <w:szCs w:val="20"/>
          <w:color w:val="auto"/>
        </w:rPr>
        <w:t>. Tenant shall use the Premises only for the purposes stated in Item 3 of the Basic Lease Provisions and for no other use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whatsoever. Tenant shall not do or permit anything to be done in or</w:t>
      </w: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265" w:right="339" w:bottom="1440" w:gutter="0" w:footer="0" w:header="0"/>
        </w:sectPr>
      </w:pPr>
    </w:p>
    <w:bookmarkStart w:id="355" w:name="page356"/>
    <w:bookmarkEnd w:id="355"/>
    <w:p>
      <w:pPr>
        <w:jc w:val="both"/>
        <w:spacing w:after="0" w:line="241"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about the Premises which will in any way interfere with the rights or quiet enjoyment of other occupants of the Building or the Project, or use or allow the Premises to be used for any unlawful purpose, nor shall Tenant permit any nuisance in the Premises or the Project. Tenant shall comply at its expense with all present and future laws, ordinances and requirements of all governmental authorities that pertain to Tenant or its use of the Premises, and with all reasonable energy usage reporting requirements of Landlord. Pursuant to California Civil Code § 1938, Landlord hereby states that the Premises have not undergone inspection by a Certified Access Specialist (CASp) (defined in California Civil Code § 55.52(a)(3)). Pursuant to Section 1938 of the California Civil Code, Landlord hereby provides the following notification to Tenant: “</w:t>
      </w:r>
      <w:r>
        <w:rPr>
          <w:rFonts w:ascii="Times New Roman" w:cs="Times New Roman" w:eastAsia="Times New Roman" w:hAnsi="Times New Roman"/>
          <w:sz w:val="20"/>
          <w:szCs w:val="20"/>
          <w:b w:val="1"/>
          <w:bCs w:val="1"/>
          <w:color w:val="auto"/>
        </w:rPr>
        <w:t>A Certified Access Specialist (CASp) can inspect the subject premises and determine whether the subject premises comply with all</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of the applicable construction-related accessibility standards under state law. Although state law does not require a CASp inspection of the subject premises, the commercial property owner or lessor may not prohibit the lessee or tenant from obtaining a CASp inspection of the subject premises for the occupancy or potential occupancy of the lessee or tenant, if requested by the lessee or tenant. The parties shall mutually agree on the arrangements for the time and manner of the CASp inspection, the payment of the fee for the CASp inspection, and the cost of making any repairs necessary to correct violations of construction related accessibility standards within the premises.</w:t>
      </w:r>
      <w:r>
        <w:rPr>
          <w:rFonts w:ascii="Times New Roman" w:cs="Times New Roman" w:eastAsia="Times New Roman" w:hAnsi="Times New Roman"/>
          <w:sz w:val="20"/>
          <w:szCs w:val="20"/>
          <w:color w:val="auto"/>
        </w:rPr>
        <w:t>”</w:t>
      </w:r>
    </w:p>
    <w:p>
      <w:pPr>
        <w:spacing w:after="0" w:line="197" w:lineRule="exact"/>
        <w:rPr>
          <w:sz w:val="20"/>
          <w:szCs w:val="20"/>
          <w:color w:val="auto"/>
        </w:rPr>
      </w:pPr>
    </w:p>
    <w:p>
      <w:pPr>
        <w:jc w:val="both"/>
        <w:ind w:firstLine="562"/>
        <w:spacing w:after="0" w:line="242" w:lineRule="auto"/>
        <w:rPr>
          <w:sz w:val="20"/>
          <w:szCs w:val="20"/>
          <w:color w:val="auto"/>
        </w:rPr>
      </w:pPr>
      <w:r>
        <w:rPr>
          <w:rFonts w:ascii="Times New Roman" w:cs="Times New Roman" w:eastAsia="Times New Roman" w:hAnsi="Times New Roman"/>
          <w:sz w:val="20"/>
          <w:szCs w:val="20"/>
          <w:color w:val="auto"/>
        </w:rPr>
        <w:t>Landlord shall correct, repair and/or replace any non-compliance of the Building and/or the Common Areas with all building permits and codes in effect and applicable as of the Commencement Date, including without limitation, the provisions of Title III of the Americans With Disabilities Act (“</w:t>
      </w:r>
      <w:r>
        <w:rPr>
          <w:rFonts w:ascii="Times New Roman" w:cs="Times New Roman" w:eastAsia="Times New Roman" w:hAnsi="Times New Roman"/>
          <w:sz w:val="20"/>
          <w:szCs w:val="20"/>
          <w:b w:val="1"/>
          <w:bCs w:val="1"/>
          <w:color w:val="auto"/>
        </w:rPr>
        <w:t>ADA</w:t>
      </w:r>
      <w:r>
        <w:rPr>
          <w:rFonts w:ascii="Times New Roman" w:cs="Times New Roman" w:eastAsia="Times New Roman" w:hAnsi="Times New Roman"/>
          <w:sz w:val="20"/>
          <w:szCs w:val="20"/>
          <w:color w:val="auto"/>
        </w:rPr>
        <w:t>”). Said costs of compliance shall be Landlord’s sole cost and expense and shall not be part of Project Costs. Landlord shall correct, repair or replace any non-compliance of the Building and the Common Areas with any revisions or amendments to applicable building codes, including the ADA, becoming effective after the execution of this Lease, provided that the amortized cost of such repairs or replacements (amortized over the useful life thereof) shall be included as Project Costs payable by Tenant. All other ADA compliance issues which pertain to the Premises, including without limitation, in connection with Tenant’s construction of any Alterations or other improvements in the Premises (and any resulting ADA compliance requirements in the Common Areas if Landlord shall consent to same as more particularly provided in Section 7.3 of this Lease) and the operation of Tenant’s business and employment practices in the Premises, shall be the responsibility of Tenant at its sole cost and expense. The repairs, corrections or replacements required of Landlord or of Tenant under the foregoing provisions of this Section 5.1 shall be made promptly following notice of non-compliance from any applicable governmental agency.</w:t>
      </w:r>
    </w:p>
    <w:p>
      <w:pPr>
        <w:spacing w:after="0" w:line="183" w:lineRule="exact"/>
        <w:rPr>
          <w:sz w:val="20"/>
          <w:szCs w:val="20"/>
          <w:color w:val="auto"/>
        </w:rPr>
      </w:pPr>
    </w:p>
    <w:p>
      <w:pPr>
        <w:jc w:val="both"/>
        <w:ind w:firstLine="562"/>
        <w:spacing w:after="0" w:line="247" w:lineRule="auto"/>
        <w:rPr>
          <w:sz w:val="20"/>
          <w:szCs w:val="20"/>
          <w:color w:val="auto"/>
        </w:rPr>
      </w:pPr>
      <w:r>
        <w:rPr>
          <w:rFonts w:ascii="Times New Roman" w:cs="Times New Roman" w:eastAsia="Times New Roman" w:hAnsi="Times New Roman"/>
          <w:sz w:val="20"/>
          <w:szCs w:val="20"/>
          <w:b w:val="1"/>
          <w:bCs w:val="1"/>
          <w:color w:val="auto"/>
        </w:rPr>
        <w:t>5.2 SIGNS</w:t>
      </w:r>
      <w:r>
        <w:rPr>
          <w:rFonts w:ascii="Times New Roman" w:cs="Times New Roman" w:eastAsia="Times New Roman" w:hAnsi="Times New Roman"/>
          <w:sz w:val="20"/>
          <w:szCs w:val="20"/>
          <w:color w:val="auto"/>
        </w:rPr>
        <w:t>. As soon as possible following the Commencement Date, but not later than December 31, 2020, Landlord shall affix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maintain a sign (restricted solely to Tenant’s name/logo as set forth herein or such other name as Landlord may consent to in writing) adjacent to the entry door of the Premises, together with a listing for Tenant’s name as set forth herein in the lobby directory of the Building. Tenant shall not place or allow to be placed any other sign, decoration or advertising matter of any kind that is visible from the exterior of the Premises.</w:t>
      </w:r>
    </w:p>
    <w:p>
      <w:pPr>
        <w:spacing w:after="0" w:line="180" w:lineRule="exact"/>
        <w:rPr>
          <w:sz w:val="20"/>
          <w:szCs w:val="20"/>
          <w:color w:val="auto"/>
        </w:rPr>
      </w:pPr>
    </w:p>
    <w:p>
      <w:pPr>
        <w:ind w:left="560"/>
        <w:spacing w:after="0"/>
        <w:tabs>
          <w:tab w:leader="none" w:pos="1040" w:val="left"/>
        </w:tabs>
        <w:rPr>
          <w:sz w:val="20"/>
          <w:szCs w:val="20"/>
          <w:color w:val="auto"/>
        </w:rPr>
      </w:pPr>
      <w:r>
        <w:rPr>
          <w:rFonts w:ascii="Times New Roman" w:cs="Times New Roman" w:eastAsia="Times New Roman" w:hAnsi="Times New Roman"/>
          <w:sz w:val="20"/>
          <w:szCs w:val="20"/>
          <w:b w:val="1"/>
          <w:bCs w:val="1"/>
          <w:color w:val="auto"/>
        </w:rPr>
        <w:t>5.3</w:t>
      </w:r>
      <w:r>
        <w:rPr>
          <w:sz w:val="20"/>
          <w:szCs w:val="20"/>
          <w:color w:val="auto"/>
        </w:rPr>
        <w:tab/>
      </w:r>
      <w:r>
        <w:rPr>
          <w:rFonts w:ascii="Times New Roman" w:cs="Times New Roman" w:eastAsia="Times New Roman" w:hAnsi="Times New Roman"/>
          <w:sz w:val="19"/>
          <w:szCs w:val="19"/>
          <w:b w:val="1"/>
          <w:bCs w:val="1"/>
          <w:color w:val="auto"/>
        </w:rPr>
        <w:t>HAZARDOUS MATERIALS</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firstLine="1131"/>
        <w:spacing w:after="0" w:line="248" w:lineRule="auto"/>
        <w:tabs>
          <w:tab w:leader="none" w:pos="1693" w:val="left"/>
        </w:tabs>
        <w:numPr>
          <w:ilvl w:val="1"/>
          <w:numId w:val="3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purposes of this Lease, the term “</w:t>
      </w:r>
      <w:r>
        <w:rPr>
          <w:rFonts w:ascii="Times New Roman" w:cs="Times New Roman" w:eastAsia="Times New Roman" w:hAnsi="Times New Roman"/>
          <w:sz w:val="20"/>
          <w:szCs w:val="20"/>
          <w:b w:val="1"/>
          <w:bCs w:val="1"/>
          <w:color w:val="auto"/>
        </w:rPr>
        <w:t>Hazardous Materials</w:t>
      </w:r>
      <w:r>
        <w:rPr>
          <w:rFonts w:ascii="Times New Roman" w:cs="Times New Roman" w:eastAsia="Times New Roman" w:hAnsi="Times New Roman"/>
          <w:sz w:val="20"/>
          <w:szCs w:val="20"/>
          <w:color w:val="auto"/>
        </w:rPr>
        <w:t>” means (i) any “</w:t>
      </w:r>
      <w:r>
        <w:rPr>
          <w:rFonts w:ascii="Times New Roman" w:cs="Times New Roman" w:eastAsia="Times New Roman" w:hAnsi="Times New Roman"/>
          <w:sz w:val="20"/>
          <w:szCs w:val="20"/>
          <w:b w:val="1"/>
          <w:bCs w:val="1"/>
          <w:color w:val="auto"/>
        </w:rPr>
        <w:t>hazardous material</w:t>
      </w:r>
      <w:r>
        <w:rPr>
          <w:rFonts w:ascii="Times New Roman" w:cs="Times New Roman" w:eastAsia="Times New Roman" w:hAnsi="Times New Roman"/>
          <w:sz w:val="20"/>
          <w:szCs w:val="20"/>
          <w:color w:val="auto"/>
        </w:rPr>
        <w:t>” as defined in Section 25501(n) of the California Health and Safety Code, (ii) hydrocarbons, polychlorinated biphenyls or asbestos, (iii) any toxic or hazardous materials, substances, wastes or materials as defined pursuant to any other applicable state, federal or local law or regulation, and</w:t>
      </w:r>
    </w:p>
    <w:p>
      <w:pPr>
        <w:spacing w:after="0" w:line="1" w:lineRule="exact"/>
        <w:rPr>
          <w:rFonts w:ascii="Times New Roman" w:cs="Times New Roman" w:eastAsia="Times New Roman" w:hAnsi="Times New Roman"/>
          <w:sz w:val="20"/>
          <w:szCs w:val="20"/>
          <w:color w:val="auto"/>
        </w:rPr>
      </w:pPr>
    </w:p>
    <w:p>
      <w:pPr>
        <w:ind w:firstLine="8"/>
        <w:spacing w:after="0" w:line="246" w:lineRule="auto"/>
        <w:tabs>
          <w:tab w:leader="none" w:pos="348" w:val="left"/>
        </w:tabs>
        <w:numPr>
          <w:ilvl w:val="0"/>
          <w:numId w:val="3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other substance or matter which may result in liability to any person or entity as a result of such person’s possession, use, storage, release or distribution of such substance or matter under any statutory or common law theory.</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265" w:right="339" w:bottom="1440" w:gutter="0" w:footer="0" w:header="0"/>
        </w:sectPr>
      </w:pPr>
    </w:p>
    <w:bookmarkStart w:id="356" w:name="page357"/>
    <w:bookmarkEnd w:id="356"/>
    <w:p>
      <w:pPr>
        <w:jc w:val="both"/>
        <w:ind w:firstLine="1131"/>
        <w:spacing w:after="0" w:line="241" w:lineRule="auto"/>
        <w:tabs>
          <w:tab w:leader="none" w:pos="1682" w:val="left"/>
        </w:tabs>
        <w:numPr>
          <w:ilvl w:val="0"/>
          <w:numId w:val="3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Tenant shall not cause or permit any Hazardous Materials to be brought upon, stored, used, generated, released or disposed of on, under, from or about the Premises (including without limitation the soil and groundwater thereunder) without the prior written consent of Landlord, which consent may be given or withheld in Landlord’s sole and absolute discretion. Notwithstanding the foregoing, Tenant shall have the right, without obtaining prior written consent of Landlord, to utilize within the Premises a reasonable quantity of standard office products that may contain Hazardous Materials (such as photocopy toner, “</w:t>
      </w:r>
      <w:r>
        <w:rPr>
          <w:rFonts w:ascii="Times New Roman" w:cs="Times New Roman" w:eastAsia="Times New Roman" w:hAnsi="Times New Roman"/>
          <w:sz w:val="20"/>
          <w:szCs w:val="20"/>
          <w:b w:val="1"/>
          <w:bCs w:val="1"/>
          <w:color w:val="auto"/>
        </w:rPr>
        <w:t>White Out</w:t>
      </w:r>
      <w:r>
        <w:rPr>
          <w:rFonts w:ascii="Times New Roman" w:cs="Times New Roman" w:eastAsia="Times New Roman" w:hAnsi="Times New Roman"/>
          <w:sz w:val="20"/>
          <w:szCs w:val="20"/>
          <w:color w:val="auto"/>
        </w:rPr>
        <w:t xml:space="preserve">”, and the like),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(i) Tenant shall maintain such products in their original retail packaging, shall follow all instructions on such packaging with respect to the storage, use and disposal of such products, and shall otherwise comply with all applicable laws with respect to such products, and (ii) all of the other terms and provisions of this Section 5.3 shall apply with respect to Tenant’s storage, use and disposal of all such products; and to utilize within the Premises those Hazardous Materials in kind and content listed on the Survey Form delivered to Landlord prior to the execution of this Lease,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Tenant shall comply with all applicable laws with respect to such Hazardous Materials and all of the other terms and provisions of this Section 5.3 shall apply with respect to Tenant’s storage, use and disposal of such Hazardous Materials. Landlord may, in its sole and absolute discretion, place such conditions as Landlord deems appropriate with respect to Tenant’s use, storage and/or disposal of any Hazardous Materials requiring Landlord’s consent. Tenant understands that Landlord may utilize an environmental consultant to assist in determining conditions of approval in connection with the storage, use, release, and/or disposal of Hazardous Materials by Tenant on or about the Premises, and/or to conduct periodic inspections of the storage, generation, use, release and/or disposal of such Hazardous Materials by Tenant on and from the Premises, and Tenant agrees that any costs incurred by Landlord in connection therewith shall be reimbursed by Tenant to Landlord as additional rent hereunder upon demand.</w:t>
      </w:r>
    </w:p>
    <w:p>
      <w:pPr>
        <w:spacing w:after="0" w:line="191" w:lineRule="exact"/>
        <w:rPr>
          <w:rFonts w:ascii="Times New Roman" w:cs="Times New Roman" w:eastAsia="Times New Roman" w:hAnsi="Times New Roman"/>
          <w:sz w:val="20"/>
          <w:szCs w:val="20"/>
          <w:color w:val="auto"/>
        </w:rPr>
      </w:pPr>
    </w:p>
    <w:p>
      <w:pPr>
        <w:jc w:val="both"/>
        <w:ind w:firstLine="1131"/>
        <w:spacing w:after="0" w:line="241" w:lineRule="auto"/>
        <w:tabs>
          <w:tab w:leader="none" w:pos="1560" w:val="left"/>
        </w:tabs>
        <w:numPr>
          <w:ilvl w:val="0"/>
          <w:numId w:val="3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Prior to the execution of this Lease, Tenant shall complete, execute and deliver to Landlord a Hazardous Material Survey Form (the “</w:t>
      </w:r>
      <w:r>
        <w:rPr>
          <w:rFonts w:ascii="Times New Roman" w:cs="Times New Roman" w:eastAsia="Times New Roman" w:hAnsi="Times New Roman"/>
          <w:sz w:val="20"/>
          <w:szCs w:val="20"/>
          <w:b w:val="1"/>
          <w:bCs w:val="1"/>
          <w:color w:val="auto"/>
        </w:rPr>
        <w:t>Survey Form</w:t>
      </w:r>
      <w:r>
        <w:rPr>
          <w:rFonts w:ascii="Times New Roman" w:cs="Times New Roman" w:eastAsia="Times New Roman" w:hAnsi="Times New Roman"/>
          <w:sz w:val="20"/>
          <w:szCs w:val="20"/>
          <w:color w:val="auto"/>
        </w:rPr>
        <w:t xml:space="preserve">”) in the form of </w:t>
      </w:r>
      <w:r>
        <w:rPr>
          <w:rFonts w:ascii="Times New Roman" w:cs="Times New Roman" w:eastAsia="Times New Roman" w:hAnsi="Times New Roman"/>
          <w:sz w:val="20"/>
          <w:szCs w:val="20"/>
          <w:u w:val="single" w:color="auto"/>
          <w:color w:val="auto"/>
        </w:rPr>
        <w:t>Exhibit J</w:t>
      </w:r>
      <w:r>
        <w:rPr>
          <w:rFonts w:ascii="Times New Roman" w:cs="Times New Roman" w:eastAsia="Times New Roman" w:hAnsi="Times New Roman"/>
          <w:sz w:val="20"/>
          <w:szCs w:val="20"/>
          <w:color w:val="auto"/>
        </w:rPr>
        <w:t xml:space="preserve"> attached hereto. The completed Survey Form shall be deemed incorporated into this Lease for all purposes, and Landlord shall be entitled to rely fully on the information contained therein. On each anniversary of the Commencement Date until the expiration or sooner termination of this Lease, Tenant shall disclose to Landlord in writing the names and amounts of all Hazardous Materials which were stored, generated, used, released and/or disposed of on, under or about the Premises for the twelve-month period prior thereto, and which Tenant desires to store, generate, use, release and/or dispose of on, under or about the Premises for the succeeding twelve-month period. In addition, to the extent Tenant is permitted to utilize Hazardous Materials upon the Premises, Tenant shall promptly provide Landlord with complete and legible copies of all the following environmental documents relating thereto: reports filed pursuant to any self-reporting requirements; permit applications, permits, monitoring reports, emergency response or action plans, workplace exposure and community exposure warnings or notices and all other reports, disclosures, plans or documents (even those which may be characterized as confidential) relating to water discharges, air pollution, waste generation or disposal, and underground storage tanks for Hazardous Materials; orders, reports, notices, listings and correspondence (even those which may be considered confidential) of or concerning the release, investigation, compliance, cleanup, remedial and corrective actions, and abatement of Hazardous Materials; and all complaints, pleadings and other legal documents filed by or against Tenant related to Tenant’s storage, generation, use, release and/or disposal of Hazardous Materials.</w:t>
      </w:r>
    </w:p>
    <w:p>
      <w:pPr>
        <w:spacing w:after="0" w:line="194" w:lineRule="exact"/>
        <w:rPr>
          <w:rFonts w:ascii="Times New Roman" w:cs="Times New Roman" w:eastAsia="Times New Roman" w:hAnsi="Times New Roman"/>
          <w:sz w:val="20"/>
          <w:szCs w:val="20"/>
          <w:color w:val="auto"/>
        </w:rPr>
      </w:pPr>
    </w:p>
    <w:p>
      <w:pPr>
        <w:jc w:val="both"/>
        <w:ind w:firstLine="1131"/>
        <w:spacing w:after="0" w:line="246" w:lineRule="auto"/>
        <w:tabs>
          <w:tab w:leader="none" w:pos="1570" w:val="left"/>
        </w:tabs>
        <w:numPr>
          <w:ilvl w:val="0"/>
          <w:numId w:val="3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Landlord and its agents shall have the right, but not the obligation, to inspect, sample and/or monitor the Premises and/or the soil or groundwater thereunder at any time to determine whether Tenant is complying with the terms of this Section 5.3, and in connection therewith Tenant shall provide Landlord with full access to all facilities, records and personnel related thereto. If Tenant is not in compliance with any of the provisions of this Section 5.3, or in the event of a release of any Hazardous Material on, under, from or about the Premises caused or permitted by Tenant, its agents, employees,</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40"/>
          </w:cols>
          <w:pgMar w:left="320" w:top="265" w:right="339" w:bottom="1440" w:gutter="0" w:footer="0" w:header="0"/>
        </w:sectPr>
      </w:pPr>
    </w:p>
    <w:bookmarkStart w:id="357" w:name="page358"/>
    <w:bookmarkEnd w:id="357"/>
    <w:p>
      <w:pPr>
        <w:jc w:val="both"/>
        <w:spacing w:after="0" w:line="244"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contractors, licensees, subtenants or invitees, Landlord and its agents shall have the right, but not the obligation, without limitation upon any of Landlord’s other rights and remedies under this Lease, to immediately enter upon the Premises without notice and to discharge Tenant’s obligations under this Section 5.3 at Tenant’s expense, including without limitation the taking of emergency or long-term remedial action. Landlord and its agents shall endeavor to minimize interference with Tenant’s business in connection therewith, but shall not be liable for any such interference. In addition, Landlord, at Tenant’s expense, shall have the right, but not the obligation, to join and participate in any legal proceedings or actions initiated in connection with any claims arising out of the storage, generation, use, release and/or disposal by Tenant or its agents, employees, contractors, licensees, subtenants or invitees of Hazardous Materials on, under, from or about the Premises.</w:t>
      </w:r>
    </w:p>
    <w:p>
      <w:pPr>
        <w:spacing w:after="0" w:line="186" w:lineRule="exact"/>
        <w:rPr>
          <w:sz w:val="20"/>
          <w:szCs w:val="20"/>
          <w:color w:val="auto"/>
        </w:rPr>
      </w:pPr>
    </w:p>
    <w:p>
      <w:pPr>
        <w:jc w:val="both"/>
        <w:ind w:firstLine="1131"/>
        <w:spacing w:after="0"/>
        <w:tabs>
          <w:tab w:leader="none" w:pos="1585" w:val="left"/>
        </w:tabs>
        <w:numPr>
          <w:ilvl w:val="0"/>
          <w:numId w:val="3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the presence of any Hazardous Materials on, under, from or about the Premises or the Project caused or permitted by Tenant or its agents, employees, contractors, licensees, subtenants or invitees results in (i) injury to any person, (ii) injury to or any contamination of the Premises or the Project, or (iii) injury to or contamination of any real or personal property wherever situated, Tenant, at its expense, shall promptly take all actions necessary to return the Premises and the Project and any other affected real or personal property owned by Landlord to the condition existing prior to the introduction of such Hazardous Materials and to remedy or repair any such injury or contamination, including without limitation, any cleanup, remediation, removal, disposal, neutralization or other treatment of any such Hazardous Materials. Notwithstanding the foregoing, Tenant shall not, without Landlord’s prior written consent, which consent may be given or withheld in Landlord’s sole and absolute discretion, take any remedial action in response to the presence of any Hazardous Materials on, under, from or about the Premises or the Project or any other affected real or personal property owned by Landlord or enter into any similar agreement, consent, decree or other compromise with any governmental agency with respect to any Hazardous Materials claims;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Landlord’s prior written consent shall not be necessary in the event that the presence of Hazardous Materials on, under, from or about the Premises or the Project or any other affected real or personal property owned by Landlord (i) imposes an immediate threat to the health, safety or welfare of any individual and (ii) is of such a nature that an immediate remedial response is necessary and it is not possible to obtain Landlord’s consent before taking such action. To the fullest extent permitted by law, Tenant shall indemnify, hold harmless, protect and defend (with attorneys acceptable to Landlord) Landlord and any successors to all or any portion of Landlord’s interest in the Premises and the Project and any other real or personal property owned by Landlord from and against any and all liabilities, losses, damages, diminution in value, judgments, fines, demands, claims, recoveries, deficiencies, costs and expenses (including without limitation attorneys’ fees, court costs and other professional expenses), whether foreseeable or unforeseeable, arising directly or indirectly out of the use, generation, storage, treatment, release, on- or off-site disposal or transportation of Hazardous Materials on, into, from, under or about the Premises, the Building or the Project and any other real or personal property owned by Landlord caused or permitted by Tenant, its agents, employees, contractors, licensees, subtenants or invitees. Such indemnity obligation shall specifically include, without limitation, the cost of any required or necessary repair, restoration, cleanup or detoxification of the Premises, the Building and the Project and any other real or personal property owned by Landlord, the preparation of any closure or other required plans, whether such action is required or necessary during the Term or after the expiration of this Lease and any loss of rental due to the inability to lease the Premises or any portion of the Building or Project as a result of such Hazardous Materials, the remediation thereof or any repair, restoration or cleanup related thereto. If it is at any time discovered that Tenant or its agents, employees, contractors, licensees, subtenants or invitees may have caused or permitted the release of any Hazardous Materials on, under, from or about the Premises, the Building or the Project or any other real or personal property owned by Landlord, Tenant shall, at Landlord’s request, immediately prepare and submit to Landlord a comprehensive plan, subject to Landlord’s approval, specifying the actions to be taken by Tenant to return the Premises, the Building or the Project or any other real or personal property owned by Landlord to the condition existing prior to the introduction of such</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40"/>
          </w:cols>
          <w:pgMar w:left="320" w:top="265" w:right="339" w:bottom="1440" w:gutter="0" w:footer="0" w:header="0"/>
        </w:sectPr>
      </w:pPr>
    </w:p>
    <w:bookmarkStart w:id="358" w:name="page359"/>
    <w:bookmarkEnd w:id="358"/>
    <w:p>
      <w:pPr>
        <w:jc w:val="both"/>
        <w:spacing w:after="0" w:line="249"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Hazardous Materials. Upon Landlord’s approval of such plan, Tenant shall, at its expense, and without limitation of any rights and remedies of Landlord under this Lease or at law or in equity, immediately implement such plan and proceed to cleanup, remediate and/or remove all such Hazardous Materials in accordance with all applicable laws and as required by such plan and this Lease. The provisions of this Section 5.3(e) shall expressly survive the expiration or sooner termination of this Lease.</w:t>
      </w:r>
    </w:p>
    <w:p>
      <w:pPr>
        <w:spacing w:after="0" w:line="180" w:lineRule="exact"/>
        <w:rPr>
          <w:sz w:val="20"/>
          <w:szCs w:val="20"/>
          <w:color w:val="auto"/>
        </w:rPr>
      </w:pPr>
    </w:p>
    <w:p>
      <w:pPr>
        <w:jc w:val="both"/>
        <w:ind w:firstLine="1131"/>
        <w:spacing w:after="0" w:line="243" w:lineRule="auto"/>
        <w:tabs>
          <w:tab w:leader="none" w:pos="1524" w:val="left"/>
        </w:tabs>
        <w:numPr>
          <w:ilvl w:val="0"/>
          <w:numId w:val="3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Landlord hereby discloses to Tenant, and Tenant hereby acknowledges, certain facts relating to Hazardous Materials at the Project known by Landlord to exist as of the date of this Lease, as more particularly described in </w:t>
      </w:r>
      <w:r>
        <w:rPr>
          <w:rFonts w:ascii="Times New Roman" w:cs="Times New Roman" w:eastAsia="Times New Roman" w:hAnsi="Times New Roman"/>
          <w:sz w:val="20"/>
          <w:szCs w:val="20"/>
          <w:u w:val="single" w:color="auto"/>
          <w:color w:val="auto"/>
        </w:rPr>
        <w:t>Exhibit H</w:t>
      </w:r>
      <w:r>
        <w:rPr>
          <w:rFonts w:ascii="Times New Roman" w:cs="Times New Roman" w:eastAsia="Times New Roman" w:hAnsi="Times New Roman"/>
          <w:sz w:val="20"/>
          <w:szCs w:val="20"/>
          <w:color w:val="auto"/>
        </w:rPr>
        <w:t xml:space="preserve"> attached hereto. Tenant shall have no liability or responsibility with respect to the Hazardous Materials facts described in </w:t>
      </w:r>
      <w:r>
        <w:rPr>
          <w:rFonts w:ascii="Times New Roman" w:cs="Times New Roman" w:eastAsia="Times New Roman" w:hAnsi="Times New Roman"/>
          <w:sz w:val="20"/>
          <w:szCs w:val="20"/>
          <w:u w:val="single" w:color="auto"/>
          <w:color w:val="auto"/>
        </w:rPr>
        <w:t>Exhibit H</w:t>
      </w:r>
      <w:r>
        <w:rPr>
          <w:rFonts w:ascii="Times New Roman" w:cs="Times New Roman" w:eastAsia="Times New Roman" w:hAnsi="Times New Roman"/>
          <w:sz w:val="20"/>
          <w:szCs w:val="20"/>
          <w:color w:val="auto"/>
        </w:rPr>
        <w:t>, nor with respect to any Hazardous Materials which Tenant proves were not caused or permitted by Tenant, its agents, employees, contractors, licensees, subtenants or invitees. Notwithstanding the preceding two sentences, Tenant agrees to notify its agents, employees, contractors, licensees, subtenants, and invitees of any exposure or potential exposure to Hazardous Materials at the Premises that Landlord brings to Tenant’s attention. Tenant hereby acknowledges that this disclosure satisfies any obligation of Landlord to Tenant pursuant to California Health &amp; Safety Code Section 25359.7, or any amendment or substitute thereto or any other disclosure obligations of Landlord.</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6. LANDLORD SERVICES</w:t>
      </w:r>
    </w:p>
    <w:p>
      <w:pPr>
        <w:spacing w:after="0" w:line="216" w:lineRule="exact"/>
        <w:rPr>
          <w:sz w:val="20"/>
          <w:szCs w:val="20"/>
          <w:color w:val="auto"/>
        </w:rPr>
      </w:pPr>
    </w:p>
    <w:p>
      <w:pPr>
        <w:jc w:val="both"/>
        <w:ind w:firstLine="562"/>
        <w:spacing w:after="0" w:line="242" w:lineRule="auto"/>
        <w:rPr>
          <w:sz w:val="20"/>
          <w:szCs w:val="20"/>
          <w:color w:val="auto"/>
        </w:rPr>
      </w:pPr>
      <w:r>
        <w:rPr>
          <w:rFonts w:ascii="Times New Roman" w:cs="Times New Roman" w:eastAsia="Times New Roman" w:hAnsi="Times New Roman"/>
          <w:sz w:val="20"/>
          <w:szCs w:val="20"/>
          <w:b w:val="1"/>
          <w:bCs w:val="1"/>
          <w:color w:val="auto"/>
        </w:rPr>
        <w:t>6.1 UTILITIES AND SERVICES</w:t>
      </w:r>
      <w:r>
        <w:rPr>
          <w:rFonts w:ascii="Times New Roman" w:cs="Times New Roman" w:eastAsia="Times New Roman" w:hAnsi="Times New Roman"/>
          <w:sz w:val="20"/>
          <w:szCs w:val="20"/>
          <w:color w:val="auto"/>
        </w:rPr>
        <w:t>. Landlord and Tenant shall be responsible to furnish those utilities and services to the Premises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to the extent provided in </w:t>
      </w:r>
      <w:r>
        <w:rPr>
          <w:rFonts w:ascii="Times New Roman" w:cs="Times New Roman" w:eastAsia="Times New Roman" w:hAnsi="Times New Roman"/>
          <w:sz w:val="20"/>
          <w:szCs w:val="20"/>
          <w:u w:val="single" w:color="auto"/>
          <w:color w:val="auto"/>
        </w:rPr>
        <w:t>Exhibit C</w:t>
      </w:r>
      <w:r>
        <w:rPr>
          <w:rFonts w:ascii="Times New Roman" w:cs="Times New Roman" w:eastAsia="Times New Roman" w:hAnsi="Times New Roman"/>
          <w:sz w:val="20"/>
          <w:szCs w:val="20"/>
          <w:color w:val="auto"/>
        </w:rPr>
        <w:t>, subject to the conditions and payment obligations and standards set forth in this Lease. Landlord’s failure to furnish, or any interruption, diminishment or termination of, services due to the application of laws, the failure of any equipment, the performance of repairs, improvements or alterations, utility interruptions or the occurrence of an event of force majeure (defined in Section 20.7) shall not render Landlord liable to Tenant, constitute a constructive eviction of Tenant, give rise to an abatement of Rent, nor relieve Tenant from the obligation to fulfill any covenant or agreement, except that Landlord shall diligently attempt to restore the service or utility promptly. However, if the Premises, or a material portion of the Premises, are made untenantable for a period in excess of 3 consecutive business days as a result of a service interruption that is reasonably within the control of Landlord to correct and through no fault of Tenant and for reasons other than as contemplated in Article 11, then Tenant, as its sole remedy, shall be entitled to receive an abatement of Rent payable hereunder during the period beginning on the 4th consecutive business day of the service interruption and ending on the day the service has been restored.</w:t>
      </w:r>
    </w:p>
    <w:p>
      <w:pPr>
        <w:spacing w:after="0" w:line="190" w:lineRule="exact"/>
        <w:rPr>
          <w:sz w:val="20"/>
          <w:szCs w:val="20"/>
          <w:color w:val="auto"/>
        </w:rPr>
      </w:pPr>
    </w:p>
    <w:p>
      <w:pPr>
        <w:jc w:val="both"/>
        <w:ind w:firstLine="562"/>
        <w:spacing w:after="0" w:line="256" w:lineRule="auto"/>
        <w:rPr>
          <w:sz w:val="20"/>
          <w:szCs w:val="20"/>
          <w:color w:val="auto"/>
        </w:rPr>
      </w:pPr>
      <w:r>
        <w:rPr>
          <w:rFonts w:ascii="Times New Roman" w:cs="Times New Roman" w:eastAsia="Times New Roman" w:hAnsi="Times New Roman"/>
          <w:sz w:val="20"/>
          <w:szCs w:val="20"/>
          <w:b w:val="1"/>
          <w:bCs w:val="1"/>
          <w:color w:val="auto"/>
        </w:rPr>
        <w:t>6.2 OPERATION AND MAINTENANCE OF COMMON AREAS</w:t>
      </w:r>
      <w:r>
        <w:rPr>
          <w:rFonts w:ascii="Times New Roman" w:cs="Times New Roman" w:eastAsia="Times New Roman" w:hAnsi="Times New Roman"/>
          <w:sz w:val="20"/>
          <w:szCs w:val="20"/>
          <w:color w:val="auto"/>
        </w:rPr>
        <w:t>. During the Term, Landlord shall operate all Common Areas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within the Building and the Project. The term “</w:t>
      </w:r>
      <w:r>
        <w:rPr>
          <w:rFonts w:ascii="Times New Roman" w:cs="Times New Roman" w:eastAsia="Times New Roman" w:hAnsi="Times New Roman"/>
          <w:sz w:val="20"/>
          <w:szCs w:val="20"/>
          <w:b w:val="1"/>
          <w:bCs w:val="1"/>
          <w:color w:val="auto"/>
        </w:rPr>
        <w:t>Common Areas</w:t>
      </w:r>
      <w:r>
        <w:rPr>
          <w:rFonts w:ascii="Times New Roman" w:cs="Times New Roman" w:eastAsia="Times New Roman" w:hAnsi="Times New Roman"/>
          <w:sz w:val="20"/>
          <w:szCs w:val="20"/>
          <w:color w:val="auto"/>
        </w:rPr>
        <w:t>” shall mean all areas within the Building and other buildings in the Project which are not held for exclusive use by persons entitled to occupy space.</w:t>
      </w:r>
    </w:p>
    <w:p>
      <w:pPr>
        <w:spacing w:after="0" w:line="169" w:lineRule="exact"/>
        <w:rPr>
          <w:sz w:val="20"/>
          <w:szCs w:val="20"/>
          <w:color w:val="auto"/>
        </w:rPr>
      </w:pPr>
    </w:p>
    <w:p>
      <w:pPr>
        <w:jc w:val="both"/>
        <w:ind w:firstLine="562"/>
        <w:spacing w:after="0" w:line="246" w:lineRule="auto"/>
        <w:rPr>
          <w:sz w:val="20"/>
          <w:szCs w:val="20"/>
          <w:color w:val="auto"/>
        </w:rPr>
      </w:pPr>
      <w:r>
        <w:rPr>
          <w:rFonts w:ascii="Times New Roman" w:cs="Times New Roman" w:eastAsia="Times New Roman" w:hAnsi="Times New Roman"/>
          <w:sz w:val="20"/>
          <w:szCs w:val="20"/>
          <w:b w:val="1"/>
          <w:bCs w:val="1"/>
          <w:color w:val="auto"/>
        </w:rPr>
        <w:t>6.3 USE OF COMMON AREAS</w:t>
      </w:r>
      <w:r>
        <w:rPr>
          <w:rFonts w:ascii="Times New Roman" w:cs="Times New Roman" w:eastAsia="Times New Roman" w:hAnsi="Times New Roman"/>
          <w:sz w:val="20"/>
          <w:szCs w:val="20"/>
          <w:color w:val="auto"/>
        </w:rPr>
        <w:t>. The occupancy by Tenant of the Premises shall include the use of the Common Areas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common with Landlord and with all others for whose convenience and use the Common Areas may be provided by Landlord, subject, however, to compliance with Rules and Regulations described in Article 17 below. Landlord shall at all times during the Term have exclusive control of the Common Areas, and may restrain or permit any use or occupancy. Landlord may temporarily close any portion of the Common Areas for repairs, remodeling and/or alterations, to prevent a public dedication or the accrual of prescriptive rights, or for any other reasonable purpose.</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40"/>
          </w:cols>
          <w:pgMar w:left="320" w:top="265" w:right="339" w:bottom="1440" w:gutter="0" w:footer="0" w:header="0"/>
        </w:sectPr>
      </w:pPr>
    </w:p>
    <w:bookmarkStart w:id="359" w:name="page360"/>
    <w:bookmarkEnd w:id="359"/>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ARTICLE 7. REPAIRS AND MAINTENANCE</w:t>
      </w:r>
    </w:p>
    <w:p>
      <w:pPr>
        <w:spacing w:after="0" w:line="221" w:lineRule="exact"/>
        <w:rPr>
          <w:sz w:val="20"/>
          <w:szCs w:val="20"/>
          <w:color w:val="auto"/>
        </w:rPr>
      </w:pPr>
    </w:p>
    <w:p>
      <w:pPr>
        <w:jc w:val="both"/>
        <w:ind w:firstLine="562"/>
        <w:spacing w:after="0" w:line="245" w:lineRule="auto"/>
        <w:rPr>
          <w:sz w:val="20"/>
          <w:szCs w:val="20"/>
          <w:color w:val="auto"/>
        </w:rPr>
      </w:pPr>
      <w:r>
        <w:rPr>
          <w:rFonts w:ascii="Times New Roman" w:cs="Times New Roman" w:eastAsia="Times New Roman" w:hAnsi="Times New Roman"/>
          <w:sz w:val="20"/>
          <w:szCs w:val="20"/>
          <w:b w:val="1"/>
          <w:bCs w:val="1"/>
          <w:color w:val="auto"/>
        </w:rPr>
        <w:t>7.1 TENANT’S MAINTENANCE AND REPAIR</w:t>
      </w:r>
      <w:r>
        <w:rPr>
          <w:rFonts w:ascii="Times New Roman" w:cs="Times New Roman" w:eastAsia="Times New Roman" w:hAnsi="Times New Roman"/>
          <w:sz w:val="20"/>
          <w:szCs w:val="20"/>
          <w:color w:val="auto"/>
        </w:rPr>
        <w:t>. Subject to Articles 11 and 12, Tenant at its sole expense shall make all repairs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necessary to keep the Premises and all improvements and fixtures therein in good condition and repair. Tenant’s maintenance obligation shall include without limitation all appliances, interior glass, doors, door closures, hardware, fixtures, electrical, plumbing, fire extinguisher equipment and other equipment installed in the Premises, together with any supplemental HVAC equipment servicing only the Premises. Should Landlord or its management agent agree to make a repair on behalf of Tenant and at Tenant’s request, Tenant shall promptly reimburse Landlord as additional rent for all reasonable costs incurred (including the standard supervision fee) upon submission of an invoice.</w:t>
      </w:r>
    </w:p>
    <w:p>
      <w:pPr>
        <w:spacing w:after="0" w:line="179" w:lineRule="exact"/>
        <w:rPr>
          <w:sz w:val="20"/>
          <w:szCs w:val="20"/>
          <w:color w:val="auto"/>
        </w:rPr>
      </w:pPr>
    </w:p>
    <w:p>
      <w:pPr>
        <w:jc w:val="both"/>
        <w:ind w:firstLine="562"/>
        <w:spacing w:after="0" w:line="242" w:lineRule="auto"/>
        <w:rPr>
          <w:sz w:val="20"/>
          <w:szCs w:val="20"/>
          <w:color w:val="auto"/>
        </w:rPr>
      </w:pPr>
      <w:r>
        <w:rPr>
          <w:rFonts w:ascii="Times New Roman" w:cs="Times New Roman" w:eastAsia="Times New Roman" w:hAnsi="Times New Roman"/>
          <w:sz w:val="20"/>
          <w:szCs w:val="20"/>
          <w:b w:val="1"/>
          <w:bCs w:val="1"/>
          <w:color w:val="auto"/>
        </w:rPr>
        <w:t>7.2 LANDLORD’S MAINTENANCE AND REPAIR</w:t>
      </w:r>
      <w:r>
        <w:rPr>
          <w:rFonts w:ascii="Times New Roman" w:cs="Times New Roman" w:eastAsia="Times New Roman" w:hAnsi="Times New Roman"/>
          <w:sz w:val="20"/>
          <w:szCs w:val="20"/>
          <w:color w:val="auto"/>
        </w:rPr>
        <w:t>. Subject to Articles 11 and 12, Landlord shall provide service, maintenance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 repair with respect to the heating, ventilating and air conditioning (“</w:t>
      </w:r>
      <w:r>
        <w:rPr>
          <w:rFonts w:ascii="Times New Roman" w:cs="Times New Roman" w:eastAsia="Times New Roman" w:hAnsi="Times New Roman"/>
          <w:sz w:val="20"/>
          <w:szCs w:val="20"/>
          <w:b w:val="1"/>
          <w:bCs w:val="1"/>
          <w:color w:val="auto"/>
        </w:rPr>
        <w:t>HVAC</w:t>
      </w:r>
      <w:r>
        <w:rPr>
          <w:rFonts w:ascii="Times New Roman" w:cs="Times New Roman" w:eastAsia="Times New Roman" w:hAnsi="Times New Roman"/>
          <w:sz w:val="20"/>
          <w:szCs w:val="20"/>
          <w:color w:val="auto"/>
        </w:rPr>
        <w:t>”) equipment of the Building (exclusive of any supplemental HVAC equipment servicing only the Premises) and shall maintain in good repair the Common Areas, roof and roof membrane, foundations, footings, the exterior surfaces of the exterior walls of the Building (including exterior glass), and the structural, electrical, mechanical and plumbing systems of the Building (including elevators, if any, serving the Building), except to the extent provided in Section 7.1 above. Notwithstanding any provision of the California Civil Code or any similar or successor laws to the contrary, Tenant understands that it shall not make repairs at Landlord’s expense or by rental offset. Except as provided in Section 11.1 and Article 12 below, there shall be no abatement of rent and no liability of Landlord by reason of any injury to or interference with Tenant’s business arising from the making of any repairs, alterations or improvements to any portion of the Building, including repairs to the Premises, nor shall any related activity by Landlord constitute an actual or constructive eviction. Tenant hereby waives any and all rights under and benefits of subsection 1 of Section 1932, and Sections 1941 and 1942 of the California Civil Code, or any similar or successor laws now or hereafter in effect.</w:t>
      </w:r>
    </w:p>
    <w:p>
      <w:pPr>
        <w:spacing w:after="0" w:line="190" w:lineRule="exact"/>
        <w:rPr>
          <w:sz w:val="20"/>
          <w:szCs w:val="20"/>
          <w:color w:val="auto"/>
        </w:rPr>
      </w:pPr>
    </w:p>
    <w:p>
      <w:pPr>
        <w:jc w:val="both"/>
        <w:ind w:firstLine="562"/>
        <w:spacing w:after="0" w:line="255" w:lineRule="auto"/>
        <w:rPr>
          <w:sz w:val="20"/>
          <w:szCs w:val="20"/>
          <w:color w:val="auto"/>
        </w:rPr>
      </w:pPr>
      <w:r>
        <w:rPr>
          <w:rFonts w:ascii="Times New Roman" w:cs="Times New Roman" w:eastAsia="Times New Roman" w:hAnsi="Times New Roman"/>
          <w:sz w:val="19"/>
          <w:szCs w:val="19"/>
          <w:b w:val="1"/>
          <w:bCs w:val="1"/>
          <w:color w:val="auto"/>
        </w:rPr>
        <w:t>7.3 ALTERATIONS</w:t>
      </w:r>
      <w:r>
        <w:rPr>
          <w:rFonts w:ascii="Times New Roman" w:cs="Times New Roman" w:eastAsia="Times New Roman" w:hAnsi="Times New Roman"/>
          <w:sz w:val="19"/>
          <w:szCs w:val="19"/>
          <w:color w:val="auto"/>
        </w:rPr>
        <w:t>. Except for cosmetic alteration projects that do not exceed $20,000.00 during each calendar year and that do</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not affect the structural, electrical or mechanical components or systems of the Building, are not visible from the exterior of the Premises, do not change the basic floor plan of the Premises, and utilize only Landlord’s building standard materials (which work shall require notice to Landlord but not Landlord’s consent), Tenant shall make no alterations, additions, decorations or improvements (collectively referred to as “</w:t>
      </w:r>
      <w:r>
        <w:rPr>
          <w:rFonts w:ascii="Times New Roman" w:cs="Times New Roman" w:eastAsia="Times New Roman" w:hAnsi="Times New Roman"/>
          <w:sz w:val="19"/>
          <w:szCs w:val="19"/>
          <w:b w:val="1"/>
          <w:bCs w:val="1"/>
          <w:color w:val="auto"/>
        </w:rPr>
        <w:t>Alterations</w:t>
      </w:r>
      <w:r>
        <w:rPr>
          <w:rFonts w:ascii="Times New Roman" w:cs="Times New Roman" w:eastAsia="Times New Roman" w:hAnsi="Times New Roman"/>
          <w:sz w:val="19"/>
          <w:szCs w:val="19"/>
          <w:color w:val="auto"/>
        </w:rPr>
        <w:t>”) to the Premises without the prior written consent of Landlord. Landlord may impose, as a condition to its consent, any requirements that Landlord in its discretion may deem reasonable. Tenant shall use Landlord’s designated mechanical and electrical contractors, obtain all required permits for the Alterations and shall perform the work in compliance with all applicable laws, regulations and ordinances with contractors reasonably acceptable to Landlord. Landlord shall be entitled to a supervision fee in the amount of 5% of the cost of the Alterations. Landlord may elect to cause its architect to review Tenant’s architectural plans, and the reasonable cost of that review shall be reimbursed by Tenant. Should the Alterations proposed by Tenant and consented to by Landlord change the floor plan of the Premises, then Tenant shall, at its expense, furnish Landlord with as-built drawings and CAD disks compatible with Landlord’s systems. Unless Landlord otherwise agrees in writing, all Alterations affixed to the Premises, including without limitation all Tenant Improvements constructed pursuant to the Work Letter (except as otherwise provided in the Work Letter), but excluding moveable trade fixtures and furniture, shall become the property of Landlord and shall be surrendered with the Premises at the end of the Term, except that Landlord may, by notice to Tenant given at the time of Landlord’s approval, require Tenant to remove by the Expiration Date or sooner termination date of this Lease, all or any Alterations (including without limitation any Tenant Improvements constructed pursuant to the Work Letter) installed either by Tenant or by Landlord at Tenant’s request (collectively, the “</w:t>
      </w:r>
      <w:r>
        <w:rPr>
          <w:rFonts w:ascii="Times New Roman" w:cs="Times New Roman" w:eastAsia="Times New Roman" w:hAnsi="Times New Roman"/>
          <w:sz w:val="19"/>
          <w:szCs w:val="19"/>
          <w:b w:val="1"/>
          <w:bCs w:val="1"/>
          <w:color w:val="auto"/>
        </w:rPr>
        <w:t>Required Removables</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however</w:t>
      </w:r>
      <w:r>
        <w:rPr>
          <w:rFonts w:ascii="Times New Roman" w:cs="Times New Roman" w:eastAsia="Times New Roman" w:hAnsi="Times New Roman"/>
          <w:sz w:val="19"/>
          <w:szCs w:val="19"/>
          <w:color w:val="auto"/>
        </w:rPr>
        <w:t>, that notwithstanding</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240"/>
          </w:cols>
          <w:pgMar w:left="320" w:top="266" w:right="339" w:bottom="1440" w:gutter="0" w:footer="0" w:header="0"/>
        </w:sectPr>
      </w:pPr>
    </w:p>
    <w:bookmarkStart w:id="360" w:name="page361"/>
    <w:bookmarkEnd w:id="360"/>
    <w:p>
      <w:pPr>
        <w:jc w:val="both"/>
        <w:spacing w:after="0" w:line="254"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foregoing, Landlord agrees that the Tenant Improvements as and to the extent set forth in the approved Plan and Cost Estimate shall not constitute Required Removables. In connection with its removal of Required Removables, Tenant shall repair any damage to the Premises arising from that removal and shall restore the affected area to its pre-existing condition, reasonable wear and tear excepted.</w:t>
      </w:r>
    </w:p>
    <w:p>
      <w:pPr>
        <w:spacing w:after="0" w:line="170" w:lineRule="exact"/>
        <w:rPr>
          <w:sz w:val="20"/>
          <w:szCs w:val="20"/>
          <w:color w:val="auto"/>
        </w:rPr>
      </w:pPr>
    </w:p>
    <w:p>
      <w:pPr>
        <w:jc w:val="both"/>
        <w:ind w:firstLine="562"/>
        <w:spacing w:after="0" w:line="245" w:lineRule="auto"/>
        <w:rPr>
          <w:sz w:val="20"/>
          <w:szCs w:val="20"/>
          <w:color w:val="auto"/>
        </w:rPr>
      </w:pPr>
      <w:r>
        <w:rPr>
          <w:rFonts w:ascii="Times New Roman" w:cs="Times New Roman" w:eastAsia="Times New Roman" w:hAnsi="Times New Roman"/>
          <w:sz w:val="20"/>
          <w:szCs w:val="20"/>
          <w:b w:val="1"/>
          <w:bCs w:val="1"/>
          <w:color w:val="auto"/>
        </w:rPr>
        <w:t>7.4 MECHANIC’S LIENS</w:t>
      </w:r>
      <w:r>
        <w:rPr>
          <w:rFonts w:ascii="Times New Roman" w:cs="Times New Roman" w:eastAsia="Times New Roman" w:hAnsi="Times New Roman"/>
          <w:sz w:val="20"/>
          <w:szCs w:val="20"/>
          <w:color w:val="auto"/>
        </w:rPr>
        <w:t>. Tenant shall keep the Premises free from any liens arising out of any work performed, materials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furnished, or obligations incurred by or for Tenant. In the event that Tenant shall not, within 15 days following the imposition of any lien, cause the lien to be released of record by payment or posting of a proper bond in accordance with California Civil Code Section 8424 or any successor statute, Landlord shall have, in addition to all other available remedies, the right to cause the lien to be released by any means it deems proper, including payment of or defense against the claim giving rise to the lien. All expenses so incurred by Landlord shall be reimbursed by Tenant promptly following Landlord’s demand. Tenant shall give Landlord no less than 20 days’ prior notice in writing before commencing construction of any kind on the Premises.</w:t>
      </w:r>
    </w:p>
    <w:p>
      <w:pPr>
        <w:spacing w:after="0" w:line="179" w:lineRule="exact"/>
        <w:rPr>
          <w:sz w:val="20"/>
          <w:szCs w:val="20"/>
          <w:color w:val="auto"/>
        </w:rPr>
      </w:pPr>
    </w:p>
    <w:p>
      <w:pPr>
        <w:jc w:val="both"/>
        <w:ind w:firstLine="562"/>
        <w:spacing w:after="0" w:line="246" w:lineRule="auto"/>
        <w:rPr>
          <w:sz w:val="20"/>
          <w:szCs w:val="20"/>
          <w:color w:val="auto"/>
        </w:rPr>
      </w:pPr>
      <w:r>
        <w:rPr>
          <w:rFonts w:ascii="Times New Roman" w:cs="Times New Roman" w:eastAsia="Times New Roman" w:hAnsi="Times New Roman"/>
          <w:sz w:val="20"/>
          <w:szCs w:val="20"/>
          <w:b w:val="1"/>
          <w:bCs w:val="1"/>
          <w:color w:val="auto"/>
        </w:rPr>
        <w:t>7.5 ENTRY AND INSPECTION</w:t>
      </w:r>
      <w:r>
        <w:rPr>
          <w:rFonts w:ascii="Times New Roman" w:cs="Times New Roman" w:eastAsia="Times New Roman" w:hAnsi="Times New Roman"/>
          <w:sz w:val="20"/>
          <w:szCs w:val="20"/>
          <w:color w:val="auto"/>
        </w:rPr>
        <w:t>. Landlord shall at all reasonable times and with reasonable prior verbal notice, except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emergencies or to provide Building services, have the right to enter the Premises to inspect them, to supply services in accordance with this Lease, to make repairs and renovations as reasonably deemed necessary by Landlord, and to submit the Premises to prospective or actual purchasers or encumbrance holders (or, during the final twelve months of the Term or when an uncured Default exists, to prospective tenants), all without being deemed to have caused an eviction of Tenant and without abatement of rent except as provided elsewhere in this Lease.</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8. SPACE PLANNING AND SUBSTITUTION</w:t>
      </w:r>
    </w:p>
    <w:p>
      <w:pPr>
        <w:spacing w:after="0" w:line="220" w:lineRule="exact"/>
        <w:rPr>
          <w:sz w:val="20"/>
          <w:szCs w:val="20"/>
          <w:color w:val="auto"/>
        </w:rPr>
      </w:pPr>
    </w:p>
    <w:p>
      <w:pPr>
        <w:jc w:val="both"/>
        <w:ind w:firstLine="562"/>
        <w:spacing w:after="0" w:line="256" w:lineRule="auto"/>
        <w:rPr>
          <w:sz w:val="20"/>
          <w:szCs w:val="20"/>
          <w:color w:val="auto"/>
        </w:rPr>
      </w:pPr>
      <w:r>
        <w:rPr>
          <w:rFonts w:ascii="Times New Roman" w:cs="Times New Roman" w:eastAsia="Times New Roman" w:hAnsi="Times New Roman"/>
          <w:sz w:val="19"/>
          <w:szCs w:val="19"/>
          <w:color w:val="auto"/>
        </w:rPr>
        <w:t>Landlord shall have the right, upon providing not less than 60 days prior written notice, to move Tenant to other space of comparable size in the Building or in the Project or in other space owned by Landlord or its affiliate(s) within 3 miles of the Building. The new space shall be provided with improvements of comparable quality to those within the Premises and shall contain similar finishes as the Premises, approximately the same rentable square footage as the Premises and approximately the same number of work stations, offices, breakrooms and reception areas as are contained in the Premises as of the date Tenant receives Landlord’s notice of relocation. The total monthly Basic Rent for the new space shall in no event exceed the total monthly Basic Rent for the Premises prior to the relocation and Tenant’s Share for the new space shall in no event exceed Tenant’s Share for the Premises prior to the relocation. Landlord shall pay the reasonable out-of-pocket costs to relocate and reconnect Tenant’s personal property and equipment within the new space. Landlord shall also reimburse Tenant for such other reasonable out-of-pocket costs that Tenant may incur in connection with the relocation. Within 10 days following request by Landlord, Tenant shall execute an amendment to this Lease prepared by Landlord to memorialize the relocation. Notwithstanding the foregoing, Landlord hereby agrees that it shall not exercise its right to relocate Tenant hereunder during the initial 43-month Lease Term.</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9. ASSIGNMENT AND SUBLETTING</w:t>
      </w:r>
    </w:p>
    <w:p>
      <w:pPr>
        <w:spacing w:after="0" w:line="221" w:lineRule="exact"/>
        <w:rPr>
          <w:sz w:val="20"/>
          <w:szCs w:val="20"/>
          <w:color w:val="auto"/>
        </w:rPr>
      </w:pPr>
    </w:p>
    <w:p>
      <w:pPr>
        <w:jc w:val="both"/>
        <w:ind w:firstLine="562"/>
        <w:spacing w:after="0" w:line="246" w:lineRule="auto"/>
        <w:rPr>
          <w:sz w:val="20"/>
          <w:szCs w:val="20"/>
          <w:color w:val="auto"/>
        </w:rPr>
      </w:pPr>
      <w:r>
        <w:rPr>
          <w:rFonts w:ascii="Times New Roman" w:cs="Times New Roman" w:eastAsia="Times New Roman" w:hAnsi="Times New Roman"/>
          <w:sz w:val="20"/>
          <w:szCs w:val="20"/>
          <w:b w:val="1"/>
          <w:bCs w:val="1"/>
          <w:color w:val="auto"/>
        </w:rPr>
        <w:t>9.1 RIGHTS OF PARTIES</w:t>
      </w:r>
      <w:r>
        <w:rPr>
          <w:rFonts w:ascii="Times New Roman" w:cs="Times New Roman" w:eastAsia="Times New Roman" w:hAnsi="Times New Roman"/>
          <w:sz w:val="20"/>
          <w:szCs w:val="20"/>
          <w:color w:val="auto"/>
        </w:rPr>
        <w:t>. Tenant shall not, directly or indirectly, assign, sublease, transfer or encumber any interest in this Lease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or allow any third party to use any portion of the Premises (collectively or individually, a “</w:t>
      </w:r>
      <w:r>
        <w:rPr>
          <w:rFonts w:ascii="Times New Roman" w:cs="Times New Roman" w:eastAsia="Times New Roman" w:hAnsi="Times New Roman"/>
          <w:sz w:val="20"/>
          <w:szCs w:val="20"/>
          <w:b w:val="1"/>
          <w:bCs w:val="1"/>
          <w:color w:val="auto"/>
        </w:rPr>
        <w:t>Transfer</w:t>
      </w:r>
      <w:r>
        <w:rPr>
          <w:rFonts w:ascii="Times New Roman" w:cs="Times New Roman" w:eastAsia="Times New Roman" w:hAnsi="Times New Roman"/>
          <w:sz w:val="20"/>
          <w:szCs w:val="20"/>
          <w:color w:val="auto"/>
        </w:rPr>
        <w:t>”) without the prior written consent of Landlord, which consent shall not be unreasonably withheld if Landlord does not exercise its recapture rights. Tenant agrees that it is not unreasonable for Landlord to withhold consent to a Transfer to a proposed assignee or subtenant who is an existing tenant or occupant of the Building or Project or to a prospective tenant with whom Landlord or Landlord’s affiliate has been actively negotiating, except that Landlord will not enforce this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240"/>
          </w:cols>
          <w:pgMar w:left="320" w:top="265" w:right="339" w:bottom="1440" w:gutter="0" w:footer="0" w:header="0"/>
        </w:sectPr>
      </w:pPr>
    </w:p>
    <w:bookmarkStart w:id="361" w:name="page362"/>
    <w:bookmarkEnd w:id="361"/>
    <w:p>
      <w:pPr>
        <w:jc w:val="both"/>
        <w:spacing w:after="0" w:line="241"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restriction if it does not have sufficient available space to accommodate the proposed transferee. Any attempted Transfer in violation of this Article shall be a Default by Tenant and shall, at Landlord’s option, be void. Within 30 days after receipt of executed copies of the transfer documentation and such other information as Landlord may request, Landlord shall either: (a) consent to the Transfer by execution of a consent agreement in a form reasonably designated by Landlord; (b) refuse to consent to the Transfer; or (c) recapture the portion of the Premises that Tenant is proposing to Transfer. Tenant hereby waives the provisions of Section 1995.310(b) of the California Civil Code, or any similar or successor Laws, now or hereinafter in effect, and all other remedies that grant any right at law or equity to terminate this Lease, on its own behalf and, to the extent permitted under all applicable laws, on behalf of the proposed transferee. In no event shall any Transfer release or relieve Tenant from any obligation under this Lease, as same may be amended. Tenant shall pay Landlord a review fee of $1,000.00 for Landlord’s review of any requested Transfer. Tenant shall pay Landlord, as additional Rent, 50% of all rent and other consideration which Tenant receives as a result of a Transfer that is in excess of the sum of (i) the scheduled Rent payable by Tenant hereunder (or, in the event of a subletting of only a portion of the Premises, the Rent allocable to such portion as reasonably determined by Landlord) and (ii) the direct out-of-pocket costs, as evidenced by third party invoices provided to Landlord, incurred by Tenant to effect the Transfer, which costs shall be amortized over the remaining Term of this Lease or, if shorter, over the term of the sublease. If Tenant is in Default, Landlord may require that all sublease payments be made directly to Landlord, in which case Tenant shall receive a credit against Rent in the amount of Tenant’s share of payments received by Landlord.</w:t>
      </w:r>
    </w:p>
    <w:p>
      <w:pPr>
        <w:spacing w:after="0" w:line="190" w:lineRule="exact"/>
        <w:rPr>
          <w:sz w:val="20"/>
          <w:szCs w:val="20"/>
          <w:color w:val="auto"/>
        </w:rPr>
      </w:pPr>
    </w:p>
    <w:p>
      <w:pPr>
        <w:jc w:val="both"/>
        <w:ind w:firstLine="562"/>
        <w:spacing w:after="0" w:line="243" w:lineRule="auto"/>
        <w:rPr>
          <w:sz w:val="20"/>
          <w:szCs w:val="20"/>
          <w:color w:val="auto"/>
        </w:rPr>
      </w:pPr>
      <w:r>
        <w:rPr>
          <w:rFonts w:ascii="Times New Roman" w:cs="Times New Roman" w:eastAsia="Times New Roman" w:hAnsi="Times New Roman"/>
          <w:sz w:val="20"/>
          <w:szCs w:val="20"/>
          <w:b w:val="1"/>
          <w:bCs w:val="1"/>
          <w:color w:val="auto"/>
        </w:rPr>
        <w:t>9.2 PERMITTED TRANSFER</w:t>
      </w:r>
      <w:r>
        <w:rPr>
          <w:rFonts w:ascii="Times New Roman" w:cs="Times New Roman" w:eastAsia="Times New Roman" w:hAnsi="Times New Roman"/>
          <w:sz w:val="20"/>
          <w:szCs w:val="20"/>
          <w:color w:val="auto"/>
        </w:rPr>
        <w:t>. Notwithstanding the foregoing, Tenant may assign this Lease to a successor to Tenant by merger,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consolidation or the purchase of substantially all of Tenant’s assets or capital stock, or assign this Lease or sublet all or a portion of the Premises to an Affiliate (defined below), without the consent of Landlord and without the right of Landlord to recapture,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all of the following conditions are satisfied (a “</w:t>
      </w:r>
      <w:r>
        <w:rPr>
          <w:rFonts w:ascii="Times New Roman" w:cs="Times New Roman" w:eastAsia="Times New Roman" w:hAnsi="Times New Roman"/>
          <w:sz w:val="20"/>
          <w:szCs w:val="20"/>
          <w:b w:val="1"/>
          <w:bCs w:val="1"/>
          <w:color w:val="auto"/>
        </w:rPr>
        <w:t>Permitted Transfer</w:t>
      </w:r>
      <w:r>
        <w:rPr>
          <w:rFonts w:ascii="Times New Roman" w:cs="Times New Roman" w:eastAsia="Times New Roman" w:hAnsi="Times New Roman"/>
          <w:sz w:val="20"/>
          <w:szCs w:val="20"/>
          <w:color w:val="auto"/>
        </w:rPr>
        <w:t>”): (i) Tenant is not then in Default hereunder; (ii) Tenant gives Landlord written notice prior to such Permitted Transfer; however, if prohibited by confidentiality, then Tenant shall give Landlord written notice within 10 days after the effective date of the transfer; and (iii) the successor entity (other than Tenant) resulting from any merger or consolidation of Tenant or the sale of all or substantially all of the assets of Tenant, has a net worth at the time of the Permitted Transfer that is at least equal to the net worth of Tenant immediately before the Permitted Transfer. “</w:t>
      </w:r>
      <w:r>
        <w:rPr>
          <w:rFonts w:ascii="Times New Roman" w:cs="Times New Roman" w:eastAsia="Times New Roman" w:hAnsi="Times New Roman"/>
          <w:sz w:val="20"/>
          <w:szCs w:val="20"/>
          <w:b w:val="1"/>
          <w:bCs w:val="1"/>
          <w:color w:val="auto"/>
        </w:rPr>
        <w:t>Affiliate</w:t>
      </w:r>
      <w:r>
        <w:rPr>
          <w:rFonts w:ascii="Times New Roman" w:cs="Times New Roman" w:eastAsia="Times New Roman" w:hAnsi="Times New Roman"/>
          <w:sz w:val="20"/>
          <w:szCs w:val="20"/>
          <w:color w:val="auto"/>
        </w:rPr>
        <w:t>” shall mean an entity controlled by, controlling or under common control with Tenant. Tenant shall not be obligated to pay Landlord a review fee or any Additional Rent or other consideration which Tenant receives as a result of a Permitted Transfer.</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10. INSURANCE AND INDEMNITY</w:t>
      </w:r>
    </w:p>
    <w:p>
      <w:pPr>
        <w:spacing w:after="0" w:line="220" w:lineRule="exact"/>
        <w:rPr>
          <w:sz w:val="20"/>
          <w:szCs w:val="20"/>
          <w:color w:val="auto"/>
        </w:rPr>
      </w:pPr>
    </w:p>
    <w:p>
      <w:pPr>
        <w:ind w:left="460"/>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10.1</w:t>
        <w:tab/>
        <w:t>TENANT’S INSURANCE</w:t>
      </w:r>
      <w:r>
        <w:rPr>
          <w:rFonts w:ascii="Times New Roman" w:cs="Times New Roman" w:eastAsia="Times New Roman" w:hAnsi="Times New Roman"/>
          <w:sz w:val="18"/>
          <w:szCs w:val="18"/>
          <w:color w:val="auto"/>
        </w:rPr>
        <w:t>. Tenant, at its sole cost and expense, shall provide and maintain in effect the insurance described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Exhibit D</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Evidence of that insurance must be delivered to Landlord prior to the Commencement Date.</w:t>
      </w:r>
    </w:p>
    <w:p>
      <w:pPr>
        <w:spacing w:after="0" w:line="203" w:lineRule="exact"/>
        <w:rPr>
          <w:sz w:val="20"/>
          <w:szCs w:val="20"/>
          <w:color w:val="auto"/>
        </w:rPr>
      </w:pPr>
    </w:p>
    <w:p>
      <w:pPr>
        <w:jc w:val="both"/>
        <w:ind w:firstLine="449"/>
        <w:spacing w:after="0" w:line="256" w:lineRule="auto"/>
        <w:rPr>
          <w:sz w:val="20"/>
          <w:szCs w:val="20"/>
          <w:color w:val="auto"/>
        </w:rPr>
      </w:pPr>
      <w:r>
        <w:rPr>
          <w:rFonts w:ascii="Times New Roman" w:cs="Times New Roman" w:eastAsia="Times New Roman" w:hAnsi="Times New Roman"/>
          <w:sz w:val="18"/>
          <w:szCs w:val="18"/>
          <w:b w:val="1"/>
          <w:bCs w:val="1"/>
          <w:color w:val="auto"/>
        </w:rPr>
        <w:t>10.2 TENANT’S INDEMNITY</w:t>
      </w:r>
      <w:r>
        <w:rPr>
          <w:rFonts w:ascii="Times New Roman" w:cs="Times New Roman" w:eastAsia="Times New Roman" w:hAnsi="Times New Roman"/>
          <w:sz w:val="18"/>
          <w:szCs w:val="18"/>
          <w:color w:val="auto"/>
        </w:rPr>
        <w:t>. To the fullest extent permitted by law, but subject to Section 10.4 below, Tenant shall defend, indemnify and hold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harmless Landlord and Landlord’s agents, employees, lenders, and affiliates, from and against any and all negligence, claims, liabilities, damages, costs or expenses arising either before or after the Commencement Date which arise from or are caused by Tenant’s use or occupancy of the Premises, the Building or the Common Areas of the Project, or from the conduct of Tenant’s business, or from any activity, work, or thing done, permitted or suffered by Tenant or Tenant’s agents, employees, subtenants, vendors, contractors, invitees or licensees in or about the Premises, the Building or the Common Areas of the Project, or from any Default in the performance of any obligation on Tenant’s part to be performed under this Lease, or from any act, omission or negligence on the part of Tenant or Tenant’s agents, employees, subtenants, vendors, contractors, invitees</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240"/>
          </w:cols>
          <w:pgMar w:left="320" w:top="265" w:right="339" w:bottom="1440" w:gutter="0" w:footer="0" w:header="0"/>
        </w:sectPr>
      </w:pPr>
    </w:p>
    <w:bookmarkStart w:id="362" w:name="page363"/>
    <w:bookmarkEnd w:id="362"/>
    <w:p>
      <w:pPr>
        <w:jc w:val="both"/>
        <w:spacing w:after="0" w:line="249"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or licensees. Landlord may, at its option, require Tenant to assume Landlord’s defense in any action covered by this Section 10.2 through counsel reasonably satisfactory to Landlord. Notwithstanding the foregoing, Tenant shall not be obligated to indemnify Landlord against any liability or expense to the extent it is ultimately determined that the same was caused by the sole negligence or willful misconduct of Landlord, its agents, contractors or employees.</w:t>
      </w:r>
    </w:p>
    <w:p>
      <w:pPr>
        <w:spacing w:after="0" w:line="176" w:lineRule="exact"/>
        <w:rPr>
          <w:sz w:val="20"/>
          <w:szCs w:val="20"/>
          <w:color w:val="auto"/>
        </w:rPr>
      </w:pPr>
    </w:p>
    <w:p>
      <w:pPr>
        <w:jc w:val="both"/>
        <w:ind w:firstLine="562"/>
        <w:spacing w:after="0" w:line="243" w:lineRule="auto"/>
        <w:rPr>
          <w:sz w:val="20"/>
          <w:szCs w:val="20"/>
          <w:color w:val="auto"/>
        </w:rPr>
      </w:pPr>
      <w:r>
        <w:rPr>
          <w:rFonts w:ascii="Times New Roman" w:cs="Times New Roman" w:eastAsia="Times New Roman" w:hAnsi="Times New Roman"/>
          <w:sz w:val="20"/>
          <w:szCs w:val="20"/>
          <w:b w:val="1"/>
          <w:bCs w:val="1"/>
          <w:color w:val="auto"/>
        </w:rPr>
        <w:t>10.3 LANDLORD’S NONLIABILITY</w:t>
      </w:r>
      <w:r>
        <w:rPr>
          <w:rFonts w:ascii="Times New Roman" w:cs="Times New Roman" w:eastAsia="Times New Roman" w:hAnsi="Times New Roman"/>
          <w:sz w:val="20"/>
          <w:szCs w:val="20"/>
          <w:color w:val="auto"/>
        </w:rPr>
        <w:t>. Unless caused by the negligence or intentional misconduct of Landlord, its agents,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employees or contractors but subject to Section 10.4 below, Landlord shall not be liable to Tenant, its employees, agents and invitees, and Tenant hereby waives all claims against Landlord, its employees and agents for loss of or damage to any property, or any injury to any person, resulting from any condition including, but not limited to, acts or omissions (criminal or otherwise) of third parties and/or other tenants of the Project, or their agents, employees or invitees, fire, explosion, falling plaster, steam, gas, electricity, water or rain which may leak or flow from or into any part of the Premises or from the breakage, leakage, obstruction or other defects of the pipes, sprinklers, wires, appliances, plumbing, air conditioning, electrical works or other fixtures in the Building, whether the damage or injury results from conditions arising in the Premises or in other portions of the Building. Notwithstanding anything to the contrary contained in this Lease, in no event shall Landlord be liable for Tenant’s loss or interruption of business or income (including without limitation, Tenant’s consequential damages, lost profits or opportunity costs), or for interference with light or other similar intangible interests.</w:t>
      </w:r>
    </w:p>
    <w:p>
      <w:pPr>
        <w:spacing w:after="0" w:line="182" w:lineRule="exact"/>
        <w:rPr>
          <w:sz w:val="20"/>
          <w:szCs w:val="20"/>
          <w:color w:val="auto"/>
        </w:rPr>
      </w:pPr>
    </w:p>
    <w:p>
      <w:pPr>
        <w:jc w:val="both"/>
        <w:ind w:firstLine="562"/>
        <w:spacing w:after="0" w:line="256" w:lineRule="auto"/>
        <w:rPr>
          <w:sz w:val="20"/>
          <w:szCs w:val="20"/>
          <w:color w:val="auto"/>
        </w:rPr>
      </w:pPr>
      <w:r>
        <w:rPr>
          <w:rFonts w:ascii="Times New Roman" w:cs="Times New Roman" w:eastAsia="Times New Roman" w:hAnsi="Times New Roman"/>
          <w:sz w:val="20"/>
          <w:szCs w:val="20"/>
          <w:b w:val="1"/>
          <w:bCs w:val="1"/>
          <w:color w:val="auto"/>
        </w:rPr>
        <w:t>10.4 WAIVER OF SUBROGATION</w:t>
      </w:r>
      <w:r>
        <w:rPr>
          <w:rFonts w:ascii="Times New Roman" w:cs="Times New Roman" w:eastAsia="Times New Roman" w:hAnsi="Times New Roman"/>
          <w:sz w:val="20"/>
          <w:szCs w:val="20"/>
          <w:color w:val="auto"/>
        </w:rPr>
        <w:t>. Landlord and Tenant each hereby waives all rights of recovery against the other on account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 loss and damage occasioned to the property of such waiving party to the extent that the waiving party is entitled to proceeds for such loss and damage under any property insurance policies carried or otherwise required to be carried by this Lease.</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11. DAMAGE OR DESTRUCTION</w:t>
      </w:r>
    </w:p>
    <w:p>
      <w:pPr>
        <w:spacing w:after="0" w:line="216" w:lineRule="exact"/>
        <w:rPr>
          <w:sz w:val="20"/>
          <w:szCs w:val="20"/>
          <w:color w:val="auto"/>
        </w:rPr>
      </w:pPr>
    </w:p>
    <w:p>
      <w:pPr>
        <w:ind w:left="560"/>
        <w:spacing w:after="0"/>
        <w:tabs>
          <w:tab w:leader="none" w:pos="1080" w:val="left"/>
        </w:tabs>
        <w:rPr>
          <w:sz w:val="20"/>
          <w:szCs w:val="20"/>
          <w:color w:val="auto"/>
        </w:rPr>
      </w:pPr>
      <w:r>
        <w:rPr>
          <w:rFonts w:ascii="Times New Roman" w:cs="Times New Roman" w:eastAsia="Times New Roman" w:hAnsi="Times New Roman"/>
          <w:sz w:val="20"/>
          <w:szCs w:val="20"/>
          <w:b w:val="1"/>
          <w:bCs w:val="1"/>
          <w:color w:val="auto"/>
        </w:rPr>
        <w:t>11.1</w:t>
      </w:r>
      <w:r>
        <w:rPr>
          <w:sz w:val="20"/>
          <w:szCs w:val="20"/>
          <w:color w:val="auto"/>
        </w:rPr>
        <w:tab/>
      </w:r>
      <w:r>
        <w:rPr>
          <w:rFonts w:ascii="Times New Roman" w:cs="Times New Roman" w:eastAsia="Times New Roman" w:hAnsi="Times New Roman"/>
          <w:sz w:val="19"/>
          <w:szCs w:val="19"/>
          <w:b w:val="1"/>
          <w:bCs w:val="1"/>
          <w:color w:val="auto"/>
        </w:rPr>
        <w:t>RESTORATION</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jc w:val="both"/>
        <w:ind w:firstLine="1131"/>
        <w:spacing w:after="0" w:line="244" w:lineRule="auto"/>
        <w:tabs>
          <w:tab w:leader="none" w:pos="1632" w:val="left"/>
        </w:tabs>
        <w:numPr>
          <w:ilvl w:val="1"/>
          <w:numId w:val="3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Building of which the Premises are a part is damaged as the result of an event of casualty, then subject to the provisions below, Landlord shall repair that damage as soon as reasonably possible unless Landlord reasonably determines that: (i) the Premises have been materially damaged and there is less than 1 year of the Term remaining on the date of the casualty; (ii) any Mortgagee (defined in Section 13.1) requires that the insurance proceeds be applied to the payment of the mortgage debt; or (iii) proceeds necessary to pay the full cost of the repair are not available from Landlord’s insurance, including without limitation earthquake insurance. Should Landlord elect not to repair the damage for one of the preceding reasons, Landlord shall so notify Tenant in the “</w:t>
      </w:r>
      <w:r>
        <w:rPr>
          <w:rFonts w:ascii="Times New Roman" w:cs="Times New Roman" w:eastAsia="Times New Roman" w:hAnsi="Times New Roman"/>
          <w:sz w:val="20"/>
          <w:szCs w:val="20"/>
          <w:b w:val="1"/>
          <w:bCs w:val="1"/>
          <w:color w:val="auto"/>
        </w:rPr>
        <w:t>Casualty Notice</w:t>
      </w:r>
      <w:r>
        <w:rPr>
          <w:rFonts w:ascii="Times New Roman" w:cs="Times New Roman" w:eastAsia="Times New Roman" w:hAnsi="Times New Roman"/>
          <w:sz w:val="20"/>
          <w:szCs w:val="20"/>
          <w:color w:val="auto"/>
        </w:rPr>
        <w:t>” (as defined below), and this Lease shall terminate as of the date of delivery of that notice.</w:t>
      </w:r>
    </w:p>
    <w:p>
      <w:pPr>
        <w:spacing w:after="0" w:line="185" w:lineRule="exact"/>
        <w:rPr>
          <w:rFonts w:ascii="Times New Roman" w:cs="Times New Roman" w:eastAsia="Times New Roman" w:hAnsi="Times New Roman"/>
          <w:sz w:val="20"/>
          <w:szCs w:val="20"/>
          <w:color w:val="auto"/>
        </w:rPr>
      </w:pPr>
    </w:p>
    <w:p>
      <w:pPr>
        <w:jc w:val="both"/>
        <w:ind w:firstLine="1131"/>
        <w:spacing w:after="0" w:line="255" w:lineRule="auto"/>
        <w:tabs>
          <w:tab w:leader="none" w:pos="1558" w:val="left"/>
        </w:tabs>
        <w:numPr>
          <w:ilvl w:val="1"/>
          <w:numId w:val="33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As soon as reasonably practicable following the casualty event but not later than 60 days thereafter, Landlord shall notify Tenant in writing (“</w:t>
      </w:r>
      <w:r>
        <w:rPr>
          <w:rFonts w:ascii="Times New Roman" w:cs="Times New Roman" w:eastAsia="Times New Roman" w:hAnsi="Times New Roman"/>
          <w:sz w:val="19"/>
          <w:szCs w:val="19"/>
          <w:b w:val="1"/>
          <w:bCs w:val="1"/>
          <w:color w:val="auto"/>
        </w:rPr>
        <w:t>Casualty Notice</w:t>
      </w:r>
      <w:r>
        <w:rPr>
          <w:rFonts w:ascii="Times New Roman" w:cs="Times New Roman" w:eastAsia="Times New Roman" w:hAnsi="Times New Roman"/>
          <w:sz w:val="19"/>
          <w:szCs w:val="19"/>
          <w:color w:val="auto"/>
        </w:rPr>
        <w:t>”) of Landlord’s election, if applicable, to terminate this Lease. If this Lease is not so terminated, the Casualty Notice shall set forth the anticipated period for repairing the casualty damage. If the anticipated repair period exceeds 270 days and if the damage is so extensive as to reasonably prevent Tenant’s substantial use and enjoyment of the Premises, then either party may elect to terminate this Lease by written notice to the other within 10 days following delivery of the Casualty Notice. In addition, Tenant shall have the right to terminate this Lease if: (a) a substantial portion of the Premises has been damaged by casualty and such damage cannot reasonably be repaired within 60 days after Tenant’s receipt of the Casualty Notice; (b) there is less than 1 year of the Term remaining on the date of the casualty; (c) the casualty was not caused by the negligence or willful misconduct of Tenant or its agents, employees or contractors; and</w:t>
      </w:r>
    </w:p>
    <w:p>
      <w:pPr>
        <w:ind w:firstLine="8"/>
        <w:spacing w:after="0" w:line="246" w:lineRule="auto"/>
        <w:tabs>
          <w:tab w:leader="none" w:pos="292" w:val="left"/>
        </w:tabs>
        <w:numPr>
          <w:ilvl w:val="0"/>
          <w:numId w:val="3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Tenant provides Landlord with written notice of its intent to terminate within 10 days after the date of Tenant’s receipt of the Casualty Notice.</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240"/>
          </w:cols>
          <w:pgMar w:left="320" w:top="265" w:right="339" w:bottom="1440" w:gutter="0" w:footer="0" w:header="0"/>
        </w:sectPr>
      </w:pPr>
    </w:p>
    <w:bookmarkStart w:id="363" w:name="page364"/>
    <w:bookmarkEnd w:id="363"/>
    <w:p>
      <w:pPr>
        <w:jc w:val="both"/>
        <w:ind w:firstLine="1131"/>
        <w:spacing w:after="0" w:line="246" w:lineRule="auto"/>
        <w:tabs>
          <w:tab w:leader="none" w:pos="1580" w:val="left"/>
        </w:tabs>
        <w:numPr>
          <w:ilvl w:val="0"/>
          <w:numId w:val="3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the event that neither Landlord nor Tenant terminates this Lease pursuant to Section 11.1(b), Landlord shall repair all material damage to the Premises or the Building as soon as reasonably possible and this Lease shall continue in effect for the remainder of the Term. Upon notice from Landlord, Tenant shall assign or endorse over to Landlord (or to any party designated by Landlord) all property insurance proceeds payable to Tenant under Tenant’s insurance with respect to any Alterations. Within 15 days of demand, Tenant shall also pay Landlord for any additional excess costs that are determined during the performance of the repairs to such Alterations.</w:t>
      </w:r>
    </w:p>
    <w:p>
      <w:pPr>
        <w:spacing w:after="0" w:line="184" w:lineRule="exact"/>
        <w:rPr>
          <w:rFonts w:ascii="Times New Roman" w:cs="Times New Roman" w:eastAsia="Times New Roman" w:hAnsi="Times New Roman"/>
          <w:sz w:val="20"/>
          <w:szCs w:val="20"/>
          <w:color w:val="auto"/>
        </w:rPr>
      </w:pPr>
    </w:p>
    <w:p>
      <w:pPr>
        <w:ind w:firstLine="1131"/>
        <w:spacing w:after="0" w:line="295" w:lineRule="auto"/>
        <w:tabs>
          <w:tab w:leader="none" w:pos="1562" w:val="left"/>
        </w:tabs>
        <w:numPr>
          <w:ilvl w:val="0"/>
          <w:numId w:val="34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From and after the date of the casualty event, the rental to be paid under this Lease shall be abated in the same proportion that the Floor Area of the Premises that is rendered unusable by the damage from time to time bears to the total Floor Area of the Premises.</w:t>
      </w:r>
    </w:p>
    <w:p>
      <w:pPr>
        <w:spacing w:after="0" w:line="137" w:lineRule="exact"/>
        <w:rPr>
          <w:rFonts w:ascii="Times New Roman" w:cs="Times New Roman" w:eastAsia="Times New Roman" w:hAnsi="Times New Roman"/>
          <w:sz w:val="19"/>
          <w:szCs w:val="19"/>
          <w:color w:val="auto"/>
        </w:rPr>
      </w:pPr>
    </w:p>
    <w:p>
      <w:pPr>
        <w:jc w:val="both"/>
        <w:ind w:firstLine="1131"/>
        <w:spacing w:after="0" w:line="254" w:lineRule="auto"/>
        <w:tabs>
          <w:tab w:leader="none" w:pos="1614" w:val="left"/>
        </w:tabs>
        <w:numPr>
          <w:ilvl w:val="0"/>
          <w:numId w:val="3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the provisions of subsections (a), (b) and (c) of this Section 11.1, but subject to Section 10.4, Tenant shall not be entitled to rental abatement or termination rights, if the damage is due to the gross negligence or willful misconduct of Tenant or its employees, subtenants, contractors, invitees or representatives.</w:t>
      </w:r>
    </w:p>
    <w:p>
      <w:pPr>
        <w:spacing w:after="0" w:line="170" w:lineRule="exact"/>
        <w:rPr>
          <w:sz w:val="20"/>
          <w:szCs w:val="20"/>
          <w:color w:val="auto"/>
        </w:rPr>
      </w:pPr>
    </w:p>
    <w:p>
      <w:pPr>
        <w:jc w:val="both"/>
        <w:ind w:firstLine="562"/>
        <w:spacing w:after="0" w:line="273" w:lineRule="auto"/>
        <w:rPr>
          <w:sz w:val="20"/>
          <w:szCs w:val="20"/>
          <w:color w:val="auto"/>
        </w:rPr>
      </w:pPr>
      <w:r>
        <w:rPr>
          <w:rFonts w:ascii="Times New Roman" w:cs="Times New Roman" w:eastAsia="Times New Roman" w:hAnsi="Times New Roman"/>
          <w:sz w:val="20"/>
          <w:szCs w:val="20"/>
          <w:b w:val="1"/>
          <w:bCs w:val="1"/>
          <w:color w:val="auto"/>
        </w:rPr>
        <w:t>11.2 LEASE GOVERNS</w:t>
      </w:r>
      <w:r>
        <w:rPr>
          <w:rFonts w:ascii="Times New Roman" w:cs="Times New Roman" w:eastAsia="Times New Roman" w:hAnsi="Times New Roman"/>
          <w:sz w:val="20"/>
          <w:szCs w:val="20"/>
          <w:color w:val="auto"/>
        </w:rPr>
        <w:t>. Tenant agrees that the provisions of this Lease, including without limitation Section 11.1, shall govern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any damage or destruction and shall accordingly supersede any contrary statute or rule of law.</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12. EMINENT DOMAIN</w:t>
      </w:r>
    </w:p>
    <w:p>
      <w:pPr>
        <w:spacing w:after="0" w:line="220" w:lineRule="exact"/>
        <w:rPr>
          <w:sz w:val="20"/>
          <w:szCs w:val="20"/>
          <w:color w:val="auto"/>
        </w:rPr>
      </w:pPr>
    </w:p>
    <w:p>
      <w:pPr>
        <w:jc w:val="both"/>
        <w:ind w:firstLine="562"/>
        <w:spacing w:after="0" w:line="245" w:lineRule="auto"/>
        <w:rPr>
          <w:sz w:val="20"/>
          <w:szCs w:val="20"/>
          <w:color w:val="auto"/>
        </w:rPr>
      </w:pPr>
      <w:r>
        <w:rPr>
          <w:rFonts w:ascii="Times New Roman" w:cs="Times New Roman" w:eastAsia="Times New Roman" w:hAnsi="Times New Roman"/>
          <w:sz w:val="20"/>
          <w:szCs w:val="20"/>
          <w:color w:val="auto"/>
        </w:rPr>
        <w:t>Either party may terminate this Lease if any material part of the Premises is taken or condemned for any public or quasi-public use under Law, by eminent domain or private purchase in lieu thereof (a “</w:t>
      </w:r>
      <w:r>
        <w:rPr>
          <w:rFonts w:ascii="Times New Roman" w:cs="Times New Roman" w:eastAsia="Times New Roman" w:hAnsi="Times New Roman"/>
          <w:sz w:val="20"/>
          <w:szCs w:val="20"/>
          <w:b w:val="1"/>
          <w:bCs w:val="1"/>
          <w:color w:val="auto"/>
        </w:rPr>
        <w:t>Taking</w:t>
      </w:r>
      <w:r>
        <w:rPr>
          <w:rFonts w:ascii="Times New Roman" w:cs="Times New Roman" w:eastAsia="Times New Roman" w:hAnsi="Times New Roman"/>
          <w:sz w:val="20"/>
          <w:szCs w:val="20"/>
          <w:color w:val="auto"/>
        </w:rPr>
        <w:t>”). Landlord shall also have the right to terminate this Lease if there is a Taking of any portion of the Building or Project which would have a material adverse effect on Landlord’s ability to profitably operate the remainder of the Building. The termination shall be effective as of the effective date of any order granting possession to, or vesting legal title in, the condemning authority. All compensation awarded for a Taking shall be the property of Landlord. Tenant agrees that the provisions of this Lease shall govern any Taking and shall accordingly supersede any contrary statute or rule of law.</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13. SUBORDINATION; ESTOPPEL CERTIFICATE</w:t>
      </w:r>
    </w:p>
    <w:p>
      <w:pPr>
        <w:spacing w:after="0" w:line="216" w:lineRule="exact"/>
        <w:rPr>
          <w:sz w:val="20"/>
          <w:szCs w:val="20"/>
          <w:color w:val="auto"/>
        </w:rPr>
      </w:pPr>
    </w:p>
    <w:p>
      <w:pPr>
        <w:jc w:val="both"/>
        <w:ind w:firstLine="562"/>
        <w:spacing w:after="0" w:line="242" w:lineRule="auto"/>
        <w:rPr>
          <w:sz w:val="20"/>
          <w:szCs w:val="20"/>
          <w:color w:val="auto"/>
        </w:rPr>
      </w:pPr>
      <w:r>
        <w:rPr>
          <w:rFonts w:ascii="Times New Roman" w:cs="Times New Roman" w:eastAsia="Times New Roman" w:hAnsi="Times New Roman"/>
          <w:sz w:val="20"/>
          <w:szCs w:val="20"/>
          <w:b w:val="1"/>
          <w:bCs w:val="1"/>
          <w:color w:val="auto"/>
        </w:rPr>
        <w:t>13.1 SUBORDINATION</w:t>
      </w:r>
      <w:r>
        <w:rPr>
          <w:rFonts w:ascii="Times New Roman" w:cs="Times New Roman" w:eastAsia="Times New Roman" w:hAnsi="Times New Roman"/>
          <w:sz w:val="20"/>
          <w:szCs w:val="20"/>
          <w:color w:val="auto"/>
        </w:rPr>
        <w:t>. Tenant accepts this Lease subject and subordinate to any mortgage(s), deed(s) of trust, ground lease(s)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other lien(s) now or subsequently arising upon the Premises, the Building or the Project, and to renewals, modifications, refinancings and extensions thereof (collectively referred to as a “</w:t>
      </w:r>
      <w:r>
        <w:rPr>
          <w:rFonts w:ascii="Times New Roman" w:cs="Times New Roman" w:eastAsia="Times New Roman" w:hAnsi="Times New Roman"/>
          <w:sz w:val="20"/>
          <w:szCs w:val="20"/>
          <w:b w:val="1"/>
          <w:bCs w:val="1"/>
          <w:color w:val="auto"/>
        </w:rPr>
        <w:t>Mortgage</w:t>
      </w:r>
      <w:r>
        <w:rPr>
          <w:rFonts w:ascii="Times New Roman" w:cs="Times New Roman" w:eastAsia="Times New Roman" w:hAnsi="Times New Roman"/>
          <w:sz w:val="20"/>
          <w:szCs w:val="20"/>
          <w:color w:val="auto"/>
        </w:rPr>
        <w:t>”). The party having the benefit of a Mortgage shall be referred to as a “</w:t>
      </w:r>
      <w:r>
        <w:rPr>
          <w:rFonts w:ascii="Times New Roman" w:cs="Times New Roman" w:eastAsia="Times New Roman" w:hAnsi="Times New Roman"/>
          <w:sz w:val="20"/>
          <w:szCs w:val="20"/>
          <w:b w:val="1"/>
          <w:bCs w:val="1"/>
          <w:color w:val="auto"/>
        </w:rPr>
        <w:t>Mortgagee.</w:t>
      </w:r>
      <w:r>
        <w:rPr>
          <w:rFonts w:ascii="Times New Roman" w:cs="Times New Roman" w:eastAsia="Times New Roman" w:hAnsi="Times New Roman"/>
          <w:sz w:val="20"/>
          <w:szCs w:val="20"/>
          <w:color w:val="auto"/>
        </w:rPr>
        <w:t xml:space="preserve">” This clause shall be self-operative, but upon request from a Mortgagee, Tenant shall execute a commercially reasonable subordination and attornment agreement in favor of the Mortgagee,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such agreement provides a non-disturbance covenant benefitting Tenant. Alternatively, a Mortgagee shall have the right at any time to subordinate its Mortgage to this Lease. Upon request, Tenant, without charge, shall attorn to any successor to Landlord’s interest in this Lease in the event of a foreclosure of any mortgage. Tenant agrees that any purchaser at a foreclosure sale or lender taking title under a deed in lieu of foreclosure shall not be responsible for any act or omission of a prior landlord, shall not be subject to any offsets or defenses Tenant may have against a prior landlord, and shall not be liable for the return of the Security Deposit not actually recovered by such purchaser nor bound by any rent paid in advance of the calendar month in which the transfer of title occurred;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foregoing shall not release the applicable prior landlord from any liability for those obligations. Tenant acknowledges that Landlord’s Mortgagees and their successors-in-interest are intended third party beneficiaries of this Section 13.1.</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240"/>
          </w:cols>
          <w:pgMar w:left="320" w:top="265" w:right="339" w:bottom="1440" w:gutter="0" w:footer="0" w:header="0"/>
        </w:sectPr>
      </w:pPr>
    </w:p>
    <w:bookmarkStart w:id="364" w:name="page365"/>
    <w:bookmarkEnd w:id="364"/>
    <w:p>
      <w:pPr>
        <w:jc w:val="both"/>
        <w:ind w:right="20" w:firstLine="562"/>
        <w:spacing w:after="0" w:line="256" w:lineRule="auto"/>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13.2 ESTOPPEL CERTIFICATE</w:t>
      </w:r>
      <w:r>
        <w:rPr>
          <w:rFonts w:ascii="Times New Roman" w:cs="Times New Roman" w:eastAsia="Times New Roman" w:hAnsi="Times New Roman"/>
          <w:sz w:val="20"/>
          <w:szCs w:val="20"/>
          <w:color w:val="auto"/>
        </w:rPr>
        <w:t>. Tenant shall, within 10 business days after receipt of a written request from Landlord, execute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 deliver a commercially reasonable estoppel certificate in favor of those parties as are reasonably requested by Landlord (including a Mortgagee or a prospective purchaser of the Building or the Project).</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14. DEFAULTS AND REMEDIES</w:t>
      </w:r>
    </w:p>
    <w:p>
      <w:pPr>
        <w:spacing w:after="0" w:line="216" w:lineRule="exact"/>
        <w:rPr>
          <w:sz w:val="20"/>
          <w:szCs w:val="20"/>
          <w:color w:val="auto"/>
        </w:rPr>
      </w:pPr>
    </w:p>
    <w:p>
      <w:pPr>
        <w:jc w:val="both"/>
        <w:ind w:firstLine="562"/>
        <w:spacing w:after="0" w:line="273" w:lineRule="auto"/>
        <w:rPr>
          <w:sz w:val="20"/>
          <w:szCs w:val="20"/>
          <w:color w:val="auto"/>
        </w:rPr>
      </w:pPr>
      <w:r>
        <w:rPr>
          <w:rFonts w:ascii="Times New Roman" w:cs="Times New Roman" w:eastAsia="Times New Roman" w:hAnsi="Times New Roman"/>
          <w:sz w:val="20"/>
          <w:szCs w:val="20"/>
          <w:b w:val="1"/>
          <w:bCs w:val="1"/>
          <w:color w:val="auto"/>
        </w:rPr>
        <w:t>14.1 TENANT’S DEFAULTS</w:t>
      </w:r>
      <w:r>
        <w:rPr>
          <w:rFonts w:ascii="Times New Roman" w:cs="Times New Roman" w:eastAsia="Times New Roman" w:hAnsi="Times New Roman"/>
          <w:sz w:val="20"/>
          <w:szCs w:val="20"/>
          <w:color w:val="auto"/>
        </w:rPr>
        <w:t>. In addition to any other event of default set forth in this Lease, the occurrence of any one or more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following events shall constitute a “</w:t>
      </w:r>
      <w:r>
        <w:rPr>
          <w:rFonts w:ascii="Times New Roman" w:cs="Times New Roman" w:eastAsia="Times New Roman" w:hAnsi="Times New Roman"/>
          <w:sz w:val="20"/>
          <w:szCs w:val="20"/>
          <w:b w:val="1"/>
          <w:bCs w:val="1"/>
          <w:color w:val="auto"/>
        </w:rPr>
        <w:t>Default</w:t>
      </w:r>
      <w:r>
        <w:rPr>
          <w:rFonts w:ascii="Times New Roman" w:cs="Times New Roman" w:eastAsia="Times New Roman" w:hAnsi="Times New Roman"/>
          <w:sz w:val="20"/>
          <w:szCs w:val="20"/>
          <w:color w:val="auto"/>
        </w:rPr>
        <w:t>” by Tenant:</w:t>
      </w:r>
    </w:p>
    <w:p>
      <w:pPr>
        <w:spacing w:after="0" w:line="156" w:lineRule="exact"/>
        <w:rPr>
          <w:sz w:val="20"/>
          <w:szCs w:val="20"/>
          <w:color w:val="auto"/>
        </w:rPr>
      </w:pPr>
    </w:p>
    <w:p>
      <w:pPr>
        <w:jc w:val="both"/>
        <w:ind w:firstLine="1131"/>
        <w:spacing w:after="0" w:line="254" w:lineRule="auto"/>
        <w:tabs>
          <w:tab w:leader="none" w:pos="1581" w:val="left"/>
        </w:tabs>
        <w:numPr>
          <w:ilvl w:val="0"/>
          <w:numId w:val="3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failure by Tenant to make any payment of Rent required to be made by Tenant, as and when due, where the failure continues for a period of 3 business days after written notice from Landlord to Tenant. The term “</w:t>
      </w:r>
      <w:r>
        <w:rPr>
          <w:rFonts w:ascii="Times New Roman" w:cs="Times New Roman" w:eastAsia="Times New Roman" w:hAnsi="Times New Roman"/>
          <w:sz w:val="20"/>
          <w:szCs w:val="20"/>
          <w:b w:val="1"/>
          <w:bCs w:val="1"/>
          <w:color w:val="auto"/>
        </w:rPr>
        <w:t>Rent</w:t>
      </w:r>
      <w:r>
        <w:rPr>
          <w:rFonts w:ascii="Times New Roman" w:cs="Times New Roman" w:eastAsia="Times New Roman" w:hAnsi="Times New Roman"/>
          <w:sz w:val="20"/>
          <w:szCs w:val="20"/>
          <w:color w:val="auto"/>
        </w:rPr>
        <w:t>” as used in this Lease shall be deemed to mean the Basic Rent and all other sums required to be paid by Tenant to Landlord pursuant to the terms of this Lease.</w:t>
      </w:r>
    </w:p>
    <w:p>
      <w:pPr>
        <w:spacing w:after="0" w:line="174" w:lineRule="exact"/>
        <w:rPr>
          <w:rFonts w:ascii="Times New Roman" w:cs="Times New Roman" w:eastAsia="Times New Roman" w:hAnsi="Times New Roman"/>
          <w:sz w:val="20"/>
          <w:szCs w:val="20"/>
          <w:color w:val="auto"/>
        </w:rPr>
      </w:pPr>
    </w:p>
    <w:p>
      <w:pPr>
        <w:jc w:val="both"/>
        <w:ind w:firstLine="1131"/>
        <w:spacing w:after="0" w:line="245" w:lineRule="auto"/>
        <w:tabs>
          <w:tab w:leader="none" w:pos="1631" w:val="left"/>
        </w:tabs>
        <w:numPr>
          <w:ilvl w:val="0"/>
          <w:numId w:val="3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where a specific time period is otherwise set forth for Tenant’s performance in this Lease (in which event the failure to perform by Tenant within such time period shall be a Default), the failure or inability by Tenant to observe or perform any of the covenants or provisions of this Lease to be observed or performed by Tenant, other than as specified in any other subsection of this Section 14.1, where the failure continues for a period of 30 days after written notice from Landlord to Tenant. However, if the nature of the failure is such that more than 30 days are reasonably required for its cure, then Tenant shall not be deemed to be in Default if Tenant commences the cure within 30 days, and thereafter diligently pursues the cure to completion.</w:t>
      </w:r>
    </w:p>
    <w:p>
      <w:pPr>
        <w:spacing w:after="0" w:line="184" w:lineRule="exact"/>
        <w:rPr>
          <w:sz w:val="20"/>
          <w:szCs w:val="20"/>
          <w:color w:val="auto"/>
        </w:rPr>
      </w:pPr>
    </w:p>
    <w:p>
      <w:pPr>
        <w:jc w:val="both"/>
        <w:ind w:firstLine="562"/>
        <w:spacing w:after="0" w:line="254" w:lineRule="auto"/>
        <w:rPr>
          <w:sz w:val="20"/>
          <w:szCs w:val="20"/>
          <w:color w:val="auto"/>
        </w:rPr>
      </w:pPr>
      <w:r>
        <w:rPr>
          <w:rFonts w:ascii="Times New Roman" w:cs="Times New Roman" w:eastAsia="Times New Roman" w:hAnsi="Times New Roman"/>
          <w:sz w:val="20"/>
          <w:szCs w:val="20"/>
          <w:color w:val="auto"/>
        </w:rPr>
        <w:t>The notice periods provided herein are in lieu of, and not in addition to, any notice periods provided by law, and Landlord shall not be required to give any additional notice under California Code of Civil Procedure Section 1161, or any successor statute, in order to be entitled to commence an unlawful detainer proceeding.</w:t>
      </w:r>
    </w:p>
    <w:p>
      <w:pPr>
        <w:spacing w:after="0" w:line="170" w:lineRule="exact"/>
        <w:rPr>
          <w:sz w:val="20"/>
          <w:szCs w:val="20"/>
          <w:color w:val="auto"/>
        </w:rPr>
      </w:pPr>
    </w:p>
    <w:p>
      <w:pPr>
        <w:ind w:left="560"/>
        <w:spacing w:after="0"/>
        <w:tabs>
          <w:tab w:leader="none" w:pos="1100" w:val="left"/>
        </w:tabs>
        <w:rPr>
          <w:sz w:val="20"/>
          <w:szCs w:val="20"/>
          <w:color w:val="auto"/>
        </w:rPr>
      </w:pPr>
      <w:r>
        <w:rPr>
          <w:rFonts w:ascii="Times New Roman" w:cs="Times New Roman" w:eastAsia="Times New Roman" w:hAnsi="Times New Roman"/>
          <w:sz w:val="20"/>
          <w:szCs w:val="20"/>
          <w:b w:val="1"/>
          <w:bCs w:val="1"/>
          <w:color w:val="auto"/>
        </w:rPr>
        <w:t>14.2</w:t>
      </w:r>
      <w:r>
        <w:rPr>
          <w:sz w:val="20"/>
          <w:szCs w:val="20"/>
          <w:color w:val="auto"/>
        </w:rPr>
        <w:tab/>
      </w:r>
      <w:r>
        <w:rPr>
          <w:rFonts w:ascii="Times New Roman" w:cs="Times New Roman" w:eastAsia="Times New Roman" w:hAnsi="Times New Roman"/>
          <w:sz w:val="19"/>
          <w:szCs w:val="19"/>
          <w:b w:val="1"/>
          <w:bCs w:val="1"/>
          <w:color w:val="auto"/>
        </w:rPr>
        <w:t>LANDLORD’S REMEDIES</w:t>
      </w:r>
      <w:r>
        <w:rPr>
          <w:rFonts w:ascii="Times New Roman" w:cs="Times New Roman" w:eastAsia="Times New Roman" w:hAnsi="Times New Roman"/>
          <w:sz w:val="19"/>
          <w:szCs w:val="19"/>
          <w:color w:val="auto"/>
        </w:rPr>
        <w:t>.</w:t>
      </w:r>
    </w:p>
    <w:p>
      <w:pPr>
        <w:spacing w:after="0" w:line="220" w:lineRule="exact"/>
        <w:rPr>
          <w:sz w:val="20"/>
          <w:szCs w:val="20"/>
          <w:color w:val="auto"/>
        </w:rPr>
      </w:pPr>
    </w:p>
    <w:p>
      <w:pPr>
        <w:ind w:firstLine="1131"/>
        <w:spacing w:after="0" w:line="269" w:lineRule="auto"/>
        <w:tabs>
          <w:tab w:leader="none" w:pos="1604" w:val="left"/>
        </w:tabs>
        <w:numPr>
          <w:ilvl w:val="0"/>
          <w:numId w:val="3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Upon the occurrence of any Default by Tenant, then in addition to any other remedies available to Landlord, Landlord may exercise the following remedies:</w:t>
      </w:r>
    </w:p>
    <w:p>
      <w:pPr>
        <w:spacing w:after="0" w:line="159" w:lineRule="exact"/>
        <w:rPr>
          <w:rFonts w:ascii="Times New Roman" w:cs="Times New Roman" w:eastAsia="Times New Roman" w:hAnsi="Times New Roman"/>
          <w:sz w:val="20"/>
          <w:szCs w:val="20"/>
          <w:color w:val="auto"/>
        </w:rPr>
      </w:pPr>
    </w:p>
    <w:p>
      <w:pPr>
        <w:jc w:val="both"/>
        <w:ind w:firstLine="1243"/>
        <w:spacing w:after="0" w:line="249" w:lineRule="auto"/>
        <w:tabs>
          <w:tab w:leader="none" w:pos="1629" w:val="left"/>
        </w:tabs>
        <w:numPr>
          <w:ilvl w:val="1"/>
          <w:numId w:val="3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Landlord may terminate Tenant’s right to possession of the Premises by any lawful means, in which case this Lease shall terminate and Tenant shall immediately surrender possession of the Premises to Landlord. Such termination shall not affect any accrued obligations of Tenant under this Lease. Upon termination, Landlord shall have the right to reenter the Premises and remove all persons and property. Landlord shall also be entitled to recover from Tenant:</w:t>
      </w:r>
    </w:p>
    <w:p>
      <w:pPr>
        <w:spacing w:after="0" w:line="179" w:lineRule="exact"/>
        <w:rPr>
          <w:rFonts w:ascii="Times New Roman" w:cs="Times New Roman" w:eastAsia="Times New Roman" w:hAnsi="Times New Roman"/>
          <w:sz w:val="20"/>
          <w:szCs w:val="20"/>
          <w:color w:val="auto"/>
        </w:rPr>
      </w:pPr>
    </w:p>
    <w:p>
      <w:pPr>
        <w:ind w:left="2000" w:hanging="420"/>
        <w:spacing w:after="0"/>
        <w:tabs>
          <w:tab w:leader="none" w:pos="2000" w:val="left"/>
        </w:tabs>
        <w:numPr>
          <w:ilvl w:val="2"/>
          <w:numId w:val="3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worth at the time of award of the unpaid Rent which had been earned at the time of termination;</w:t>
      </w:r>
    </w:p>
    <w:p>
      <w:pPr>
        <w:spacing w:after="0" w:line="215" w:lineRule="exact"/>
        <w:rPr>
          <w:rFonts w:ascii="Times New Roman" w:cs="Times New Roman" w:eastAsia="Times New Roman" w:hAnsi="Times New Roman"/>
          <w:sz w:val="20"/>
          <w:szCs w:val="20"/>
          <w:color w:val="auto"/>
        </w:rPr>
      </w:pPr>
    </w:p>
    <w:p>
      <w:pPr>
        <w:ind w:firstLine="1580"/>
        <w:spacing w:after="0" w:line="269" w:lineRule="auto"/>
        <w:tabs>
          <w:tab w:leader="none" w:pos="2103" w:val="left"/>
        </w:tabs>
        <w:numPr>
          <w:ilvl w:val="2"/>
          <w:numId w:val="3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worth at the time of award of the amount by which the unpaid Rent which would have been earned after termination until the time of award exceeds the amount of such loss that Tenant proves could have been reasonably avoided;</w:t>
      </w:r>
    </w:p>
    <w:p>
      <w:pPr>
        <w:spacing w:after="0" w:line="159" w:lineRule="exact"/>
        <w:rPr>
          <w:rFonts w:ascii="Times New Roman" w:cs="Times New Roman" w:eastAsia="Times New Roman" w:hAnsi="Times New Roman"/>
          <w:sz w:val="20"/>
          <w:szCs w:val="20"/>
          <w:color w:val="auto"/>
        </w:rPr>
      </w:pPr>
    </w:p>
    <w:p>
      <w:pPr>
        <w:ind w:firstLine="1580"/>
        <w:spacing w:after="0" w:line="269" w:lineRule="auto"/>
        <w:tabs>
          <w:tab w:leader="none" w:pos="2003" w:val="left"/>
        </w:tabs>
        <w:numPr>
          <w:ilvl w:val="2"/>
          <w:numId w:val="3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worth at the time of award of the amount by which the unpaid Rent for the balance of the Term after the time of award exceeds the amount of such loss that Tenant proves could be reasonably avoided;</w:t>
      </w:r>
    </w:p>
    <w:p>
      <w:pPr>
        <w:spacing w:after="0" w:line="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240"/>
          </w:cols>
          <w:pgMar w:left="320" w:top="261" w:right="339" w:bottom="1440" w:gutter="0" w:footer="0" w:header="0"/>
        </w:sectPr>
      </w:pPr>
    </w:p>
    <w:bookmarkStart w:id="365" w:name="page366"/>
    <w:bookmarkEnd w:id="365"/>
    <w:p>
      <w:pPr>
        <w:jc w:val="both"/>
        <w:ind w:firstLine="1580"/>
        <w:spacing w:after="0" w:line="266" w:lineRule="auto"/>
        <w:tabs>
          <w:tab w:leader="none" w:pos="2003" w:val="left"/>
        </w:tabs>
        <w:numPr>
          <w:ilvl w:val="2"/>
          <w:numId w:val="34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Any other amount necessary to compensate Landlord for all the detriment proximately caused by Tenant’s failure to perform its obligations under this Lease or which in the ordinary course of things would be likely to result from Tenant’s default, including, but not limited to, the cost of recovering possession of the Premises, commissions and other expenses of reletting, including necessary repair, renovation, improvement and alteration of the Premises for a new tenant, reasonable attorneys’ fees, and any other reasonable costs; and</w:t>
      </w:r>
    </w:p>
    <w:p>
      <w:pPr>
        <w:spacing w:after="0" w:line="165" w:lineRule="exact"/>
        <w:rPr>
          <w:rFonts w:ascii="Times New Roman" w:cs="Times New Roman" w:eastAsia="Times New Roman" w:hAnsi="Times New Roman"/>
          <w:sz w:val="19"/>
          <w:szCs w:val="19"/>
          <w:color w:val="auto"/>
        </w:rPr>
      </w:pPr>
    </w:p>
    <w:p>
      <w:pPr>
        <w:jc w:val="both"/>
        <w:ind w:firstLine="1580"/>
        <w:spacing w:after="0" w:line="244" w:lineRule="auto"/>
        <w:tabs>
          <w:tab w:leader="none" w:pos="2012" w:val="left"/>
        </w:tabs>
        <w:numPr>
          <w:ilvl w:val="2"/>
          <w:numId w:val="3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Landlord’s election, all other amounts in addition to or in lieu of the foregoing as may be permitted by law. Any sum, other than Basic Rent, shall be computed on the basis of the average monthly amount accruing during the 24 month period immediately prior to Default, except that if it becomes necessary to compute such rental before the 24 month period has occurred, then the computation shall be on the basis of the average monthly amount during the shorter period. As used in subparagraphs (1) and (2) above, the “</w:t>
      </w:r>
      <w:r>
        <w:rPr>
          <w:rFonts w:ascii="Times New Roman" w:cs="Times New Roman" w:eastAsia="Times New Roman" w:hAnsi="Times New Roman"/>
          <w:sz w:val="20"/>
          <w:szCs w:val="20"/>
          <w:b w:val="1"/>
          <w:bCs w:val="1"/>
          <w:color w:val="auto"/>
        </w:rPr>
        <w:t>worth at the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time of award</w:t>
      </w:r>
      <w:r>
        <w:rPr>
          <w:rFonts w:ascii="Times New Roman" w:cs="Times New Roman" w:eastAsia="Times New Roman" w:hAnsi="Times New Roman"/>
          <w:sz w:val="20"/>
          <w:szCs w:val="20"/>
          <w:color w:val="auto"/>
        </w:rPr>
        <w:t>” shall be computed by allowing interest at the rate of 10% per annum. As used in subparagraph (3) above, the “</w:t>
      </w:r>
      <w:r>
        <w:rPr>
          <w:rFonts w:ascii="Times New Roman" w:cs="Times New Roman" w:eastAsia="Times New Roman" w:hAnsi="Times New Roman"/>
          <w:sz w:val="20"/>
          <w:szCs w:val="20"/>
          <w:b w:val="1"/>
          <w:bCs w:val="1"/>
          <w:color w:val="auto"/>
        </w:rPr>
        <w:t>worth at the time of award</w:t>
      </w:r>
      <w:r>
        <w:rPr>
          <w:rFonts w:ascii="Times New Roman" w:cs="Times New Roman" w:eastAsia="Times New Roman" w:hAnsi="Times New Roman"/>
          <w:sz w:val="20"/>
          <w:szCs w:val="20"/>
          <w:color w:val="auto"/>
        </w:rPr>
        <w:t>” shall be computed by discounting the amount at the discount rate of the Federal Reserve Bank of San Francisco at the time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 award plus 1%.</w:t>
      </w:r>
    </w:p>
    <w:p>
      <w:pPr>
        <w:spacing w:after="0" w:line="185" w:lineRule="exact"/>
        <w:rPr>
          <w:rFonts w:ascii="Times New Roman" w:cs="Times New Roman" w:eastAsia="Times New Roman" w:hAnsi="Times New Roman"/>
          <w:sz w:val="20"/>
          <w:szCs w:val="20"/>
          <w:color w:val="auto"/>
        </w:rPr>
      </w:pPr>
    </w:p>
    <w:p>
      <w:pPr>
        <w:jc w:val="both"/>
        <w:ind w:firstLine="1243"/>
        <w:spacing w:after="0" w:line="254" w:lineRule="auto"/>
        <w:tabs>
          <w:tab w:leader="none" w:pos="1780" w:val="left"/>
        </w:tabs>
        <w:numPr>
          <w:ilvl w:val="1"/>
          <w:numId w:val="3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Employ the remedy described in California Civil Code § 1951.4 (Landlord may continue this Lease in effect after Tenant’s breach and abandonment and recover Rent as it becomes due, if Tenant has the right to sublet or assign, subject only to reasonable limitations).</w:t>
      </w:r>
    </w:p>
    <w:p>
      <w:pPr>
        <w:spacing w:after="0" w:line="174" w:lineRule="exact"/>
        <w:rPr>
          <w:rFonts w:ascii="Times New Roman" w:cs="Times New Roman" w:eastAsia="Times New Roman" w:hAnsi="Times New Roman"/>
          <w:sz w:val="20"/>
          <w:szCs w:val="20"/>
          <w:color w:val="auto"/>
        </w:rPr>
      </w:pPr>
    </w:p>
    <w:p>
      <w:pPr>
        <w:jc w:val="both"/>
        <w:ind w:firstLine="1131"/>
        <w:spacing w:after="0" w:line="241" w:lineRule="auto"/>
        <w:tabs>
          <w:tab w:leader="none" w:pos="1658" w:val="left"/>
        </w:tabs>
        <w:numPr>
          <w:ilvl w:val="0"/>
          <w:numId w:val="3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various rights and remedies reserved to Landlord in this Lease or otherwise shall be cumulative and, except as otherwise provided by California law, Landlord may pursue any or all of its rights and remedies at the same time. No delay or omission of Landlord to exercise any right or remedy shall be construed as a waiver of the right or remedy or of any breach or Default by Tenant. The acceptance by Landlord of rent shall not be a (i) waiver of any preceding breach or Default by Tenant of any provision of this Lease, other than the failure of Tenant to pay the particular rent accepted, regardless of Landlord’s knowledge of the preceding breach or Default at the time of acceptance of rent, or (ii) a waiver of Landlord’s right to exercise any remedy available to Landlord by virtue of the breach or Default. No payment by Tenant or receipt by Landlord of a lesser amount than the rent required by this Lease shall be deemed to be other than a partial payment on account of the earliest due stipulated rent, nor shall any endorsement or statement on any check or letter be deemed an accord and satisfaction and Landlord shall accept the check or payment without prejudice to Landlord’s right to recover the balance of the rent or pursue any other remedy available to it. Tenant hereby waives any right of redemption or relief from forfeiture under California Code of Civil Procedure Section 1174 or 1179, or under any successor statute, in the event this Lease is terminated by reason of any Default by Tenant. No act or thing done by Landlord or Landlord’s agents during the Term shall be deemed an acceptance of a surrender of the Premises, and no agreement to accept a surrender shall be valid unless in writing and signed by Landlord.</w:t>
      </w:r>
    </w:p>
    <w:p>
      <w:pPr>
        <w:spacing w:after="0" w:line="193" w:lineRule="exact"/>
        <w:rPr>
          <w:sz w:val="20"/>
          <w:szCs w:val="20"/>
          <w:color w:val="auto"/>
        </w:rPr>
      </w:pPr>
    </w:p>
    <w:p>
      <w:pPr>
        <w:jc w:val="both"/>
        <w:ind w:firstLine="562"/>
        <w:spacing w:after="0" w:line="246" w:lineRule="auto"/>
        <w:rPr>
          <w:sz w:val="20"/>
          <w:szCs w:val="20"/>
          <w:color w:val="auto"/>
        </w:rPr>
      </w:pPr>
      <w:r>
        <w:rPr>
          <w:rFonts w:ascii="Times New Roman" w:cs="Times New Roman" w:eastAsia="Times New Roman" w:hAnsi="Times New Roman"/>
          <w:sz w:val="20"/>
          <w:szCs w:val="20"/>
          <w:b w:val="1"/>
          <w:bCs w:val="1"/>
          <w:color w:val="auto"/>
        </w:rPr>
        <w:t>14.3 LATE PAYMENTS</w:t>
      </w:r>
      <w:r>
        <w:rPr>
          <w:rFonts w:ascii="Times New Roman" w:cs="Times New Roman" w:eastAsia="Times New Roman" w:hAnsi="Times New Roman"/>
          <w:sz w:val="20"/>
          <w:szCs w:val="20"/>
          <w:color w:val="auto"/>
        </w:rPr>
        <w:t>. Any Rent due under this Lease that is not paid to Landlord within 5 days of the date when due shall bear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interest at the maximum rate permitted by law from the date due until fully paid and if any Rent due from Tenant shall not be received by Landlord or Landlord’s designee within 5 days after the date due, then Tenant shall pay to Landlord, in addition to the interest, a late charge for each delinquent payment equal to the greater of (i) 5% of that delinquent payment or (ii) $100.00. Notwithstanding the foregoing, Landlord will not assess a late charge or interest for the first late payment in each 12-month period unless Tenant has not cured such late payment within three (3) days from receipt of written notice from Landlord.</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240"/>
          </w:cols>
          <w:pgMar w:left="320" w:top="265" w:right="339" w:bottom="1440" w:gutter="0" w:footer="0" w:header="0"/>
        </w:sectPr>
      </w:pPr>
    </w:p>
    <w:bookmarkStart w:id="366" w:name="page367"/>
    <w:bookmarkEnd w:id="366"/>
    <w:p>
      <w:pPr>
        <w:jc w:val="both"/>
        <w:ind w:firstLine="562"/>
        <w:spacing w:after="0" w:line="247" w:lineRule="auto"/>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14.4 DEFAULT BY LANDLORD</w:t>
      </w:r>
      <w:r>
        <w:rPr>
          <w:rFonts w:ascii="Times New Roman" w:cs="Times New Roman" w:eastAsia="Times New Roman" w:hAnsi="Times New Roman"/>
          <w:sz w:val="20"/>
          <w:szCs w:val="20"/>
          <w:color w:val="auto"/>
        </w:rPr>
        <w:t>. Landlord shall not be deemed to be in default in the performance of any obligation under this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Lease unless and until it has failed to perform the obligation within 30 days after written notice by Tenant to Landlord specifying in reasonable detail the nature and extent of the failure;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if the nature of Landlord’s obligation is such that more than 30 days are required for its performance, then Landlord shall not be deemed to be in default if it commences performance within the 30 day period and thereafter diligently pursues the cure to completion.</w:t>
      </w:r>
    </w:p>
    <w:p>
      <w:pPr>
        <w:spacing w:after="0" w:line="180" w:lineRule="exact"/>
        <w:rPr>
          <w:sz w:val="20"/>
          <w:szCs w:val="20"/>
          <w:color w:val="auto"/>
        </w:rPr>
      </w:pPr>
    </w:p>
    <w:p>
      <w:pPr>
        <w:jc w:val="both"/>
        <w:ind w:firstLine="562"/>
        <w:spacing w:after="0" w:line="256" w:lineRule="auto"/>
        <w:rPr>
          <w:sz w:val="20"/>
          <w:szCs w:val="20"/>
          <w:color w:val="auto"/>
        </w:rPr>
      </w:pPr>
      <w:r>
        <w:rPr>
          <w:rFonts w:ascii="Times New Roman" w:cs="Times New Roman" w:eastAsia="Times New Roman" w:hAnsi="Times New Roman"/>
          <w:sz w:val="20"/>
          <w:szCs w:val="20"/>
          <w:b w:val="1"/>
          <w:bCs w:val="1"/>
          <w:color w:val="auto"/>
        </w:rPr>
        <w:t>14.5 EXPENSES AND LEGAL FEES</w:t>
      </w:r>
      <w:r>
        <w:rPr>
          <w:rFonts w:ascii="Times New Roman" w:cs="Times New Roman" w:eastAsia="Times New Roman" w:hAnsi="Times New Roman"/>
          <w:sz w:val="20"/>
          <w:szCs w:val="20"/>
          <w:color w:val="auto"/>
        </w:rPr>
        <w:t>. Should either Landlord or Tenant bring any action in connection with this Lease,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prevailing party shall be entitled to recover as a part of the action its reasonable attorneys’ fees, and all other reasonable costs. The prevailing party for the purpose of this paragraph shall be determined by the trier of the facts.</w:t>
      </w:r>
    </w:p>
    <w:p>
      <w:pPr>
        <w:spacing w:after="0" w:line="169" w:lineRule="exact"/>
        <w:rPr>
          <w:sz w:val="20"/>
          <w:szCs w:val="20"/>
          <w:color w:val="auto"/>
        </w:rPr>
      </w:pPr>
    </w:p>
    <w:p>
      <w:pPr>
        <w:ind w:left="560"/>
        <w:spacing w:after="0"/>
        <w:tabs>
          <w:tab w:leader="none" w:pos="1100" w:val="left"/>
        </w:tabs>
        <w:rPr>
          <w:sz w:val="20"/>
          <w:szCs w:val="20"/>
          <w:color w:val="auto"/>
        </w:rPr>
      </w:pPr>
      <w:r>
        <w:rPr>
          <w:rFonts w:ascii="Times New Roman" w:cs="Times New Roman" w:eastAsia="Times New Roman" w:hAnsi="Times New Roman"/>
          <w:sz w:val="20"/>
          <w:szCs w:val="20"/>
          <w:b w:val="1"/>
          <w:bCs w:val="1"/>
          <w:color w:val="auto"/>
        </w:rPr>
        <w:t>14.6</w:t>
      </w:r>
      <w:r>
        <w:rPr>
          <w:sz w:val="20"/>
          <w:szCs w:val="20"/>
          <w:color w:val="auto"/>
        </w:rPr>
        <w:tab/>
      </w:r>
      <w:r>
        <w:rPr>
          <w:rFonts w:ascii="Times New Roman" w:cs="Times New Roman" w:eastAsia="Times New Roman" w:hAnsi="Times New Roman"/>
          <w:sz w:val="19"/>
          <w:szCs w:val="19"/>
          <w:b w:val="1"/>
          <w:bCs w:val="1"/>
          <w:color w:val="auto"/>
        </w:rPr>
        <w:t>WAIVER OF JURY TRIAL/JUDICIAL REFERENCE</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jc w:val="both"/>
        <w:ind w:firstLine="1131"/>
        <w:spacing w:after="0" w:line="245" w:lineRule="auto"/>
        <w:tabs>
          <w:tab w:leader="none" w:pos="1702" w:val="left"/>
        </w:tabs>
        <w:numPr>
          <w:ilvl w:val="0"/>
          <w:numId w:val="3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LANDLORD AND TENANT EACH ACKNOWLEDGES THAT IT IS AWARE OF AND HAS HAD THE ADVICE OF COUNSEL OF ITS CHOICE WITH RESPECT TO ITS RIGHT TO TRIAL BY JURY, AND EACH PARTY DOES HEREBY EXPRESSLY AND KNOWINGLY WAIVE AND RELEASE ALL SUCH RIGHTS TO TRIAL BY JURY IN ANY ACTION, PROCEEDING OR COUNTERCLAIM BROUGHT BY EITHER PARTY HERETO AGAINST THE OTHER (AND/OR AGAINST ITS OFFICERS, DIRECTORS, EMPLOYEES, AGENTS, OR SUBSIDIARY OR AFFILIATED ENTITIES) ON ANY MATTERS WHATSOEVER ARISING OUT OF OR IN ANY WAY CONNECTED WITH THIS LEASE, TENANT’S USE OR OCCUPANCY OF THE PREMISES, AND/OR ANY CLAIM OF INJURY OR DAMAGE.</w:t>
      </w:r>
    </w:p>
    <w:p>
      <w:pPr>
        <w:spacing w:after="0" w:line="183" w:lineRule="exact"/>
        <w:rPr>
          <w:rFonts w:ascii="Times New Roman" w:cs="Times New Roman" w:eastAsia="Times New Roman" w:hAnsi="Times New Roman"/>
          <w:sz w:val="20"/>
          <w:szCs w:val="20"/>
          <w:color w:val="auto"/>
        </w:rPr>
      </w:pPr>
    </w:p>
    <w:p>
      <w:pPr>
        <w:jc w:val="both"/>
        <w:ind w:firstLine="1131"/>
        <w:spacing w:after="0" w:line="245" w:lineRule="auto"/>
        <w:tabs>
          <w:tab w:leader="none" w:pos="1647" w:val="left"/>
        </w:tabs>
        <w:numPr>
          <w:ilvl w:val="0"/>
          <w:numId w:val="3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that the jury waiver provisions of Section 14.6(a) are not enforceable under California law, then, unless otherwise agreed to by the parties, the provisions of this Section 14.6(b) shall apply. Landlord and Tenant agree that any disputes arising in connection with this Lease (including but not limited to a determination of any and all of the issues in such dispute, whether of fact or of law) shall be resolved (and a decision shall be rendered) by way of a general reference as provided for in Part 2, Title 8, Chapter 6 (§§ 638 et. seq.) of the California Code of Civil Procedure, or any successor California statute governing resolution of disputes by a court appointed referee. Nothing within this Section 14.6 shall apply to an unlawful detainer action.</w:t>
      </w:r>
    </w:p>
    <w:p>
      <w:pPr>
        <w:spacing w:after="0" w:line="180" w:lineRule="exact"/>
        <w:rPr>
          <w:sz w:val="20"/>
          <w:szCs w:val="20"/>
          <w:color w:val="auto"/>
        </w:rPr>
      </w:pPr>
    </w:p>
    <w:p>
      <w:pPr>
        <w:jc w:val="both"/>
        <w:ind w:firstLine="562"/>
        <w:spacing w:after="0" w:line="250" w:lineRule="auto"/>
        <w:rPr>
          <w:sz w:val="20"/>
          <w:szCs w:val="20"/>
          <w:color w:val="auto"/>
        </w:rPr>
      </w:pPr>
      <w:r>
        <w:rPr>
          <w:rFonts w:ascii="Times New Roman" w:cs="Times New Roman" w:eastAsia="Times New Roman" w:hAnsi="Times New Roman"/>
          <w:sz w:val="20"/>
          <w:szCs w:val="20"/>
          <w:b w:val="1"/>
          <w:bCs w:val="1"/>
          <w:color w:val="auto"/>
        </w:rPr>
        <w:t>14.7 SATISFACTION OF JUDGMENT</w:t>
      </w:r>
      <w:r>
        <w:rPr>
          <w:rFonts w:ascii="Times New Roman" w:cs="Times New Roman" w:eastAsia="Times New Roman" w:hAnsi="Times New Roman"/>
          <w:sz w:val="20"/>
          <w:szCs w:val="20"/>
          <w:color w:val="auto"/>
        </w:rPr>
        <w:t>. The obligations of Landlord do not constitute the personal obligations of the individual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partners, trustees, directors, officers, members or shareholders of Landlord or its constituent partners or members. Should Tenant recover a money judgment against Landlord, such judgment shall be satisfied only from the interest of Landlord in the Project and out of the rent or other income from such property receivable by Landlord, and no action for any deficiency may be sought or obtained by Tenant.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15. END OF TERM</w:t>
      </w:r>
    </w:p>
    <w:p>
      <w:pPr>
        <w:spacing w:after="0" w:line="216" w:lineRule="exact"/>
        <w:rPr>
          <w:sz w:val="20"/>
          <w:szCs w:val="20"/>
          <w:color w:val="auto"/>
        </w:rPr>
      </w:pPr>
    </w:p>
    <w:p>
      <w:pPr>
        <w:jc w:val="both"/>
        <w:ind w:firstLine="562"/>
        <w:spacing w:after="0" w:line="246" w:lineRule="auto"/>
        <w:rPr>
          <w:sz w:val="20"/>
          <w:szCs w:val="20"/>
          <w:color w:val="auto"/>
        </w:rPr>
      </w:pPr>
      <w:r>
        <w:rPr>
          <w:rFonts w:ascii="Times New Roman" w:cs="Times New Roman" w:eastAsia="Times New Roman" w:hAnsi="Times New Roman"/>
          <w:sz w:val="20"/>
          <w:szCs w:val="20"/>
          <w:b w:val="1"/>
          <w:bCs w:val="1"/>
          <w:color w:val="auto"/>
        </w:rPr>
        <w:t>15.1 HOLDING OVER</w:t>
      </w:r>
      <w:r>
        <w:rPr>
          <w:rFonts w:ascii="Times New Roman" w:cs="Times New Roman" w:eastAsia="Times New Roman" w:hAnsi="Times New Roman"/>
          <w:sz w:val="20"/>
          <w:szCs w:val="20"/>
          <w:color w:val="auto"/>
        </w:rPr>
        <w:t>. If Tenant holds over for any period after the Expiration Date (or earlier termination of the Term), such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tenancy shall constitute a tenancy at sufferance only and possession shall be subject to all of the terms of this Lease, except that the monthly Basic Rent shall be 150% of the monthly Basic Rent for the month immediately preceding the date of termination. The acceptance by Landlord of monthly hold-over rental in a lesser amount shall not constitute a waiver of Landlord’s right to recover the full amount due unless otherwise agreed in writing by Landlord. If Tenant fails to surrender the Premises upon the expiration of this Lease despite demand to do so by Landlord, Tenant</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240"/>
          </w:cols>
          <w:pgMar w:left="320" w:top="261" w:right="339" w:bottom="1440" w:gutter="0" w:footer="0" w:header="0"/>
        </w:sectPr>
      </w:pPr>
    </w:p>
    <w:bookmarkStart w:id="367" w:name="page368"/>
    <w:bookmarkEnd w:id="367"/>
    <w:p>
      <w:pPr>
        <w:jc w:val="both"/>
        <w:spacing w:after="0" w:line="254"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shall indemnify and hold Landlord harmless from all loss or liability, including without limitation, any claims made by any succeeding tenant relating to such failure to surrender. The foregoing provisions of this Section 15.1 are in addition to and do not affect Landlord’s right of re-entry or any other rights of Landlord under this Lease or at law.</w:t>
      </w:r>
    </w:p>
    <w:p>
      <w:pPr>
        <w:spacing w:after="0" w:line="170" w:lineRule="exact"/>
        <w:rPr>
          <w:sz w:val="20"/>
          <w:szCs w:val="20"/>
          <w:color w:val="auto"/>
        </w:rPr>
      </w:pPr>
    </w:p>
    <w:p>
      <w:pPr>
        <w:jc w:val="both"/>
        <w:ind w:firstLine="562"/>
        <w:spacing w:after="0" w:line="245" w:lineRule="auto"/>
        <w:rPr>
          <w:sz w:val="20"/>
          <w:szCs w:val="20"/>
          <w:color w:val="auto"/>
        </w:rPr>
      </w:pPr>
      <w:r>
        <w:rPr>
          <w:rFonts w:ascii="Times New Roman" w:cs="Times New Roman" w:eastAsia="Times New Roman" w:hAnsi="Times New Roman"/>
          <w:sz w:val="20"/>
          <w:szCs w:val="20"/>
          <w:b w:val="1"/>
          <w:bCs w:val="1"/>
          <w:color w:val="auto"/>
        </w:rPr>
        <w:t>15.2 SURRENDER OF PREMISES; REMOVAL OF PROPERTY</w:t>
      </w:r>
      <w:r>
        <w:rPr>
          <w:rFonts w:ascii="Times New Roman" w:cs="Times New Roman" w:eastAsia="Times New Roman" w:hAnsi="Times New Roman"/>
          <w:sz w:val="20"/>
          <w:szCs w:val="20"/>
          <w:color w:val="auto"/>
        </w:rPr>
        <w:t>. Upon the Expiration Date or upon any earlier termination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this Lease, Tenant shall quit and surrender possession of the Premises to Landlord in as good order, condition and repair as when received or as hereafter may be improved by Landlord or Tenant, reasonable wear and tear, casualty, and repairs which are Landlord’s obligation excepted, and shall remove or, at Tenant’s option, fund to Landlord the cost of removing all wallpapering, voice and/or data transmission cabling installed by or for Tenant and Required Removables, together with all personal property and debris, and shall perform all work required under Section 7.3 of this Lease. If Tenant shall fail to comply with the provisions of this Section 15.2, Landlord may effect the removal and/or make any repairs, and the cost to Landlord shall be additional rent payable by Tenant upon demand.</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16. PAYMENTS AND NOTICES</w:t>
      </w:r>
    </w:p>
    <w:p>
      <w:pPr>
        <w:spacing w:after="0" w:line="220" w:lineRule="exact"/>
        <w:rPr>
          <w:sz w:val="20"/>
          <w:szCs w:val="20"/>
          <w:color w:val="auto"/>
        </w:rPr>
      </w:pPr>
    </w:p>
    <w:p>
      <w:pPr>
        <w:jc w:val="both"/>
        <w:ind w:firstLine="562"/>
        <w:spacing w:after="0" w:line="256" w:lineRule="auto"/>
        <w:rPr>
          <w:sz w:val="20"/>
          <w:szCs w:val="20"/>
          <w:color w:val="auto"/>
        </w:rPr>
      </w:pPr>
      <w:r>
        <w:rPr>
          <w:rFonts w:ascii="Times New Roman" w:cs="Times New Roman" w:eastAsia="Times New Roman" w:hAnsi="Times New Roman"/>
          <w:sz w:val="19"/>
          <w:szCs w:val="19"/>
          <w:color w:val="auto"/>
        </w:rPr>
        <w:t>All sums payable by Tenant to Landlord shall be paid, without deduction or offset, in lawful money of the United States to Landlord at its address set forth in Item 12 of the Basic Lease Provisions, or at any other place as Landlord may designate in writing. Unless this Lease expressly provides otherwise, all payments shall be due and payable within 10 business days after demand. All payments requiring proration shall be prorated on the basis of the number of days in the pertinent calendar month or year, as applicable. Any notice, election, demand, consent, approval or other communication to be given or other document to be delivered by either party to the other may be delivered to the other party, at the address set forth in Item 12 of the Basic Lease Provisions, by personal service or by any courier or “</w:t>
      </w:r>
      <w:r>
        <w:rPr>
          <w:rFonts w:ascii="Times New Roman" w:cs="Times New Roman" w:eastAsia="Times New Roman" w:hAnsi="Times New Roman"/>
          <w:sz w:val="19"/>
          <w:szCs w:val="19"/>
          <w:b w:val="1"/>
          <w:bCs w:val="1"/>
          <w:color w:val="auto"/>
        </w:rPr>
        <w:t>overnight</w:t>
      </w:r>
      <w:r>
        <w:rPr>
          <w:rFonts w:ascii="Times New Roman" w:cs="Times New Roman" w:eastAsia="Times New Roman" w:hAnsi="Times New Roman"/>
          <w:sz w:val="19"/>
          <w:szCs w:val="19"/>
          <w:color w:val="auto"/>
        </w:rPr>
        <w:t>” express mailing service. Either party may, by written notice to the other, served in the manner provided in this Article, designate a different address. The refusal to accept delivery of a notice, or the inability to deliver the notice (whether due to a change of address for which notice was not duly given or other good reason), shall be deemed delivery and receipt of the notice as of the date of attempted delivery. If more than one person or entity is named as Tenant under this Lease, service of any notice upon any one of them shall be deemed as service upon all of them.</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17. RULES AND REGULATIONS</w:t>
      </w:r>
    </w:p>
    <w:p>
      <w:pPr>
        <w:spacing w:after="0" w:line="220" w:lineRule="exact"/>
        <w:rPr>
          <w:sz w:val="20"/>
          <w:szCs w:val="20"/>
          <w:color w:val="auto"/>
        </w:rPr>
      </w:pPr>
    </w:p>
    <w:p>
      <w:pPr>
        <w:jc w:val="both"/>
        <w:ind w:right="20" w:firstLine="562"/>
        <w:spacing w:after="0" w:line="269" w:lineRule="auto"/>
        <w:rPr>
          <w:sz w:val="20"/>
          <w:szCs w:val="20"/>
          <w:color w:val="auto"/>
        </w:rPr>
      </w:pPr>
      <w:r>
        <w:rPr>
          <w:rFonts w:ascii="Times New Roman" w:cs="Times New Roman" w:eastAsia="Times New Roman" w:hAnsi="Times New Roman"/>
          <w:sz w:val="20"/>
          <w:szCs w:val="20"/>
          <w:color w:val="auto"/>
        </w:rPr>
        <w:t xml:space="preserve">Tenant agrees to comply with the Rules and Regulations attached as </w:t>
      </w:r>
      <w:r>
        <w:rPr>
          <w:rFonts w:ascii="Times New Roman" w:cs="Times New Roman" w:eastAsia="Times New Roman" w:hAnsi="Times New Roman"/>
          <w:sz w:val="20"/>
          <w:szCs w:val="20"/>
          <w:u w:val="single" w:color="auto"/>
          <w:color w:val="auto"/>
        </w:rPr>
        <w:t>Exhibit E</w:t>
      </w:r>
      <w:r>
        <w:rPr>
          <w:rFonts w:ascii="Times New Roman" w:cs="Times New Roman" w:eastAsia="Times New Roman" w:hAnsi="Times New Roman"/>
          <w:sz w:val="20"/>
          <w:szCs w:val="20"/>
          <w:color w:val="auto"/>
        </w:rPr>
        <w:t>, and any reasonable and nondiscriminatory amendments, modifications and/or additions as may be adopted by Landlord from time to time.</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18. BROKER’S COMMISSION</w:t>
      </w:r>
    </w:p>
    <w:p>
      <w:pPr>
        <w:spacing w:after="0" w:line="220" w:lineRule="exact"/>
        <w:rPr>
          <w:sz w:val="20"/>
          <w:szCs w:val="20"/>
          <w:color w:val="auto"/>
        </w:rPr>
      </w:pPr>
    </w:p>
    <w:p>
      <w:pPr>
        <w:jc w:val="both"/>
        <w:ind w:firstLine="562"/>
        <w:spacing w:after="0" w:line="246" w:lineRule="auto"/>
        <w:rPr>
          <w:sz w:val="20"/>
          <w:szCs w:val="20"/>
          <w:color w:val="auto"/>
        </w:rPr>
      </w:pPr>
      <w:r>
        <w:rPr>
          <w:rFonts w:ascii="Times New Roman" w:cs="Times New Roman" w:eastAsia="Times New Roman" w:hAnsi="Times New Roman"/>
          <w:sz w:val="20"/>
          <w:szCs w:val="20"/>
          <w:color w:val="auto"/>
        </w:rPr>
        <w:t>The parties recognize as the broker(s) who negotiated this Lease the firm(s) whose name(s) is (are) stated in Item 10 of the Basic Lease Provisions, and agree that Landlord shall be responsible for the payment of brokerage commissions to those broker(s) unless otherwise provided in this Lease. Tenant agrees to indemnify and hold Landlord harmless from any cost, expense or liability (including reasonable attorneys’ fees) for any compensation, commissions or charges claimed by any other real estate broker or agent employed or claiming to represent or to have been employed by Tenant in connection with the negotiation of this Lease.</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240"/>
          </w:cols>
          <w:pgMar w:left="320" w:top="265" w:right="339" w:bottom="1440" w:gutter="0" w:footer="0" w:header="0"/>
        </w:sectPr>
      </w:pPr>
    </w:p>
    <w:bookmarkStart w:id="368" w:name="page369"/>
    <w:bookmarkEnd w:id="368"/>
    <w:p>
      <w:pPr>
        <w:jc w:val="center"/>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ARTICLE 19. TRANSFER OF LANDLORD’S INTEREST</w:t>
      </w:r>
    </w:p>
    <w:p>
      <w:pPr>
        <w:spacing w:after="0" w:line="220" w:lineRule="exact"/>
        <w:rPr>
          <w:sz w:val="20"/>
          <w:szCs w:val="20"/>
          <w:color w:val="auto"/>
        </w:rPr>
      </w:pPr>
    </w:p>
    <w:p>
      <w:pPr>
        <w:jc w:val="both"/>
        <w:ind w:firstLine="562"/>
        <w:spacing w:after="0" w:line="249" w:lineRule="auto"/>
        <w:rPr>
          <w:sz w:val="20"/>
          <w:szCs w:val="20"/>
          <w:color w:val="auto"/>
        </w:rPr>
      </w:pPr>
      <w:r>
        <w:rPr>
          <w:rFonts w:ascii="Times New Roman" w:cs="Times New Roman" w:eastAsia="Times New Roman" w:hAnsi="Times New Roman"/>
          <w:sz w:val="20"/>
          <w:szCs w:val="20"/>
          <w:color w:val="auto"/>
        </w:rPr>
        <w:t>Landlord shall have the right to transfer and assign, in whole or in part, all of its ownership interest, rights and obligations in the Building, Project or Lease, including the Security Deposit, and upon transfer Landlord shall be released from any further obligations hereunder, and Tenant agrees to look solely to the successor in interest of Landlord for the performance of such obligations and the return of any Security Deposit.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20. INTERPRETATION</w:t>
      </w:r>
    </w:p>
    <w:p>
      <w:pPr>
        <w:spacing w:after="0" w:line="216" w:lineRule="exact"/>
        <w:rPr>
          <w:sz w:val="20"/>
          <w:szCs w:val="20"/>
          <w:color w:val="auto"/>
        </w:rPr>
      </w:pPr>
    </w:p>
    <w:p>
      <w:pPr>
        <w:jc w:val="both"/>
        <w:ind w:firstLine="562"/>
        <w:spacing w:after="0" w:line="250" w:lineRule="auto"/>
        <w:rPr>
          <w:sz w:val="20"/>
          <w:szCs w:val="20"/>
          <w:color w:val="auto"/>
        </w:rPr>
      </w:pPr>
      <w:r>
        <w:rPr>
          <w:rFonts w:ascii="Times New Roman" w:cs="Times New Roman" w:eastAsia="Times New Roman" w:hAnsi="Times New Roman"/>
          <w:sz w:val="20"/>
          <w:szCs w:val="20"/>
          <w:b w:val="1"/>
          <w:bCs w:val="1"/>
          <w:color w:val="auto"/>
        </w:rPr>
        <w:t>20.1 JOINT AND SEVERAL LIABILITY</w:t>
      </w:r>
      <w:r>
        <w:rPr>
          <w:rFonts w:ascii="Times New Roman" w:cs="Times New Roman" w:eastAsia="Times New Roman" w:hAnsi="Times New Roman"/>
          <w:sz w:val="20"/>
          <w:szCs w:val="20"/>
          <w:color w:val="auto"/>
        </w:rPr>
        <w:t>. If more than one person or entity is named as Tenant, the obligations imposed upon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each shall be joint and several and the act of or notice from, or notice or refund to, or the signature of, any one or more of them shall be binding on all of them with respect to the tenancy of this Lease, including, but not limited to, any renewal, extension, termination or modification of this Lease.</w:t>
      </w:r>
    </w:p>
    <w:p>
      <w:pPr>
        <w:spacing w:after="0" w:line="176" w:lineRule="exact"/>
        <w:rPr>
          <w:sz w:val="20"/>
          <w:szCs w:val="20"/>
          <w:color w:val="auto"/>
        </w:rPr>
      </w:pPr>
    </w:p>
    <w:p>
      <w:pPr>
        <w:jc w:val="both"/>
        <w:ind w:firstLine="562"/>
        <w:spacing w:after="0" w:line="273" w:lineRule="auto"/>
        <w:rPr>
          <w:sz w:val="20"/>
          <w:szCs w:val="20"/>
          <w:color w:val="auto"/>
        </w:rPr>
      </w:pPr>
      <w:r>
        <w:rPr>
          <w:rFonts w:ascii="Times New Roman" w:cs="Times New Roman" w:eastAsia="Times New Roman" w:hAnsi="Times New Roman"/>
          <w:sz w:val="20"/>
          <w:szCs w:val="20"/>
          <w:b w:val="1"/>
          <w:bCs w:val="1"/>
          <w:color w:val="auto"/>
        </w:rPr>
        <w:t>20.2 SUCCESSORS</w:t>
      </w:r>
      <w:r>
        <w:rPr>
          <w:rFonts w:ascii="Times New Roman" w:cs="Times New Roman" w:eastAsia="Times New Roman" w:hAnsi="Times New Roman"/>
          <w:sz w:val="20"/>
          <w:szCs w:val="20"/>
          <w:color w:val="auto"/>
        </w:rPr>
        <w:t>. Subject to Sections 13.1 and 22.3 and to Articles 9 and 19 of this Lease, all rights and liabilities given to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imposed upon Landlord and Tenant shall extend to and bind their respective heirs, executors, administrators, successors and assigns.</w:t>
      </w:r>
    </w:p>
    <w:p>
      <w:pPr>
        <w:spacing w:after="0" w:line="152" w:lineRule="exact"/>
        <w:rPr>
          <w:sz w:val="20"/>
          <w:szCs w:val="20"/>
          <w:color w:val="auto"/>
        </w:rPr>
      </w:pPr>
    </w:p>
    <w:p>
      <w:pPr>
        <w:jc w:val="both"/>
        <w:ind w:firstLine="562"/>
        <w:spacing w:after="0" w:line="273" w:lineRule="auto"/>
        <w:rPr>
          <w:sz w:val="20"/>
          <w:szCs w:val="20"/>
          <w:color w:val="auto"/>
        </w:rPr>
      </w:pPr>
      <w:r>
        <w:rPr>
          <w:rFonts w:ascii="Times New Roman" w:cs="Times New Roman" w:eastAsia="Times New Roman" w:hAnsi="Times New Roman"/>
          <w:sz w:val="20"/>
          <w:szCs w:val="20"/>
          <w:b w:val="1"/>
          <w:bCs w:val="1"/>
          <w:color w:val="auto"/>
        </w:rPr>
        <w:t>20.3 TIME OF ESSENCE</w:t>
      </w:r>
      <w:r>
        <w:rPr>
          <w:rFonts w:ascii="Times New Roman" w:cs="Times New Roman" w:eastAsia="Times New Roman" w:hAnsi="Times New Roman"/>
          <w:sz w:val="20"/>
          <w:szCs w:val="20"/>
          <w:color w:val="auto"/>
        </w:rPr>
        <w:t>. Time is of the essence with respect to the performance of every provision of this Lease in which time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performance is a factor.</w:t>
      </w:r>
    </w:p>
    <w:p>
      <w:pPr>
        <w:spacing w:after="0" w:line="152" w:lineRule="exact"/>
        <w:rPr>
          <w:sz w:val="20"/>
          <w:szCs w:val="20"/>
          <w:color w:val="auto"/>
        </w:rPr>
      </w:pPr>
    </w:p>
    <w:p>
      <w:pPr>
        <w:jc w:val="both"/>
        <w:ind w:firstLine="562"/>
        <w:spacing w:after="0" w:line="273" w:lineRule="auto"/>
        <w:rPr>
          <w:sz w:val="20"/>
          <w:szCs w:val="20"/>
          <w:color w:val="auto"/>
        </w:rPr>
      </w:pPr>
      <w:r>
        <w:rPr>
          <w:rFonts w:ascii="Times New Roman" w:cs="Times New Roman" w:eastAsia="Times New Roman" w:hAnsi="Times New Roman"/>
          <w:sz w:val="20"/>
          <w:szCs w:val="20"/>
          <w:b w:val="1"/>
          <w:bCs w:val="1"/>
          <w:color w:val="auto"/>
        </w:rPr>
        <w:t>20.4 CONTROLLING LAW</w:t>
      </w:r>
      <w:r>
        <w:rPr>
          <w:rFonts w:ascii="Times New Roman" w:cs="Times New Roman" w:eastAsia="Times New Roman" w:hAnsi="Times New Roman"/>
          <w:sz w:val="20"/>
          <w:szCs w:val="20"/>
          <w:color w:val="auto"/>
        </w:rPr>
        <w:t>. This Lease shall be governed by and interpreted in accordance with the laws of the State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California.</w:t>
      </w:r>
    </w:p>
    <w:p>
      <w:pPr>
        <w:spacing w:after="0" w:line="152" w:lineRule="exact"/>
        <w:rPr>
          <w:sz w:val="20"/>
          <w:szCs w:val="20"/>
          <w:color w:val="auto"/>
        </w:rPr>
      </w:pPr>
    </w:p>
    <w:p>
      <w:pPr>
        <w:jc w:val="both"/>
        <w:ind w:firstLine="562"/>
        <w:spacing w:after="0" w:line="250" w:lineRule="auto"/>
        <w:rPr>
          <w:sz w:val="20"/>
          <w:szCs w:val="20"/>
          <w:color w:val="auto"/>
        </w:rPr>
      </w:pPr>
      <w:r>
        <w:rPr>
          <w:rFonts w:ascii="Times New Roman" w:cs="Times New Roman" w:eastAsia="Times New Roman" w:hAnsi="Times New Roman"/>
          <w:sz w:val="20"/>
          <w:szCs w:val="20"/>
          <w:b w:val="1"/>
          <w:bCs w:val="1"/>
          <w:color w:val="auto"/>
        </w:rPr>
        <w:t>20.5 SEVERABILITY</w:t>
      </w:r>
      <w:r>
        <w:rPr>
          <w:rFonts w:ascii="Times New Roman" w:cs="Times New Roman" w:eastAsia="Times New Roman" w:hAnsi="Times New Roman"/>
          <w:sz w:val="20"/>
          <w:szCs w:val="20"/>
          <w:color w:val="auto"/>
        </w:rPr>
        <w:t>. If any term or provision of this Lease, the deletion of which would not adversely affect the receipt of 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material benefit by either party or the deletion of which is consented to by the party adversely affected, shall be held invalid or unenforceable to any extent, the remainder of this Lease shall not be affected and each term and provision of this Lease shall be valid and enforceable to the fullest extent permitted by law.</w:t>
      </w:r>
    </w:p>
    <w:p>
      <w:pPr>
        <w:spacing w:after="0" w:line="176" w:lineRule="exact"/>
        <w:rPr>
          <w:sz w:val="20"/>
          <w:szCs w:val="20"/>
          <w:color w:val="auto"/>
        </w:rPr>
      </w:pPr>
    </w:p>
    <w:p>
      <w:pPr>
        <w:jc w:val="both"/>
        <w:ind w:firstLine="562"/>
        <w:spacing w:after="0" w:line="250" w:lineRule="auto"/>
        <w:rPr>
          <w:sz w:val="20"/>
          <w:szCs w:val="20"/>
          <w:color w:val="auto"/>
        </w:rPr>
      </w:pPr>
      <w:r>
        <w:rPr>
          <w:rFonts w:ascii="Times New Roman" w:cs="Times New Roman" w:eastAsia="Times New Roman" w:hAnsi="Times New Roman"/>
          <w:sz w:val="20"/>
          <w:szCs w:val="20"/>
          <w:b w:val="1"/>
          <w:bCs w:val="1"/>
          <w:color w:val="auto"/>
        </w:rPr>
        <w:t>20.6 WAIVER</w:t>
      </w:r>
      <w:r>
        <w:rPr>
          <w:rFonts w:ascii="Times New Roman" w:cs="Times New Roman" w:eastAsia="Times New Roman" w:hAnsi="Times New Roman"/>
          <w:sz w:val="20"/>
          <w:szCs w:val="20"/>
          <w:color w:val="auto"/>
        </w:rPr>
        <w:t>. One or more waivers by Landlord or Tenant of any breach of any term, covenant or condition contained in this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Lease shall not be a waiver of any subsequent breach of the same or any other term, covenant or condition. Consent to any act by one of the parties shall not be deemed to render unnecessary the obtaining of that party’s consent to any subsequent act. No breach of this Lease shall be deemed to have been waived unless the waiver is in a writing signed by the waiving party.</w:t>
      </w:r>
    </w:p>
    <w:p>
      <w:pPr>
        <w:spacing w:after="0" w:line="176" w:lineRule="exact"/>
        <w:rPr>
          <w:sz w:val="20"/>
          <w:szCs w:val="20"/>
          <w:color w:val="auto"/>
        </w:rPr>
      </w:pPr>
    </w:p>
    <w:p>
      <w:pPr>
        <w:jc w:val="both"/>
        <w:ind w:firstLine="562"/>
        <w:spacing w:after="0" w:line="247" w:lineRule="auto"/>
        <w:rPr>
          <w:sz w:val="20"/>
          <w:szCs w:val="20"/>
          <w:color w:val="auto"/>
        </w:rPr>
      </w:pPr>
      <w:r>
        <w:rPr>
          <w:rFonts w:ascii="Times New Roman" w:cs="Times New Roman" w:eastAsia="Times New Roman" w:hAnsi="Times New Roman"/>
          <w:sz w:val="20"/>
          <w:szCs w:val="20"/>
          <w:b w:val="1"/>
          <w:bCs w:val="1"/>
          <w:color w:val="auto"/>
        </w:rPr>
        <w:t>20.7 INABILITY TO PERFORM</w:t>
      </w:r>
      <w:r>
        <w:rPr>
          <w:rFonts w:ascii="Times New Roman" w:cs="Times New Roman" w:eastAsia="Times New Roman" w:hAnsi="Times New Roman"/>
          <w:sz w:val="20"/>
          <w:szCs w:val="20"/>
          <w:color w:val="auto"/>
        </w:rPr>
        <w:t>. In the event that either party shall be delayed or hindered in or prevented from the performance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 any work or in performing any act required under this Lease by reason of any cause beyond the reasonable control of that party, then the performance of the work or the doing of the act shall be excused for the period of the delay and the time for performance shall be extended for a period equivalent to the period of the delay. The provisions of this Section 20.7 shall not operate to excuse Tenant from the prompt payment of Rent.</w:t>
      </w:r>
    </w:p>
    <w:p>
      <w:pPr>
        <w:spacing w:after="0" w:line="180" w:lineRule="exact"/>
        <w:rPr>
          <w:sz w:val="20"/>
          <w:szCs w:val="20"/>
          <w:color w:val="auto"/>
        </w:rPr>
      </w:pPr>
    </w:p>
    <w:p>
      <w:pPr>
        <w:jc w:val="both"/>
        <w:ind w:firstLine="562"/>
        <w:spacing w:after="0" w:line="273" w:lineRule="auto"/>
        <w:rPr>
          <w:sz w:val="20"/>
          <w:szCs w:val="20"/>
          <w:color w:val="auto"/>
        </w:rPr>
      </w:pPr>
      <w:r>
        <w:rPr>
          <w:rFonts w:ascii="Times New Roman" w:cs="Times New Roman" w:eastAsia="Times New Roman" w:hAnsi="Times New Roman"/>
          <w:sz w:val="20"/>
          <w:szCs w:val="20"/>
          <w:b w:val="1"/>
          <w:bCs w:val="1"/>
          <w:color w:val="auto"/>
        </w:rPr>
        <w:t>20.8 ENTIRE AGREEMENT</w:t>
      </w:r>
      <w:r>
        <w:rPr>
          <w:rFonts w:ascii="Times New Roman" w:cs="Times New Roman" w:eastAsia="Times New Roman" w:hAnsi="Times New Roman"/>
          <w:sz w:val="20"/>
          <w:szCs w:val="20"/>
          <w:color w:val="auto"/>
        </w:rPr>
        <w:t>. This Lease constitutes the entire agreement between the parties and supersedes all prior agreements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 understandings related to the Premises. This Lease may be modified only by a written agreement signed by Landlord and Tenant.</w:t>
      </w: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240"/>
          </w:cols>
          <w:pgMar w:left="320" w:top="261" w:right="339" w:bottom="1440" w:gutter="0" w:footer="0" w:header="0"/>
        </w:sectPr>
      </w:pPr>
    </w:p>
    <w:bookmarkStart w:id="369" w:name="page370"/>
    <w:bookmarkEnd w:id="369"/>
    <w:p>
      <w:pPr>
        <w:jc w:val="both"/>
        <w:ind w:firstLine="562"/>
        <w:spacing w:after="0" w:line="256" w:lineRule="auto"/>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20.9 QUIET ENJOYMENT</w:t>
      </w:r>
      <w:r>
        <w:rPr>
          <w:rFonts w:ascii="Times New Roman" w:cs="Times New Roman" w:eastAsia="Times New Roman" w:hAnsi="Times New Roman"/>
          <w:sz w:val="20"/>
          <w:szCs w:val="20"/>
          <w:color w:val="auto"/>
        </w:rPr>
        <w:t>. Upon the observance and performance of all the covenants, terms and conditions on Tenant’s part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be observed and performed, and subject to the other provisions of this Lease, Tenant shall have the right of quiet enjoyment and use of the Premises for the Term without hindrance or interruption by Landlord or any other person claiming by or through Landlord.</w:t>
      </w:r>
    </w:p>
    <w:p>
      <w:pPr>
        <w:spacing w:after="0" w:line="169" w:lineRule="exact"/>
        <w:rPr>
          <w:sz w:val="20"/>
          <w:szCs w:val="20"/>
          <w:color w:val="auto"/>
        </w:rPr>
      </w:pPr>
    </w:p>
    <w:p>
      <w:pPr>
        <w:jc w:val="both"/>
        <w:ind w:firstLine="562"/>
        <w:spacing w:after="0" w:line="256" w:lineRule="auto"/>
        <w:rPr>
          <w:sz w:val="20"/>
          <w:szCs w:val="20"/>
          <w:color w:val="auto"/>
        </w:rPr>
      </w:pPr>
      <w:r>
        <w:rPr>
          <w:rFonts w:ascii="Times New Roman" w:cs="Times New Roman" w:eastAsia="Times New Roman" w:hAnsi="Times New Roman"/>
          <w:sz w:val="20"/>
          <w:szCs w:val="20"/>
          <w:b w:val="1"/>
          <w:bCs w:val="1"/>
          <w:color w:val="auto"/>
        </w:rPr>
        <w:t>20.10 SURVIVAL</w:t>
      </w:r>
      <w:r>
        <w:rPr>
          <w:rFonts w:ascii="Times New Roman" w:cs="Times New Roman" w:eastAsia="Times New Roman" w:hAnsi="Times New Roman"/>
          <w:sz w:val="20"/>
          <w:szCs w:val="20"/>
          <w:color w:val="auto"/>
        </w:rPr>
        <w:t>. All covenants of Landlord or Tenant which reasonably would be intended to survive the expiration or sooner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termination of this Lease, including without limitation any warranty or indemnity hereunder, shall so survive and continue to be binding upon and inure to the benefit of the respective parties and their successors and assigns.</w:t>
      </w:r>
    </w:p>
    <w:p>
      <w:pPr>
        <w:spacing w:after="0" w:line="1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ARTICLE 21. EXECUTION</w:t>
      </w:r>
    </w:p>
    <w:p>
      <w:pPr>
        <w:spacing w:after="0" w:line="216" w:lineRule="exact"/>
        <w:rPr>
          <w:sz w:val="20"/>
          <w:szCs w:val="20"/>
          <w:color w:val="auto"/>
        </w:rPr>
      </w:pPr>
    </w:p>
    <w:p>
      <w:pPr>
        <w:jc w:val="both"/>
        <w:ind w:firstLine="562"/>
        <w:spacing w:after="0" w:line="250" w:lineRule="auto"/>
        <w:rPr>
          <w:sz w:val="20"/>
          <w:szCs w:val="20"/>
          <w:color w:val="auto"/>
        </w:rPr>
      </w:pPr>
      <w:r>
        <w:rPr>
          <w:rFonts w:ascii="Times New Roman" w:cs="Times New Roman" w:eastAsia="Times New Roman" w:hAnsi="Times New Roman"/>
          <w:sz w:val="20"/>
          <w:szCs w:val="20"/>
          <w:b w:val="1"/>
          <w:bCs w:val="1"/>
          <w:color w:val="auto"/>
        </w:rPr>
        <w:t>21.1 COUNTERPARTS; DIGITAL SIGNATURES</w:t>
      </w:r>
      <w:r>
        <w:rPr>
          <w:rFonts w:ascii="Times New Roman" w:cs="Times New Roman" w:eastAsia="Times New Roman" w:hAnsi="Times New Roman"/>
          <w:sz w:val="20"/>
          <w:szCs w:val="20"/>
          <w:color w:val="auto"/>
        </w:rPr>
        <w:t>. This Lease may be executed in one or more counterparts, each of which shall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constitute an original and all of which shall be one and the same agreement. The parties agree to accept a digital image (including but not limited to an image in the form of a PDF, JPEG, GIF file, or other e-signature) of this Lease, if applicable, reflecting the execution of one or both of the parties, as a true and correct original.</w:t>
      </w:r>
    </w:p>
    <w:p>
      <w:pPr>
        <w:spacing w:after="0" w:line="176" w:lineRule="exact"/>
        <w:rPr>
          <w:sz w:val="20"/>
          <w:szCs w:val="20"/>
          <w:color w:val="auto"/>
        </w:rPr>
      </w:pPr>
    </w:p>
    <w:p>
      <w:pPr>
        <w:jc w:val="both"/>
        <w:ind w:firstLine="562"/>
        <w:spacing w:after="0" w:line="273" w:lineRule="auto"/>
        <w:rPr>
          <w:sz w:val="20"/>
          <w:szCs w:val="20"/>
          <w:color w:val="auto"/>
        </w:rPr>
      </w:pPr>
      <w:r>
        <w:rPr>
          <w:rFonts w:ascii="Times New Roman" w:cs="Times New Roman" w:eastAsia="Times New Roman" w:hAnsi="Times New Roman"/>
          <w:sz w:val="20"/>
          <w:szCs w:val="20"/>
          <w:b w:val="1"/>
          <w:bCs w:val="1"/>
          <w:color w:val="auto"/>
        </w:rPr>
        <w:t>21.2 CORPORATE AND PARTNERSHIP AUTHORITY</w:t>
      </w:r>
      <w:r>
        <w:rPr>
          <w:rFonts w:ascii="Times New Roman" w:cs="Times New Roman" w:eastAsia="Times New Roman" w:hAnsi="Times New Roman"/>
          <w:sz w:val="20"/>
          <w:szCs w:val="20"/>
          <w:color w:val="auto"/>
        </w:rPr>
        <w:t>. Tenant and each individual executing this Lease represents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warrants to Landlord, and agrees, that such individual executing this Lease on behalf of Tenant is authorized to do so on behalf of Tenant.</w:t>
      </w:r>
    </w:p>
    <w:p>
      <w:pPr>
        <w:spacing w:after="0" w:line="152" w:lineRule="exact"/>
        <w:rPr>
          <w:sz w:val="20"/>
          <w:szCs w:val="20"/>
          <w:color w:val="auto"/>
        </w:rPr>
      </w:pPr>
    </w:p>
    <w:p>
      <w:pPr>
        <w:jc w:val="both"/>
        <w:ind w:firstLine="562"/>
        <w:spacing w:after="0" w:line="247" w:lineRule="auto"/>
        <w:rPr>
          <w:sz w:val="20"/>
          <w:szCs w:val="20"/>
          <w:color w:val="auto"/>
        </w:rPr>
      </w:pPr>
      <w:r>
        <w:rPr>
          <w:rFonts w:ascii="Times New Roman" w:cs="Times New Roman" w:eastAsia="Times New Roman" w:hAnsi="Times New Roman"/>
          <w:sz w:val="20"/>
          <w:szCs w:val="20"/>
          <w:b w:val="1"/>
          <w:bCs w:val="1"/>
          <w:color w:val="auto"/>
        </w:rPr>
        <w:t>21.3 EXECUTION OF LEASE; NO OPTION OR OFFER</w:t>
      </w:r>
      <w:r>
        <w:rPr>
          <w:rFonts w:ascii="Times New Roman" w:cs="Times New Roman" w:eastAsia="Times New Roman" w:hAnsi="Times New Roman"/>
          <w:sz w:val="20"/>
          <w:szCs w:val="20"/>
          <w:color w:val="auto"/>
        </w:rPr>
        <w:t>. The submission of this Lease to Tenant shall be for examination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purposes only, and shall not constitute an offer to or option for Tenant to lease the Premises. Execution of this Lease by Tenant and its return to Landlord shall not be binding upon Landlord, notwithstanding any time interval, until Landlord has in fact executed and delivered this Lease to Tenant, it being intended that this Lease shall only become effective upon execution by Landlord and delivery of a fully executed counterpart to Tenant.</w:t>
      </w:r>
    </w:p>
    <w:p>
      <w:pPr>
        <w:spacing w:after="0" w:line="180" w:lineRule="exact"/>
        <w:rPr>
          <w:sz w:val="20"/>
          <w:szCs w:val="20"/>
          <w:color w:val="auto"/>
        </w:rPr>
      </w:pPr>
    </w:p>
    <w:p>
      <w:pPr>
        <w:ind w:left="560"/>
        <w:spacing w:after="0"/>
        <w:tabs>
          <w:tab w:leader="none" w:pos="1160" w:val="left"/>
        </w:tabs>
        <w:rPr>
          <w:sz w:val="20"/>
          <w:szCs w:val="20"/>
          <w:color w:val="auto"/>
        </w:rPr>
      </w:pPr>
      <w:r>
        <w:rPr>
          <w:rFonts w:ascii="Times New Roman" w:cs="Times New Roman" w:eastAsia="Times New Roman" w:hAnsi="Times New Roman"/>
          <w:sz w:val="20"/>
          <w:szCs w:val="20"/>
          <w:b w:val="1"/>
          <w:bCs w:val="1"/>
          <w:color w:val="auto"/>
        </w:rPr>
        <w:t>21.4</w:t>
        <w:tab/>
        <w:t>BROKER DISCLOSURE</w:t>
      </w:r>
      <w:r>
        <w:rPr>
          <w:rFonts w:ascii="Times New Roman" w:cs="Times New Roman" w:eastAsia="Times New Roman" w:hAnsi="Times New Roman"/>
          <w:sz w:val="20"/>
          <w:szCs w:val="20"/>
          <w:color w:val="auto"/>
        </w:rPr>
        <w:t>. By the execution of this Lease, each of Landlord and Tenant hereby acknowledge and confirm</w:t>
      </w:r>
    </w:p>
    <w:p>
      <w:pPr>
        <w:spacing w:after="0" w:line="26" w:lineRule="exact"/>
        <w:rPr>
          <w:sz w:val="20"/>
          <w:szCs w:val="20"/>
          <w:color w:val="auto"/>
        </w:rPr>
      </w:pPr>
    </w:p>
    <w:p>
      <w:pPr>
        <w:jc w:val="both"/>
        <w:ind w:firstLine="8"/>
        <w:spacing w:after="0"/>
        <w:tabs>
          <w:tab w:leader="none" w:pos="285" w:val="left"/>
        </w:tabs>
        <w:numPr>
          <w:ilvl w:val="0"/>
          <w:numId w:val="3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receipt of a copy of a Disclosure Regarding Real Estate Agency Relationship conforming to the requirements of California Civil Code 2079.16, and (b) the agency relationships specified in Item 10 of the Basic Lease Provisions, which acknowledgement and confirmation is expressly made for the benefit of Tenant’s Broker identified in Item 10 of the Basic Lease Provisions. If there is no Tenant’s Broker so identified in Item 10 of the Basic Lease Provisions, then such acknowledgement and confirmation is expressly made for the benefit of Landlord’s Broker. By the execution of this Lease, Landlord and Tenant are executing the confirmation of the agency relationships set forth in Item 10 of the Basic Lease Provisions.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ARTICLE 22. MISCELLANEOUS</w:t>
      </w:r>
    </w:p>
    <w:p>
      <w:pPr>
        <w:spacing w:after="0" w:line="216" w:lineRule="exact"/>
        <w:rPr>
          <w:sz w:val="20"/>
          <w:szCs w:val="20"/>
          <w:color w:val="auto"/>
        </w:rPr>
      </w:pPr>
    </w:p>
    <w:p>
      <w:pPr>
        <w:jc w:val="both"/>
        <w:ind w:firstLine="562"/>
        <w:spacing w:after="0" w:line="250" w:lineRule="auto"/>
        <w:rPr>
          <w:sz w:val="20"/>
          <w:szCs w:val="20"/>
          <w:color w:val="auto"/>
        </w:rPr>
      </w:pPr>
      <w:r>
        <w:rPr>
          <w:rFonts w:ascii="Times New Roman" w:cs="Times New Roman" w:eastAsia="Times New Roman" w:hAnsi="Times New Roman"/>
          <w:sz w:val="20"/>
          <w:szCs w:val="20"/>
          <w:b w:val="1"/>
          <w:bCs w:val="1"/>
          <w:color w:val="auto"/>
        </w:rPr>
        <w:t>22.1 NONDISCLOSURE OF LEASE TERMS</w:t>
      </w:r>
      <w:r>
        <w:rPr>
          <w:rFonts w:ascii="Times New Roman" w:cs="Times New Roman" w:eastAsia="Times New Roman" w:hAnsi="Times New Roman"/>
          <w:sz w:val="20"/>
          <w:szCs w:val="20"/>
          <w:color w:val="auto"/>
        </w:rPr>
        <w:t>. Except to the extent disclosure is required by law, Tenant shall keep the content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this Lease and any related documents confidential and shall not disclose such confidential information to any person or entity other than Tenant’s financial, legal and space-planning consultants,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Tenant may disclose the terms to prospective subtenants or assignees under this Lease or pursuant to legal requirement.</w:t>
      </w:r>
    </w:p>
    <w:p>
      <w:pPr>
        <w:spacing w:after="0" w:line="176" w:lineRule="exact"/>
        <w:rPr>
          <w:sz w:val="20"/>
          <w:szCs w:val="20"/>
          <w:color w:val="auto"/>
        </w:rPr>
      </w:pPr>
    </w:p>
    <w:p>
      <w:pPr>
        <w:jc w:val="both"/>
        <w:ind w:firstLine="562"/>
        <w:spacing w:after="0" w:line="256" w:lineRule="auto"/>
        <w:rPr>
          <w:sz w:val="20"/>
          <w:szCs w:val="20"/>
          <w:color w:val="auto"/>
        </w:rPr>
      </w:pPr>
      <w:r>
        <w:rPr>
          <w:rFonts w:ascii="Times New Roman" w:cs="Times New Roman" w:eastAsia="Times New Roman" w:hAnsi="Times New Roman"/>
          <w:sz w:val="20"/>
          <w:szCs w:val="20"/>
          <w:b w:val="1"/>
          <w:bCs w:val="1"/>
          <w:color w:val="auto"/>
        </w:rPr>
        <w:t>22.2 TENANT’S FINANCIAL STATEMENTS</w:t>
      </w:r>
      <w:r>
        <w:rPr>
          <w:rFonts w:ascii="Times New Roman" w:cs="Times New Roman" w:eastAsia="Times New Roman" w:hAnsi="Times New Roman"/>
          <w:sz w:val="20"/>
          <w:szCs w:val="20"/>
          <w:color w:val="auto"/>
        </w:rPr>
        <w:t>. The application, financial statements and tax returns, if any, submitted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certified to by Tenant as an accurate representation of its financial condition have been prepared, certified and submitted to Landlord as an inducement and consideration to Landlord to enter into this Lease. Tenant shall during the Term furnish Landlord with current annual</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240"/>
          </w:cols>
          <w:pgMar w:left="320" w:top="261" w:right="339" w:bottom="1440" w:gutter="0" w:footer="0" w:header="0"/>
        </w:sectPr>
      </w:pPr>
    </w:p>
    <w:bookmarkStart w:id="370" w:name="page371"/>
    <w:bookmarkEnd w:id="370"/>
    <w:p>
      <w:pPr>
        <w:jc w:val="both"/>
        <w:spacing w:after="0" w:line="249"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financial statements accurately reflecting Tenant’s financial condition upon written request from Landlord within 10 business days following Landlord’s request;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(i) unless Tenant is in Default, Landlord shall not request such statements more frequently than once during each calendar year during the Term, and (ii) so long as Tenant is a publicly traded corporation on a nationally recognized stock exchange, the foregoing obligation to deliver the statements shall be waived.</w:t>
      </w:r>
    </w:p>
    <w:p>
      <w:pPr>
        <w:spacing w:after="0" w:line="176" w:lineRule="exact"/>
        <w:rPr>
          <w:sz w:val="20"/>
          <w:szCs w:val="20"/>
          <w:color w:val="auto"/>
        </w:rPr>
      </w:pPr>
    </w:p>
    <w:p>
      <w:pPr>
        <w:jc w:val="both"/>
        <w:ind w:firstLine="562"/>
        <w:spacing w:after="0" w:line="248" w:lineRule="auto"/>
        <w:rPr>
          <w:sz w:val="20"/>
          <w:szCs w:val="20"/>
          <w:color w:val="auto"/>
        </w:rPr>
      </w:pPr>
      <w:r>
        <w:rPr>
          <w:rFonts w:ascii="Times New Roman" w:cs="Times New Roman" w:eastAsia="Times New Roman" w:hAnsi="Times New Roman"/>
          <w:sz w:val="20"/>
          <w:szCs w:val="20"/>
          <w:b w:val="1"/>
          <w:bCs w:val="1"/>
          <w:color w:val="auto"/>
        </w:rPr>
        <w:t>22.3 MORTGAGEE PROTECTION</w:t>
      </w:r>
      <w:r>
        <w:rPr>
          <w:rFonts w:ascii="Times New Roman" w:cs="Times New Roman" w:eastAsia="Times New Roman" w:hAnsi="Times New Roman"/>
          <w:sz w:val="20"/>
          <w:szCs w:val="20"/>
          <w:color w:val="auto"/>
        </w:rPr>
        <w:t>. No act or failure to act on the part of Landlord which would otherwise entitle Tenant to be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relieved of its obligations hereunder or to terminate this Lease shall result in such a release or termination unless (a) Tenant has given notice by registered or certified mail to any Mortgagee of a Mortgage covering the Building whose address has been furnished to Tenant and</w:t>
      </w:r>
    </w:p>
    <w:p>
      <w:pPr>
        <w:spacing w:after="0" w:line="2" w:lineRule="exact"/>
        <w:rPr>
          <w:sz w:val="20"/>
          <w:szCs w:val="20"/>
          <w:color w:val="auto"/>
        </w:rPr>
      </w:pPr>
    </w:p>
    <w:p>
      <w:pPr>
        <w:jc w:val="both"/>
        <w:ind w:firstLine="8"/>
        <w:spacing w:after="0" w:line="242" w:lineRule="auto"/>
        <w:tabs>
          <w:tab w:leader="none" w:pos="287" w:val="left"/>
        </w:tabs>
        <w:numPr>
          <w:ilvl w:val="0"/>
          <w:numId w:val="3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Mortgagee is afforded a reasonable opportunity to cure the default by Landlord. Tenant shall comply with any written directions by any Mortgagee to pay Rent due hereunder directly to such Mortgagee without determining whether a default exists under such Mortgagee’s Mortgage.</w:t>
      </w:r>
    </w:p>
    <w:p>
      <w:pPr>
        <w:spacing w:after="0" w:line="183" w:lineRule="exact"/>
        <w:rPr>
          <w:sz w:val="20"/>
          <w:szCs w:val="20"/>
          <w:color w:val="auto"/>
        </w:rPr>
      </w:pPr>
    </w:p>
    <w:p>
      <w:pPr>
        <w:jc w:val="both"/>
        <w:ind w:firstLine="562"/>
        <w:spacing w:after="0" w:line="247" w:lineRule="auto"/>
        <w:rPr>
          <w:sz w:val="20"/>
          <w:szCs w:val="20"/>
          <w:color w:val="auto"/>
        </w:rPr>
      </w:pPr>
      <w:r>
        <w:rPr>
          <w:rFonts w:ascii="Times New Roman" w:cs="Times New Roman" w:eastAsia="Times New Roman" w:hAnsi="Times New Roman"/>
          <w:sz w:val="20"/>
          <w:szCs w:val="20"/>
          <w:b w:val="1"/>
          <w:bCs w:val="1"/>
          <w:color w:val="auto"/>
        </w:rPr>
        <w:t>22.4 SDN LIST</w:t>
      </w:r>
      <w:r>
        <w:rPr>
          <w:rFonts w:ascii="Times New Roman" w:cs="Times New Roman" w:eastAsia="Times New Roman" w:hAnsi="Times New Roman"/>
          <w:sz w:val="20"/>
          <w:szCs w:val="20"/>
          <w:color w:val="auto"/>
        </w:rPr>
        <w:t>. Tenant hereby represents and warrants that neither Tenant nor any officer, director, employee, partner, member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other principal of Tenant (collectively, “</w:t>
      </w:r>
      <w:r>
        <w:rPr>
          <w:rFonts w:ascii="Times New Roman" w:cs="Times New Roman" w:eastAsia="Times New Roman" w:hAnsi="Times New Roman"/>
          <w:sz w:val="20"/>
          <w:szCs w:val="20"/>
          <w:b w:val="1"/>
          <w:bCs w:val="1"/>
          <w:color w:val="auto"/>
        </w:rPr>
        <w:t>Tenant Parties</w:t>
      </w:r>
      <w:r>
        <w:rPr>
          <w:rFonts w:ascii="Times New Roman" w:cs="Times New Roman" w:eastAsia="Times New Roman" w:hAnsi="Times New Roman"/>
          <w:sz w:val="20"/>
          <w:szCs w:val="20"/>
          <w:color w:val="auto"/>
        </w:rPr>
        <w:t>”) is listed as a Specially Designated National and Blocked Person (“</w:t>
      </w:r>
      <w:r>
        <w:rPr>
          <w:rFonts w:ascii="Times New Roman" w:cs="Times New Roman" w:eastAsia="Times New Roman" w:hAnsi="Times New Roman"/>
          <w:sz w:val="20"/>
          <w:szCs w:val="20"/>
          <w:b w:val="1"/>
          <w:bCs w:val="1"/>
          <w:color w:val="auto"/>
        </w:rPr>
        <w:t>SDN</w:t>
      </w:r>
      <w:r>
        <w:rPr>
          <w:rFonts w:ascii="Times New Roman" w:cs="Times New Roman" w:eastAsia="Times New Roman" w:hAnsi="Times New Roman"/>
          <w:sz w:val="20"/>
          <w:szCs w:val="20"/>
          <w:color w:val="auto"/>
        </w:rPr>
        <w:t>”) on the list of such persons and entities issued by the U.S. Treasury Office of Foreign Assets Control (OFAC). In the event Tenant or any Tenant Party is or becomes listed as an SDN, Tenant shall be deemed in breach of this Lease and Landlord shall have the right to terminate this Lease immediately upon written notice to Tenant.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400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LANDLORD</w:t>
            </w:r>
            <w:r>
              <w:rPr>
                <w:rFonts w:ascii="Times New Roman" w:cs="Times New Roman" w:eastAsia="Times New Roman" w:hAnsi="Times New Roman"/>
                <w:sz w:val="20"/>
                <w:szCs w:val="20"/>
                <w:color w:val="auto"/>
              </w:rPr>
              <w:t>:</w:t>
            </w:r>
          </w:p>
        </w:tc>
        <w:tc>
          <w:tcPr>
            <w:tcW w:w="1520" w:type="dxa"/>
            <w:vAlign w:val="bottom"/>
          </w:tcPr>
          <w:p>
            <w:pPr>
              <w:spacing w:after="0"/>
              <w:rPr>
                <w:sz w:val="22"/>
                <w:szCs w:val="22"/>
                <w:color w:val="auto"/>
              </w:rPr>
            </w:pPr>
          </w:p>
        </w:tc>
        <w:tc>
          <w:tcPr>
            <w:tcW w:w="1280" w:type="dxa"/>
            <w:vAlign w:val="bottom"/>
          </w:tcPr>
          <w:p>
            <w:pPr>
              <w:ind w:left="120"/>
              <w:spacing w:after="0"/>
              <w:rPr>
                <w:sz w:val="20"/>
                <w:szCs w:val="20"/>
                <w:color w:val="auto"/>
              </w:rPr>
            </w:pPr>
            <w:r>
              <w:rPr>
                <w:rFonts w:ascii="Times New Roman" w:cs="Times New Roman" w:eastAsia="Times New Roman" w:hAnsi="Times New Roman"/>
                <w:sz w:val="20"/>
                <w:szCs w:val="20"/>
                <w:b w:val="1"/>
                <w:bCs w:val="1"/>
                <w:color w:val="auto"/>
              </w:rPr>
              <w:t>TENANT</w:t>
            </w:r>
            <w:r>
              <w:rPr>
                <w:rFonts w:ascii="Times New Roman" w:cs="Times New Roman" w:eastAsia="Times New Roman" w:hAnsi="Times New Roman"/>
                <w:sz w:val="20"/>
                <w:szCs w:val="20"/>
                <w:color w:val="auto"/>
              </w:rPr>
              <w:t>:</w:t>
            </w:r>
          </w:p>
        </w:tc>
        <w:tc>
          <w:tcPr>
            <w:tcW w:w="4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17"/>
        </w:trPr>
        <w:tc>
          <w:tcPr>
            <w:tcW w:w="40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DISCOVERY  BUSINESS  CENTER  LLC,  a</w:t>
            </w:r>
          </w:p>
        </w:tc>
        <w:tc>
          <w:tcPr>
            <w:tcW w:w="7240" w:type="dxa"/>
            <w:vAlign w:val="bottom"/>
            <w:gridSpan w:val="3"/>
          </w:tcPr>
          <w:p>
            <w:pPr>
              <w:ind w:left="60"/>
              <w:spacing w:after="0"/>
              <w:rPr>
                <w:sz w:val="20"/>
                <w:szCs w:val="20"/>
                <w:color w:val="auto"/>
              </w:rPr>
            </w:pPr>
            <w:r>
              <w:rPr>
                <w:rFonts w:ascii="Times New Roman" w:cs="Times New Roman" w:eastAsia="Times New Roman" w:hAnsi="Times New Roman"/>
                <w:sz w:val="20"/>
                <w:szCs w:val="20"/>
                <w:color w:val="auto"/>
              </w:rPr>
              <w:t>Delaware  limited TARSUS PHARMACEUTICALS, INC.,a Delaware corporation</w:t>
            </w:r>
          </w:p>
        </w:tc>
        <w:tc>
          <w:tcPr>
            <w:tcW w:w="0" w:type="dxa"/>
            <w:vAlign w:val="bottom"/>
          </w:tcPr>
          <w:p>
            <w:pPr>
              <w:spacing w:after="0"/>
              <w:rPr>
                <w:sz w:val="1"/>
                <w:szCs w:val="1"/>
                <w:color w:val="auto"/>
              </w:rPr>
            </w:pPr>
          </w:p>
        </w:tc>
      </w:tr>
      <w:tr>
        <w:trPr>
          <w:trHeight w:val="258"/>
        </w:trPr>
        <w:tc>
          <w:tcPr>
            <w:tcW w:w="40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liability company</w:t>
            </w:r>
          </w:p>
        </w:tc>
        <w:tc>
          <w:tcPr>
            <w:tcW w:w="15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4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17"/>
        </w:trPr>
        <w:tc>
          <w:tcPr>
            <w:tcW w:w="40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By: /s/ Steven M. Case</w:t>
            </w:r>
          </w:p>
        </w:tc>
        <w:tc>
          <w:tcPr>
            <w:tcW w:w="1520" w:type="dxa"/>
            <w:vAlign w:val="bottom"/>
          </w:tcPr>
          <w:p>
            <w:pPr>
              <w:spacing w:after="0"/>
              <w:rPr>
                <w:sz w:val="24"/>
                <w:szCs w:val="24"/>
                <w:color w:val="auto"/>
              </w:rPr>
            </w:pPr>
          </w:p>
        </w:tc>
        <w:tc>
          <w:tcPr>
            <w:tcW w:w="12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By:</w:t>
            </w:r>
          </w:p>
        </w:tc>
        <w:tc>
          <w:tcPr>
            <w:tcW w:w="44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/s/ Bobak Azamian</w:t>
            </w:r>
          </w:p>
        </w:tc>
        <w:tc>
          <w:tcPr>
            <w:tcW w:w="0" w:type="dxa"/>
            <w:vAlign w:val="bottom"/>
          </w:tcPr>
          <w:p>
            <w:pPr>
              <w:spacing w:after="0"/>
              <w:rPr>
                <w:sz w:val="1"/>
                <w:szCs w:val="1"/>
                <w:color w:val="auto"/>
              </w:rPr>
            </w:pPr>
          </w:p>
        </w:tc>
      </w:tr>
      <w:tr>
        <w:trPr>
          <w:trHeight w:val="23"/>
        </w:trPr>
        <w:tc>
          <w:tcPr>
            <w:tcW w:w="300" w:type="dxa"/>
            <w:vAlign w:val="bottom"/>
          </w:tcPr>
          <w:p>
            <w:pPr>
              <w:spacing w:after="0" w:line="20" w:lineRule="exact"/>
              <w:rPr>
                <w:sz w:val="1"/>
                <w:szCs w:val="1"/>
                <w:color w:val="auto"/>
              </w:rPr>
            </w:pPr>
          </w:p>
        </w:tc>
        <w:tc>
          <w:tcPr>
            <w:tcW w:w="37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80" w:type="dxa"/>
            <w:vAlign w:val="bottom"/>
            <w:vMerge w:val="restart"/>
          </w:tcPr>
          <w:p>
            <w:pPr>
              <w:ind w:left="120"/>
              <w:spacing w:after="0"/>
              <w:rPr>
                <w:sz w:val="20"/>
                <w:szCs w:val="20"/>
                <w:color w:val="auto"/>
              </w:rPr>
            </w:pPr>
            <w:r>
              <w:rPr>
                <w:rFonts w:ascii="Times New Roman" w:cs="Times New Roman" w:eastAsia="Times New Roman" w:hAnsi="Times New Roman"/>
                <w:sz w:val="20"/>
                <w:szCs w:val="20"/>
                <w:color w:val="auto"/>
                <w:w w:val="98"/>
              </w:rPr>
              <w:t>Printed Name:</w:t>
            </w:r>
          </w:p>
        </w:tc>
        <w:tc>
          <w:tcPr>
            <w:tcW w:w="4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300" w:type="dxa"/>
            <w:vAlign w:val="bottom"/>
          </w:tcPr>
          <w:p>
            <w:pPr>
              <w:spacing w:after="0"/>
              <w:rPr>
                <w:sz w:val="17"/>
                <w:szCs w:val="17"/>
                <w:color w:val="auto"/>
              </w:rPr>
            </w:pPr>
          </w:p>
        </w:tc>
        <w:tc>
          <w:tcPr>
            <w:tcW w:w="3700" w:type="dxa"/>
            <w:vAlign w:val="bottom"/>
          </w:tcPr>
          <w:p>
            <w:pPr>
              <w:ind w:left="100"/>
              <w:spacing w:after="0" w:line="200" w:lineRule="exact"/>
              <w:rPr>
                <w:sz w:val="20"/>
                <w:szCs w:val="20"/>
                <w:color w:val="auto"/>
              </w:rPr>
            </w:pPr>
            <w:r>
              <w:rPr>
                <w:rFonts w:ascii="Times New Roman" w:cs="Times New Roman" w:eastAsia="Times New Roman" w:hAnsi="Times New Roman"/>
                <w:sz w:val="20"/>
                <w:szCs w:val="20"/>
                <w:color w:val="auto"/>
              </w:rPr>
              <w:t>Steven M. Case</w:t>
            </w:r>
          </w:p>
        </w:tc>
        <w:tc>
          <w:tcPr>
            <w:tcW w:w="1520" w:type="dxa"/>
            <w:vAlign w:val="bottom"/>
          </w:tcPr>
          <w:p>
            <w:pPr>
              <w:spacing w:after="0"/>
              <w:rPr>
                <w:sz w:val="17"/>
                <w:szCs w:val="17"/>
                <w:color w:val="auto"/>
              </w:rPr>
            </w:pPr>
          </w:p>
        </w:tc>
        <w:tc>
          <w:tcPr>
            <w:tcW w:w="1280" w:type="dxa"/>
            <w:vAlign w:val="bottom"/>
            <w:vMerge w:val="continue"/>
          </w:tcPr>
          <w:p>
            <w:pPr>
              <w:spacing w:after="0"/>
              <w:rPr>
                <w:sz w:val="17"/>
                <w:szCs w:val="17"/>
                <w:color w:val="auto"/>
              </w:rPr>
            </w:pPr>
          </w:p>
        </w:tc>
        <w:tc>
          <w:tcPr>
            <w:tcW w:w="4440" w:type="dxa"/>
            <w:vAlign w:val="bottom"/>
          </w:tcPr>
          <w:p>
            <w:pPr>
              <w:ind w:left="60"/>
              <w:spacing w:after="0" w:line="200" w:lineRule="exact"/>
              <w:rPr>
                <w:sz w:val="20"/>
                <w:szCs w:val="20"/>
                <w:color w:val="auto"/>
              </w:rPr>
            </w:pPr>
            <w:r>
              <w:rPr>
                <w:rFonts w:ascii="Times New Roman" w:cs="Times New Roman" w:eastAsia="Times New Roman" w:hAnsi="Times New Roman"/>
                <w:sz w:val="20"/>
                <w:szCs w:val="20"/>
                <w:color w:val="auto"/>
              </w:rPr>
              <w:t>Bobak Azamian</w:t>
            </w:r>
          </w:p>
        </w:tc>
        <w:tc>
          <w:tcPr>
            <w:tcW w:w="0" w:type="dxa"/>
            <w:vAlign w:val="bottom"/>
          </w:tcPr>
          <w:p>
            <w:pPr>
              <w:spacing w:after="0"/>
              <w:rPr>
                <w:sz w:val="1"/>
                <w:szCs w:val="1"/>
                <w:color w:val="auto"/>
              </w:rPr>
            </w:pPr>
          </w:p>
        </w:tc>
      </w:tr>
      <w:tr>
        <w:trPr>
          <w:trHeight w:val="23"/>
        </w:trPr>
        <w:tc>
          <w:tcPr>
            <w:tcW w:w="300" w:type="dxa"/>
            <w:vAlign w:val="bottom"/>
          </w:tcPr>
          <w:p>
            <w:pPr>
              <w:spacing w:after="0" w:line="20" w:lineRule="exact"/>
              <w:rPr>
                <w:sz w:val="1"/>
                <w:szCs w:val="1"/>
                <w:color w:val="auto"/>
              </w:rPr>
            </w:pPr>
          </w:p>
        </w:tc>
        <w:tc>
          <w:tcPr>
            <w:tcW w:w="3700" w:type="dxa"/>
            <w:vAlign w:val="bottom"/>
            <w:vMerge w:val="restart"/>
          </w:tcPr>
          <w:p>
            <w:pPr>
              <w:ind w:left="100"/>
              <w:spacing w:after="0"/>
              <w:rPr>
                <w:sz w:val="20"/>
                <w:szCs w:val="20"/>
                <w:color w:val="auto"/>
              </w:rPr>
            </w:pPr>
            <w:r>
              <w:rPr>
                <w:rFonts w:ascii="Times New Roman" w:cs="Times New Roman" w:eastAsia="Times New Roman" w:hAnsi="Times New Roman"/>
                <w:sz w:val="20"/>
                <w:szCs w:val="20"/>
                <w:color w:val="auto"/>
              </w:rPr>
              <w:t>Executive Vice President</w:t>
            </w:r>
          </w:p>
        </w:tc>
        <w:tc>
          <w:tcPr>
            <w:tcW w:w="1520" w:type="dxa"/>
            <w:vAlign w:val="bottom"/>
          </w:tcPr>
          <w:p>
            <w:pPr>
              <w:spacing w:after="0" w:line="20" w:lineRule="exact"/>
              <w:rPr>
                <w:sz w:val="1"/>
                <w:szCs w:val="1"/>
                <w:color w:val="auto"/>
              </w:rPr>
            </w:pPr>
          </w:p>
        </w:tc>
        <w:tc>
          <w:tcPr>
            <w:tcW w:w="1280" w:type="dxa"/>
            <w:vAlign w:val="bottom"/>
            <w:vMerge w:val="restart"/>
          </w:tcPr>
          <w:p>
            <w:pPr>
              <w:ind w:left="120"/>
              <w:spacing w:after="0"/>
              <w:rPr>
                <w:sz w:val="20"/>
                <w:szCs w:val="20"/>
                <w:color w:val="auto"/>
              </w:rPr>
            </w:pPr>
            <w:r>
              <w:rPr>
                <w:rFonts w:ascii="Times New Roman" w:cs="Times New Roman" w:eastAsia="Times New Roman" w:hAnsi="Times New Roman"/>
                <w:sz w:val="20"/>
                <w:szCs w:val="20"/>
                <w:color w:val="auto"/>
              </w:rPr>
              <w:t>Title:</w:t>
            </w:r>
          </w:p>
        </w:tc>
        <w:tc>
          <w:tcPr>
            <w:tcW w:w="4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300" w:type="dxa"/>
            <w:vAlign w:val="bottom"/>
          </w:tcPr>
          <w:p>
            <w:pPr>
              <w:spacing w:after="0"/>
              <w:rPr>
                <w:sz w:val="17"/>
                <w:szCs w:val="17"/>
                <w:color w:val="auto"/>
              </w:rPr>
            </w:pPr>
          </w:p>
        </w:tc>
        <w:tc>
          <w:tcPr>
            <w:tcW w:w="3700" w:type="dxa"/>
            <w:vAlign w:val="bottom"/>
            <w:vMerge w:val="continue"/>
          </w:tcPr>
          <w:p>
            <w:pPr>
              <w:spacing w:after="0"/>
              <w:rPr>
                <w:sz w:val="17"/>
                <w:szCs w:val="17"/>
                <w:color w:val="auto"/>
              </w:rPr>
            </w:pPr>
          </w:p>
        </w:tc>
        <w:tc>
          <w:tcPr>
            <w:tcW w:w="1520" w:type="dxa"/>
            <w:vAlign w:val="bottom"/>
          </w:tcPr>
          <w:p>
            <w:pPr>
              <w:spacing w:after="0"/>
              <w:rPr>
                <w:sz w:val="17"/>
                <w:szCs w:val="17"/>
                <w:color w:val="auto"/>
              </w:rPr>
            </w:pPr>
          </w:p>
        </w:tc>
        <w:tc>
          <w:tcPr>
            <w:tcW w:w="1280" w:type="dxa"/>
            <w:vAlign w:val="bottom"/>
            <w:vMerge w:val="continue"/>
          </w:tcPr>
          <w:p>
            <w:pPr>
              <w:spacing w:after="0"/>
              <w:rPr>
                <w:sz w:val="17"/>
                <w:szCs w:val="17"/>
                <w:color w:val="auto"/>
              </w:rPr>
            </w:pPr>
          </w:p>
        </w:tc>
        <w:tc>
          <w:tcPr>
            <w:tcW w:w="4440" w:type="dxa"/>
            <w:vAlign w:val="bottom"/>
          </w:tcPr>
          <w:p>
            <w:pPr>
              <w:ind w:left="60"/>
              <w:spacing w:after="0" w:line="200" w:lineRule="exact"/>
              <w:rPr>
                <w:sz w:val="20"/>
                <w:szCs w:val="20"/>
                <w:color w:val="auto"/>
              </w:rPr>
            </w:pPr>
            <w:r>
              <w:rPr>
                <w:rFonts w:ascii="Times New Roman" w:cs="Times New Roman" w:eastAsia="Times New Roman" w:hAnsi="Times New Roman"/>
                <w:sz w:val="20"/>
                <w:szCs w:val="20"/>
                <w:color w:val="auto"/>
              </w:rPr>
              <w:t>CEO</w:t>
            </w:r>
          </w:p>
        </w:tc>
        <w:tc>
          <w:tcPr>
            <w:tcW w:w="0" w:type="dxa"/>
            <w:vAlign w:val="bottom"/>
          </w:tcPr>
          <w:p>
            <w:pPr>
              <w:spacing w:after="0"/>
              <w:rPr>
                <w:sz w:val="1"/>
                <w:szCs w:val="1"/>
                <w:color w:val="auto"/>
              </w:rPr>
            </w:pPr>
          </w:p>
        </w:tc>
      </w:tr>
      <w:tr>
        <w:trPr>
          <w:trHeight w:val="23"/>
        </w:trPr>
        <w:tc>
          <w:tcPr>
            <w:tcW w:w="300" w:type="dxa"/>
            <w:vAlign w:val="bottom"/>
          </w:tcPr>
          <w:p>
            <w:pPr>
              <w:spacing w:after="0" w:line="20" w:lineRule="exact"/>
              <w:rPr>
                <w:sz w:val="1"/>
                <w:szCs w:val="1"/>
                <w:color w:val="auto"/>
              </w:rPr>
            </w:pPr>
          </w:p>
        </w:tc>
        <w:tc>
          <w:tcPr>
            <w:tcW w:w="3700" w:type="dxa"/>
            <w:vAlign w:val="bottom"/>
            <w:vMerge w:val="restart"/>
          </w:tcPr>
          <w:p>
            <w:pPr>
              <w:ind w:left="100"/>
              <w:spacing w:after="0"/>
              <w:rPr>
                <w:sz w:val="20"/>
                <w:szCs w:val="20"/>
                <w:color w:val="auto"/>
              </w:rPr>
            </w:pPr>
            <w:r>
              <w:rPr>
                <w:rFonts w:ascii="Times New Roman" w:cs="Times New Roman" w:eastAsia="Times New Roman" w:hAnsi="Times New Roman"/>
                <w:sz w:val="20"/>
                <w:szCs w:val="20"/>
                <w:color w:val="auto"/>
              </w:rPr>
              <w:t>Office Properties</w:t>
            </w:r>
          </w:p>
        </w:tc>
        <w:tc>
          <w:tcPr>
            <w:tcW w:w="15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3700" w:type="dxa"/>
            <w:vAlign w:val="bottom"/>
            <w:vMerge w:val="continue"/>
          </w:tcPr>
          <w:p>
            <w:pPr>
              <w:spacing w:after="0"/>
              <w:rPr>
                <w:sz w:val="18"/>
                <w:szCs w:val="18"/>
                <w:color w:val="auto"/>
              </w:rPr>
            </w:pPr>
          </w:p>
        </w:tc>
        <w:tc>
          <w:tcPr>
            <w:tcW w:w="15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40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By: /s/ Holly McManus</w:t>
            </w:r>
          </w:p>
        </w:tc>
        <w:tc>
          <w:tcPr>
            <w:tcW w:w="1520" w:type="dxa"/>
            <w:vAlign w:val="bottom"/>
          </w:tcPr>
          <w:p>
            <w:pPr>
              <w:spacing w:after="0"/>
              <w:rPr>
                <w:sz w:val="24"/>
                <w:szCs w:val="24"/>
                <w:color w:val="auto"/>
              </w:rPr>
            </w:pPr>
          </w:p>
        </w:tc>
        <w:tc>
          <w:tcPr>
            <w:tcW w:w="12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By:</w:t>
            </w:r>
          </w:p>
        </w:tc>
        <w:tc>
          <w:tcPr>
            <w:tcW w:w="44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/s/ Leo M. Greenstein</w:t>
            </w:r>
          </w:p>
        </w:tc>
        <w:tc>
          <w:tcPr>
            <w:tcW w:w="0" w:type="dxa"/>
            <w:vAlign w:val="bottom"/>
          </w:tcPr>
          <w:p>
            <w:pPr>
              <w:spacing w:after="0"/>
              <w:rPr>
                <w:sz w:val="1"/>
                <w:szCs w:val="1"/>
                <w:color w:val="auto"/>
              </w:rPr>
            </w:pPr>
          </w:p>
        </w:tc>
      </w:tr>
      <w:tr>
        <w:trPr>
          <w:trHeight w:val="23"/>
        </w:trPr>
        <w:tc>
          <w:tcPr>
            <w:tcW w:w="300" w:type="dxa"/>
            <w:vAlign w:val="bottom"/>
            <w:vMerge w:val="restart"/>
          </w:tcPr>
          <w:p>
            <w:pPr>
              <w:spacing w:after="0" w:line="20" w:lineRule="exact"/>
              <w:rPr>
                <w:sz w:val="1"/>
                <w:szCs w:val="1"/>
                <w:color w:val="auto"/>
              </w:rPr>
            </w:pPr>
          </w:p>
        </w:tc>
        <w:tc>
          <w:tcPr>
            <w:tcW w:w="37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80" w:type="dxa"/>
            <w:vAlign w:val="bottom"/>
            <w:vMerge w:val="restart"/>
          </w:tcPr>
          <w:p>
            <w:pPr>
              <w:ind w:left="120"/>
              <w:spacing w:after="0"/>
              <w:rPr>
                <w:sz w:val="20"/>
                <w:szCs w:val="20"/>
                <w:color w:val="auto"/>
              </w:rPr>
            </w:pPr>
            <w:r>
              <w:rPr>
                <w:rFonts w:ascii="Times New Roman" w:cs="Times New Roman" w:eastAsia="Times New Roman" w:hAnsi="Times New Roman"/>
                <w:sz w:val="20"/>
                <w:szCs w:val="20"/>
                <w:color w:val="auto"/>
                <w:w w:val="98"/>
              </w:rPr>
              <w:t>Printed Name:</w:t>
            </w:r>
          </w:p>
        </w:tc>
        <w:tc>
          <w:tcPr>
            <w:tcW w:w="4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300" w:type="dxa"/>
            <w:vAlign w:val="bottom"/>
            <w:vMerge w:val="continue"/>
          </w:tcPr>
          <w:p>
            <w:pPr>
              <w:spacing w:after="0"/>
              <w:rPr>
                <w:sz w:val="17"/>
                <w:szCs w:val="17"/>
                <w:color w:val="auto"/>
              </w:rPr>
            </w:pPr>
          </w:p>
        </w:tc>
        <w:tc>
          <w:tcPr>
            <w:tcW w:w="3700" w:type="dxa"/>
            <w:vAlign w:val="bottom"/>
          </w:tcPr>
          <w:p>
            <w:pPr>
              <w:ind w:left="100"/>
              <w:spacing w:after="0" w:line="200" w:lineRule="exact"/>
              <w:rPr>
                <w:sz w:val="20"/>
                <w:szCs w:val="20"/>
                <w:color w:val="auto"/>
              </w:rPr>
            </w:pPr>
            <w:r>
              <w:rPr>
                <w:rFonts w:ascii="Times New Roman" w:cs="Times New Roman" w:eastAsia="Times New Roman" w:hAnsi="Times New Roman"/>
                <w:sz w:val="20"/>
                <w:szCs w:val="20"/>
                <w:color w:val="auto"/>
              </w:rPr>
              <w:t>Holly McManus</w:t>
            </w:r>
          </w:p>
        </w:tc>
        <w:tc>
          <w:tcPr>
            <w:tcW w:w="1520" w:type="dxa"/>
            <w:vAlign w:val="bottom"/>
          </w:tcPr>
          <w:p>
            <w:pPr>
              <w:spacing w:after="0"/>
              <w:rPr>
                <w:sz w:val="17"/>
                <w:szCs w:val="17"/>
                <w:color w:val="auto"/>
              </w:rPr>
            </w:pPr>
          </w:p>
        </w:tc>
        <w:tc>
          <w:tcPr>
            <w:tcW w:w="1280" w:type="dxa"/>
            <w:vAlign w:val="bottom"/>
            <w:vMerge w:val="continue"/>
          </w:tcPr>
          <w:p>
            <w:pPr>
              <w:spacing w:after="0"/>
              <w:rPr>
                <w:sz w:val="17"/>
                <w:szCs w:val="17"/>
                <w:color w:val="auto"/>
              </w:rPr>
            </w:pPr>
          </w:p>
        </w:tc>
        <w:tc>
          <w:tcPr>
            <w:tcW w:w="4440" w:type="dxa"/>
            <w:vAlign w:val="bottom"/>
          </w:tcPr>
          <w:p>
            <w:pPr>
              <w:ind w:left="60"/>
              <w:spacing w:after="0" w:line="200" w:lineRule="exact"/>
              <w:rPr>
                <w:sz w:val="20"/>
                <w:szCs w:val="20"/>
                <w:color w:val="auto"/>
              </w:rPr>
            </w:pPr>
            <w:r>
              <w:rPr>
                <w:rFonts w:ascii="Times New Roman" w:cs="Times New Roman" w:eastAsia="Times New Roman" w:hAnsi="Times New Roman"/>
                <w:sz w:val="20"/>
                <w:szCs w:val="20"/>
                <w:color w:val="auto"/>
              </w:rPr>
              <w:t>Leo M. Greenstein</w:t>
            </w:r>
          </w:p>
        </w:tc>
        <w:tc>
          <w:tcPr>
            <w:tcW w:w="0" w:type="dxa"/>
            <w:vAlign w:val="bottom"/>
          </w:tcPr>
          <w:p>
            <w:pPr>
              <w:spacing w:after="0"/>
              <w:rPr>
                <w:sz w:val="1"/>
                <w:szCs w:val="1"/>
                <w:color w:val="auto"/>
              </w:rPr>
            </w:pPr>
          </w:p>
        </w:tc>
      </w:tr>
      <w:tr>
        <w:trPr>
          <w:trHeight w:val="23"/>
        </w:trPr>
        <w:tc>
          <w:tcPr>
            <w:tcW w:w="300" w:type="dxa"/>
            <w:vAlign w:val="bottom"/>
            <w:vMerge w:val="restart"/>
          </w:tcPr>
          <w:p>
            <w:pPr>
              <w:spacing w:after="0" w:line="20" w:lineRule="exact"/>
              <w:rPr>
                <w:sz w:val="1"/>
                <w:szCs w:val="1"/>
                <w:color w:val="auto"/>
              </w:rPr>
            </w:pPr>
          </w:p>
        </w:tc>
        <w:tc>
          <w:tcPr>
            <w:tcW w:w="3700" w:type="dxa"/>
            <w:vAlign w:val="bottom"/>
            <w:vMerge w:val="restart"/>
          </w:tcPr>
          <w:p>
            <w:pPr>
              <w:ind w:left="100"/>
              <w:spacing w:after="0"/>
              <w:rPr>
                <w:sz w:val="20"/>
                <w:szCs w:val="20"/>
                <w:color w:val="auto"/>
              </w:rPr>
            </w:pPr>
            <w:r>
              <w:rPr>
                <w:rFonts w:ascii="Times New Roman" w:cs="Times New Roman" w:eastAsia="Times New Roman" w:hAnsi="Times New Roman"/>
                <w:sz w:val="20"/>
                <w:szCs w:val="20"/>
                <w:color w:val="auto"/>
              </w:rPr>
              <w:t>Vice President, Operations</w:t>
            </w:r>
          </w:p>
        </w:tc>
        <w:tc>
          <w:tcPr>
            <w:tcW w:w="1520" w:type="dxa"/>
            <w:vAlign w:val="bottom"/>
            <w:vMerge w:val="restart"/>
          </w:tcPr>
          <w:p>
            <w:pPr>
              <w:spacing w:after="0" w:line="20" w:lineRule="exact"/>
              <w:rPr>
                <w:sz w:val="1"/>
                <w:szCs w:val="1"/>
                <w:color w:val="auto"/>
              </w:rPr>
            </w:pPr>
          </w:p>
        </w:tc>
        <w:tc>
          <w:tcPr>
            <w:tcW w:w="1280" w:type="dxa"/>
            <w:vAlign w:val="bottom"/>
            <w:vMerge w:val="restart"/>
          </w:tcPr>
          <w:p>
            <w:pPr>
              <w:ind w:left="120"/>
              <w:spacing w:after="0"/>
              <w:rPr>
                <w:sz w:val="20"/>
                <w:szCs w:val="20"/>
                <w:color w:val="auto"/>
              </w:rPr>
            </w:pPr>
            <w:r>
              <w:rPr>
                <w:rFonts w:ascii="Times New Roman" w:cs="Times New Roman" w:eastAsia="Times New Roman" w:hAnsi="Times New Roman"/>
                <w:sz w:val="20"/>
                <w:szCs w:val="20"/>
                <w:color w:val="auto"/>
              </w:rPr>
              <w:t>Title:</w:t>
            </w:r>
          </w:p>
        </w:tc>
        <w:tc>
          <w:tcPr>
            <w:tcW w:w="4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300" w:type="dxa"/>
            <w:vAlign w:val="bottom"/>
            <w:vMerge w:val="continue"/>
          </w:tcPr>
          <w:p>
            <w:pPr>
              <w:spacing w:after="0"/>
              <w:rPr>
                <w:sz w:val="19"/>
                <w:szCs w:val="19"/>
                <w:color w:val="auto"/>
              </w:rPr>
            </w:pPr>
          </w:p>
        </w:tc>
        <w:tc>
          <w:tcPr>
            <w:tcW w:w="3700" w:type="dxa"/>
            <w:vAlign w:val="bottom"/>
            <w:vMerge w:val="continue"/>
          </w:tcPr>
          <w:p>
            <w:pPr>
              <w:spacing w:after="0"/>
              <w:rPr>
                <w:sz w:val="19"/>
                <w:szCs w:val="19"/>
                <w:color w:val="auto"/>
              </w:rPr>
            </w:pPr>
          </w:p>
        </w:tc>
        <w:tc>
          <w:tcPr>
            <w:tcW w:w="1520" w:type="dxa"/>
            <w:vAlign w:val="bottom"/>
            <w:vMerge w:val="continue"/>
          </w:tcPr>
          <w:p>
            <w:pPr>
              <w:spacing w:after="0"/>
              <w:rPr>
                <w:sz w:val="19"/>
                <w:szCs w:val="19"/>
                <w:color w:val="auto"/>
              </w:rPr>
            </w:pPr>
          </w:p>
        </w:tc>
        <w:tc>
          <w:tcPr>
            <w:tcW w:w="1280" w:type="dxa"/>
            <w:vAlign w:val="bottom"/>
            <w:vMerge w:val="continue"/>
          </w:tcPr>
          <w:p>
            <w:pPr>
              <w:spacing w:after="0"/>
              <w:rPr>
                <w:sz w:val="19"/>
                <w:szCs w:val="19"/>
                <w:color w:val="auto"/>
              </w:rPr>
            </w:pPr>
          </w:p>
        </w:tc>
        <w:tc>
          <w:tcPr>
            <w:tcW w:w="4440" w:type="dxa"/>
            <w:vAlign w:val="bottom"/>
            <w:tcBorders>
              <w:bottom w:val="single" w:sz="8" w:color="auto"/>
            </w:tcBorders>
          </w:tcPr>
          <w:p>
            <w:pPr>
              <w:ind w:left="60"/>
              <w:spacing w:after="0" w:line="223" w:lineRule="exact"/>
              <w:rPr>
                <w:sz w:val="20"/>
                <w:szCs w:val="20"/>
                <w:color w:val="auto"/>
              </w:rPr>
            </w:pPr>
            <w:r>
              <w:rPr>
                <w:rFonts w:ascii="Times New Roman" w:cs="Times New Roman" w:eastAsia="Times New Roman" w:hAnsi="Times New Roman"/>
                <w:sz w:val="20"/>
                <w:szCs w:val="20"/>
                <w:color w:val="auto"/>
              </w:rPr>
              <w:t>CFO</w:t>
            </w:r>
          </w:p>
        </w:tc>
        <w:tc>
          <w:tcPr>
            <w:tcW w:w="0" w:type="dxa"/>
            <w:vAlign w:val="bottom"/>
          </w:tcPr>
          <w:p>
            <w:pPr>
              <w:spacing w:after="0"/>
              <w:rPr>
                <w:sz w:val="1"/>
                <w:szCs w:val="1"/>
                <w:color w:val="auto"/>
              </w:rPr>
            </w:pPr>
          </w:p>
        </w:tc>
      </w:tr>
      <w:tr>
        <w:trPr>
          <w:trHeight w:val="238"/>
        </w:trPr>
        <w:tc>
          <w:tcPr>
            <w:tcW w:w="300" w:type="dxa"/>
            <w:vAlign w:val="bottom"/>
          </w:tcPr>
          <w:p>
            <w:pPr>
              <w:spacing w:after="0"/>
              <w:rPr>
                <w:sz w:val="20"/>
                <w:szCs w:val="20"/>
                <w:color w:val="auto"/>
              </w:rPr>
            </w:pPr>
          </w:p>
        </w:tc>
        <w:tc>
          <w:tcPr>
            <w:tcW w:w="370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Office Properties</w:t>
            </w:r>
          </w:p>
        </w:tc>
        <w:tc>
          <w:tcPr>
            <w:tcW w:w="2800" w:type="dxa"/>
            <w:vAlign w:val="bottom"/>
            <w:gridSpan w:val="2"/>
            <w:vMerge w:val="restart"/>
          </w:tcPr>
          <w:p>
            <w:pPr>
              <w:jc w:val="right"/>
              <w:ind w:right="981"/>
              <w:spacing w:after="0"/>
              <w:rPr>
                <w:sz w:val="20"/>
                <w:szCs w:val="20"/>
                <w:color w:val="auto"/>
              </w:rPr>
            </w:pPr>
            <w:r>
              <w:rPr>
                <w:rFonts w:ascii="Times New Roman" w:cs="Times New Roman" w:eastAsia="Times New Roman" w:hAnsi="Times New Roman"/>
                <w:sz w:val="18"/>
                <w:szCs w:val="18"/>
                <w:color w:val="auto"/>
              </w:rPr>
              <w:t>20</w:t>
            </w:r>
          </w:p>
        </w:tc>
        <w:tc>
          <w:tcPr>
            <w:tcW w:w="4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9"/>
        </w:trPr>
        <w:tc>
          <w:tcPr>
            <w:tcW w:w="30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2800" w:type="dxa"/>
            <w:vAlign w:val="bottom"/>
            <w:gridSpan w:val="2"/>
            <w:vMerge w:val="continue"/>
          </w:tcPr>
          <w:p>
            <w:pPr>
              <w:spacing w:after="0"/>
              <w:rPr>
                <w:sz w:val="24"/>
                <w:szCs w:val="24"/>
                <w:color w:val="auto"/>
              </w:rPr>
            </w:pPr>
          </w:p>
        </w:tc>
        <w:tc>
          <w:tcPr>
            <w:tcW w:w="44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65" w:right="339" w:bottom="1440" w:gutter="0" w:footer="0" w:header="0"/>
        </w:sectPr>
      </w:pPr>
    </w:p>
    <w:bookmarkStart w:id="371" w:name="page372"/>
    <w:bookmarkEnd w:id="371"/>
    <w:p>
      <w:pPr>
        <w:jc w:val="right"/>
        <w:spacing w:after="0"/>
        <w:rPr>
          <w:sz w:val="20"/>
          <w:szCs w:val="20"/>
          <w:color w:val="auto"/>
        </w:rPr>
      </w:pPr>
      <w:r>
        <w:rPr>
          <w:rFonts w:ascii="Times New Roman" w:cs="Times New Roman" w:eastAsia="Times New Roman" w:hAnsi="Times New Roman"/>
          <w:sz w:val="20"/>
          <w:szCs w:val="20"/>
          <w:b w:val="1"/>
          <w:bCs w:val="1"/>
          <w:color w:val="auto"/>
        </w:rPr>
        <w:t>EXHIBIT 10.14</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SUBLEASE AGREEMENT</w:t>
      </w:r>
    </w:p>
    <w:p>
      <w:pPr>
        <w:spacing w:after="0" w:line="220" w:lineRule="exact"/>
        <w:rPr>
          <w:sz w:val="20"/>
          <w:szCs w:val="20"/>
          <w:color w:val="auto"/>
        </w:rPr>
      </w:pPr>
    </w:p>
    <w:p>
      <w:pPr>
        <w:ind w:firstLine="562"/>
        <w:spacing w:after="0" w:line="286" w:lineRule="auto"/>
        <w:rPr>
          <w:sz w:val="20"/>
          <w:szCs w:val="20"/>
          <w:color w:val="auto"/>
        </w:rPr>
      </w:pPr>
      <w:r>
        <w:rPr>
          <w:rFonts w:ascii="Times New Roman" w:cs="Times New Roman" w:eastAsia="Times New Roman" w:hAnsi="Times New Roman"/>
          <w:sz w:val="18"/>
          <w:szCs w:val="18"/>
          <w:color w:val="auto"/>
        </w:rPr>
        <w:t xml:space="preserve">THIS SUBLEASE AGREEMENT (“Sublease”) is made and entered into this 29th day of May, 2020 by and between </w:t>
      </w:r>
      <w:r>
        <w:rPr>
          <w:rFonts w:ascii="Times New Roman" w:cs="Times New Roman" w:eastAsia="Times New Roman" w:hAnsi="Times New Roman"/>
          <w:sz w:val="18"/>
          <w:szCs w:val="18"/>
          <w:b w:val="1"/>
          <w:bCs w:val="1"/>
          <w:color w:val="auto"/>
        </w:rPr>
        <w:t>AVENT, INC.</w:t>
      </w:r>
      <w:r>
        <w:rPr>
          <w:rFonts w:ascii="Times New Roman" w:cs="Times New Roman" w:eastAsia="Times New Roman" w:hAnsi="Times New Roman"/>
          <w:sz w:val="18"/>
          <w:szCs w:val="18"/>
          <w:color w:val="auto"/>
        </w:rPr>
        <w:t xml:space="preserve">, a Delaware corporation (hereinafter “Sublessor”) and </w:t>
      </w:r>
      <w:r>
        <w:rPr>
          <w:rFonts w:ascii="Times New Roman" w:cs="Times New Roman" w:eastAsia="Times New Roman" w:hAnsi="Times New Roman"/>
          <w:sz w:val="18"/>
          <w:szCs w:val="18"/>
          <w:b w:val="1"/>
          <w:bCs w:val="1"/>
          <w:color w:val="auto"/>
        </w:rPr>
        <w:t>TARSUS PHARMACEUTICALS, INC.</w:t>
      </w:r>
      <w:r>
        <w:rPr>
          <w:rFonts w:ascii="Times New Roman" w:cs="Times New Roman" w:eastAsia="Times New Roman" w:hAnsi="Times New Roman"/>
          <w:sz w:val="18"/>
          <w:szCs w:val="18"/>
          <w:color w:val="auto"/>
        </w:rPr>
        <w:t>, a Delaware corporation (hereinafter “Sublessee”).</w:t>
      </w:r>
    </w:p>
    <w:p>
      <w:pPr>
        <w:spacing w:after="0" w:line="177" w:lineRule="exact"/>
        <w:rPr>
          <w:sz w:val="20"/>
          <w:szCs w:val="20"/>
          <w:color w:val="auto"/>
        </w:rPr>
      </w:pPr>
    </w:p>
    <w:p>
      <w:pPr>
        <w:jc w:val="both"/>
        <w:ind w:left="660" w:hanging="652"/>
        <w:spacing w:after="0" w:line="243" w:lineRule="auto"/>
        <w:tabs>
          <w:tab w:leader="none" w:pos="660" w:val="left"/>
        </w:tabs>
        <w:numPr>
          <w:ilvl w:val="0"/>
          <w:numId w:val="3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Master Lease</w:t>
      </w:r>
      <w:r>
        <w:rPr>
          <w:rFonts w:ascii="Times New Roman" w:cs="Times New Roman" w:eastAsia="Times New Roman" w:hAnsi="Times New Roman"/>
          <w:sz w:val="20"/>
          <w:szCs w:val="20"/>
          <w:color w:val="auto"/>
        </w:rPr>
        <w:t>. Sublessor is the tenant under that certain Lease dated August 16, 2013 as amended by First Amendment to Lease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dated May 3, 2018 (as amended, the “Master Lease”), wherein Discovery Business Center LLC, a Delaware limited liability company (hereinafter “Master Lessor”) currently leases to Sublessor approximately 5,285 rentable square feet within the Building (as defined below). A copy of the Master Lease and any amendments thereto are attached herein as </w:t>
      </w:r>
      <w:r>
        <w:rPr>
          <w:rFonts w:ascii="Times New Roman" w:cs="Times New Roman" w:eastAsia="Times New Roman" w:hAnsi="Times New Roman"/>
          <w:sz w:val="20"/>
          <w:szCs w:val="20"/>
          <w:b w:val="1"/>
          <w:bCs w:val="1"/>
          <w:u w:val="single" w:color="auto"/>
          <w:color w:val="auto"/>
        </w:rPr>
        <w:t>Exhibit “A”</w:t>
      </w:r>
      <w:r>
        <w:rPr>
          <w:rFonts w:ascii="Times New Roman" w:cs="Times New Roman" w:eastAsia="Times New Roman" w:hAnsi="Times New Roman"/>
          <w:sz w:val="20"/>
          <w:szCs w:val="20"/>
          <w:color w:val="auto"/>
        </w:rPr>
        <w:t xml:space="preserve"> and made a part hereof. Sublessor represents and warrants to Sublessee that the Master Lease has not been amended or modified except as expressly set forth herein, that Sublessor has no knowledge of it being in default of the Master Lease and will not do anything to be in material default or breach of any of the provisions of the Master Lease beyond applicable notice and cure periods, and that Sublessor has no knowledge of any claim by Master Lessor that Sublessor is in default or breach of any of the provisions of the Master Lease. Sublessor shall use commercially reasonable efforts to cause Master Lessor to perform its obligations under the Master Lease as required under the Master Lease.</w:t>
      </w:r>
    </w:p>
    <w:p>
      <w:pPr>
        <w:spacing w:after="0" w:line="209" w:lineRule="exact"/>
        <w:rPr>
          <w:sz w:val="20"/>
          <w:szCs w:val="20"/>
          <w:color w:val="auto"/>
        </w:rPr>
      </w:pPr>
    </w:p>
    <w:p>
      <w:pPr>
        <w:jc w:val="both"/>
        <w:ind w:left="660" w:hanging="652"/>
        <w:spacing w:after="0" w:line="242" w:lineRule="auto"/>
        <w:tabs>
          <w:tab w:leader="none" w:pos="660" w:val="left"/>
        </w:tabs>
        <w:numPr>
          <w:ilvl w:val="0"/>
          <w:numId w:val="3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Premises</w:t>
      </w:r>
      <w:r>
        <w:rPr>
          <w:rFonts w:ascii="Times New Roman" w:cs="Times New Roman" w:eastAsia="Times New Roman" w:hAnsi="Times New Roman"/>
          <w:sz w:val="20"/>
          <w:szCs w:val="20"/>
          <w:color w:val="auto"/>
        </w:rPr>
        <w:t>. Sublessor hereby subleases to Sublessee, on the terms and conditions set forth in this Sublease, approximately 5,285</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rentable square feet of space in the building located at 15440 Laguna Canyon Road, Irvine, CA 92618 (the “Building”) and identified as Suite 130 on the Floor Plan attached hereto as </w:t>
      </w:r>
      <w:r>
        <w:rPr>
          <w:rFonts w:ascii="Times New Roman" w:cs="Times New Roman" w:eastAsia="Times New Roman" w:hAnsi="Times New Roman"/>
          <w:sz w:val="20"/>
          <w:szCs w:val="20"/>
          <w:b w:val="1"/>
          <w:bCs w:val="1"/>
          <w:u w:val="single" w:color="auto"/>
          <w:color w:val="auto"/>
        </w:rPr>
        <w:t>Exhibit “B”</w:t>
      </w:r>
      <w:r>
        <w:rPr>
          <w:rFonts w:ascii="Times New Roman" w:cs="Times New Roman" w:eastAsia="Times New Roman" w:hAnsi="Times New Roman"/>
          <w:sz w:val="20"/>
          <w:szCs w:val="20"/>
          <w:color w:val="auto"/>
        </w:rPr>
        <w:t xml:space="preserve"> and made a part hereof (hereinafter “Premises”). Within thirty (30) days following delivery of the Premises to Sublessee, Sublessee, at its sole cost and expense, may cause the square footage of the Premises to be remeasured in compliance with BOMA 2010 measurement standards and verified by Stevenson Systems. In the event that Sublessor disputes such re-measurement, Sublessor may elect to re-measure the Premises, in which event a representative appointed jointly by Sublessor and Sublessee shall at a mutually agreed date and time, within twenty (20) days following Sublessee’s receipt of notice from Sublessor of its election to re-measure the Premises, jointly field measure the Premises to determine such exact square footage In the event such actual certified square footage shall differ from that set forth herein, all charges and other dollar amounts under this Sublease which are based on the square footage of the Premises shall be adjusted to reflect the actual, certified square footage.</w:t>
      </w:r>
    </w:p>
    <w:p>
      <w:pPr>
        <w:spacing w:after="0" w:line="217" w:lineRule="exact"/>
        <w:rPr>
          <w:sz w:val="20"/>
          <w:szCs w:val="20"/>
          <w:color w:val="auto"/>
        </w:rPr>
      </w:pPr>
    </w:p>
    <w:p>
      <w:pPr>
        <w:jc w:val="both"/>
        <w:ind w:left="660" w:hanging="652"/>
        <w:spacing w:after="0" w:line="243" w:lineRule="auto"/>
        <w:tabs>
          <w:tab w:leader="none" w:pos="660" w:val="left"/>
        </w:tabs>
        <w:numPr>
          <w:ilvl w:val="0"/>
          <w:numId w:val="3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Term</w:t>
      </w:r>
      <w:r>
        <w:rPr>
          <w:rFonts w:ascii="Times New Roman" w:cs="Times New Roman" w:eastAsia="Times New Roman" w:hAnsi="Times New Roman"/>
          <w:sz w:val="20"/>
          <w:szCs w:val="20"/>
          <w:color w:val="auto"/>
        </w:rPr>
        <w:t>. The term of this Sublease shall commence upon the later of (i) July 1, 2020 (the “Anticipated Delivery Date”), (ii) Possession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 the Premises (as defined below), or (iii) the consent of the Master Lessor being obtained in accordance with Section 30 of the Lease (hereinafter “Commencement Date”). The Term shall end on January 31, 2024 (hereinafter “Termination Date”) unless otherwise sooner terminated in accordance with the provisions of this Sublease (hereinafter referred to as either the “Term”, “Lease Term” and/or the “Term of this Lease”). Notwithstanding the foregoing, in the event Sublessor requires additional time to restore and surrender the Premises to Master Lessor in accordance with the terms of the Master Lease, Sublessor shall be permitted to reduce the Term for up to fifteen (15) days by providing at least thirty (30) days prior written notice to Sublessee. Sublessee shall indemnify, protect and save harmless the Sublessor from and against any claims, liabilities, damages and losses asserted against Sublessor as a result of Sublessee’s failure to vacate the Premises as required under this Sublease at the end of the Term or earlier termination of the Sublease.</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114" w:right="339" w:bottom="1440" w:gutter="0" w:footer="0" w:header="0"/>
        </w:sectPr>
      </w:pPr>
    </w:p>
    <w:bookmarkStart w:id="372" w:name="page373"/>
    <w:bookmarkEnd w:id="372"/>
    <w:p>
      <w:pPr>
        <w:ind w:left="652" w:hanging="652"/>
        <w:spacing w:after="0"/>
        <w:tabs>
          <w:tab w:leader="none" w:pos="652" w:val="left"/>
        </w:tabs>
        <w:numPr>
          <w:ilvl w:val="0"/>
          <w:numId w:val="3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Commencement</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left="672" w:right="20" w:firstLine="529"/>
        <w:spacing w:after="0" w:line="241" w:lineRule="auto"/>
        <w:tabs>
          <w:tab w:leader="none" w:pos="1738" w:val="left"/>
        </w:tabs>
        <w:numPr>
          <w:ilvl w:val="1"/>
          <w:numId w:val="3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Sublessor and Sublessee shall execute the Commencement Date Agreement attached hereto as </w:t>
      </w:r>
      <w:r>
        <w:rPr>
          <w:rFonts w:ascii="Times New Roman" w:cs="Times New Roman" w:eastAsia="Times New Roman" w:hAnsi="Times New Roman"/>
          <w:sz w:val="20"/>
          <w:szCs w:val="20"/>
          <w:b w:val="1"/>
          <w:bCs w:val="1"/>
          <w:u w:val="single" w:color="auto"/>
          <w:color w:val="auto"/>
        </w:rPr>
        <w:t>Exhibit “C”</w:t>
      </w:r>
      <w:r>
        <w:rPr>
          <w:rFonts w:ascii="Times New Roman" w:cs="Times New Roman" w:eastAsia="Times New Roman" w:hAnsi="Times New Roman"/>
          <w:sz w:val="20"/>
          <w:szCs w:val="20"/>
          <w:color w:val="auto"/>
        </w:rPr>
        <w:t xml:space="preserve"> and made a part hereof, which shall confirm the Commencement Date and Rent Commencement Date (as defined below). Possession of the Premises (hereinafter “Possession”) shall be delivered to Sublessee in a good broom-clean swept condition and repair, free of debris, and Hazardous Materials (as defined in Section 5.3(a) of the Master Lease) brought to the Premises by or on behalf of Sublessor, provided however, the same shall not include a reasonable quantity of standard office products that may contain Hazardous Materials (such as photocopy toner, “White Out”, and the like), and Sublessor shall warrant such condition of the Premises, including that it is free of Hazardous Materials brought to the Premises by or on behalf of Sublessor, for 30 days following the Commencement Date. In the event Sublessor does not deliver Possession of the Premises on or before the Anticipated Delivery Date, Sublessee shall be permitted to (a) terminate the Sublease, or (b) receive a Minimum Rent credit of one (1) day for each day after the Anticipated Delivery Date, to be applied to the first full month of Minimum Rent, until the Sublessor delivers Possession of the Premises. Provided reasonable written notice is provided to Sublessor, Sublessee shall have access to the Premises fifteen (15) days prior to the Commencement Date for the sole purpose of installing equipment, furniture, equipment or other personal property of Sublessee (“Early Occupancy”). Sublessee’s Early Occupancy of the Premises shall be subject to all of the terms and conditions of this Sublease, except that Sublessee shall not be required to pay Rent (as defined below) during this period. Further, if Sublessee takes Early Occupancy of the Premises, this shall not advance the Termination Date.</w:t>
      </w:r>
    </w:p>
    <w:p>
      <w:pPr>
        <w:spacing w:after="0" w:line="198" w:lineRule="exact"/>
        <w:rPr>
          <w:rFonts w:ascii="Times New Roman" w:cs="Times New Roman" w:eastAsia="Times New Roman" w:hAnsi="Times New Roman"/>
          <w:sz w:val="20"/>
          <w:szCs w:val="20"/>
          <w:color w:val="auto"/>
        </w:rPr>
      </w:pPr>
    </w:p>
    <w:p>
      <w:pPr>
        <w:jc w:val="both"/>
        <w:ind w:left="672" w:right="20" w:firstLine="529"/>
        <w:spacing w:after="0" w:line="256" w:lineRule="auto"/>
        <w:tabs>
          <w:tab w:leader="none" w:pos="1757" w:val="left"/>
        </w:tabs>
        <w:numPr>
          <w:ilvl w:val="1"/>
          <w:numId w:val="35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Notwithstanding anything to the contrary contained herein, if a declaration of emergency or other order associated with the Covid-19 pandemic or similar epidemic is issued by a federal, California state or local governmental agency with jurisdiction over the Premises, Sublessee or Sublessor (collectively, a “Government Order”), and such Government Order (a) materially and substantially interferes with or substantially prohibits Sublessee’ s use of the Premises and the operation of Sublessee’s business therein, then, the Commencement Date shall be delayed by one (1) day for each day until the earlier of (i) the termination of such Government Order, or (ii) Sublessee’s resuming use of the Premises or operation of Sublessee’s business therein; provided, that, performance of construction activities or the installation or storage of trade fixtures and personal property shall not be deemed to be use or operation of Sublessee’s business for this purposes, or (b) materially and substantially interferes with Sublessor’s ability to deliver the Premises in accordance with Section 4(a) above, then, the Anticipated Delivery Date shall be delayed by one (1) days for each day until the earlier of (i) the termination of such Government Order, or (ii) Sublessee’s resuming use of the Premises or operation of Sublessee’s business therein; provided, that, performance of construction activities or the installation or storage of trade fixtures and personal property shall not be deemed to be use or operation of Sublessee’s business for this purposes.</w:t>
      </w:r>
    </w:p>
    <w:p>
      <w:pPr>
        <w:spacing w:after="0" w:line="197" w:lineRule="exact"/>
        <w:rPr>
          <w:sz w:val="20"/>
          <w:szCs w:val="20"/>
          <w:color w:val="auto"/>
        </w:rPr>
      </w:pPr>
    </w:p>
    <w:p>
      <w:pPr>
        <w:ind w:left="652" w:right="20" w:hanging="652"/>
        <w:spacing w:after="0" w:line="273" w:lineRule="auto"/>
        <w:tabs>
          <w:tab w:leader="none" w:pos="652" w:val="left"/>
        </w:tabs>
        <w:numPr>
          <w:ilvl w:val="0"/>
          <w:numId w:val="3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Rent. Minimum Rent</w:t>
      </w:r>
      <w:r>
        <w:rPr>
          <w:rFonts w:ascii="Times New Roman" w:cs="Times New Roman" w:eastAsia="Times New Roman" w:hAnsi="Times New Roman"/>
          <w:sz w:val="20"/>
          <w:szCs w:val="20"/>
          <w:color w:val="auto"/>
        </w:rPr>
        <w:t>. Sublessee shall pay to Sublessor minimum rent, without deduction, setoff, notice, or demand (except as set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forth herein), according to the following schedule (“Minimum Rent”):</w:t>
      </w:r>
    </w:p>
    <w:p>
      <w:pPr>
        <w:spacing w:after="0" w:line="186" w:lineRule="exact"/>
        <w:rPr>
          <w:sz w:val="20"/>
          <w:szCs w:val="20"/>
          <w:color w:val="auto"/>
        </w:rPr>
      </w:pPr>
    </w:p>
    <w:tbl>
      <w:tblPr>
        <w:tblLayout w:type="fixed"/>
        <w:tblInd w:w="682" w:type="dxa"/>
        <w:tblCellMar>
          <w:top w:w="0" w:type="dxa"/>
          <w:left w:w="0" w:type="dxa"/>
          <w:bottom w:w="0" w:type="dxa"/>
          <w:right w:w="0" w:type="dxa"/>
        </w:tblCellMar>
      </w:tblPr>
      <w:tr>
        <w:trPr>
          <w:trHeight w:val="243"/>
        </w:trPr>
        <w:tc>
          <w:tcPr>
            <w:tcW w:w="3620" w:type="dxa"/>
            <w:vAlign w:val="bottom"/>
            <w:tcBorders>
              <w:top w:val="single" w:sz="8" w:color="auto"/>
              <w:left w:val="single" w:sz="8" w:color="auto"/>
              <w:bottom w:val="single" w:sz="8" w:color="auto"/>
              <w:right w:val="single" w:sz="8" w:color="auto"/>
            </w:tcBorders>
          </w:tcPr>
          <w:p>
            <w:pPr>
              <w:jc w:val="center"/>
              <w:ind w:left="21"/>
              <w:spacing w:after="0"/>
              <w:rPr>
                <w:sz w:val="20"/>
                <w:szCs w:val="20"/>
                <w:color w:val="auto"/>
              </w:rPr>
            </w:pPr>
            <w:r>
              <w:rPr>
                <w:rFonts w:ascii="Times New Roman" w:cs="Times New Roman" w:eastAsia="Times New Roman" w:hAnsi="Times New Roman"/>
                <w:sz w:val="20"/>
                <w:szCs w:val="20"/>
                <w:b w:val="1"/>
                <w:bCs w:val="1"/>
                <w:color w:val="auto"/>
                <w:w w:val="98"/>
              </w:rPr>
              <w:t>Sublease Period</w:t>
            </w:r>
          </w:p>
        </w:tc>
        <w:tc>
          <w:tcPr>
            <w:tcW w:w="36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Minimum Rent/RSF</w:t>
            </w:r>
          </w:p>
        </w:tc>
        <w:tc>
          <w:tcPr>
            <w:tcW w:w="33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Monthly Minimum Rent</w:t>
            </w:r>
          </w:p>
        </w:tc>
      </w:tr>
      <w:tr>
        <w:trPr>
          <w:trHeight w:val="200"/>
        </w:trPr>
        <w:tc>
          <w:tcPr>
            <w:tcW w:w="3620" w:type="dxa"/>
            <w:vAlign w:val="bottom"/>
            <w:tcBorders>
              <w:left w:val="single" w:sz="8" w:color="auto"/>
              <w:right w:val="single" w:sz="8" w:color="auto"/>
            </w:tcBorders>
          </w:tcPr>
          <w:p>
            <w:pPr>
              <w:jc w:val="center"/>
              <w:ind w:left="21"/>
              <w:spacing w:after="0" w:line="200" w:lineRule="exact"/>
              <w:rPr>
                <w:sz w:val="20"/>
                <w:szCs w:val="20"/>
                <w:color w:val="auto"/>
              </w:rPr>
            </w:pPr>
            <w:r>
              <w:rPr>
                <w:rFonts w:ascii="Times New Roman" w:cs="Times New Roman" w:eastAsia="Times New Roman" w:hAnsi="Times New Roman"/>
                <w:sz w:val="20"/>
                <w:szCs w:val="20"/>
                <w:color w:val="auto"/>
                <w:w w:val="98"/>
              </w:rPr>
              <w:t>Commencement Date –</w:t>
            </w:r>
          </w:p>
        </w:tc>
        <w:tc>
          <w:tcPr>
            <w:tcW w:w="3600" w:type="dxa"/>
            <w:vAlign w:val="bottom"/>
            <w:tcBorders>
              <w:right w:val="single" w:sz="8" w:color="auto"/>
            </w:tcBorders>
          </w:tcPr>
          <w:p>
            <w:pPr>
              <w:jc w:val="center"/>
              <w:spacing w:after="0" w:line="200" w:lineRule="exact"/>
              <w:rPr>
                <w:sz w:val="20"/>
                <w:szCs w:val="20"/>
                <w:color w:val="auto"/>
              </w:rPr>
            </w:pPr>
            <w:r>
              <w:rPr>
                <w:rFonts w:ascii="Times New Roman" w:cs="Times New Roman" w:eastAsia="Times New Roman" w:hAnsi="Times New Roman"/>
                <w:sz w:val="20"/>
                <w:szCs w:val="20"/>
                <w:color w:val="auto"/>
                <w:w w:val="97"/>
              </w:rPr>
              <w:t>$1.75/RSF</w:t>
            </w:r>
          </w:p>
        </w:tc>
        <w:tc>
          <w:tcPr>
            <w:tcW w:w="3360" w:type="dxa"/>
            <w:vAlign w:val="bottom"/>
            <w:tcBorders>
              <w:right w:val="single" w:sz="8" w:color="auto"/>
            </w:tcBorders>
          </w:tcPr>
          <w:p>
            <w:pPr>
              <w:jc w:val="center"/>
              <w:spacing w:after="0" w:line="200" w:lineRule="exact"/>
              <w:rPr>
                <w:sz w:val="20"/>
                <w:szCs w:val="20"/>
                <w:color w:val="auto"/>
              </w:rPr>
            </w:pPr>
            <w:r>
              <w:rPr>
                <w:rFonts w:ascii="Times New Roman" w:cs="Times New Roman" w:eastAsia="Times New Roman" w:hAnsi="Times New Roman"/>
                <w:sz w:val="20"/>
                <w:szCs w:val="20"/>
                <w:color w:val="auto"/>
                <w:w w:val="99"/>
              </w:rPr>
              <w:t>$9,248.75</w:t>
            </w:r>
          </w:p>
        </w:tc>
      </w:tr>
      <w:tr>
        <w:trPr>
          <w:trHeight w:val="262"/>
        </w:trPr>
        <w:tc>
          <w:tcPr>
            <w:tcW w:w="3620" w:type="dxa"/>
            <w:vAlign w:val="bottom"/>
            <w:tcBorders>
              <w:left w:val="single" w:sz="8" w:color="auto"/>
              <w:bottom w:val="single" w:sz="8" w:color="auto"/>
              <w:right w:val="single" w:sz="8" w:color="auto"/>
            </w:tcBorders>
          </w:tcPr>
          <w:p>
            <w:pPr>
              <w:jc w:val="center"/>
              <w:ind w:left="1"/>
              <w:spacing w:after="0"/>
              <w:rPr>
                <w:sz w:val="20"/>
                <w:szCs w:val="20"/>
                <w:color w:val="auto"/>
              </w:rPr>
            </w:pPr>
            <w:r>
              <w:rPr>
                <w:rFonts w:ascii="Times New Roman" w:cs="Times New Roman" w:eastAsia="Times New Roman" w:hAnsi="Times New Roman"/>
                <w:sz w:val="20"/>
                <w:szCs w:val="20"/>
                <w:color w:val="auto"/>
                <w:w w:val="99"/>
              </w:rPr>
              <w:t>Month 12*</w:t>
            </w:r>
          </w:p>
        </w:tc>
        <w:tc>
          <w:tcPr>
            <w:tcW w:w="3600" w:type="dxa"/>
            <w:vAlign w:val="bottom"/>
            <w:tcBorders>
              <w:bottom w:val="single" w:sz="8" w:color="auto"/>
              <w:right w:val="single" w:sz="8" w:color="auto"/>
            </w:tcBorders>
          </w:tcPr>
          <w:p>
            <w:pPr>
              <w:spacing w:after="0"/>
              <w:rPr>
                <w:sz w:val="22"/>
                <w:szCs w:val="22"/>
                <w:color w:val="auto"/>
              </w:rPr>
            </w:pPr>
          </w:p>
        </w:tc>
        <w:tc>
          <w:tcPr>
            <w:tcW w:w="3360" w:type="dxa"/>
            <w:vAlign w:val="bottom"/>
            <w:tcBorders>
              <w:bottom w:val="single" w:sz="8" w:color="auto"/>
              <w:right w:val="single" w:sz="8" w:color="auto"/>
            </w:tcBorders>
          </w:tcPr>
          <w:p>
            <w:pPr>
              <w:spacing w:after="0"/>
              <w:rPr>
                <w:sz w:val="22"/>
                <w:szCs w:val="22"/>
                <w:color w:val="auto"/>
              </w:rPr>
            </w:pPr>
          </w:p>
        </w:tc>
      </w:tr>
      <w:tr>
        <w:trPr>
          <w:trHeight w:val="227"/>
        </w:trPr>
        <w:tc>
          <w:tcPr>
            <w:tcW w:w="3620" w:type="dxa"/>
            <w:vAlign w:val="bottom"/>
            <w:tcBorders>
              <w:left w:val="single" w:sz="8" w:color="auto"/>
              <w:bottom w:val="single" w:sz="8" w:color="auto"/>
              <w:right w:val="single" w:sz="8" w:color="auto"/>
            </w:tcBorders>
          </w:tcPr>
          <w:p>
            <w:pPr>
              <w:jc w:val="center"/>
              <w:ind w:left="21"/>
              <w:spacing w:after="0" w:line="227" w:lineRule="exact"/>
              <w:rPr>
                <w:sz w:val="20"/>
                <w:szCs w:val="20"/>
                <w:color w:val="auto"/>
              </w:rPr>
            </w:pPr>
            <w:r>
              <w:rPr>
                <w:rFonts w:ascii="Times New Roman" w:cs="Times New Roman" w:eastAsia="Times New Roman" w:hAnsi="Times New Roman"/>
                <w:sz w:val="20"/>
                <w:szCs w:val="20"/>
                <w:color w:val="auto"/>
                <w:w w:val="98"/>
              </w:rPr>
              <w:t>Month 13 – Month 24</w:t>
            </w:r>
          </w:p>
        </w:tc>
        <w:tc>
          <w:tcPr>
            <w:tcW w:w="3600" w:type="dxa"/>
            <w:vAlign w:val="bottom"/>
            <w:tcBorders>
              <w:bottom w:val="single" w:sz="8" w:color="auto"/>
              <w:right w:val="single" w:sz="8" w:color="auto"/>
            </w:tcBorders>
          </w:tcPr>
          <w:p>
            <w:pPr>
              <w:jc w:val="center"/>
              <w:spacing w:after="0" w:line="227" w:lineRule="exact"/>
              <w:rPr>
                <w:sz w:val="20"/>
                <w:szCs w:val="20"/>
                <w:color w:val="auto"/>
              </w:rPr>
            </w:pPr>
            <w:r>
              <w:rPr>
                <w:rFonts w:ascii="Times New Roman" w:cs="Times New Roman" w:eastAsia="Times New Roman" w:hAnsi="Times New Roman"/>
                <w:sz w:val="20"/>
                <w:szCs w:val="20"/>
                <w:color w:val="auto"/>
                <w:w w:val="97"/>
              </w:rPr>
              <w:t>$1.80/RSF</w:t>
            </w:r>
          </w:p>
        </w:tc>
        <w:tc>
          <w:tcPr>
            <w:tcW w:w="3360" w:type="dxa"/>
            <w:vAlign w:val="bottom"/>
            <w:tcBorders>
              <w:bottom w:val="single" w:sz="8" w:color="auto"/>
              <w:right w:val="single" w:sz="8" w:color="auto"/>
            </w:tcBorders>
          </w:tcPr>
          <w:p>
            <w:pPr>
              <w:jc w:val="center"/>
              <w:spacing w:after="0" w:line="227" w:lineRule="exact"/>
              <w:rPr>
                <w:sz w:val="20"/>
                <w:szCs w:val="20"/>
                <w:color w:val="auto"/>
              </w:rPr>
            </w:pPr>
            <w:r>
              <w:rPr>
                <w:rFonts w:ascii="Times New Roman" w:cs="Times New Roman" w:eastAsia="Times New Roman" w:hAnsi="Times New Roman"/>
                <w:sz w:val="20"/>
                <w:szCs w:val="20"/>
                <w:color w:val="auto"/>
                <w:w w:val="99"/>
              </w:rPr>
              <w:t>$9,526.21</w:t>
            </w:r>
          </w:p>
        </w:tc>
      </w:tr>
      <w:tr>
        <w:trPr>
          <w:trHeight w:val="358"/>
        </w:trPr>
        <w:tc>
          <w:tcPr>
            <w:tcW w:w="3620" w:type="dxa"/>
            <w:vAlign w:val="bottom"/>
          </w:tcPr>
          <w:p>
            <w:pPr>
              <w:spacing w:after="0"/>
              <w:rPr>
                <w:sz w:val="24"/>
                <w:szCs w:val="24"/>
                <w:color w:val="auto"/>
              </w:rPr>
            </w:pPr>
          </w:p>
        </w:tc>
        <w:tc>
          <w:tcPr>
            <w:tcW w:w="3600" w:type="dxa"/>
            <w:vAlign w:val="bottom"/>
          </w:tcPr>
          <w:p>
            <w:pPr>
              <w:jc w:val="right"/>
              <w:ind w:right="2143"/>
              <w:spacing w:after="0"/>
              <w:rPr>
                <w:sz w:val="20"/>
                <w:szCs w:val="20"/>
                <w:color w:val="auto"/>
              </w:rPr>
            </w:pPr>
            <w:r>
              <w:rPr>
                <w:rFonts w:ascii="Times New Roman" w:cs="Times New Roman" w:eastAsia="Times New Roman" w:hAnsi="Times New Roman"/>
                <w:sz w:val="18"/>
                <w:szCs w:val="18"/>
                <w:color w:val="auto"/>
              </w:rPr>
              <w:t>2</w:t>
            </w:r>
          </w:p>
        </w:tc>
        <w:tc>
          <w:tcPr>
            <w:tcW w:w="3360" w:type="dxa"/>
            <w:vAlign w:val="bottom"/>
          </w:tcPr>
          <w:p>
            <w:pPr>
              <w:spacing w:after="0"/>
              <w:rPr>
                <w:sz w:val="24"/>
                <w:szCs w:val="24"/>
                <w:color w:val="auto"/>
              </w:rPr>
            </w:pPr>
          </w:p>
        </w:tc>
      </w:tr>
    </w:tbl>
    <w:p>
      <w:pPr>
        <w:sectPr>
          <w:pgSz w:w="11900" w:h="16838" w:orient="portrait"/>
          <w:cols w:equalWidth="0" w:num="1">
            <w:col w:w="11252"/>
          </w:cols>
          <w:pgMar w:left="328" w:top="261" w:right="319" w:bottom="1440" w:gutter="0" w:footer="0" w:header="0"/>
        </w:sectPr>
      </w:pPr>
    </w:p>
    <w:bookmarkStart w:id="373" w:name="page374"/>
    <w:bookmarkEnd w:id="37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tbl>
      <w:tblPr>
        <w:tblLayout w:type="fixed"/>
        <w:tblInd w:w="690" w:type="dxa"/>
        <w:tblCellMar>
          <w:top w:w="0" w:type="dxa"/>
          <w:left w:w="0" w:type="dxa"/>
          <w:bottom w:w="0" w:type="dxa"/>
          <w:right w:w="0" w:type="dxa"/>
        </w:tblCellMar>
      </w:tblPr>
      <w:tr>
        <w:trPr>
          <w:trHeight w:val="243"/>
        </w:trPr>
        <w:tc>
          <w:tcPr>
            <w:tcW w:w="3620" w:type="dxa"/>
            <w:vAlign w:val="bottom"/>
            <w:tcBorders>
              <w:top w:val="single" w:sz="8" w:color="auto"/>
              <w:left w:val="single" w:sz="8" w:color="auto"/>
              <w:bottom w:val="single" w:sz="8" w:color="auto"/>
              <w:right w:val="single" w:sz="8" w:color="auto"/>
            </w:tcBorders>
          </w:tcPr>
          <w:p>
            <w:pPr>
              <w:jc w:val="center"/>
              <w:ind w:left="21"/>
              <w:spacing w:after="0"/>
              <w:rPr>
                <w:sz w:val="20"/>
                <w:szCs w:val="20"/>
                <w:color w:val="auto"/>
              </w:rPr>
            </w:pPr>
            <w:r>
              <w:rPr>
                <w:rFonts w:ascii="Times New Roman" w:cs="Times New Roman" w:eastAsia="Times New Roman" w:hAnsi="Times New Roman"/>
                <w:sz w:val="20"/>
                <w:szCs w:val="20"/>
                <w:b w:val="1"/>
                <w:bCs w:val="1"/>
                <w:color w:val="auto"/>
                <w:w w:val="98"/>
              </w:rPr>
              <w:t>Sublease Period</w:t>
            </w:r>
          </w:p>
        </w:tc>
        <w:tc>
          <w:tcPr>
            <w:tcW w:w="36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Minimum Rent/RSF</w:t>
            </w:r>
          </w:p>
        </w:tc>
        <w:tc>
          <w:tcPr>
            <w:tcW w:w="3360" w:type="dxa"/>
            <w:vAlign w:val="bottom"/>
            <w:tcBorders>
              <w:top w:val="single" w:sz="8" w:color="auto"/>
              <w:bottom w:val="single" w:sz="8" w:color="auto"/>
              <w:right w:val="single" w:sz="8" w:color="auto"/>
            </w:tcBorders>
          </w:tcPr>
          <w:p>
            <w:pPr>
              <w:ind w:left="660"/>
              <w:spacing w:after="0"/>
              <w:rPr>
                <w:sz w:val="20"/>
                <w:szCs w:val="20"/>
                <w:color w:val="auto"/>
              </w:rPr>
            </w:pPr>
            <w:r>
              <w:rPr>
                <w:rFonts w:ascii="Times New Roman" w:cs="Times New Roman" w:eastAsia="Times New Roman" w:hAnsi="Times New Roman"/>
                <w:sz w:val="20"/>
                <w:szCs w:val="20"/>
                <w:b w:val="1"/>
                <w:bCs w:val="1"/>
                <w:color w:val="auto"/>
              </w:rPr>
              <w:t>Monthly Minimum Rent</w:t>
            </w:r>
          </w:p>
        </w:tc>
      </w:tr>
      <w:tr>
        <w:trPr>
          <w:trHeight w:val="223"/>
        </w:trPr>
        <w:tc>
          <w:tcPr>
            <w:tcW w:w="3620" w:type="dxa"/>
            <w:vAlign w:val="bottom"/>
            <w:tcBorders>
              <w:left w:val="single" w:sz="8" w:color="auto"/>
              <w:bottom w:val="single" w:sz="8" w:color="auto"/>
              <w:right w:val="single" w:sz="8" w:color="auto"/>
            </w:tcBorders>
          </w:tcPr>
          <w:p>
            <w:pPr>
              <w:jc w:val="center"/>
              <w:ind w:left="21"/>
              <w:spacing w:after="0" w:line="223" w:lineRule="exact"/>
              <w:rPr>
                <w:sz w:val="20"/>
                <w:szCs w:val="20"/>
                <w:color w:val="auto"/>
              </w:rPr>
            </w:pPr>
            <w:r>
              <w:rPr>
                <w:rFonts w:ascii="Times New Roman" w:cs="Times New Roman" w:eastAsia="Times New Roman" w:hAnsi="Times New Roman"/>
                <w:sz w:val="20"/>
                <w:szCs w:val="20"/>
                <w:color w:val="auto"/>
                <w:w w:val="98"/>
              </w:rPr>
              <w:t>Month 25 – Month 36</w:t>
            </w:r>
          </w:p>
        </w:tc>
        <w:tc>
          <w:tcPr>
            <w:tcW w:w="3600" w:type="dxa"/>
            <w:vAlign w:val="bottom"/>
            <w:tcBorders>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7"/>
              </w:rPr>
              <w:t>$1.86/RSF</w:t>
            </w:r>
          </w:p>
        </w:tc>
        <w:tc>
          <w:tcPr>
            <w:tcW w:w="3360" w:type="dxa"/>
            <w:vAlign w:val="bottom"/>
            <w:tcBorders>
              <w:bottom w:val="single" w:sz="8" w:color="auto"/>
              <w:right w:val="single" w:sz="8" w:color="auto"/>
            </w:tcBorders>
          </w:tcPr>
          <w:p>
            <w:pPr>
              <w:jc w:val="right"/>
              <w:ind w:right="1161"/>
              <w:spacing w:after="0" w:line="223" w:lineRule="exact"/>
              <w:rPr>
                <w:sz w:val="20"/>
                <w:szCs w:val="20"/>
                <w:color w:val="auto"/>
              </w:rPr>
            </w:pPr>
            <w:r>
              <w:rPr>
                <w:rFonts w:ascii="Times New Roman" w:cs="Times New Roman" w:eastAsia="Times New Roman" w:hAnsi="Times New Roman"/>
                <w:sz w:val="20"/>
                <w:szCs w:val="20"/>
                <w:color w:val="auto"/>
              </w:rPr>
              <w:t>$9,812.00</w:t>
            </w:r>
          </w:p>
        </w:tc>
      </w:tr>
      <w:tr>
        <w:trPr>
          <w:trHeight w:val="223"/>
        </w:trPr>
        <w:tc>
          <w:tcPr>
            <w:tcW w:w="3620" w:type="dxa"/>
            <w:vAlign w:val="bottom"/>
            <w:tcBorders>
              <w:left w:val="single" w:sz="8" w:color="auto"/>
              <w:bottom w:val="single" w:sz="8" w:color="auto"/>
              <w:right w:val="single" w:sz="8" w:color="auto"/>
            </w:tcBorders>
          </w:tcPr>
          <w:p>
            <w:pPr>
              <w:jc w:val="center"/>
              <w:ind w:left="1"/>
              <w:spacing w:after="0" w:line="223" w:lineRule="exact"/>
              <w:rPr>
                <w:sz w:val="20"/>
                <w:szCs w:val="20"/>
                <w:color w:val="auto"/>
              </w:rPr>
            </w:pPr>
            <w:r>
              <w:rPr>
                <w:rFonts w:ascii="Times New Roman" w:cs="Times New Roman" w:eastAsia="Times New Roman" w:hAnsi="Times New Roman"/>
                <w:sz w:val="20"/>
                <w:szCs w:val="20"/>
                <w:color w:val="auto"/>
                <w:w w:val="98"/>
              </w:rPr>
              <w:t>Month 37 – Termination Date</w:t>
            </w:r>
          </w:p>
        </w:tc>
        <w:tc>
          <w:tcPr>
            <w:tcW w:w="3600" w:type="dxa"/>
            <w:vAlign w:val="bottom"/>
            <w:tcBorders>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0"/>
                <w:szCs w:val="20"/>
                <w:color w:val="auto"/>
                <w:w w:val="97"/>
              </w:rPr>
              <w:t>$1.91/RSF</w:t>
            </w:r>
          </w:p>
        </w:tc>
        <w:tc>
          <w:tcPr>
            <w:tcW w:w="3360" w:type="dxa"/>
            <w:vAlign w:val="bottom"/>
            <w:tcBorders>
              <w:bottom w:val="single" w:sz="8" w:color="auto"/>
              <w:right w:val="single" w:sz="8" w:color="auto"/>
            </w:tcBorders>
          </w:tcPr>
          <w:p>
            <w:pPr>
              <w:jc w:val="right"/>
              <w:ind w:right="1121"/>
              <w:spacing w:after="0" w:line="223" w:lineRule="exact"/>
              <w:rPr>
                <w:sz w:val="20"/>
                <w:szCs w:val="20"/>
                <w:color w:val="auto"/>
              </w:rPr>
            </w:pPr>
            <w:r>
              <w:rPr>
                <w:rFonts w:ascii="Times New Roman" w:cs="Times New Roman" w:eastAsia="Times New Roman" w:hAnsi="Times New Roman"/>
                <w:sz w:val="20"/>
                <w:szCs w:val="20"/>
                <w:color w:val="auto"/>
              </w:rPr>
              <w:t>$10,106.36</w:t>
            </w:r>
          </w:p>
        </w:tc>
      </w:tr>
    </w:tbl>
    <w:p>
      <w:pPr>
        <w:spacing w:after="0" w:line="193" w:lineRule="exact"/>
        <w:rPr>
          <w:sz w:val="20"/>
          <w:szCs w:val="20"/>
          <w:color w:val="auto"/>
        </w:rPr>
      </w:pPr>
    </w:p>
    <w:p>
      <w:pPr>
        <w:jc w:val="both"/>
        <w:ind w:left="680" w:right="20" w:firstLine="2"/>
        <w:spacing w:after="0" w:line="246" w:lineRule="auto"/>
        <w:tabs>
          <w:tab w:leader="none" w:pos="833" w:val="left"/>
        </w:tabs>
        <w:numPr>
          <w:ilvl w:val="0"/>
          <w:numId w:val="3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Minimum Rent is to abate for the first four (4) full months of the Sublease Term (“Free Rent Period”), with the first installment of Minimum Rent being due upon execution of this Sublease to be applied to the Minimum Rent due for the fifth (5th) full Sublease month (the “Rent Commencement Date”). Notwithstanding the foregoing to the contrary, in the event the Commencement Date is a date other than the first day of the month, then Sublessee shall be required to pay Minimum Rent for the remaining number of days in the month after the expiration of the Free Rent Period, being due on or before said date.</w:t>
      </w:r>
    </w:p>
    <w:p>
      <w:pPr>
        <w:spacing w:after="0" w:line="185" w:lineRule="exact"/>
        <w:rPr>
          <w:sz w:val="20"/>
          <w:szCs w:val="20"/>
          <w:color w:val="auto"/>
        </w:rPr>
      </w:pPr>
    </w:p>
    <w:p>
      <w:pPr>
        <w:jc w:val="both"/>
        <w:ind w:left="680" w:right="20"/>
        <w:spacing w:after="0" w:line="249" w:lineRule="auto"/>
        <w:rPr>
          <w:sz w:val="20"/>
          <w:szCs w:val="20"/>
          <w:color w:val="auto"/>
        </w:rPr>
      </w:pPr>
      <w:r>
        <w:rPr>
          <w:rFonts w:ascii="Times New Roman" w:cs="Times New Roman" w:eastAsia="Times New Roman" w:hAnsi="Times New Roman"/>
          <w:sz w:val="20"/>
          <w:szCs w:val="20"/>
          <w:color w:val="auto"/>
        </w:rPr>
        <w:t>Minimum Rent shall be paid, in advance, on the first day of each month of the Term. Sublessee shall pay to Sublessor upon execution of this Sublease (i) the sum of Nine Thousand Two Hundred Forty-Eight and 75/100 Dollars ($9,248.75) to be applied to the Minimum Rent due for the fifth (5th) full month following the Rent Commencement Date, and (ii) Fifteen Thousand and 00/100 Dollars ($15,000.00) as consideration for the use and title of the FF&amp;E in the Premises pursuant to Section 29(a) below.</w:t>
      </w:r>
    </w:p>
    <w:p>
      <w:pPr>
        <w:spacing w:after="0" w:line="203" w:lineRule="exact"/>
        <w:rPr>
          <w:sz w:val="20"/>
          <w:szCs w:val="20"/>
          <w:color w:val="auto"/>
        </w:rPr>
      </w:pPr>
    </w:p>
    <w:p>
      <w:pPr>
        <w:jc w:val="both"/>
        <w:ind w:left="660" w:right="20" w:hanging="652"/>
        <w:spacing w:after="0" w:line="242" w:lineRule="auto"/>
        <w:tabs>
          <w:tab w:leader="none" w:pos="660" w:val="left"/>
        </w:tabs>
        <w:numPr>
          <w:ilvl w:val="0"/>
          <w:numId w:val="3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Late Charges</w:t>
      </w:r>
      <w:r>
        <w:rPr>
          <w:rFonts w:ascii="Times New Roman" w:cs="Times New Roman" w:eastAsia="Times New Roman" w:hAnsi="Times New Roman"/>
          <w:sz w:val="20"/>
          <w:szCs w:val="20"/>
          <w:color w:val="auto"/>
        </w:rPr>
        <w:t>. In the event Sublessee fails to pay Minimum Rent on or before the fifth day of the month during the Sublease Term, 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late charge equal to the greater of five percent (5%) of the monthly Minimum Rent or One Hundred Dollars ($100.00) will be due as “Additional Rent”. In addition, all amounts of Minimum Rent and Additional Rent (collectively, “Rent”) which remain due and unpaid for more than ten (10) days after the same become due shall bear interest at a rate of one percent (1%) per month. Sublessee agrees to tender all late Rents by cashier’s check, certified check, or money order. In the event Sublessee’s rent check is dishonored by the bank, Sublessee agrees to pay Sublessor $25.00 as a handling charge and, if applicable, the late charge, and Sublessee shall deliver said monies to Sublessor as specified in Paragraph 5 above. Dishonored checks must be replaced by cashier’s check, certified check or money order. In the event more than one check is dishonored during the Sublease Term, Sublessee agrees to pay all future Rents and charges in the form of cashier’s check, certified check, or money order. Any other amounts payable to Sublessor under this Sublease, with the exception of Rent, shall be considered past due thirty (30) days from Sublessor’s billing date and Sublessee shall pay a monthly service charge of five percent (5%) of the amount past due for that and each subsequent month that the amount remains past due. The parties agree that such charges represent a fair and reasonable estimate of the costs the Sublessor will incur by reason of such late payment and/or returned check.</w:t>
      </w:r>
    </w:p>
    <w:p>
      <w:pPr>
        <w:spacing w:after="0" w:line="212" w:lineRule="exact"/>
        <w:rPr>
          <w:sz w:val="20"/>
          <w:szCs w:val="20"/>
          <w:color w:val="auto"/>
        </w:rPr>
      </w:pPr>
    </w:p>
    <w:p>
      <w:pPr>
        <w:jc w:val="both"/>
        <w:ind w:left="660" w:right="20" w:hanging="652"/>
        <w:spacing w:after="0" w:line="244" w:lineRule="auto"/>
        <w:tabs>
          <w:tab w:leader="none" w:pos="660" w:val="left"/>
        </w:tabs>
        <w:numPr>
          <w:ilvl w:val="0"/>
          <w:numId w:val="3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Security Deposit</w:t>
      </w:r>
      <w:r>
        <w:rPr>
          <w:rFonts w:ascii="Times New Roman" w:cs="Times New Roman" w:eastAsia="Times New Roman" w:hAnsi="Times New Roman"/>
          <w:sz w:val="20"/>
          <w:szCs w:val="20"/>
          <w:color w:val="auto"/>
        </w:rPr>
        <w:t>. On the date of execution of this Sublease by Sublessee, Sublessee will pay to Sublessor, a security deposit in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amount of Ten Thousand One Hundred Seventy-Three and 63/100 Dollars ($10,173.63) (the “Security Deposit”) as security for the full and faithful performance by Sublessee of each and every term, provision, covenant and condition of this Sublease. If Sublessee defaults beyond any notice and cure period in respect of any of the terms, provisions, covenants and conditions of this Sublease, Sublessor may, but shall not be required to, use, apply or retain the whole or any part of the Security Deposit for the payment of any Rent in default or for any other sum which Sublessor may expend by reason of Sublessee’s default, including any damages or deficiency in the re-letting of the Premises. If Sublessor shall so use, apply or retain the whole or any part of the Security Deposit, Sublessee shall upon demand immediately deposit with Sublessor a sum equal to the amount so used, applied or retained in</w:t>
      </w:r>
    </w:p>
    <w:p>
      <w:pPr>
        <w:spacing w:after="0" w:line="12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60"/>
          </w:cols>
          <w:pgMar w:left="320" w:top="268" w:right="319" w:bottom="1440" w:gutter="0" w:footer="0" w:header="0"/>
        </w:sectPr>
      </w:pPr>
    </w:p>
    <w:bookmarkStart w:id="374" w:name="page375"/>
    <w:bookmarkEnd w:id="374"/>
    <w:p>
      <w:pPr>
        <w:jc w:val="both"/>
        <w:ind w:left="660"/>
        <w:spacing w:after="0" w:line="254"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order to restore the Security Deposit to its original amount. The Security Deposit, less any amounts subtracted from the Security Deposit due to Sublessee’s default or other damage caused to the Premises, shall be returned to Sublessee within 30 days following the expiration or sooner termination of the Sublease.</w:t>
      </w:r>
    </w:p>
    <w:p>
      <w:pPr>
        <w:spacing w:after="0" w:line="197" w:lineRule="exact"/>
        <w:rPr>
          <w:sz w:val="20"/>
          <w:szCs w:val="20"/>
          <w:color w:val="auto"/>
        </w:rPr>
      </w:pPr>
    </w:p>
    <w:p>
      <w:pPr>
        <w:jc w:val="both"/>
        <w:ind w:left="660" w:hanging="652"/>
        <w:spacing w:after="0" w:line="242" w:lineRule="auto"/>
        <w:tabs>
          <w:tab w:leader="none" w:pos="660" w:val="left"/>
        </w:tabs>
        <w:numPr>
          <w:ilvl w:val="0"/>
          <w:numId w:val="3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Acceptance of Premises and Release of Claims</w:t>
      </w:r>
      <w:r>
        <w:rPr>
          <w:rFonts w:ascii="Times New Roman" w:cs="Times New Roman" w:eastAsia="Times New Roman" w:hAnsi="Times New Roman"/>
          <w:sz w:val="20"/>
          <w:szCs w:val="20"/>
          <w:color w:val="auto"/>
        </w:rPr>
        <w:t>. Sublessor, Broker and Co-Broker have made no representations or promises with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respect to the Premises, or this Sublease except as herein expressly set forth. The taking of Early Occupancy or Possession, whichever is sooner, of the Premises by Sublessee shall be evidence that Sublessee accepts the Premises “as is” and that the Premises are suitable for the use intended by Sublessee and were in satisfactory condition at the time such possession was so taken. Sublessee further acknowledges that it has had the opportunity to adequately inspect the Premises prior to the execution of this Sublease and subject to the thirty (30) day warranty period contained in Section 4(a) above, Sublessee fully releases Sublessor, its employees, officers, directors, shareholders, representatives and agents from any and all costs, losses, liabilities, damages, expenses, demands, claims, counterclaims, actions or causes of action arising from or related to any defects or other conditions affecting the Premises (“Claims”) that Sublessee, its employees or agents now has or may in the future have against Sublessor, regardless of whether such Claims are known or unknown, latent or patent, existing now or in the future, and whether such Claims arise or may arise pursuant to any existing or future federal, state or local law, rule, regulation, ordinance, code, directive, or order under common law or statutory law.</w:t>
      </w:r>
    </w:p>
    <w:p>
      <w:pPr>
        <w:spacing w:after="0" w:line="214" w:lineRule="exact"/>
        <w:rPr>
          <w:sz w:val="20"/>
          <w:szCs w:val="20"/>
          <w:color w:val="auto"/>
        </w:rPr>
      </w:pPr>
    </w:p>
    <w:p>
      <w:pPr>
        <w:jc w:val="both"/>
        <w:ind w:left="660" w:hanging="652"/>
        <w:spacing w:after="0" w:line="246" w:lineRule="auto"/>
        <w:tabs>
          <w:tab w:leader="none" w:pos="660" w:val="left"/>
        </w:tabs>
        <w:numPr>
          <w:ilvl w:val="0"/>
          <w:numId w:val="3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Use of Premises</w:t>
      </w:r>
      <w:r>
        <w:rPr>
          <w:rFonts w:ascii="Times New Roman" w:cs="Times New Roman" w:eastAsia="Times New Roman" w:hAnsi="Times New Roman"/>
          <w:sz w:val="20"/>
          <w:szCs w:val="20"/>
          <w:color w:val="auto"/>
        </w:rPr>
        <w:t>. Sublessee shall use the Premises for general office purposes and other purposes permitted by the Master Lease only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 for no other purpose. Sublessee shall be responsible to Sublessor and Master Lessor for all zoning compliance on the Premises or any claims, liabilities, damages and losses against Sublessor or Master Lessor as a result of Sublessee’s specific use of the Premises, and agrees to and shall indemnify, protect and save harmless the Sublessor from and against any claims, liabilities, damages and losses asserted against Sublessor as a result of Sublessee’s specific use of the Premises or any non-compliance with or violations of any zoning regulations.</w:t>
      </w:r>
    </w:p>
    <w:p>
      <w:pPr>
        <w:spacing w:after="0" w:line="206" w:lineRule="exact"/>
        <w:rPr>
          <w:sz w:val="20"/>
          <w:szCs w:val="20"/>
          <w:color w:val="auto"/>
        </w:rPr>
      </w:pPr>
    </w:p>
    <w:p>
      <w:pPr>
        <w:ind w:left="660" w:hanging="652"/>
        <w:spacing w:after="0"/>
        <w:tabs>
          <w:tab w:leader="none" w:pos="660" w:val="left"/>
        </w:tabs>
        <w:numPr>
          <w:ilvl w:val="0"/>
          <w:numId w:val="3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Compliance with Master Lease</w:t>
      </w:r>
      <w:r>
        <w:rPr>
          <w:rFonts w:ascii="Times New Roman" w:cs="Times New Roman" w:eastAsia="Times New Roman" w:hAnsi="Times New Roman"/>
          <w:sz w:val="20"/>
          <w:szCs w:val="20"/>
          <w:color w:val="auto"/>
        </w:rPr>
        <w:t>.</w:t>
      </w:r>
    </w:p>
    <w:p>
      <w:pPr>
        <w:spacing w:after="0" w:line="219" w:lineRule="exact"/>
        <w:rPr>
          <w:rFonts w:ascii="Times New Roman" w:cs="Times New Roman" w:eastAsia="Times New Roman" w:hAnsi="Times New Roman"/>
          <w:sz w:val="20"/>
          <w:szCs w:val="20"/>
          <w:color w:val="auto"/>
        </w:rPr>
      </w:pPr>
    </w:p>
    <w:p>
      <w:pPr>
        <w:jc w:val="both"/>
        <w:ind w:left="680" w:firstLine="529"/>
        <w:spacing w:after="0" w:line="243" w:lineRule="auto"/>
        <w:tabs>
          <w:tab w:leader="none" w:pos="1912" w:val="left"/>
        </w:tabs>
        <w:numPr>
          <w:ilvl w:val="1"/>
          <w:numId w:val="3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Sublease and all of the covenants and agreements of Sublessor and all rights and privileges of Sublessee are subject to (1) all of the terms and conditions of the Master Lease; (2) the performance and observance by Master Lessor of all of its obligations and agreements under the Master Lease; and (3) all of the rights and privileges of Master Lessor and Sublessor under the Master Lease. The terms and conditions contained in the Master Lease are incorporated as terms and conditions of this Sublease, except for rent, term, security deposit and as otherwise set forth herein. If there is a conflict between the terms of this Sublease and the Master Lease, then as between Sublessor and Sublessee, the terms of this Sublease shall control. Sublessee shall pay the Minimum Rent directly to Sublessor, with Sublessor being responsible for paying directly to Master Lessor all Base Rent and Rent Adjustments due under the Master Lease.</w:t>
      </w:r>
    </w:p>
    <w:p>
      <w:pPr>
        <w:spacing w:after="0" w:line="189" w:lineRule="exact"/>
        <w:rPr>
          <w:rFonts w:ascii="Times New Roman" w:cs="Times New Roman" w:eastAsia="Times New Roman" w:hAnsi="Times New Roman"/>
          <w:sz w:val="20"/>
          <w:szCs w:val="20"/>
          <w:color w:val="auto"/>
        </w:rPr>
      </w:pPr>
    </w:p>
    <w:p>
      <w:pPr>
        <w:ind w:left="680" w:firstLine="529"/>
        <w:spacing w:after="0" w:line="269" w:lineRule="auto"/>
        <w:tabs>
          <w:tab w:leader="none" w:pos="1848" w:val="left"/>
        </w:tabs>
        <w:numPr>
          <w:ilvl w:val="1"/>
          <w:numId w:val="3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Sublessee shall not commit or permit to be committed on the Premises any act or omission that violates any term or condition of the Master Lease.</w:t>
      </w:r>
    </w:p>
    <w:p>
      <w:pPr>
        <w:spacing w:after="0" w:line="159" w:lineRule="exact"/>
        <w:rPr>
          <w:rFonts w:ascii="Times New Roman" w:cs="Times New Roman" w:eastAsia="Times New Roman" w:hAnsi="Times New Roman"/>
          <w:sz w:val="20"/>
          <w:szCs w:val="20"/>
          <w:color w:val="auto"/>
        </w:rPr>
      </w:pPr>
    </w:p>
    <w:p>
      <w:pPr>
        <w:jc w:val="both"/>
        <w:ind w:left="680" w:firstLine="529"/>
        <w:spacing w:after="0" w:line="254" w:lineRule="auto"/>
        <w:tabs>
          <w:tab w:leader="none" w:pos="1761" w:val="left"/>
        </w:tabs>
        <w:numPr>
          <w:ilvl w:val="1"/>
          <w:numId w:val="3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otherwise provided herein, Sublessor grants to Sublessee, for the duration of the Term of this Sublease, all of the rights and privileges granted Sublessor under the Master Lease as it relates to the Premises. Sublessor does not assume or agree to perform for Sublessee’s benefit any of the duties or obligations of the Master Lessor under the Master Lease.</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265" w:right="339" w:bottom="1440" w:gutter="0" w:footer="0" w:header="0"/>
        </w:sectPr>
      </w:pPr>
    </w:p>
    <w:bookmarkStart w:id="375" w:name="page376"/>
    <w:bookmarkEnd w:id="375"/>
    <w:p>
      <w:pPr>
        <w:jc w:val="both"/>
        <w:ind w:left="680" w:firstLine="529"/>
        <w:spacing w:after="0" w:line="244" w:lineRule="auto"/>
        <w:tabs>
          <w:tab w:leader="none" w:pos="1806" w:val="left"/>
        </w:tabs>
        <w:numPr>
          <w:ilvl w:val="0"/>
          <w:numId w:val="3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Sublessee indemnifies and agrees to hold Sublessor harmless from and against any and all claims, liabilities, damages and losses arising by reason of the breach of any covenant, agreement or obligation to be observed or performed by Sublessee under the Master Lease or this Sublease and all costs and expenses, including reasonable attorneys’ fees, incurred on account of the same. Sublessor indemnifies and agrees to hold Sublessee harmless from and against any and all claims, liabilities, damages and losses arising by reason of the breach of any covenant, agreement or obligation to be observed or performed by Sublessor under the Master Lease or this Sublease (which breach is not caused by Sublessee) and all costs and expenses, including reasonable attorneys’ fees, incurred on account of the same.</w:t>
      </w:r>
    </w:p>
    <w:p>
      <w:pPr>
        <w:spacing w:after="0" w:line="185" w:lineRule="exact"/>
        <w:rPr>
          <w:rFonts w:ascii="Times New Roman" w:cs="Times New Roman" w:eastAsia="Times New Roman" w:hAnsi="Times New Roman"/>
          <w:sz w:val="20"/>
          <w:szCs w:val="20"/>
          <w:color w:val="auto"/>
        </w:rPr>
      </w:pPr>
    </w:p>
    <w:p>
      <w:pPr>
        <w:jc w:val="both"/>
        <w:ind w:left="680" w:firstLine="529"/>
        <w:spacing w:after="0" w:line="244" w:lineRule="auto"/>
        <w:tabs>
          <w:tab w:leader="none" w:pos="1923" w:val="left"/>
        </w:tabs>
        <w:numPr>
          <w:ilvl w:val="0"/>
          <w:numId w:val="3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the Termination Date, this Sublease shall terminate and the parties shall be relieved of any further liability or obligation under this Sublease, provided however, that if the Master Lease terminates as a result of a default or breach by Sublessor or Sublessee under this Sublease and/or the Master Lease, then the defaulting party shall be liable to the nondefaulting party for the damage suffered as a result of such termination. Notwithstanding the foregoing, if the Master Lease gives Master Lessor or Sublessor any right to terminate the Master Lease in the event of the partial or total damage, destruction, or condemnation of the Premises or the Building of which the Premises are a part, the exercise of such right by Master Lessor or Sublessor shall not constitute a default or breach hereunder.</w:t>
      </w:r>
    </w:p>
    <w:p>
      <w:pPr>
        <w:spacing w:after="0" w:line="185" w:lineRule="exact"/>
        <w:rPr>
          <w:rFonts w:ascii="Times New Roman" w:cs="Times New Roman" w:eastAsia="Times New Roman" w:hAnsi="Times New Roman"/>
          <w:sz w:val="20"/>
          <w:szCs w:val="20"/>
          <w:color w:val="auto"/>
        </w:rPr>
      </w:pPr>
    </w:p>
    <w:p>
      <w:pPr>
        <w:ind w:left="1720" w:hanging="511"/>
        <w:spacing w:after="0"/>
        <w:tabs>
          <w:tab w:leader="none" w:pos="1720" w:val="left"/>
        </w:tabs>
        <w:numPr>
          <w:ilvl w:val="0"/>
          <w:numId w:val="3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Sublessor shall not modify, amend or terminate the Master Lease without Sublessee’s prior written consent.</w:t>
      </w:r>
    </w:p>
    <w:p>
      <w:pPr>
        <w:spacing w:after="0" w:line="239" w:lineRule="exact"/>
        <w:rPr>
          <w:sz w:val="20"/>
          <w:szCs w:val="20"/>
          <w:color w:val="auto"/>
        </w:rPr>
      </w:pPr>
    </w:p>
    <w:p>
      <w:pPr>
        <w:jc w:val="both"/>
        <w:ind w:left="660" w:hanging="652"/>
        <w:spacing w:after="0" w:line="250" w:lineRule="auto"/>
        <w:tabs>
          <w:tab w:leader="none" w:pos="660" w:val="left"/>
        </w:tabs>
        <w:numPr>
          <w:ilvl w:val="0"/>
          <w:numId w:val="3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Assignment and Subletting</w:t>
      </w:r>
      <w:r>
        <w:rPr>
          <w:rFonts w:ascii="Times New Roman" w:cs="Times New Roman" w:eastAsia="Times New Roman" w:hAnsi="Times New Roman"/>
          <w:sz w:val="20"/>
          <w:szCs w:val="20"/>
          <w:color w:val="auto"/>
        </w:rPr>
        <w:t>. Except for a Permitted Transfer (as defined in the Master Lease), Sublessee shall not assign this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Sublease or further sublet all or any part of the Premises without the prior written consent of Sublessor (and without the prior written consent of Master Lessor, if such is required under the terms of the Master Lease), which Sublessor’s consent may be withheld in its reasonable discretion.</w:t>
      </w:r>
    </w:p>
    <w:p>
      <w:pPr>
        <w:spacing w:after="0" w:line="202" w:lineRule="exact"/>
        <w:rPr>
          <w:rFonts w:ascii="Times New Roman" w:cs="Times New Roman" w:eastAsia="Times New Roman" w:hAnsi="Times New Roman"/>
          <w:sz w:val="20"/>
          <w:szCs w:val="20"/>
          <w:color w:val="auto"/>
        </w:rPr>
      </w:pPr>
    </w:p>
    <w:p>
      <w:pPr>
        <w:jc w:val="both"/>
        <w:ind w:left="660" w:hanging="652"/>
        <w:spacing w:after="0" w:line="242" w:lineRule="auto"/>
        <w:tabs>
          <w:tab w:leader="none" w:pos="660" w:val="left"/>
        </w:tabs>
        <w:numPr>
          <w:ilvl w:val="0"/>
          <w:numId w:val="3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Indemnity &amp; Insurance</w:t>
      </w:r>
      <w:r>
        <w:rPr>
          <w:rFonts w:ascii="Times New Roman" w:cs="Times New Roman" w:eastAsia="Times New Roman" w:hAnsi="Times New Roman"/>
          <w:sz w:val="20"/>
          <w:szCs w:val="20"/>
          <w:color w:val="auto"/>
        </w:rPr>
        <w:t>. Sublessee agrees to and hereby does indemnify and save Master Lessor and Sublessor harmless against all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claims for damages to persons or property by reason of Sublessee’s use or occupancy of the Premises, and all expenses incurred by Master Lessor and Sublessor because thereof, including attorney’s fees and court costs. Supplementing the foregoing and in addition thereto, Sublessee shall during the Term of this Sublease, and at Sublessee’s expense, maintain in full force and effect comprehensive general liability insurance with the minimum amount of coverage required of “Tenant” in the Master Lease, which insurance shall contain a special endorsement recognizing and insuring any liability accruing to Sublessee under the first sentence of this Paragraph 12, and naming Master Lessor and Sublessor as additional insureds. Sublessee shall also maintain such other insurance required to be maintained by Sublessor under the Master Lease, naming Master Lessor and Sublessor as additional insureds. Sublessee shall provide evidence of such insurance to Sublessor prior to the Commencement Date. Sublessor and Sublessee each hereby release and relieve the other, and waive its right of recovery, for loss or damage arising out of or incident to the perils insured against which perils occur in, on or about the Premises, whether due to the negligence of Sublessor or Sublessee or their Brokers, employees, contractors and/or invitees to the extent that such loss or damage is within the policy limits of said comprehensive general liability insurance. Sublessor and Sublessee shall, upon obtaining the policies of insurance required, give notice to the insurance carrier or carriers that the foregoing mutual waiver of subrogation is contained in this Sublease.</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265" w:right="339" w:bottom="1440" w:gutter="0" w:footer="0" w:header="0"/>
        </w:sectPr>
      </w:pPr>
    </w:p>
    <w:bookmarkStart w:id="376" w:name="page377"/>
    <w:bookmarkEnd w:id="376"/>
    <w:p>
      <w:pPr>
        <w:ind w:left="660" w:hanging="652"/>
        <w:spacing w:after="0" w:line="273" w:lineRule="auto"/>
        <w:tabs>
          <w:tab w:leader="none" w:pos="660" w:val="left"/>
        </w:tabs>
        <w:numPr>
          <w:ilvl w:val="0"/>
          <w:numId w:val="3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Access to Premises</w:t>
      </w:r>
      <w:r>
        <w:rPr>
          <w:rFonts w:ascii="Times New Roman" w:cs="Times New Roman" w:eastAsia="Times New Roman" w:hAnsi="Times New Roman"/>
          <w:sz w:val="20"/>
          <w:szCs w:val="20"/>
          <w:color w:val="auto"/>
        </w:rPr>
        <w:t>. Sublessor or its agents shall have the right upon at least 24 hours’ prior notice to enter upon the Premises at all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reasonable hours for the purpose of inspecting same.</w:t>
      </w:r>
    </w:p>
    <w:p>
      <w:pPr>
        <w:spacing w:after="0" w:line="178" w:lineRule="exact"/>
        <w:rPr>
          <w:rFonts w:ascii="Times New Roman" w:cs="Times New Roman" w:eastAsia="Times New Roman" w:hAnsi="Times New Roman"/>
          <w:sz w:val="20"/>
          <w:szCs w:val="20"/>
          <w:color w:val="auto"/>
        </w:rPr>
      </w:pPr>
    </w:p>
    <w:p>
      <w:pPr>
        <w:jc w:val="both"/>
        <w:ind w:left="660" w:hanging="652"/>
        <w:spacing w:after="0" w:line="276" w:lineRule="auto"/>
        <w:tabs>
          <w:tab w:leader="none" w:pos="660" w:val="left"/>
        </w:tabs>
        <w:numPr>
          <w:ilvl w:val="0"/>
          <w:numId w:val="36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Sublessee’s Personal Property</w:t>
      </w:r>
      <w:r>
        <w:rPr>
          <w:rFonts w:ascii="Times New Roman" w:cs="Times New Roman" w:eastAsia="Times New Roman" w:hAnsi="Times New Roman"/>
          <w:sz w:val="19"/>
          <w:szCs w:val="19"/>
          <w:color w:val="auto"/>
        </w:rPr>
        <w:t>. Sublessor shall not be liable for any damages to fixtures, merchandise or other personal property or</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inventories of Sublessee found or located within the Premises caused by fire, theft, misappropriation, or any other cause whatsoever, whether similar or dissimilar to the foregoing. Any such personal property placed on the Premises shall be at Sublessee’ s sole risk.</w:t>
      </w:r>
    </w:p>
    <w:p>
      <w:pPr>
        <w:spacing w:after="0" w:line="177" w:lineRule="exact"/>
        <w:rPr>
          <w:rFonts w:ascii="Times New Roman" w:cs="Times New Roman" w:eastAsia="Times New Roman" w:hAnsi="Times New Roman"/>
          <w:sz w:val="19"/>
          <w:szCs w:val="19"/>
          <w:color w:val="auto"/>
        </w:rPr>
      </w:pPr>
    </w:p>
    <w:p>
      <w:pPr>
        <w:ind w:left="660" w:hanging="652"/>
        <w:spacing w:after="0"/>
        <w:tabs>
          <w:tab w:leader="none" w:pos="660" w:val="left"/>
        </w:tabs>
        <w:numPr>
          <w:ilvl w:val="0"/>
          <w:numId w:val="3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Default and Remedies</w:t>
      </w:r>
      <w:r>
        <w:rPr>
          <w:rFonts w:ascii="Times New Roman" w:cs="Times New Roman" w:eastAsia="Times New Roman" w:hAnsi="Times New Roman"/>
          <w:sz w:val="20"/>
          <w:szCs w:val="20"/>
          <w:color w:val="auto"/>
        </w:rPr>
        <w:t>.</w:t>
      </w:r>
    </w:p>
    <w:p>
      <w:pPr>
        <w:spacing w:after="0" w:line="219" w:lineRule="exact"/>
        <w:rPr>
          <w:rFonts w:ascii="Times New Roman" w:cs="Times New Roman" w:eastAsia="Times New Roman" w:hAnsi="Times New Roman"/>
          <w:sz w:val="20"/>
          <w:szCs w:val="20"/>
          <w:color w:val="auto"/>
        </w:rPr>
      </w:pPr>
    </w:p>
    <w:p>
      <w:pPr>
        <w:ind w:left="680" w:firstLine="529"/>
        <w:spacing w:after="0" w:line="269" w:lineRule="auto"/>
        <w:tabs>
          <w:tab w:leader="none" w:pos="1917" w:val="left"/>
        </w:tabs>
        <w:numPr>
          <w:ilvl w:val="1"/>
          <w:numId w:val="3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addition to the items of Default that Sublessee is subject to under the Master Lease, the following events shall constitute a Default of this Sublease:</w:t>
      </w:r>
    </w:p>
    <w:p>
      <w:pPr>
        <w:spacing w:after="0" w:line="159" w:lineRule="exact"/>
        <w:rPr>
          <w:rFonts w:ascii="Times New Roman" w:cs="Times New Roman" w:eastAsia="Times New Roman" w:hAnsi="Times New Roman"/>
          <w:sz w:val="20"/>
          <w:szCs w:val="20"/>
          <w:color w:val="auto"/>
        </w:rPr>
      </w:pPr>
    </w:p>
    <w:p>
      <w:pPr>
        <w:ind w:left="1240" w:firstLine="503"/>
        <w:spacing w:after="0" w:line="269" w:lineRule="auto"/>
        <w:tabs>
          <w:tab w:leader="none" w:pos="2330" w:val="left"/>
        </w:tabs>
        <w:numPr>
          <w:ilvl w:val="2"/>
          <w:numId w:val="3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Minimum Rent, Additional Rent or any other rent or any part thereof is at anytime in arrears and unpaid for three (3) business days after written notice that the same is past due hereunder;</w:t>
      </w:r>
    </w:p>
    <w:p>
      <w:pPr>
        <w:spacing w:after="0" w:line="159" w:lineRule="exact"/>
        <w:rPr>
          <w:rFonts w:ascii="Times New Roman" w:cs="Times New Roman" w:eastAsia="Times New Roman" w:hAnsi="Times New Roman"/>
          <w:sz w:val="20"/>
          <w:szCs w:val="20"/>
          <w:color w:val="auto"/>
        </w:rPr>
      </w:pPr>
    </w:p>
    <w:p>
      <w:pPr>
        <w:jc w:val="both"/>
        <w:ind w:left="1240" w:firstLine="503"/>
        <w:spacing w:after="0" w:line="245" w:lineRule="auto"/>
        <w:tabs>
          <w:tab w:leader="none" w:pos="2431" w:val="left"/>
        </w:tabs>
        <w:numPr>
          <w:ilvl w:val="2"/>
          <w:numId w:val="3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Sublessee has failed to keep and perform any of the other covenants and agreements on its part to be kept and performed under this Sublease or as required by this Sublease under the Master Lease which constitute defaults under the Master Lease, and such failure has not been cured within thirty (30) days after written notice thereof by Sublessor; provided, however, that if the nature of Sublessee’s obligation is such that more than 30 days are required for its performance, then Sublessee shall not be deemed to be in Default if it commences performance within the 30 day period and thereafter diligently pursues the cure to completion;</w:t>
      </w:r>
    </w:p>
    <w:p>
      <w:pPr>
        <w:spacing w:after="0" w:line="184" w:lineRule="exact"/>
        <w:rPr>
          <w:rFonts w:ascii="Times New Roman" w:cs="Times New Roman" w:eastAsia="Times New Roman" w:hAnsi="Times New Roman"/>
          <w:sz w:val="20"/>
          <w:szCs w:val="20"/>
          <w:color w:val="auto"/>
        </w:rPr>
      </w:pPr>
    </w:p>
    <w:p>
      <w:pPr>
        <w:ind w:left="2440" w:hanging="697"/>
        <w:spacing w:after="0"/>
        <w:tabs>
          <w:tab w:leader="none" w:pos="2440" w:val="left"/>
        </w:tabs>
        <w:numPr>
          <w:ilvl w:val="2"/>
          <w:numId w:val="3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Sublessee abandons the Premises during the Term thereof;</w:t>
      </w:r>
    </w:p>
    <w:p>
      <w:pPr>
        <w:spacing w:after="0" w:line="215" w:lineRule="exact"/>
        <w:rPr>
          <w:rFonts w:ascii="Times New Roman" w:cs="Times New Roman" w:eastAsia="Times New Roman" w:hAnsi="Times New Roman"/>
          <w:sz w:val="20"/>
          <w:szCs w:val="20"/>
          <w:color w:val="auto"/>
        </w:rPr>
      </w:pPr>
    </w:p>
    <w:p>
      <w:pPr>
        <w:jc w:val="both"/>
        <w:ind w:left="680" w:firstLine="529"/>
        <w:spacing w:after="0" w:line="254" w:lineRule="auto"/>
        <w:tabs>
          <w:tab w:leader="none" w:pos="1914" w:val="left"/>
        </w:tabs>
        <w:numPr>
          <w:ilvl w:val="1"/>
          <w:numId w:val="3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Upon the occurrence of any one or more of the above events constituting a Default of this Sublease, or any other Default of the Master Lease, if the Sublessee is required by the terms of this Sublease, to observe, keep and perform said covenants under the Master Lease, Sublessor, at its option, may do any one or more or all of the following:</w:t>
      </w:r>
    </w:p>
    <w:p>
      <w:pPr>
        <w:spacing w:after="0" w:line="174" w:lineRule="exact"/>
        <w:rPr>
          <w:rFonts w:ascii="Times New Roman" w:cs="Times New Roman" w:eastAsia="Times New Roman" w:hAnsi="Times New Roman"/>
          <w:sz w:val="20"/>
          <w:szCs w:val="20"/>
          <w:color w:val="auto"/>
        </w:rPr>
      </w:pPr>
    </w:p>
    <w:p>
      <w:pPr>
        <w:jc w:val="both"/>
        <w:ind w:left="1240" w:firstLine="503"/>
        <w:spacing w:after="0" w:line="254" w:lineRule="auto"/>
        <w:tabs>
          <w:tab w:leader="none" w:pos="2400" w:val="left"/>
        </w:tabs>
        <w:numPr>
          <w:ilvl w:val="2"/>
          <w:numId w:val="3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applicable law, declare the balance of all Rent and all amounts due hereunder immediately due and payable, and upon such declaration such accelerated Rent plus the aggregate amount of any installments of Rent and other sums then accrued and unpaid shall be due and payable immediately;</w:t>
      </w:r>
    </w:p>
    <w:p>
      <w:pPr>
        <w:spacing w:after="0" w:line="174" w:lineRule="exact"/>
        <w:rPr>
          <w:rFonts w:ascii="Times New Roman" w:cs="Times New Roman" w:eastAsia="Times New Roman" w:hAnsi="Times New Roman"/>
          <w:sz w:val="20"/>
          <w:szCs w:val="20"/>
          <w:color w:val="auto"/>
        </w:rPr>
      </w:pPr>
    </w:p>
    <w:p>
      <w:pPr>
        <w:jc w:val="both"/>
        <w:ind w:left="1240" w:firstLine="503"/>
        <w:spacing w:after="0" w:line="249" w:lineRule="auto"/>
        <w:tabs>
          <w:tab w:leader="none" w:pos="2473" w:val="left"/>
        </w:tabs>
        <w:numPr>
          <w:ilvl w:val="2"/>
          <w:numId w:val="3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Terminate this Sublease and re-enter the Premises and again have, repossess and enjoy the same with all the improvements then located thereon as if this Sublease had not been made, in which event, this Sublease and everything herein contained on the part of the Sublessor to be kept and performed shall cease and be utterly void, without prejudice, however, to the Sublessor’s right of action for arrears of rent and breach of covenant; and/or</w:t>
      </w:r>
    </w:p>
    <w:p>
      <w:pPr>
        <w:spacing w:after="0" w:line="179" w:lineRule="exact"/>
        <w:rPr>
          <w:rFonts w:ascii="Times New Roman" w:cs="Times New Roman" w:eastAsia="Times New Roman" w:hAnsi="Times New Roman"/>
          <w:sz w:val="20"/>
          <w:szCs w:val="20"/>
          <w:color w:val="auto"/>
        </w:rPr>
      </w:pPr>
    </w:p>
    <w:p>
      <w:pPr>
        <w:jc w:val="both"/>
        <w:ind w:left="1240" w:firstLine="503"/>
        <w:spacing w:after="0" w:line="254" w:lineRule="auto"/>
        <w:tabs>
          <w:tab w:leader="none" w:pos="2446" w:val="left"/>
        </w:tabs>
        <w:numPr>
          <w:ilvl w:val="2"/>
          <w:numId w:val="3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Re-let the Premises on such terms as Sublessor may from time to time elect and apply the net proceeds toward the Sublessee’s obligations hereunder, without prejudice, however, to Sublessor’s right of action for arrears of rent and breach of covenant.</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40"/>
          </w:cols>
          <w:pgMar w:left="320" w:top="261" w:right="339" w:bottom="1440" w:gutter="0" w:footer="0" w:header="0"/>
        </w:sectPr>
      </w:pPr>
    </w:p>
    <w:bookmarkStart w:id="377" w:name="page378"/>
    <w:bookmarkEnd w:id="377"/>
    <w:p>
      <w:pPr>
        <w:jc w:val="both"/>
        <w:ind w:left="680" w:firstLine="529"/>
        <w:spacing w:after="0" w:line="249" w:lineRule="auto"/>
        <w:tabs>
          <w:tab w:leader="none" w:pos="1840" w:val="left"/>
        </w:tabs>
        <w:numPr>
          <w:ilvl w:val="0"/>
          <w:numId w:val="3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Sublessee shall pay and indemnify Sublessor against all legal costs and charges, including counsel fees lawfully and reasonably incurred in obtaining possession of the Premises after a default of Sublessee or after Sublessee’s default under the Master Lease or in surrendering possession of the Premises upon expiration or earlier termination of the term of the Sublease, or enforcing any covenant of this Sublease.</w:t>
      </w:r>
    </w:p>
    <w:p>
      <w:pPr>
        <w:spacing w:after="0" w:line="203" w:lineRule="exact"/>
        <w:rPr>
          <w:sz w:val="20"/>
          <w:szCs w:val="20"/>
          <w:color w:val="auto"/>
        </w:rPr>
      </w:pPr>
    </w:p>
    <w:p>
      <w:pPr>
        <w:jc w:val="both"/>
        <w:ind w:left="660" w:hanging="652"/>
        <w:spacing w:after="0" w:line="245" w:lineRule="auto"/>
        <w:tabs>
          <w:tab w:leader="none" w:pos="660" w:val="left"/>
        </w:tabs>
        <w:numPr>
          <w:ilvl w:val="0"/>
          <w:numId w:val="3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Sublessor’s Right to Cure Sublessee’s Default</w:t>
      </w:r>
      <w:r>
        <w:rPr>
          <w:rFonts w:ascii="Times New Roman" w:cs="Times New Roman" w:eastAsia="Times New Roman" w:hAnsi="Times New Roman"/>
          <w:sz w:val="20"/>
          <w:szCs w:val="20"/>
          <w:color w:val="auto"/>
        </w:rPr>
        <w:t>. Sublessee shall not do or suffer or permit anything to be done which would cause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Master Lease to be terminated, or forfeited by virtue of any rights of termination, or forfeiture reserved or vested in Lessor, or by law or in equity. If Sublessee shall default beyond any notice and cure period in the performance of any of its obligations under this Sublease or under the Master Lease, Sublessor, without being under any obligation to do so and without thereby waiving such default, may remedy such default for the account and at the expense of Sublessee upon prior notice. If Sublessor makes any expenditure or incurs any obligation for the payment of money in connection therewith, such sums paid or obligations incurred shall be deemed to be Additional Rent hereunder and shall be paid to Sublessor by Sublessee on demand.</w:t>
      </w:r>
    </w:p>
    <w:p>
      <w:pPr>
        <w:spacing w:after="0" w:line="206" w:lineRule="exact"/>
        <w:rPr>
          <w:rFonts w:ascii="Times New Roman" w:cs="Times New Roman" w:eastAsia="Times New Roman" w:hAnsi="Times New Roman"/>
          <w:sz w:val="20"/>
          <w:szCs w:val="20"/>
          <w:color w:val="auto"/>
        </w:rPr>
      </w:pPr>
    </w:p>
    <w:p>
      <w:pPr>
        <w:jc w:val="both"/>
        <w:ind w:left="660" w:hanging="652"/>
        <w:spacing w:after="0" w:line="247" w:lineRule="auto"/>
        <w:tabs>
          <w:tab w:leader="none" w:pos="660" w:val="left"/>
        </w:tabs>
        <w:numPr>
          <w:ilvl w:val="0"/>
          <w:numId w:val="3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Surrender of Premises</w:t>
      </w:r>
      <w:r>
        <w:rPr>
          <w:rFonts w:ascii="Times New Roman" w:cs="Times New Roman" w:eastAsia="Times New Roman" w:hAnsi="Times New Roman"/>
          <w:sz w:val="20"/>
          <w:szCs w:val="20"/>
          <w:color w:val="auto"/>
        </w:rPr>
        <w:t>. Upon the expiration or other termination of the Term, Sublessee covenants to quit and surrender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Sublessor or Lessor, as the case may be, the Premises, broom clean, in good order and condition, ordinary wear and tear and damage by fire or other casualty excepted, and at Sublessee’s expense to remove all property of Sublessee. Any property not so removed shall be deemed to have been abandoned by Sublessee and may be retained or disposed of at Sublessee’s expense by Sublessor or Lessor, as either may desire.</w:t>
      </w:r>
    </w:p>
    <w:p>
      <w:pPr>
        <w:spacing w:after="0" w:line="207" w:lineRule="exact"/>
        <w:rPr>
          <w:rFonts w:ascii="Times New Roman" w:cs="Times New Roman" w:eastAsia="Times New Roman" w:hAnsi="Times New Roman"/>
          <w:sz w:val="20"/>
          <w:szCs w:val="20"/>
          <w:color w:val="auto"/>
        </w:rPr>
      </w:pPr>
    </w:p>
    <w:p>
      <w:pPr>
        <w:jc w:val="both"/>
        <w:ind w:left="660" w:hanging="652"/>
        <w:spacing w:after="0" w:line="256" w:lineRule="auto"/>
        <w:tabs>
          <w:tab w:leader="none" w:pos="660" w:val="left"/>
        </w:tabs>
        <w:numPr>
          <w:ilvl w:val="0"/>
          <w:numId w:val="3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Holding Over</w:t>
      </w:r>
      <w:r>
        <w:rPr>
          <w:rFonts w:ascii="Times New Roman" w:cs="Times New Roman" w:eastAsia="Times New Roman" w:hAnsi="Times New Roman"/>
          <w:sz w:val="20"/>
          <w:szCs w:val="20"/>
          <w:color w:val="auto"/>
        </w:rPr>
        <w:t>. In the event Sublessee remains in possession of the Premises after the expiration of this Sublease, then in addition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damages due and owing by Sublessee to Master Lessor under the Master Lease, Sublessee shall be required to pay directly to Master Lessor the Holdover Rent provided for in the Master Lease.</w:t>
      </w:r>
    </w:p>
    <w:p>
      <w:pPr>
        <w:spacing w:after="0" w:line="195" w:lineRule="exact"/>
        <w:rPr>
          <w:rFonts w:ascii="Times New Roman" w:cs="Times New Roman" w:eastAsia="Times New Roman" w:hAnsi="Times New Roman"/>
          <w:sz w:val="20"/>
          <w:szCs w:val="20"/>
          <w:color w:val="auto"/>
        </w:rPr>
      </w:pPr>
    </w:p>
    <w:p>
      <w:pPr>
        <w:jc w:val="both"/>
        <w:ind w:left="660" w:hanging="652"/>
        <w:spacing w:after="0" w:line="256" w:lineRule="auto"/>
        <w:tabs>
          <w:tab w:leader="none" w:pos="660" w:val="left"/>
        </w:tabs>
        <w:numPr>
          <w:ilvl w:val="0"/>
          <w:numId w:val="3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Notices</w:t>
      </w:r>
      <w:r>
        <w:rPr>
          <w:rFonts w:ascii="Times New Roman" w:cs="Times New Roman" w:eastAsia="Times New Roman" w:hAnsi="Times New Roman"/>
          <w:sz w:val="20"/>
          <w:szCs w:val="20"/>
          <w:color w:val="auto"/>
        </w:rPr>
        <w:t>. (a) Any notice by either party to the other required or permitted under this Sublease shall be valid only if in writing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shall be deemed to be duly given only if sent by (i) registered or certified mail return receipt requested; or (ii) by pre-paid nationally recognized overnight courier service, addressed (1) if to Sublessor, at:</w:t>
      </w:r>
    </w:p>
    <w:p>
      <w:pPr>
        <w:spacing w:after="0" w:line="173" w:lineRule="exact"/>
        <w:rPr>
          <w:sz w:val="20"/>
          <w:szCs w:val="20"/>
          <w:color w:val="auto"/>
        </w:rPr>
      </w:pPr>
    </w:p>
    <w:p>
      <w:pPr>
        <w:ind w:left="2060"/>
        <w:spacing w:after="0"/>
        <w:rPr>
          <w:sz w:val="20"/>
          <w:szCs w:val="20"/>
          <w:color w:val="auto"/>
        </w:rPr>
      </w:pPr>
      <w:r>
        <w:rPr>
          <w:rFonts w:ascii="Times New Roman" w:cs="Times New Roman" w:eastAsia="Times New Roman" w:hAnsi="Times New Roman"/>
          <w:sz w:val="20"/>
          <w:szCs w:val="20"/>
          <w:color w:val="auto"/>
        </w:rPr>
        <w:t>Avent, Inc.</w:t>
      </w:r>
    </w:p>
    <w:p>
      <w:pPr>
        <w:spacing w:after="0" w:line="21" w:lineRule="exact"/>
        <w:rPr>
          <w:sz w:val="20"/>
          <w:szCs w:val="20"/>
          <w:color w:val="auto"/>
        </w:rPr>
      </w:pPr>
    </w:p>
    <w:p>
      <w:pPr>
        <w:ind w:left="2060"/>
        <w:spacing w:after="0"/>
        <w:rPr>
          <w:sz w:val="20"/>
          <w:szCs w:val="20"/>
          <w:color w:val="auto"/>
        </w:rPr>
      </w:pPr>
      <w:r>
        <w:rPr>
          <w:rFonts w:ascii="Times New Roman" w:cs="Times New Roman" w:eastAsia="Times New Roman" w:hAnsi="Times New Roman"/>
          <w:sz w:val="20"/>
          <w:szCs w:val="20"/>
          <w:color w:val="auto"/>
        </w:rPr>
        <w:t>Attn: General Counsel</w:t>
      </w:r>
    </w:p>
    <w:p>
      <w:pPr>
        <w:ind w:left="2060"/>
        <w:spacing w:after="0"/>
        <w:rPr>
          <w:sz w:val="20"/>
          <w:szCs w:val="20"/>
          <w:color w:val="auto"/>
        </w:rPr>
      </w:pPr>
      <w:r>
        <w:rPr>
          <w:rFonts w:ascii="Times New Roman" w:cs="Times New Roman" w:eastAsia="Times New Roman" w:hAnsi="Times New Roman"/>
          <w:sz w:val="20"/>
          <w:szCs w:val="20"/>
          <w:color w:val="auto"/>
        </w:rPr>
        <w:t>5404 Windward Parkway</w:t>
      </w:r>
    </w:p>
    <w:p>
      <w:pPr>
        <w:ind w:left="2060"/>
        <w:spacing w:after="0"/>
        <w:rPr>
          <w:sz w:val="20"/>
          <w:szCs w:val="20"/>
          <w:color w:val="auto"/>
        </w:rPr>
      </w:pPr>
      <w:r>
        <w:rPr>
          <w:rFonts w:ascii="Times New Roman" w:cs="Times New Roman" w:eastAsia="Times New Roman" w:hAnsi="Times New Roman"/>
          <w:sz w:val="20"/>
          <w:szCs w:val="20"/>
          <w:color w:val="auto"/>
        </w:rPr>
        <w:t>Alpharetta, Georgia 30004</w:t>
      </w:r>
    </w:p>
    <w:p>
      <w:pPr>
        <w:spacing w:after="0" w:line="194" w:lineRule="exact"/>
        <w:rPr>
          <w:sz w:val="20"/>
          <w:szCs w:val="20"/>
          <w:color w:val="auto"/>
        </w:rPr>
      </w:pPr>
    </w:p>
    <w:p>
      <w:pPr>
        <w:ind w:left="2060"/>
        <w:spacing w:after="0"/>
        <w:rPr>
          <w:sz w:val="20"/>
          <w:szCs w:val="20"/>
          <w:color w:val="auto"/>
        </w:rPr>
      </w:pPr>
      <w:r>
        <w:rPr>
          <w:rFonts w:ascii="Times New Roman" w:cs="Times New Roman" w:eastAsia="Times New Roman" w:hAnsi="Times New Roman"/>
          <w:sz w:val="20"/>
          <w:szCs w:val="20"/>
          <w:color w:val="auto"/>
        </w:rPr>
        <w:t>With a simultaneous copy to:</w:t>
      </w:r>
    </w:p>
    <w:p>
      <w:pPr>
        <w:spacing w:after="0" w:line="216" w:lineRule="exact"/>
        <w:rPr>
          <w:sz w:val="20"/>
          <w:szCs w:val="20"/>
          <w:color w:val="auto"/>
        </w:rPr>
      </w:pPr>
    </w:p>
    <w:p>
      <w:pPr>
        <w:ind w:left="2060"/>
        <w:spacing w:after="0"/>
        <w:rPr>
          <w:sz w:val="20"/>
          <w:szCs w:val="20"/>
          <w:color w:val="auto"/>
        </w:rPr>
      </w:pPr>
      <w:r>
        <w:rPr>
          <w:rFonts w:ascii="Times New Roman" w:cs="Times New Roman" w:eastAsia="Times New Roman" w:hAnsi="Times New Roman"/>
          <w:sz w:val="20"/>
          <w:szCs w:val="20"/>
          <w:color w:val="auto"/>
        </w:rPr>
        <w:t>Arnall Golden Gregory LLP</w:t>
      </w:r>
    </w:p>
    <w:p>
      <w:pPr>
        <w:spacing w:after="0" w:line="21" w:lineRule="exact"/>
        <w:rPr>
          <w:sz w:val="20"/>
          <w:szCs w:val="20"/>
          <w:color w:val="auto"/>
        </w:rPr>
      </w:pPr>
    </w:p>
    <w:p>
      <w:pPr>
        <w:ind w:left="2060"/>
        <w:spacing w:after="0"/>
        <w:rPr>
          <w:sz w:val="20"/>
          <w:szCs w:val="20"/>
          <w:color w:val="auto"/>
        </w:rPr>
      </w:pPr>
      <w:r>
        <w:rPr>
          <w:rFonts w:ascii="Times New Roman" w:cs="Times New Roman" w:eastAsia="Times New Roman" w:hAnsi="Times New Roman"/>
          <w:sz w:val="20"/>
          <w:szCs w:val="20"/>
          <w:color w:val="auto"/>
        </w:rPr>
        <w:t>Attention: Hedy S. Rubinger, Esq.</w:t>
      </w:r>
    </w:p>
    <w:p>
      <w:pPr>
        <w:ind w:left="2060"/>
        <w:spacing w:after="0"/>
        <w:rPr>
          <w:sz w:val="20"/>
          <w:szCs w:val="20"/>
          <w:color w:val="auto"/>
        </w:rPr>
      </w:pPr>
      <w:r>
        <w:rPr>
          <w:rFonts w:ascii="Times New Roman" w:cs="Times New Roman" w:eastAsia="Times New Roman" w:hAnsi="Times New Roman"/>
          <w:sz w:val="20"/>
          <w:szCs w:val="20"/>
          <w:color w:val="auto"/>
        </w:rPr>
        <w:t>171 17th Street, NW, Suite 2100</w:t>
      </w:r>
    </w:p>
    <w:p>
      <w:pPr>
        <w:ind w:left="2060"/>
        <w:spacing w:after="0"/>
        <w:rPr>
          <w:sz w:val="20"/>
          <w:szCs w:val="20"/>
          <w:color w:val="auto"/>
        </w:rPr>
      </w:pPr>
      <w:r>
        <w:rPr>
          <w:rFonts w:ascii="Times New Roman" w:cs="Times New Roman" w:eastAsia="Times New Roman" w:hAnsi="Times New Roman"/>
          <w:sz w:val="20"/>
          <w:szCs w:val="20"/>
          <w:color w:val="auto"/>
        </w:rPr>
        <w:t>Atlanta, Georgia 30363-1031</w:t>
      </w:r>
    </w:p>
    <w:p>
      <w:pPr>
        <w:spacing w:after="0" w:line="194" w:lineRule="exact"/>
        <w:rPr>
          <w:sz w:val="20"/>
          <w:szCs w:val="20"/>
          <w:color w:val="auto"/>
        </w:rPr>
      </w:pPr>
    </w:p>
    <w:p>
      <w:pPr>
        <w:ind w:left="680"/>
        <w:spacing w:after="0" w:line="269" w:lineRule="auto"/>
        <w:rPr>
          <w:sz w:val="20"/>
          <w:szCs w:val="20"/>
          <w:color w:val="auto"/>
        </w:rPr>
      </w:pPr>
      <w:r>
        <w:rPr>
          <w:rFonts w:ascii="Times New Roman" w:cs="Times New Roman" w:eastAsia="Times New Roman" w:hAnsi="Times New Roman"/>
          <w:sz w:val="20"/>
          <w:szCs w:val="20"/>
          <w:color w:val="auto"/>
        </w:rPr>
        <w:t>if to Sublessee, at the address of the Premises or, if different, the address set forth herein, or at such other address for either party as that party may designate by notice to the other; notice shall be deemed given upon the receipt thereof.</w:t>
      </w:r>
    </w:p>
    <w:p>
      <w:pPr>
        <w:spacing w:after="0" w:line="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40"/>
          </w:cols>
          <w:pgMar w:left="320" w:top="265" w:right="339" w:bottom="1440" w:gutter="0" w:footer="0" w:header="0"/>
        </w:sectPr>
      </w:pPr>
    </w:p>
    <w:bookmarkStart w:id="378" w:name="page379"/>
    <w:bookmarkEnd w:id="378"/>
    <w:p>
      <w:pPr>
        <w:jc w:val="both"/>
        <w:ind w:left="660" w:hanging="652"/>
        <w:spacing w:after="0" w:line="250" w:lineRule="auto"/>
        <w:tabs>
          <w:tab w:leader="none" w:pos="660" w:val="left"/>
        </w:tabs>
        <w:numPr>
          <w:ilvl w:val="0"/>
          <w:numId w:val="3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Transmittal of Notice and Demands</w:t>
      </w:r>
      <w:r>
        <w:rPr>
          <w:rFonts w:ascii="Times New Roman" w:cs="Times New Roman" w:eastAsia="Times New Roman" w:hAnsi="Times New Roman"/>
          <w:sz w:val="20"/>
          <w:szCs w:val="20"/>
          <w:color w:val="auto"/>
        </w:rPr>
        <w:t>. Sublessor shall promptly transmit to the Master Lessor under the Master Lease any notice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demand received from Sublessee and shall promptly transmit to Sublessee any notice or demand received from Master Lessor. Sublessee shall promptly transmit to Sublessor any notice or demand received from Master Lessor or any other party relating to the Premises (other than in the ordinary course of Sublessee’s business).</w:t>
      </w:r>
    </w:p>
    <w:p>
      <w:pPr>
        <w:spacing w:after="0" w:line="202" w:lineRule="exact"/>
        <w:rPr>
          <w:rFonts w:ascii="Times New Roman" w:cs="Times New Roman" w:eastAsia="Times New Roman" w:hAnsi="Times New Roman"/>
          <w:sz w:val="20"/>
          <w:szCs w:val="20"/>
          <w:color w:val="auto"/>
        </w:rPr>
      </w:pPr>
    </w:p>
    <w:p>
      <w:pPr>
        <w:jc w:val="both"/>
        <w:ind w:left="660" w:hanging="652"/>
        <w:spacing w:after="0" w:line="247" w:lineRule="auto"/>
        <w:tabs>
          <w:tab w:leader="none" w:pos="660" w:val="left"/>
        </w:tabs>
        <w:numPr>
          <w:ilvl w:val="0"/>
          <w:numId w:val="3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Entire Agreement</w:t>
      </w:r>
      <w:r>
        <w:rPr>
          <w:rFonts w:ascii="Times New Roman" w:cs="Times New Roman" w:eastAsia="Times New Roman" w:hAnsi="Times New Roman"/>
          <w:sz w:val="20"/>
          <w:szCs w:val="20"/>
          <w:color w:val="auto"/>
        </w:rPr>
        <w:t>. This Sublease contains the entire agreement of the parties hereto, and no representations, inducements, promises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or agreements, oral or otherwise, between the parties, not embodied herein, shall be of any force or effect. No subsequent alteration, amendment, change or addition to this Sublease, except as to changes or additions to the Rules and Regulations, if any, as described in the Master Lease, shall be binding upon Sublessor or Sublessee unless reduced to writing and signed by Sublessor and Sublessee and, if required under the Master Lease, consented to in writing by Master Lessor.</w:t>
      </w:r>
    </w:p>
    <w:p>
      <w:pPr>
        <w:spacing w:after="0" w:line="207" w:lineRule="exact"/>
        <w:rPr>
          <w:rFonts w:ascii="Times New Roman" w:cs="Times New Roman" w:eastAsia="Times New Roman" w:hAnsi="Times New Roman"/>
          <w:sz w:val="20"/>
          <w:szCs w:val="20"/>
          <w:color w:val="auto"/>
        </w:rPr>
      </w:pPr>
    </w:p>
    <w:p>
      <w:pPr>
        <w:jc w:val="both"/>
        <w:ind w:left="660" w:hanging="652"/>
        <w:spacing w:after="0" w:line="247" w:lineRule="auto"/>
        <w:tabs>
          <w:tab w:leader="none" w:pos="660" w:val="left"/>
        </w:tabs>
        <w:numPr>
          <w:ilvl w:val="0"/>
          <w:numId w:val="3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Attorney’s Fees</w:t>
      </w:r>
      <w:r>
        <w:rPr>
          <w:rFonts w:ascii="Times New Roman" w:cs="Times New Roman" w:eastAsia="Times New Roman" w:hAnsi="Times New Roman"/>
          <w:sz w:val="20"/>
          <w:szCs w:val="20"/>
          <w:color w:val="auto"/>
        </w:rPr>
        <w:t>. In the event that any action or proceeding is brought to enforce any term, covenant or condition of this Sublease 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part of the Sublessor or Sublessee, the prevailing party in such litigation shall be entitled to recover reasonable attorney’s fees actually incurred. Furthermore, Sublessor and Sublessee agree to pay the attorney’s fees and expenses of the other party to this Sublease (either Sublessor or Sublessee) if it is made a party to litigation because of its being a party to this Sublease and when it has not engaged in any wrongful conduct itself.</w:t>
      </w:r>
    </w:p>
    <w:p>
      <w:pPr>
        <w:spacing w:after="0" w:line="207" w:lineRule="exact"/>
        <w:rPr>
          <w:rFonts w:ascii="Times New Roman" w:cs="Times New Roman" w:eastAsia="Times New Roman" w:hAnsi="Times New Roman"/>
          <w:sz w:val="20"/>
          <w:szCs w:val="20"/>
          <w:color w:val="auto"/>
        </w:rPr>
      </w:pPr>
    </w:p>
    <w:p>
      <w:pPr>
        <w:ind w:left="660" w:hanging="652"/>
        <w:spacing w:after="0"/>
        <w:tabs>
          <w:tab w:leader="none" w:pos="660" w:val="left"/>
        </w:tabs>
        <w:numPr>
          <w:ilvl w:val="0"/>
          <w:numId w:val="3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Time of Essence</w:t>
      </w:r>
      <w:r>
        <w:rPr>
          <w:rFonts w:ascii="Times New Roman" w:cs="Times New Roman" w:eastAsia="Times New Roman" w:hAnsi="Times New Roman"/>
          <w:sz w:val="20"/>
          <w:szCs w:val="20"/>
          <w:color w:val="auto"/>
        </w:rPr>
        <w:t>. Time is of the essence of this Sublease.</w:t>
      </w:r>
    </w:p>
    <w:p>
      <w:pPr>
        <w:spacing w:after="0" w:line="242" w:lineRule="exact"/>
        <w:rPr>
          <w:rFonts w:ascii="Times New Roman" w:cs="Times New Roman" w:eastAsia="Times New Roman" w:hAnsi="Times New Roman"/>
          <w:sz w:val="20"/>
          <w:szCs w:val="20"/>
          <w:color w:val="auto"/>
        </w:rPr>
      </w:pPr>
    </w:p>
    <w:p>
      <w:pPr>
        <w:jc w:val="both"/>
        <w:ind w:left="660" w:hanging="652"/>
        <w:spacing w:after="0" w:line="246" w:lineRule="auto"/>
        <w:tabs>
          <w:tab w:leader="none" w:pos="660" w:val="left"/>
        </w:tabs>
        <w:numPr>
          <w:ilvl w:val="0"/>
          <w:numId w:val="3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Commission</w:t>
      </w:r>
      <w:r>
        <w:rPr>
          <w:rFonts w:ascii="Times New Roman" w:cs="Times New Roman" w:eastAsia="Times New Roman" w:hAnsi="Times New Roman"/>
          <w:sz w:val="20"/>
          <w:szCs w:val="20"/>
          <w:color w:val="auto"/>
        </w:rPr>
        <w:t>. Sublessor agrees to pay to pay Catherine Giel and Sam Holmes of CBRE, Inc., representing Sublessor (“Broker”),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Ross Bourne of CBRE, Inc., representing Sublessee (“Sublessee’s Broker”) for negotiating this Sublease, a commission as agreed to in a separate agreement. Sublessee warrants and represents that it has had no dealings with any broker or broker(s) in connection with this Sublease, other than Sublessee’s Broker, and Sublessee covenants to pay, hold harmless and indemnify Sublessor from and against any and all cost, expense or liability for any compensation, commissions or charges claimed by any broker or broker(s) on behalf of the Sublessee with respect to this Sublease or negotiation thereof, other than Sublessee’s Broker.</w:t>
      </w:r>
    </w:p>
    <w:p>
      <w:pPr>
        <w:spacing w:after="0" w:line="205" w:lineRule="exact"/>
        <w:rPr>
          <w:rFonts w:ascii="Times New Roman" w:cs="Times New Roman" w:eastAsia="Times New Roman" w:hAnsi="Times New Roman"/>
          <w:sz w:val="20"/>
          <w:szCs w:val="20"/>
          <w:color w:val="auto"/>
        </w:rPr>
      </w:pPr>
    </w:p>
    <w:p>
      <w:pPr>
        <w:jc w:val="both"/>
        <w:ind w:left="660" w:hanging="652"/>
        <w:spacing w:after="0" w:line="250" w:lineRule="auto"/>
        <w:tabs>
          <w:tab w:leader="none" w:pos="660" w:val="left"/>
        </w:tabs>
        <w:numPr>
          <w:ilvl w:val="0"/>
          <w:numId w:val="3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Severability</w:t>
      </w:r>
      <w:r>
        <w:rPr>
          <w:rFonts w:ascii="Times New Roman" w:cs="Times New Roman" w:eastAsia="Times New Roman" w:hAnsi="Times New Roman"/>
          <w:sz w:val="20"/>
          <w:szCs w:val="20"/>
          <w:color w:val="auto"/>
        </w:rPr>
        <w:t>. The terms, conditions, covenants and provisions of this Sublease shall be deemed to be severable. If any clause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provision herein contained shall be adjudged to be invalid or unenforceable by a court of competent jurisdiction or by operation of any applicable law, it shall not affect the validity of any other clause or provision herein, but such other clauses or provisions shall remain in full force and effect.</w:t>
      </w:r>
    </w:p>
    <w:p>
      <w:pPr>
        <w:spacing w:after="0" w:line="202" w:lineRule="exact"/>
        <w:rPr>
          <w:rFonts w:ascii="Times New Roman" w:cs="Times New Roman" w:eastAsia="Times New Roman" w:hAnsi="Times New Roman"/>
          <w:sz w:val="20"/>
          <w:szCs w:val="20"/>
          <w:color w:val="auto"/>
        </w:rPr>
      </w:pPr>
    </w:p>
    <w:p>
      <w:pPr>
        <w:ind w:left="660" w:hanging="652"/>
        <w:spacing w:after="0" w:line="273" w:lineRule="auto"/>
        <w:tabs>
          <w:tab w:leader="none" w:pos="660" w:val="left"/>
        </w:tabs>
        <w:numPr>
          <w:ilvl w:val="0"/>
          <w:numId w:val="3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Agency Disclosure</w:t>
      </w:r>
      <w:r>
        <w:rPr>
          <w:rFonts w:ascii="Times New Roman" w:cs="Times New Roman" w:eastAsia="Times New Roman" w:hAnsi="Times New Roman"/>
          <w:sz w:val="20"/>
          <w:szCs w:val="20"/>
          <w:color w:val="auto"/>
        </w:rPr>
        <w:t>. Sublessor and Sublessee hereby acknowledge that Broker has acted as an agent for Sublessee and Sublessor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this transaction and will be paid a commission by Sublessor.</w:t>
      </w:r>
    </w:p>
    <w:p>
      <w:pPr>
        <w:spacing w:after="0" w:line="178" w:lineRule="exact"/>
        <w:rPr>
          <w:rFonts w:ascii="Times New Roman" w:cs="Times New Roman" w:eastAsia="Times New Roman" w:hAnsi="Times New Roman"/>
          <w:sz w:val="20"/>
          <w:szCs w:val="20"/>
          <w:color w:val="auto"/>
        </w:rPr>
      </w:pPr>
    </w:p>
    <w:p>
      <w:pPr>
        <w:ind w:left="660" w:hanging="652"/>
        <w:spacing w:after="0" w:line="273" w:lineRule="auto"/>
        <w:tabs>
          <w:tab w:leader="none" w:pos="660" w:val="left"/>
        </w:tabs>
        <w:numPr>
          <w:ilvl w:val="0"/>
          <w:numId w:val="3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Section Titles</w:t>
      </w:r>
      <w:r>
        <w:rPr>
          <w:rFonts w:ascii="Times New Roman" w:cs="Times New Roman" w:eastAsia="Times New Roman" w:hAnsi="Times New Roman"/>
          <w:sz w:val="20"/>
          <w:szCs w:val="20"/>
          <w:color w:val="auto"/>
        </w:rPr>
        <w:t>. The section titles in this Sublease are included for convenience only and shall not be taken into consideration in 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construction or interpretation of this Sublease or any of its provisions.</w:t>
      </w:r>
    </w:p>
    <w:p>
      <w:pPr>
        <w:spacing w:after="0" w:line="178" w:lineRule="exact"/>
        <w:rPr>
          <w:rFonts w:ascii="Times New Roman" w:cs="Times New Roman" w:eastAsia="Times New Roman" w:hAnsi="Times New Roman"/>
          <w:sz w:val="20"/>
          <w:szCs w:val="20"/>
          <w:color w:val="auto"/>
        </w:rPr>
      </w:pPr>
    </w:p>
    <w:p>
      <w:pPr>
        <w:jc w:val="both"/>
        <w:ind w:left="660" w:hanging="652"/>
        <w:spacing w:after="0" w:line="250" w:lineRule="auto"/>
        <w:tabs>
          <w:tab w:leader="none" w:pos="660" w:val="left"/>
        </w:tabs>
        <w:numPr>
          <w:ilvl w:val="0"/>
          <w:numId w:val="3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Additional Rent</w:t>
      </w:r>
      <w:r>
        <w:rPr>
          <w:rFonts w:ascii="Times New Roman" w:cs="Times New Roman" w:eastAsia="Times New Roman" w:hAnsi="Times New Roman"/>
          <w:sz w:val="20"/>
          <w:szCs w:val="20"/>
          <w:color w:val="auto"/>
        </w:rPr>
        <w:t>. Sublessee shall be obligated to pay Sublessee’s Share (as hereinafter defined) of all Additional Rent, as required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Sublessor pursuant to the Master Lease, which Additional Rent shall include but not be limited to Sublessor’s Share of Operating Expenses (as defined in Exhibit B of the Master Lease) which includes the payment of Property Taxes and insurance premiums (as defined in Exhibit B of the Master Lease), and all utilities provided under Exhibit 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40"/>
          </w:cols>
          <w:pgMar w:left="320" w:top="261" w:right="339" w:bottom="1440" w:gutter="0" w:footer="0" w:header="0"/>
        </w:sectPr>
      </w:pPr>
    </w:p>
    <w:bookmarkStart w:id="379" w:name="page380"/>
    <w:bookmarkEnd w:id="379"/>
    <w:p>
      <w:pPr>
        <w:jc w:val="both"/>
        <w:ind w:left="660"/>
        <w:spacing w:after="0" w:line="242"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of the Master Lease; additionally, if Sublessee is furnished any additional services by Master Lessor and same are billed to Sublessor as “Additional Rent” or otherwise, Sublessee shall reimburse Sublessor within thirty (30) days of receipt of an invoice or statement forwarded by Sublessor for such charges. Additionally, Sublessee shall be responsible for the cost of excess electricity supplied to the Premises, and Sublessee shall reimburse Sublessor within thirty (30) days of after receipt of an invoice or statement forwarded by Sublessor for such charges. Sublessee shall also be responsible for the cost of maintenance and repairs by the Master Lessor to the Premises and Sublessee shall reimburse Sublessor promptly after receipt of an invoice or statement forwarded by Sublessor for such charges. “Sublessee’s Share” as used herein, shall be equivalent to Tenant’s Share (as defined in Exhibit B of the Master Lease). Notwithstanding the foregoing, Additional Rent shall not include any (i) rent or other amounts payable under the Master Lease prior to the Early Occupancy or (ii) any rent or amounts payable and resulting from Sublessor’s default under the Master Lease that is not caused by Sublessee, its agents, contractors, or employees or Sublessee’s default hereunder.</w:t>
      </w:r>
    </w:p>
    <w:p>
      <w:pPr>
        <w:spacing w:after="0" w:line="215" w:lineRule="exact"/>
        <w:rPr>
          <w:sz w:val="20"/>
          <w:szCs w:val="20"/>
          <w:color w:val="auto"/>
        </w:rPr>
      </w:pPr>
    </w:p>
    <w:p>
      <w:pPr>
        <w:ind w:left="660" w:hanging="652"/>
        <w:spacing w:after="0"/>
        <w:tabs>
          <w:tab w:leader="none" w:pos="660" w:val="left"/>
        </w:tabs>
        <w:numPr>
          <w:ilvl w:val="0"/>
          <w:numId w:val="3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Special Stipulations</w:t>
      </w:r>
      <w:r>
        <w:rPr>
          <w:rFonts w:ascii="Times New Roman" w:cs="Times New Roman" w:eastAsia="Times New Roman" w:hAnsi="Times New Roman"/>
          <w:sz w:val="20"/>
          <w:szCs w:val="20"/>
          <w:color w:val="auto"/>
        </w:rPr>
        <w:t>. Special Stipulations shall control if in conflict with any of the foregoing provisions of this Sublease.</w:t>
      </w:r>
    </w:p>
    <w:p>
      <w:pPr>
        <w:spacing w:after="0" w:line="219" w:lineRule="exact"/>
        <w:rPr>
          <w:rFonts w:ascii="Times New Roman" w:cs="Times New Roman" w:eastAsia="Times New Roman" w:hAnsi="Times New Roman"/>
          <w:sz w:val="20"/>
          <w:szCs w:val="20"/>
          <w:color w:val="auto"/>
        </w:rPr>
      </w:pPr>
    </w:p>
    <w:p>
      <w:pPr>
        <w:jc w:val="both"/>
        <w:ind w:left="680" w:firstLine="529"/>
        <w:spacing w:after="0" w:line="254" w:lineRule="auto"/>
        <w:tabs>
          <w:tab w:leader="none" w:pos="1840" w:val="left"/>
        </w:tabs>
        <w:numPr>
          <w:ilvl w:val="2"/>
          <w:numId w:val="3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Furniture – Sublessee shall have the right to use the existing wiring, cabling, furniture, equipment and work stations (the “FF&amp;E”) located in the Premises, which FF&amp;E is listed on </w:t>
      </w:r>
      <w:r>
        <w:rPr>
          <w:rFonts w:ascii="Times New Roman" w:cs="Times New Roman" w:eastAsia="Times New Roman" w:hAnsi="Times New Roman"/>
          <w:sz w:val="20"/>
          <w:szCs w:val="20"/>
          <w:b w:val="1"/>
          <w:bCs w:val="1"/>
          <w:u w:val="single" w:color="auto"/>
          <w:color w:val="auto"/>
        </w:rPr>
        <w:t>Exhibit “D”</w:t>
      </w:r>
      <w:r>
        <w:rPr>
          <w:rFonts w:ascii="Times New Roman" w:cs="Times New Roman" w:eastAsia="Times New Roman" w:hAnsi="Times New Roman"/>
          <w:sz w:val="20"/>
          <w:szCs w:val="20"/>
          <w:color w:val="auto"/>
        </w:rPr>
        <w:t xml:space="preserve"> attached hereto and made a part hereof, during the Term, and, upon the Rent Commencement Date, free and clear title to the FF&amp;E shall be transferred to Sublessee.</w:t>
      </w:r>
    </w:p>
    <w:p>
      <w:pPr>
        <w:spacing w:after="0" w:line="174" w:lineRule="exact"/>
        <w:rPr>
          <w:rFonts w:ascii="Times New Roman" w:cs="Times New Roman" w:eastAsia="Times New Roman" w:hAnsi="Times New Roman"/>
          <w:sz w:val="20"/>
          <w:szCs w:val="20"/>
          <w:color w:val="auto"/>
        </w:rPr>
      </w:pPr>
    </w:p>
    <w:p>
      <w:pPr>
        <w:ind w:left="680" w:firstLine="529"/>
        <w:spacing w:after="0" w:line="269" w:lineRule="auto"/>
        <w:tabs>
          <w:tab w:leader="none" w:pos="1808" w:val="left"/>
        </w:tabs>
        <w:numPr>
          <w:ilvl w:val="2"/>
          <w:numId w:val="3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Parking – Sublessee shall have the right to eighteen (18) parking spaces in accordance with the provisions set forth in Exhibit F of the Master Lease.</w:t>
      </w:r>
    </w:p>
    <w:p>
      <w:pPr>
        <w:spacing w:after="0" w:line="159" w:lineRule="exact"/>
        <w:rPr>
          <w:rFonts w:ascii="Times New Roman" w:cs="Times New Roman" w:eastAsia="Times New Roman" w:hAnsi="Times New Roman"/>
          <w:sz w:val="20"/>
          <w:szCs w:val="20"/>
          <w:color w:val="auto"/>
        </w:rPr>
      </w:pPr>
    </w:p>
    <w:p>
      <w:pPr>
        <w:jc w:val="both"/>
        <w:ind w:left="680" w:firstLine="529"/>
        <w:spacing w:after="0" w:line="243" w:lineRule="auto"/>
        <w:tabs>
          <w:tab w:leader="none" w:pos="1806" w:val="left"/>
        </w:tabs>
        <w:numPr>
          <w:ilvl w:val="2"/>
          <w:numId w:val="3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Restoration – Upon the Termination Date, Sublessee shall deliver the Premises to Sublessor in broom-clean condition and in a condition equivalent to or better than on the Commencement Date (reasonable wear and tear and casualty excepted). Sublessee further agrees to remove all FF&amp;E, any Alterations performed within the Premises by Sublessee if required by Master Lessor, and other personal property within the Premises and shall be required to repair any damages caused by the removal of same. Sublessee shall indemnify, protect and save harmless the Sublessor from and against any claims, liabilities, damages and losses asserted against Sublessor as a result of Sublessee’s removal of such items. Sublessee shall have no obligation to remove or restore any damage, cabling, hazardous materials or improvements existing at the Premises as of the Commencement Date (except for the FF&amp;E).</w:t>
      </w:r>
    </w:p>
    <w:p>
      <w:pPr>
        <w:spacing w:after="0" w:line="189" w:lineRule="exact"/>
        <w:rPr>
          <w:rFonts w:ascii="Times New Roman" w:cs="Times New Roman" w:eastAsia="Times New Roman" w:hAnsi="Times New Roman"/>
          <w:sz w:val="20"/>
          <w:szCs w:val="20"/>
          <w:color w:val="auto"/>
        </w:rPr>
      </w:pPr>
    </w:p>
    <w:p>
      <w:pPr>
        <w:jc w:val="both"/>
        <w:ind w:left="680" w:firstLine="529"/>
        <w:spacing w:after="0" w:line="254" w:lineRule="auto"/>
        <w:tabs>
          <w:tab w:leader="none" w:pos="1899" w:val="left"/>
        </w:tabs>
        <w:numPr>
          <w:ilvl w:val="2"/>
          <w:numId w:val="3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Signage – Subject to the approval of Sublessor and Master Lessor, Sublessee shall be permitted to install Building standard suite signage in accordance with Section 5.2 of the Master Lease, at the sole cost and expense of Sublessee. Sublessor shall not unreasonably withhold, condition or delay its consent to such signage.</w:t>
      </w:r>
    </w:p>
    <w:p>
      <w:pPr>
        <w:spacing w:after="0" w:line="174" w:lineRule="exact"/>
        <w:rPr>
          <w:rFonts w:ascii="Times New Roman" w:cs="Times New Roman" w:eastAsia="Times New Roman" w:hAnsi="Times New Roman"/>
          <w:sz w:val="20"/>
          <w:szCs w:val="20"/>
          <w:color w:val="auto"/>
        </w:rPr>
      </w:pPr>
    </w:p>
    <w:p>
      <w:pPr>
        <w:jc w:val="both"/>
        <w:ind w:left="680" w:firstLine="529"/>
        <w:spacing w:after="0" w:line="264" w:lineRule="auto"/>
        <w:tabs>
          <w:tab w:leader="none" w:pos="1788" w:val="left"/>
        </w:tabs>
        <w:numPr>
          <w:ilvl w:val="2"/>
          <w:numId w:val="36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Alterations – Any modifications, improvements, or alterations to the Premises by Subtenant shall (i) be constructed in accordance with all applicable laws and ordinances, (ii) shall require the prior written approval by Sublessor and Master Lessor, and</w:t>
      </w:r>
    </w:p>
    <w:p>
      <w:pPr>
        <w:ind w:left="680" w:firstLine="2"/>
        <w:spacing w:after="0" w:line="246" w:lineRule="auto"/>
        <w:tabs>
          <w:tab w:leader="none" w:pos="1037" w:val="left"/>
        </w:tabs>
        <w:numPr>
          <w:ilvl w:val="1"/>
          <w:numId w:val="3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shall otherwise be governed by Section 7.3 of the Master Lease. Sublessor shall not unreasonably withhold, condition or delay its consent to such Alterations.</w:t>
      </w:r>
    </w:p>
    <w:p>
      <w:pPr>
        <w:spacing w:after="0" w:line="181" w:lineRule="exact"/>
        <w:rPr>
          <w:rFonts w:ascii="Times New Roman" w:cs="Times New Roman" w:eastAsia="Times New Roman" w:hAnsi="Times New Roman"/>
          <w:sz w:val="20"/>
          <w:szCs w:val="20"/>
          <w:color w:val="auto"/>
        </w:rPr>
      </w:pPr>
    </w:p>
    <w:p>
      <w:pPr>
        <w:jc w:val="both"/>
        <w:ind w:left="680" w:firstLine="529"/>
        <w:spacing w:after="0" w:line="254" w:lineRule="auto"/>
        <w:tabs>
          <w:tab w:leader="none" w:pos="1779" w:val="left"/>
        </w:tabs>
        <w:numPr>
          <w:ilvl w:val="2"/>
          <w:numId w:val="3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Lease Contingency – This Sublease shall be contingent upon Sublessee executing a lease with Master Lessor on Suite 160 in the Building (the “Adjacent Premises”) until June 25, 2020. In the event Sublessee shall not have an executed lease for the Adjacent Premises on or</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240"/>
          </w:cols>
          <w:pgMar w:left="320" w:top="265" w:right="339" w:bottom="1440" w:gutter="0" w:footer="0" w:header="0"/>
        </w:sectPr>
      </w:pPr>
    </w:p>
    <w:bookmarkStart w:id="380" w:name="page381"/>
    <w:bookmarkEnd w:id="380"/>
    <w:p>
      <w:pPr>
        <w:jc w:val="both"/>
        <w:ind w:left="672"/>
        <w:spacing w:after="0" w:line="254"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before June 25, 2020, Sublessee shall have the one-time right to terminate this Sublease upon written notice to Sublessor. In the event such written notice is not delivered on or before June 25, 2020, time being of the essence, Sublessee hereby waives its rights pursuant to this Section 29(f).</w:t>
      </w:r>
    </w:p>
    <w:p>
      <w:pPr>
        <w:spacing w:after="0" w:line="197" w:lineRule="exact"/>
        <w:rPr>
          <w:sz w:val="20"/>
          <w:szCs w:val="20"/>
          <w:color w:val="auto"/>
        </w:rPr>
      </w:pPr>
    </w:p>
    <w:p>
      <w:pPr>
        <w:jc w:val="both"/>
        <w:ind w:left="652" w:hanging="652"/>
        <w:spacing w:after="0" w:line="250" w:lineRule="auto"/>
        <w:tabs>
          <w:tab w:leader="none" w:pos="652" w:val="left"/>
        </w:tabs>
        <w:numPr>
          <w:ilvl w:val="0"/>
          <w:numId w:val="3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Consent of the Master Lessor</w:t>
      </w:r>
      <w:r>
        <w:rPr>
          <w:rFonts w:ascii="Times New Roman" w:cs="Times New Roman" w:eastAsia="Times New Roman" w:hAnsi="Times New Roman"/>
          <w:sz w:val="20"/>
          <w:szCs w:val="20"/>
          <w:color w:val="auto"/>
        </w:rPr>
        <w:t>. This Sublease shall be of no force or effect unless and until consented to, in writing, by Master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Lessor. Any such said consent by Master Lessor shall be attached hereto as </w:t>
      </w:r>
      <w:r>
        <w:rPr>
          <w:rFonts w:ascii="Times New Roman" w:cs="Times New Roman" w:eastAsia="Times New Roman" w:hAnsi="Times New Roman"/>
          <w:sz w:val="20"/>
          <w:szCs w:val="20"/>
          <w:b w:val="1"/>
          <w:bCs w:val="1"/>
          <w:u w:val="single" w:color="auto"/>
          <w:color w:val="auto"/>
        </w:rPr>
        <w:t>Exhibit “F”</w:t>
      </w:r>
      <w:r>
        <w:rPr>
          <w:rFonts w:ascii="Times New Roman" w:cs="Times New Roman" w:eastAsia="Times New Roman" w:hAnsi="Times New Roman"/>
          <w:sz w:val="20"/>
          <w:szCs w:val="20"/>
          <w:color w:val="auto"/>
        </w:rPr>
        <w:t>. If Master Lessor does not consent to this Sublease within thirty days after the date first written above, then Sublessee may terminate this Sublease. Sublessor shall be solely responsible to pay all costs, fees and consideration charged by Master Lessor in connection with consent to this Sublease.</w:t>
      </w:r>
    </w:p>
    <w:p>
      <w:pPr>
        <w:spacing w:after="0" w:line="202" w:lineRule="exact"/>
        <w:rPr>
          <w:rFonts w:ascii="Times New Roman" w:cs="Times New Roman" w:eastAsia="Times New Roman" w:hAnsi="Times New Roman"/>
          <w:sz w:val="20"/>
          <w:szCs w:val="20"/>
          <w:color w:val="auto"/>
        </w:rPr>
      </w:pPr>
    </w:p>
    <w:p>
      <w:pPr>
        <w:ind w:left="652" w:hanging="652"/>
        <w:spacing w:after="0"/>
        <w:tabs>
          <w:tab w:leader="none" w:pos="652" w:val="left"/>
        </w:tabs>
        <w:numPr>
          <w:ilvl w:val="0"/>
          <w:numId w:val="3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The following are attached hereto and made a part hereof</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ind w:left="2052"/>
        <w:spacing w:after="0"/>
        <w:rPr>
          <w:sz w:val="20"/>
          <w:szCs w:val="20"/>
          <w:color w:val="auto"/>
        </w:rPr>
      </w:pPr>
      <w:r>
        <w:rPr>
          <w:rFonts w:ascii="Times New Roman" w:cs="Times New Roman" w:eastAsia="Times New Roman" w:hAnsi="Times New Roman"/>
          <w:sz w:val="20"/>
          <w:szCs w:val="20"/>
          <w:color w:val="auto"/>
        </w:rPr>
        <w:t>Exhibit “A” – Master Lease</w:t>
      </w:r>
    </w:p>
    <w:p>
      <w:pPr>
        <w:spacing w:after="0" w:line="21" w:lineRule="exact"/>
        <w:rPr>
          <w:sz w:val="20"/>
          <w:szCs w:val="20"/>
          <w:color w:val="auto"/>
        </w:rPr>
      </w:pPr>
    </w:p>
    <w:p>
      <w:pPr>
        <w:ind w:left="2052"/>
        <w:spacing w:after="0"/>
        <w:rPr>
          <w:sz w:val="20"/>
          <w:szCs w:val="20"/>
          <w:color w:val="auto"/>
        </w:rPr>
      </w:pPr>
      <w:r>
        <w:rPr>
          <w:rFonts w:ascii="Times New Roman" w:cs="Times New Roman" w:eastAsia="Times New Roman" w:hAnsi="Times New Roman"/>
          <w:sz w:val="20"/>
          <w:szCs w:val="20"/>
          <w:color w:val="auto"/>
        </w:rPr>
        <w:t>Exhibit “B” – Floor Plan</w:t>
      </w:r>
    </w:p>
    <w:p>
      <w:pPr>
        <w:ind w:left="2052"/>
        <w:spacing w:after="0"/>
        <w:rPr>
          <w:sz w:val="20"/>
          <w:szCs w:val="20"/>
          <w:color w:val="auto"/>
        </w:rPr>
      </w:pPr>
      <w:r>
        <w:rPr>
          <w:rFonts w:ascii="Times New Roman" w:cs="Times New Roman" w:eastAsia="Times New Roman" w:hAnsi="Times New Roman"/>
          <w:sz w:val="20"/>
          <w:szCs w:val="20"/>
          <w:color w:val="auto"/>
        </w:rPr>
        <w:t>Exhibit “C” – Commencement Date Agreement</w:t>
      </w:r>
    </w:p>
    <w:p>
      <w:pPr>
        <w:ind w:left="2052"/>
        <w:spacing w:after="0"/>
        <w:rPr>
          <w:sz w:val="20"/>
          <w:szCs w:val="20"/>
          <w:color w:val="auto"/>
        </w:rPr>
      </w:pPr>
      <w:r>
        <w:rPr>
          <w:rFonts w:ascii="Times New Roman" w:cs="Times New Roman" w:eastAsia="Times New Roman" w:hAnsi="Times New Roman"/>
          <w:sz w:val="20"/>
          <w:szCs w:val="20"/>
          <w:color w:val="auto"/>
        </w:rPr>
        <w:t>Exhibit “D” – List of FF&amp;E</w:t>
      </w:r>
    </w:p>
    <w:p>
      <w:pPr>
        <w:ind w:left="2052"/>
        <w:spacing w:after="0"/>
        <w:rPr>
          <w:sz w:val="20"/>
          <w:szCs w:val="20"/>
          <w:color w:val="auto"/>
        </w:rPr>
      </w:pPr>
      <w:r>
        <w:rPr>
          <w:rFonts w:ascii="Times New Roman" w:cs="Times New Roman" w:eastAsia="Times New Roman" w:hAnsi="Times New Roman"/>
          <w:sz w:val="20"/>
          <w:szCs w:val="20"/>
          <w:color w:val="auto"/>
        </w:rPr>
        <w:t>Exhibit “E” – Intentionally Omitted</w:t>
      </w:r>
    </w:p>
    <w:p>
      <w:pPr>
        <w:ind w:left="2052"/>
        <w:spacing w:after="0"/>
        <w:rPr>
          <w:sz w:val="20"/>
          <w:szCs w:val="20"/>
          <w:color w:val="auto"/>
        </w:rPr>
      </w:pPr>
      <w:r>
        <w:rPr>
          <w:rFonts w:ascii="Times New Roman" w:cs="Times New Roman" w:eastAsia="Times New Roman" w:hAnsi="Times New Roman"/>
          <w:sz w:val="20"/>
          <w:szCs w:val="20"/>
          <w:color w:val="auto"/>
        </w:rPr>
        <w:t>Exhibit “F” – Master Lessor’s Consent Form</w:t>
      </w:r>
    </w:p>
    <w:p>
      <w:pPr>
        <w:spacing w:after="0" w:line="131"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232"/>
          </w:cols>
          <w:pgMar w:left="328" w:top="265" w:right="339" w:bottom="1440" w:gutter="0" w:footer="0" w:header="0"/>
        </w:sectPr>
      </w:pPr>
    </w:p>
    <w:bookmarkStart w:id="381" w:name="page382"/>
    <w:bookmarkEnd w:id="38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w:t>
      </w:r>
      <w:r>
        <w:rPr>
          <w:rFonts w:ascii="Times New Roman" w:cs="Times New Roman" w:eastAsia="Times New Roman" w:hAnsi="Times New Roman"/>
          <w:sz w:val="18"/>
          <w:szCs w:val="18"/>
          <w:color w:val="auto"/>
        </w:rPr>
        <w:t>, the parties have hereunto executed this Sublease as of the day and year first above written.</w:t>
      </w:r>
    </w:p>
    <w:p>
      <w:pPr>
        <w:spacing w:after="0" w:line="24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20"/>
          <w:szCs w:val="20"/>
          <w:b w:val="1"/>
          <w:bCs w:val="1"/>
          <w:color w:val="auto"/>
        </w:rPr>
        <w:t>SUBLESSEE:</w:t>
      </w:r>
    </w:p>
    <w:p>
      <w:pPr>
        <w:spacing w:after="0" w:line="21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20"/>
          <w:szCs w:val="20"/>
          <w:b w:val="1"/>
          <w:bCs w:val="1"/>
          <w:color w:val="auto"/>
        </w:rPr>
        <w:t>TARSUS PHARMACEUTICALS, INC.</w:t>
      </w:r>
      <w:r>
        <w:rPr>
          <w:rFonts w:ascii="Times New Roman" w:cs="Times New Roman" w:eastAsia="Times New Roman" w:hAnsi="Times New Roman"/>
          <w:sz w:val="20"/>
          <w:szCs w:val="20"/>
          <w:color w:val="auto"/>
        </w:rPr>
        <w:t>, a Delaware</w:t>
      </w:r>
    </w:p>
    <w:p>
      <w:pPr>
        <w:spacing w:after="0" w:line="2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20"/>
          <w:szCs w:val="20"/>
          <w:color w:val="auto"/>
        </w:rPr>
        <w:t>corporation</w:t>
      </w:r>
    </w:p>
    <w:p>
      <w:pPr>
        <w:spacing w:after="0" w:line="194" w:lineRule="exact"/>
        <w:rPr>
          <w:sz w:val="20"/>
          <w:szCs w:val="20"/>
          <w:color w:val="auto"/>
        </w:rPr>
      </w:pPr>
    </w:p>
    <w:tbl>
      <w:tblPr>
        <w:tblLayout w:type="fixed"/>
        <w:tblInd w:w="6760" w:type="dxa"/>
        <w:tblCellMar>
          <w:top w:w="0" w:type="dxa"/>
          <w:left w:w="0" w:type="dxa"/>
          <w:bottom w:w="0" w:type="dxa"/>
          <w:right w:w="0" w:type="dxa"/>
        </w:tblCellMar>
      </w:tblPr>
      <w:tr>
        <w:trPr>
          <w:trHeight w:val="266"/>
        </w:trPr>
        <w:tc>
          <w:tcPr>
            <w:tcW w:w="68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3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Bobby Amazian</w:t>
            </w:r>
          </w:p>
        </w:tc>
      </w:tr>
      <w:tr>
        <w:trPr>
          <w:trHeight w:val="237"/>
        </w:trPr>
        <w:tc>
          <w:tcPr>
            <w:tcW w:w="680" w:type="dxa"/>
            <w:vAlign w:val="bottom"/>
          </w:tcPr>
          <w:p>
            <w:pPr>
              <w:spacing w:after="0"/>
              <w:rPr>
                <w:sz w:val="20"/>
                <w:szCs w:val="20"/>
                <w:color w:val="auto"/>
              </w:rPr>
            </w:pPr>
            <w:r>
              <w:rPr>
                <w:rFonts w:ascii="Times New Roman" w:cs="Times New Roman" w:eastAsia="Times New Roman" w:hAnsi="Times New Roman"/>
                <w:sz w:val="20"/>
                <w:szCs w:val="20"/>
                <w:color w:val="auto"/>
              </w:rPr>
              <w:t>Name:</w:t>
            </w:r>
          </w:p>
        </w:tc>
        <w:tc>
          <w:tcPr>
            <w:tcW w:w="3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Bobak Azamian</w:t>
            </w:r>
          </w:p>
        </w:tc>
      </w:tr>
      <w:tr>
        <w:trPr>
          <w:trHeight w:val="236"/>
        </w:trPr>
        <w:tc>
          <w:tcPr>
            <w:tcW w:w="680" w:type="dxa"/>
            <w:vAlign w:val="bottom"/>
          </w:tcPr>
          <w:p>
            <w:pPr>
              <w:spacing w:after="0"/>
              <w:rPr>
                <w:sz w:val="20"/>
                <w:szCs w:val="20"/>
                <w:color w:val="auto"/>
              </w:rPr>
            </w:pPr>
            <w:r>
              <w:rPr>
                <w:rFonts w:ascii="Times New Roman" w:cs="Times New Roman" w:eastAsia="Times New Roman" w:hAnsi="Times New Roman"/>
                <w:sz w:val="20"/>
                <w:szCs w:val="20"/>
                <w:color w:val="auto"/>
              </w:rPr>
              <w:t>Its:</w:t>
            </w:r>
          </w:p>
        </w:tc>
        <w:tc>
          <w:tcPr>
            <w:tcW w:w="3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Chief Executive Officer</w:t>
            </w:r>
          </w:p>
        </w:tc>
      </w:tr>
    </w:tbl>
    <w:p>
      <w:pPr>
        <w:spacing w:after="0" w:line="180"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20"/>
          <w:szCs w:val="20"/>
          <w:color w:val="auto"/>
        </w:rPr>
        <w:t>19782 MacArthur Blvd Suite 285</w:t>
      </w:r>
    </w:p>
    <w:p>
      <w:pPr>
        <w:spacing w:after="0" w:line="2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20"/>
          <w:szCs w:val="20"/>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-140335</wp:posOffset>
            </wp:positionV>
            <wp:extent cx="2846070" cy="825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2846070"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270510</wp:posOffset>
            </wp:positionV>
            <wp:extent cx="722630" cy="825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722630" cy="8255"/>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20"/>
          <w:szCs w:val="20"/>
          <w:color w:val="auto"/>
        </w:rPr>
        <w:t>Phone</w:t>
      </w:r>
    </w:p>
    <w:p>
      <w:pPr>
        <w:spacing w:after="0" w:line="21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20"/>
          <w:szCs w:val="20"/>
          <w:u w:val="single" w:color="auto"/>
          <w:color w:val="auto"/>
        </w:rPr>
        <w:t>May 23, 2020</w:t>
      </w:r>
    </w:p>
    <w:p>
      <w:pPr>
        <w:spacing w:after="0" w:line="2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20"/>
          <w:szCs w:val="20"/>
          <w:color w:val="auto"/>
        </w:rPr>
        <w:t>Date</w:t>
      </w:r>
    </w:p>
    <w:p>
      <w:pPr>
        <w:spacing w:after="0" w:line="33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20"/>
          <w:szCs w:val="20"/>
          <w:b w:val="1"/>
          <w:bCs w:val="1"/>
          <w:color w:val="auto"/>
        </w:rPr>
        <w:t>SUBLESSOR:</w:t>
      </w:r>
    </w:p>
    <w:p>
      <w:pPr>
        <w:spacing w:after="0" w:line="21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20"/>
          <w:szCs w:val="20"/>
          <w:b w:val="1"/>
          <w:bCs w:val="1"/>
          <w:color w:val="auto"/>
        </w:rPr>
        <w:t>AVENT, INC.</w:t>
      </w:r>
      <w:r>
        <w:rPr>
          <w:rFonts w:ascii="Times New Roman" w:cs="Times New Roman" w:eastAsia="Times New Roman" w:hAnsi="Times New Roman"/>
          <w:sz w:val="20"/>
          <w:szCs w:val="20"/>
          <w:color w:val="auto"/>
        </w:rPr>
        <w:t>, a Delaware corporation</w:t>
      </w:r>
    </w:p>
    <w:p>
      <w:pPr>
        <w:spacing w:after="0" w:line="220" w:lineRule="exact"/>
        <w:rPr>
          <w:sz w:val="20"/>
          <w:szCs w:val="20"/>
          <w:color w:val="auto"/>
        </w:rPr>
      </w:pPr>
    </w:p>
    <w:tbl>
      <w:tblPr>
        <w:tblLayout w:type="fixed"/>
        <w:tblInd w:w="6760" w:type="dxa"/>
        <w:tblCellMar>
          <w:top w:w="0" w:type="dxa"/>
          <w:left w:w="0" w:type="dxa"/>
          <w:bottom w:w="0" w:type="dxa"/>
          <w:right w:w="0" w:type="dxa"/>
        </w:tblCellMar>
      </w:tblPr>
      <w:tr>
        <w:trPr>
          <w:trHeight w:val="266"/>
        </w:trPr>
        <w:tc>
          <w:tcPr>
            <w:tcW w:w="68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38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auto"/>
              </w:rPr>
              <w:t>/s/ David Ball</w:t>
            </w:r>
          </w:p>
        </w:tc>
        <w:tc>
          <w:tcPr>
            <w:tcW w:w="0" w:type="dxa"/>
            <w:vAlign w:val="bottom"/>
          </w:tcPr>
          <w:p>
            <w:pPr>
              <w:spacing w:after="0"/>
              <w:rPr>
                <w:sz w:val="1"/>
                <w:szCs w:val="1"/>
                <w:color w:val="auto"/>
              </w:rPr>
            </w:pPr>
          </w:p>
        </w:tc>
      </w:tr>
      <w:tr>
        <w:trPr>
          <w:trHeight w:val="214"/>
        </w:trPr>
        <w:tc>
          <w:tcPr>
            <w:tcW w:w="680" w:type="dxa"/>
            <w:vAlign w:val="bottom"/>
          </w:tcPr>
          <w:p>
            <w:pPr>
              <w:spacing w:after="0" w:line="213" w:lineRule="exact"/>
              <w:rPr>
                <w:sz w:val="20"/>
                <w:szCs w:val="20"/>
                <w:color w:val="auto"/>
              </w:rPr>
            </w:pPr>
            <w:r>
              <w:rPr>
                <w:rFonts w:ascii="Times New Roman" w:cs="Times New Roman" w:eastAsia="Times New Roman" w:hAnsi="Times New Roman"/>
                <w:sz w:val="20"/>
                <w:szCs w:val="20"/>
                <w:color w:val="auto"/>
              </w:rPr>
              <w:t>Name:</w:t>
            </w:r>
          </w:p>
        </w:tc>
        <w:tc>
          <w:tcPr>
            <w:tcW w:w="3800" w:type="dxa"/>
            <w:vAlign w:val="bottom"/>
            <w:gridSpan w:val="2"/>
          </w:tcPr>
          <w:p>
            <w:pPr>
              <w:spacing w:after="0" w:line="213" w:lineRule="exact"/>
              <w:rPr>
                <w:sz w:val="20"/>
                <w:szCs w:val="20"/>
                <w:color w:val="auto"/>
              </w:rPr>
            </w:pPr>
            <w:r>
              <w:rPr>
                <w:rFonts w:ascii="Times New Roman" w:cs="Times New Roman" w:eastAsia="Times New Roman" w:hAnsi="Times New Roman"/>
                <w:sz w:val="20"/>
                <w:szCs w:val="20"/>
                <w:color w:val="auto"/>
              </w:rPr>
              <w:t>David Ball</w:t>
            </w:r>
          </w:p>
        </w:tc>
        <w:tc>
          <w:tcPr>
            <w:tcW w:w="0" w:type="dxa"/>
            <w:vAlign w:val="bottom"/>
          </w:tcPr>
          <w:p>
            <w:pPr>
              <w:spacing w:after="0"/>
              <w:rPr>
                <w:sz w:val="1"/>
                <w:szCs w:val="1"/>
                <w:color w:val="auto"/>
              </w:rPr>
            </w:pPr>
          </w:p>
        </w:tc>
      </w:tr>
      <w:tr>
        <w:trPr>
          <w:trHeight w:val="23"/>
        </w:trPr>
        <w:tc>
          <w:tcPr>
            <w:tcW w:w="680" w:type="dxa"/>
            <w:vAlign w:val="bottom"/>
            <w:vMerge w:val="restart"/>
          </w:tcPr>
          <w:p>
            <w:pPr>
              <w:spacing w:after="0" w:line="226" w:lineRule="exact"/>
              <w:rPr>
                <w:sz w:val="20"/>
                <w:szCs w:val="20"/>
                <w:color w:val="auto"/>
              </w:rPr>
            </w:pPr>
            <w:r>
              <w:rPr>
                <w:rFonts w:ascii="Times New Roman" w:cs="Times New Roman" w:eastAsia="Times New Roman" w:hAnsi="Times New Roman"/>
                <w:sz w:val="20"/>
                <w:szCs w:val="20"/>
                <w:color w:val="auto"/>
              </w:rPr>
              <w:t>Its:</w:t>
            </w:r>
          </w:p>
        </w:tc>
        <w:tc>
          <w:tcPr>
            <w:tcW w:w="33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80" w:type="dxa"/>
            <w:vAlign w:val="bottom"/>
            <w:vMerge w:val="continue"/>
          </w:tcPr>
          <w:p>
            <w:pPr>
              <w:spacing w:after="0"/>
              <w:rPr>
                <w:sz w:val="15"/>
                <w:szCs w:val="15"/>
                <w:color w:val="auto"/>
              </w:rPr>
            </w:pPr>
          </w:p>
        </w:tc>
        <w:tc>
          <w:tcPr>
            <w:tcW w:w="3800" w:type="dxa"/>
            <w:vAlign w:val="bottom"/>
            <w:gridSpan w:val="2"/>
          </w:tcPr>
          <w:p>
            <w:pPr>
              <w:spacing w:after="0" w:line="183" w:lineRule="exact"/>
              <w:rPr>
                <w:sz w:val="20"/>
                <w:szCs w:val="20"/>
                <w:color w:val="auto"/>
              </w:rPr>
            </w:pPr>
            <w:r>
              <w:rPr>
                <w:rFonts w:ascii="Times New Roman" w:cs="Times New Roman" w:eastAsia="Times New Roman" w:hAnsi="Times New Roman"/>
                <w:sz w:val="20"/>
                <w:szCs w:val="20"/>
                <w:color w:val="auto"/>
              </w:rPr>
              <w:t>SVP, Global Supply Chain &amp; Procurement</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3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0"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20"/>
          <w:szCs w:val="20"/>
          <w:color w:val="auto"/>
        </w:rPr>
        <w:t>Phone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-139700</wp:posOffset>
            </wp:positionV>
            <wp:extent cx="2846070" cy="825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200"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May 29, 2020</w:t>
      </w:r>
    </w:p>
    <w:p>
      <w:pPr>
        <w:spacing w:after="0" w:line="3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20"/>
          <w:szCs w:val="20"/>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-139700</wp:posOffset>
            </wp:positionV>
            <wp:extent cx="2846070" cy="825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240"/>
          </w:cols>
          <w:pgMar w:left="320" w:top="266" w:right="339" w:bottom="1440" w:gutter="0" w:footer="0" w:header="0"/>
        </w:sectPr>
      </w:pPr>
    </w:p>
    <w:bookmarkStart w:id="382" w:name="page383"/>
    <w:bookmarkEnd w:id="382"/>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FIRST AMENDMENT TO SUBLEASE AGREEMENT</w:t>
      </w:r>
    </w:p>
    <w:p>
      <w:pPr>
        <w:spacing w:after="0" w:line="220" w:lineRule="exact"/>
        <w:rPr>
          <w:sz w:val="20"/>
          <w:szCs w:val="20"/>
          <w:color w:val="auto"/>
        </w:rPr>
      </w:pPr>
    </w:p>
    <w:p>
      <w:pPr>
        <w:jc w:val="both"/>
        <w:ind w:firstLine="562"/>
        <w:spacing w:after="0" w:line="254" w:lineRule="auto"/>
        <w:rPr>
          <w:sz w:val="20"/>
          <w:szCs w:val="20"/>
          <w:color w:val="auto"/>
        </w:rPr>
      </w:pPr>
      <w:r>
        <w:rPr>
          <w:rFonts w:ascii="Times New Roman" w:cs="Times New Roman" w:eastAsia="Times New Roman" w:hAnsi="Times New Roman"/>
          <w:sz w:val="20"/>
          <w:szCs w:val="20"/>
          <w:color w:val="auto"/>
        </w:rPr>
        <w:t>THIS FIRST AMENDMENT TO SUBLEASE AGREEMENT (this “</w:t>
      </w:r>
      <w:r>
        <w:rPr>
          <w:rFonts w:ascii="Times New Roman" w:cs="Times New Roman" w:eastAsia="Times New Roman" w:hAnsi="Times New Roman"/>
          <w:sz w:val="20"/>
          <w:szCs w:val="20"/>
          <w:u w:val="single" w:color="auto"/>
          <w:color w:val="auto"/>
        </w:rPr>
        <w:t>Amendment</w:t>
      </w:r>
      <w:r>
        <w:rPr>
          <w:rFonts w:ascii="Times New Roman" w:cs="Times New Roman" w:eastAsia="Times New Roman" w:hAnsi="Times New Roman"/>
          <w:sz w:val="20"/>
          <w:szCs w:val="20"/>
          <w:color w:val="auto"/>
        </w:rPr>
        <w:t>”) is entered into and effective as of July 30, 2020 (the “Effective Date”), by and between AVENT, INC., a Delaware corporation (“</w:t>
      </w:r>
      <w:r>
        <w:rPr>
          <w:rFonts w:ascii="Times New Roman" w:cs="Times New Roman" w:eastAsia="Times New Roman" w:hAnsi="Times New Roman"/>
          <w:sz w:val="20"/>
          <w:szCs w:val="20"/>
          <w:u w:val="single" w:color="auto"/>
          <w:color w:val="auto"/>
        </w:rPr>
        <w:t>Sublessor</w:t>
      </w:r>
      <w:r>
        <w:rPr>
          <w:rFonts w:ascii="Times New Roman" w:cs="Times New Roman" w:eastAsia="Times New Roman" w:hAnsi="Times New Roman"/>
          <w:sz w:val="20"/>
          <w:szCs w:val="20"/>
          <w:color w:val="auto"/>
        </w:rPr>
        <w:t>”) and TARSUS PHARMACEUTICALS, INC., a Delaware corporation (“</w:t>
      </w:r>
      <w:r>
        <w:rPr>
          <w:rFonts w:ascii="Times New Roman" w:cs="Times New Roman" w:eastAsia="Times New Roman" w:hAnsi="Times New Roman"/>
          <w:sz w:val="20"/>
          <w:szCs w:val="20"/>
          <w:u w:val="single" w:color="auto"/>
          <w:color w:val="auto"/>
        </w:rPr>
        <w:t>Sublessee</w:t>
      </w:r>
      <w:r>
        <w:rPr>
          <w:rFonts w:ascii="Times New Roman" w:cs="Times New Roman" w:eastAsia="Times New Roman" w:hAnsi="Times New Roman"/>
          <w:sz w:val="20"/>
          <w:szCs w:val="20"/>
          <w:color w:val="auto"/>
        </w:rPr>
        <w:t>”).</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WITNESSETHTHAT:</w:t>
      </w:r>
    </w:p>
    <w:p>
      <w:pPr>
        <w:spacing w:after="0" w:line="216" w:lineRule="exact"/>
        <w:rPr>
          <w:sz w:val="20"/>
          <w:szCs w:val="20"/>
          <w:color w:val="auto"/>
        </w:rPr>
      </w:pPr>
    </w:p>
    <w:p>
      <w:pPr>
        <w:jc w:val="both"/>
        <w:ind w:firstLine="562"/>
        <w:spacing w:after="0" w:line="254" w:lineRule="auto"/>
        <w:rPr>
          <w:sz w:val="20"/>
          <w:szCs w:val="20"/>
          <w:color w:val="auto"/>
        </w:rPr>
      </w:pPr>
      <w:r>
        <w:rPr>
          <w:rFonts w:ascii="Times New Roman" w:cs="Times New Roman" w:eastAsia="Times New Roman" w:hAnsi="Times New Roman"/>
          <w:sz w:val="20"/>
          <w:szCs w:val="20"/>
          <w:color w:val="auto"/>
        </w:rPr>
        <w:t>WHEREAS, Sublessor and Sublessee are parties to that certain Sublease Agreement dated May 29, 2020 (the “</w:t>
      </w:r>
      <w:r>
        <w:rPr>
          <w:rFonts w:ascii="Times New Roman" w:cs="Times New Roman" w:eastAsia="Times New Roman" w:hAnsi="Times New Roman"/>
          <w:sz w:val="20"/>
          <w:szCs w:val="20"/>
          <w:u w:val="single" w:color="auto"/>
          <w:color w:val="auto"/>
        </w:rPr>
        <w:t>Sublease</w:t>
      </w:r>
      <w:r>
        <w:rPr>
          <w:rFonts w:ascii="Times New Roman" w:cs="Times New Roman" w:eastAsia="Times New Roman" w:hAnsi="Times New Roman"/>
          <w:sz w:val="20"/>
          <w:szCs w:val="20"/>
          <w:color w:val="auto"/>
        </w:rPr>
        <w:t>”) for certain premises consisting of approximately 5,285 rentable square feet of space in the building located at 15440 Laguna Canyon Road, Irvine, CA 92618 and identified as Suite 130 (the “</w:t>
      </w:r>
      <w:r>
        <w:rPr>
          <w:rFonts w:ascii="Times New Roman" w:cs="Times New Roman" w:eastAsia="Times New Roman" w:hAnsi="Times New Roman"/>
          <w:sz w:val="20"/>
          <w:szCs w:val="20"/>
          <w:u w:val="single" w:color="auto"/>
          <w:color w:val="auto"/>
        </w:rPr>
        <w:t>Premises</w:t>
      </w:r>
      <w:r>
        <w:rPr>
          <w:rFonts w:ascii="Times New Roman" w:cs="Times New Roman" w:eastAsia="Times New Roman" w:hAnsi="Times New Roman"/>
          <w:sz w:val="20"/>
          <w:szCs w:val="20"/>
          <w:color w:val="auto"/>
        </w:rPr>
        <w:t>”);</w:t>
      </w:r>
    </w:p>
    <w:p>
      <w:pPr>
        <w:spacing w:after="0" w:line="174" w:lineRule="exact"/>
        <w:rPr>
          <w:sz w:val="20"/>
          <w:szCs w:val="20"/>
          <w:color w:val="auto"/>
        </w:rPr>
      </w:pPr>
    </w:p>
    <w:p>
      <w:pPr>
        <w:jc w:val="both"/>
        <w:ind w:firstLine="562"/>
        <w:spacing w:after="0" w:line="269" w:lineRule="auto"/>
        <w:rPr>
          <w:sz w:val="20"/>
          <w:szCs w:val="20"/>
          <w:color w:val="auto"/>
        </w:rPr>
      </w:pPr>
      <w:r>
        <w:rPr>
          <w:rFonts w:ascii="Times New Roman" w:cs="Times New Roman" w:eastAsia="Times New Roman" w:hAnsi="Times New Roman"/>
          <w:sz w:val="20"/>
          <w:szCs w:val="20"/>
          <w:color w:val="auto"/>
        </w:rPr>
        <w:t>WHEREAS, Sublessor and Sublessee desire to amend the Sublease to confirm the Commencement Date and Rent Commencement Date of the Sublease and to otherwise revise the terms of the Sublease as set forth herein;</w:t>
      </w:r>
    </w:p>
    <w:p>
      <w:pPr>
        <w:spacing w:after="0" w:line="159" w:lineRule="exact"/>
        <w:rPr>
          <w:sz w:val="20"/>
          <w:szCs w:val="20"/>
          <w:color w:val="auto"/>
        </w:rPr>
      </w:pPr>
    </w:p>
    <w:p>
      <w:pPr>
        <w:jc w:val="both"/>
        <w:ind w:firstLine="562"/>
        <w:spacing w:after="0" w:line="254" w:lineRule="auto"/>
        <w:rPr>
          <w:sz w:val="20"/>
          <w:szCs w:val="20"/>
          <w:color w:val="auto"/>
        </w:rPr>
      </w:pPr>
      <w:r>
        <w:rPr>
          <w:rFonts w:ascii="Times New Roman" w:cs="Times New Roman" w:eastAsia="Times New Roman" w:hAnsi="Times New Roman"/>
          <w:sz w:val="20"/>
          <w:szCs w:val="20"/>
          <w:color w:val="auto"/>
        </w:rPr>
        <w:t>NOW, THEREFORE, for and in consideration of the Premises and the sum of Ten and No/100 Dollars ($10.00) and for other good and valuable considerations, the receipt, adequacy and sufficiency of which are hereby acknowledged, the parties do hereby covenant and agree as follows:</w:t>
      </w:r>
    </w:p>
    <w:p>
      <w:pPr>
        <w:spacing w:after="0" w:line="174" w:lineRule="exact"/>
        <w:rPr>
          <w:sz w:val="20"/>
          <w:szCs w:val="20"/>
          <w:color w:val="auto"/>
        </w:rPr>
      </w:pPr>
    </w:p>
    <w:p>
      <w:pPr>
        <w:ind w:right="20" w:firstLine="1131"/>
        <w:spacing w:after="0" w:line="269" w:lineRule="auto"/>
        <w:tabs>
          <w:tab w:leader="none" w:pos="1708" w:val="left"/>
        </w:tabs>
        <w:numPr>
          <w:ilvl w:val="0"/>
          <w:numId w:val="3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Recitals</w:t>
      </w:r>
      <w:r>
        <w:rPr>
          <w:rFonts w:ascii="Times New Roman" w:cs="Times New Roman" w:eastAsia="Times New Roman" w:hAnsi="Times New Roman"/>
          <w:sz w:val="20"/>
          <w:szCs w:val="20"/>
          <w:color w:val="auto"/>
        </w:rPr>
        <w:t>. The recitals set forth above in this Amendment are incorporated into the body of this Amendment and made a part hereof as if fully set forth herein.</w:t>
      </w:r>
    </w:p>
    <w:p>
      <w:pPr>
        <w:spacing w:after="0" w:line="159" w:lineRule="exact"/>
        <w:rPr>
          <w:rFonts w:ascii="Times New Roman" w:cs="Times New Roman" w:eastAsia="Times New Roman" w:hAnsi="Times New Roman"/>
          <w:sz w:val="20"/>
          <w:szCs w:val="20"/>
          <w:color w:val="auto"/>
        </w:rPr>
      </w:pPr>
    </w:p>
    <w:p>
      <w:pPr>
        <w:ind w:firstLine="1131"/>
        <w:spacing w:after="0" w:line="269" w:lineRule="auto"/>
        <w:tabs>
          <w:tab w:leader="none" w:pos="1735" w:val="left"/>
        </w:tabs>
        <w:numPr>
          <w:ilvl w:val="0"/>
          <w:numId w:val="3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Defined Terms</w:t>
      </w:r>
      <w:r>
        <w:rPr>
          <w:rFonts w:ascii="Times New Roman" w:cs="Times New Roman" w:eastAsia="Times New Roman" w:hAnsi="Times New Roman"/>
          <w:sz w:val="20"/>
          <w:szCs w:val="20"/>
          <w:color w:val="auto"/>
        </w:rPr>
        <w:t>. All capitalized terms utilized in this Amendment and not expressly defined herein shall have the same meaning as ascribed to such terms in the Sublease.</w:t>
      </w:r>
    </w:p>
    <w:p>
      <w:pPr>
        <w:spacing w:after="0" w:line="159" w:lineRule="exact"/>
        <w:rPr>
          <w:rFonts w:ascii="Times New Roman" w:cs="Times New Roman" w:eastAsia="Times New Roman" w:hAnsi="Times New Roman"/>
          <w:sz w:val="20"/>
          <w:szCs w:val="20"/>
          <w:color w:val="auto"/>
        </w:rPr>
      </w:pPr>
    </w:p>
    <w:p>
      <w:pPr>
        <w:ind w:firstLine="1131"/>
        <w:spacing w:after="0" w:line="269" w:lineRule="auto"/>
        <w:tabs>
          <w:tab w:leader="none" w:pos="1694" w:val="left"/>
        </w:tabs>
        <w:numPr>
          <w:ilvl w:val="0"/>
          <w:numId w:val="3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Commencement</w:t>
      </w:r>
      <w:r>
        <w:rPr>
          <w:rFonts w:ascii="Times New Roman" w:cs="Times New Roman" w:eastAsia="Times New Roman" w:hAnsi="Times New Roman"/>
          <w:sz w:val="20"/>
          <w:szCs w:val="20"/>
          <w:color w:val="auto"/>
        </w:rPr>
        <w:t>. The parties hereby agree that Section 4(b) of the Sublease is hereby deleted in its entirety and shall be replaced with the following:</w:t>
      </w:r>
    </w:p>
    <w:p>
      <w:pPr>
        <w:spacing w:after="0" w:line="159" w:lineRule="exact"/>
        <w:rPr>
          <w:sz w:val="20"/>
          <w:szCs w:val="20"/>
          <w:color w:val="auto"/>
        </w:rPr>
      </w:pPr>
    </w:p>
    <w:p>
      <w:pPr>
        <w:jc w:val="both"/>
        <w:ind w:left="800" w:firstLine="522"/>
        <w:spacing w:after="0" w:line="254" w:lineRule="auto"/>
        <w:rPr>
          <w:sz w:val="20"/>
          <w:szCs w:val="20"/>
          <w:color w:val="auto"/>
        </w:rPr>
      </w:pPr>
      <w:r>
        <w:rPr>
          <w:rFonts w:ascii="Times New Roman" w:cs="Times New Roman" w:eastAsia="Times New Roman" w:hAnsi="Times New Roman"/>
          <w:sz w:val="20"/>
          <w:szCs w:val="20"/>
          <w:color w:val="auto"/>
        </w:rPr>
        <w:t>“Notwithstanding anything to the contrary contained herein, the parties hereby agree that the Rent Commencement Date and Commencement Date shall be deemed to occur on August 15, 2020 and neither party shall be obligated to execute a Commencement Date Agreement memorializing such date.”</w:t>
      </w:r>
    </w:p>
    <w:p>
      <w:pPr>
        <w:spacing w:after="0" w:line="174" w:lineRule="exact"/>
        <w:rPr>
          <w:sz w:val="20"/>
          <w:szCs w:val="20"/>
          <w:color w:val="auto"/>
        </w:rPr>
      </w:pPr>
    </w:p>
    <w:p>
      <w:pPr>
        <w:jc w:val="both"/>
        <w:ind w:firstLine="1131"/>
        <w:spacing w:after="0" w:line="254" w:lineRule="auto"/>
        <w:tabs>
          <w:tab w:leader="none" w:pos="1667" w:val="left"/>
        </w:tabs>
        <w:numPr>
          <w:ilvl w:val="0"/>
          <w:numId w:val="3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Conflict; No Further Modification</w:t>
      </w:r>
      <w:r>
        <w:rPr>
          <w:rFonts w:ascii="Times New Roman" w:cs="Times New Roman" w:eastAsia="Times New Roman" w:hAnsi="Times New Roman"/>
          <w:sz w:val="20"/>
          <w:szCs w:val="20"/>
          <w:color w:val="auto"/>
        </w:rPr>
        <w:t>. In the event of any conflict between the Sublease and this Amendment, the terms and provisions of this Amendment shall prevail. Except as set forth in this Amendment, all of the terms and provisions of the Sublease shall remain unmodified and in full force and effect.</w:t>
      </w:r>
    </w:p>
    <w:p>
      <w:pPr>
        <w:spacing w:after="0" w:line="174" w:lineRule="exact"/>
        <w:rPr>
          <w:rFonts w:ascii="Times New Roman" w:cs="Times New Roman" w:eastAsia="Times New Roman" w:hAnsi="Times New Roman"/>
          <w:sz w:val="20"/>
          <w:szCs w:val="20"/>
          <w:color w:val="auto"/>
        </w:rPr>
      </w:pPr>
    </w:p>
    <w:p>
      <w:pPr>
        <w:jc w:val="both"/>
        <w:ind w:firstLine="1131"/>
        <w:spacing w:after="0" w:line="246" w:lineRule="auto"/>
        <w:tabs>
          <w:tab w:leader="none" w:pos="1883" w:val="left"/>
        </w:tabs>
        <w:numPr>
          <w:ilvl w:val="0"/>
          <w:numId w:val="3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Miscellaneous</w:t>
      </w:r>
      <w:r>
        <w:rPr>
          <w:rFonts w:ascii="Times New Roman" w:cs="Times New Roman" w:eastAsia="Times New Roman" w:hAnsi="Times New Roman"/>
          <w:sz w:val="20"/>
          <w:szCs w:val="20"/>
          <w:color w:val="auto"/>
        </w:rPr>
        <w:t>. This Amendment shall be binding upon and inure to the benefit of Sublessor, Sublessee and their respective legal representatives, successors and assigns. This Amendment may be executed in counterparts, each of which shall be deemed an original and all of which shall be deemed one and the same instrument. Electronic signatures and/or signatures transmitted by facsimile or email shall have the same effect as an original signature. Time is of the essence. This Amendment shall be subject to, governed by, and construed pursuant to the laws of the State of California.</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[BALANCE OF PAGE INTENTIONALLY LEFT BLANK]</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[SIGNATURES BEGIN ON FOLLOWING PAGE</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240"/>
          </w:cols>
          <w:pgMar w:left="320" w:top="261" w:right="339" w:bottom="1440" w:gutter="0" w:footer="0" w:header="0"/>
        </w:sectPr>
      </w:pPr>
    </w:p>
    <w:bookmarkStart w:id="383" w:name="page384"/>
    <w:bookmarkEnd w:id="383"/>
    <w:p>
      <w:pPr>
        <w:spacing w:after="0"/>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parties have executed this Amendment under seal as of the day and year first above written.</w:t>
      </w:r>
    </w:p>
    <w:p>
      <w:pPr>
        <w:spacing w:after="0" w:line="243"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20"/>
          <w:szCs w:val="20"/>
          <w:u w:val="single" w:color="auto"/>
          <w:color w:val="auto"/>
        </w:rPr>
        <w:t>SUBLESSOR:</w:t>
      </w:r>
    </w:p>
    <w:p>
      <w:pPr>
        <w:spacing w:after="0" w:line="216"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20"/>
          <w:szCs w:val="20"/>
          <w:color w:val="auto"/>
        </w:rPr>
        <w:t>AVENT, INC.,</w:t>
      </w:r>
    </w:p>
    <w:p>
      <w:pPr>
        <w:spacing w:after="0" w:line="22"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20"/>
          <w:szCs w:val="20"/>
          <w:color w:val="auto"/>
        </w:rPr>
        <w:t>a Delaware corporation</w:t>
      </w:r>
    </w:p>
    <w:p>
      <w:pPr>
        <w:spacing w:after="0" w:line="194"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20"/>
          <w:szCs w:val="20"/>
          <w:color w:val="auto"/>
        </w:rPr>
        <w:t>By: /s/ David Ball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4166870</wp:posOffset>
            </wp:positionH>
            <wp:positionV relativeFrom="paragraph">
              <wp:posOffset>22860</wp:posOffset>
            </wp:positionV>
            <wp:extent cx="2614295" cy="825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2614295" cy="8255"/>
                    </a:xfrm>
                    <a:prstGeom prst="rect">
                      <a:avLst/>
                    </a:prstGeom>
                    <a:noFill/>
                  </pic:spPr>
                </pic:pic>
              </a:graphicData>
            </a:graphic>
          </wp:anchor>
        </w:drawing>
      </w:r>
    </w:p>
    <w:p>
      <w:pPr>
        <w:spacing w:after="0" w:line="22"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20"/>
          <w:szCs w:val="20"/>
          <w:color w:val="auto"/>
        </w:rPr>
        <w:t>Its: SVP, Global Supply Chain &amp; Procurement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4166870</wp:posOffset>
            </wp:positionH>
            <wp:positionV relativeFrom="paragraph">
              <wp:posOffset>13335</wp:posOffset>
            </wp:positionV>
            <wp:extent cx="2614295" cy="825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2614295" cy="8255"/>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20"/>
          <w:szCs w:val="20"/>
          <w:color w:val="auto"/>
        </w:rPr>
        <w:t>[SIGNATURES CONTINUE ON THE NEXT PAGE]</w:t>
      </w:r>
    </w:p>
    <w:p>
      <w:pPr>
        <w:spacing w:after="0" w:line="153"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9940"/>
          </w:cols>
          <w:pgMar w:left="880" w:top="265" w:right="1079" w:bottom="1440" w:gutter="0" w:footer="0" w:header="0"/>
        </w:sectPr>
      </w:pPr>
    </w:p>
    <w:bookmarkStart w:id="384" w:name="page385"/>
    <w:bookmarkEnd w:id="384"/>
    <w:p>
      <w:pPr>
        <w:jc w:val="center"/>
        <w:ind w:right="19"/>
        <w:spacing w:after="0"/>
        <w:rPr>
          <w:sz w:val="20"/>
          <w:szCs w:val="20"/>
          <w:color w:val="auto"/>
        </w:rPr>
      </w:pPr>
      <w:r>
        <w:rPr>
          <w:rFonts w:ascii="Times New Roman" w:cs="Times New Roman" w:eastAsia="Times New Roman" w:hAnsi="Times New Roman"/>
          <w:sz w:val="19"/>
          <w:szCs w:val="19"/>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[SIGNATURES CONTINUED FROM PREVIOUS PAGE]</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[SIGNATURE PAGE TO AMENDMENT]</w:t>
      </w:r>
    </w:p>
    <w:p>
      <w:pPr>
        <w:spacing w:after="0" w:line="2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0"/>
          <w:szCs w:val="20"/>
          <w:u w:val="single" w:color="auto"/>
          <w:color w:val="auto"/>
        </w:rPr>
        <w:t>SUBLESSEE:</w:t>
      </w:r>
    </w:p>
    <w:p>
      <w:pPr>
        <w:spacing w:after="0" w:line="21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9"/>
          <w:szCs w:val="19"/>
          <w:color w:val="auto"/>
        </w:rPr>
        <w:t>TARSUS PHARMACEUTICALS, INC.,</w:t>
      </w:r>
    </w:p>
    <w:p>
      <w:pPr>
        <w:spacing w:after="0" w:line="3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0"/>
          <w:szCs w:val="20"/>
          <w:color w:val="auto"/>
        </w:rPr>
        <w:t>a Delaware corporation</w:t>
      </w:r>
    </w:p>
    <w:p>
      <w:pPr>
        <w:spacing w:after="0" w:line="315" w:lineRule="exact"/>
        <w:rPr>
          <w:sz w:val="20"/>
          <w:szCs w:val="20"/>
          <w:color w:val="auto"/>
        </w:rPr>
      </w:pPr>
    </w:p>
    <w:p>
      <w:pPr>
        <w:ind w:left="6040"/>
        <w:spacing w:after="0"/>
        <w:tabs>
          <w:tab w:leader="none" w:pos="648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/s/ Leo Greenstein</w:t>
      </w:r>
    </w:p>
    <w:p>
      <w:pPr>
        <w:spacing w:after="0" w:line="22" w:lineRule="exact"/>
        <w:rPr>
          <w:sz w:val="20"/>
          <w:szCs w:val="20"/>
          <w:color w:val="auto"/>
        </w:rPr>
      </w:pPr>
    </w:p>
    <w:p>
      <w:pPr>
        <w:ind w:left="6040"/>
        <w:spacing w:after="0"/>
        <w:tabs>
          <w:tab w:leader="none" w:pos="6480" w:val="left"/>
        </w:tabs>
        <w:rPr>
          <w:sz w:val="20"/>
          <w:szCs w:val="20"/>
          <w:color w:val="auto"/>
        </w:rPr>
      </w:pPr>
      <w:r>
        <w:rPr>
          <w:rFonts w:ascii="Times New Roman" w:cs="Times New Roman" w:eastAsia="Times New Roman" w:hAnsi="Times New Roman"/>
          <w:sz w:val="20"/>
          <w:szCs w:val="20"/>
          <w:color w:val="auto"/>
        </w:rPr>
        <w:t>Its:</w:t>
        <w:tab/>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4094480</wp:posOffset>
            </wp:positionH>
            <wp:positionV relativeFrom="paragraph">
              <wp:posOffset>-144780</wp:posOffset>
            </wp:positionV>
            <wp:extent cx="2331720" cy="825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2331720" cy="8255"/>
                    </a:xfrm>
                    <a:prstGeom prst="rect">
                      <a:avLst/>
                    </a:prstGeom>
                    <a:noFill/>
                  </pic:spPr>
                </pic:pic>
              </a:graphicData>
            </a:graphic>
          </wp:anchor>
        </w:drawing>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9019"/>
          </w:cols>
          <w:pgMar w:left="1440" w:top="265" w:right="1440" w:bottom="1440" w:gutter="0" w:footer="0" w:header="0"/>
        </w:sectPr>
      </w:pPr>
    </w:p>
    <w:bookmarkStart w:id="385" w:name="page386"/>
    <w:bookmarkEnd w:id="385"/>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We consent to the reference to our firm under the caption “Experts” and to the use of our report dated August 7, 2020, in the Registration Statement (Form S-1) and related Prospectus of Tarsus Pharmaceuticals, Inc. dated September 25, 2020.</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Irvine,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25, 2020</w:t>
      </w:r>
    </w:p>
    <w:sectPr>
      <w:pgSz w:w="11900" w:h="16838" w:orient="portrait"/>
      <w:cols w:equalWidth="0" w:num="1">
        <w:col w:w="11020"/>
      </w:cols>
      <w:pgMar w:left="440" w:top="11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2E3413A"/>
    <w:multiLevelType w:val="hybridMultilevel"/>
    <w:lvl w:ilvl="0">
      <w:lvlJc w:val="left"/>
      <w:lvlText w:val="(%1)"/>
      <w:numFmt w:val="decimal"/>
      <w:start w:val="1"/>
    </w:lvl>
  </w:abstractNum>
  <w:abstractNum w:abstractNumId="1">
    <w:nsid w:val="116AE494"/>
    <w:multiLevelType w:val="hybridMultilevel"/>
    <w:lvl w:ilvl="0">
      <w:lvlJc w:val="left"/>
      <w:lvlText w:val="*"/>
      <w:numFmt w:val="bullet"/>
      <w:start w:val="1"/>
    </w:lvl>
  </w:abstractNum>
  <w:abstractNum w:abstractNumId="2">
    <w:nsid w:val="3494B2FB"/>
    <w:multiLevelType w:val="hybridMultilevel"/>
    <w:lvl w:ilvl="0">
      <w:lvlJc w:val="left"/>
      <w:lvlText w:val="**"/>
      <w:numFmt w:val="bullet"/>
      <w:start w:val="1"/>
    </w:lvl>
  </w:abstractNum>
  <w:abstractNum w:abstractNumId="3">
    <w:nsid w:val="B13A31"/>
    <w:multiLevelType w:val="hybridMultilevel"/>
    <w:lvl w:ilvl="0">
      <w:lvlJc w:val="left"/>
      <w:lvlText w:val="***"/>
      <w:numFmt w:val="bullet"/>
      <w:start w:val="1"/>
    </w:lvl>
  </w:abstractNum>
  <w:abstractNum w:abstractNumId="4">
    <w:nsid w:val="64429599"/>
    <w:multiLevelType w:val="hybridMultilevel"/>
    <w:lvl w:ilvl="0">
      <w:lvlJc w:val="left"/>
      <w:lvlText w:val="†"/>
      <w:numFmt w:val="bullet"/>
      <w:start w:val="1"/>
    </w:lvl>
  </w:abstractNum>
  <w:abstractNum w:abstractNumId="5">
    <w:nsid w:val="631F1690"/>
    <w:multiLevelType w:val="hybridMultilevel"/>
    <w:lvl w:ilvl="0">
      <w:lvlJc w:val="left"/>
      <w:lvlText w:val="††"/>
      <w:numFmt w:val="bullet"/>
      <w:start w:val="1"/>
    </w:lvl>
  </w:abstractNum>
  <w:abstractNum w:abstractNumId="6">
    <w:nsid w:val="25973E32"/>
    <w:multiLevelType w:val="hybridMultilevel"/>
    <w:lvl w:ilvl="0">
      <w:lvlJc w:val="left"/>
      <w:lvlText w:val="*"/>
      <w:numFmt w:val="bullet"/>
      <w:start w:val="1"/>
    </w:lvl>
  </w:abstractNum>
  <w:abstractNum w:abstractNumId="7">
    <w:nsid w:val="EAD6F57"/>
    <w:multiLevelType w:val="hybridMultilevel"/>
    <w:lvl w:ilvl="0">
      <w:lvlJc w:val="left"/>
      <w:lvlText w:val="**"/>
      <w:numFmt w:val="bullet"/>
      <w:start w:val="1"/>
    </w:lvl>
  </w:abstractNum>
  <w:abstractNum w:abstractNumId="8">
    <w:nsid w:val="6EC9D844"/>
    <w:multiLevelType w:val="hybridMultilevel"/>
    <w:lvl w:ilvl="0">
      <w:lvlJc w:val="left"/>
      <w:lvlText w:val="†"/>
      <w:numFmt w:val="bullet"/>
      <w:start w:val="1"/>
    </w:lvl>
  </w:abstractNum>
  <w:abstractNum w:abstractNumId="9">
    <w:nsid w:val="5C49EAEE"/>
    <w:multiLevelType w:val="hybridMultilevel"/>
    <w:lvl w:ilvl="0">
      <w:lvlJc w:val="left"/>
      <w:lvlText w:val="††"/>
      <w:numFmt w:val="bullet"/>
      <w:start w:val="1"/>
    </w:lvl>
  </w:abstractNum>
  <w:abstractNum w:abstractNumId="10">
    <w:nsid w:val="64AF49B"/>
    <w:multiLevelType w:val="hybridMultilevel"/>
    <w:lvl w:ilvl="0">
      <w:lvlJc w:val="left"/>
      <w:lvlText w:val="•"/>
      <w:numFmt w:val="bullet"/>
      <w:start w:val="1"/>
    </w:lvl>
    <w:lvl w:ilvl="1">
      <w:lvlJc w:val="left"/>
      <w:lvlText w:val="-"/>
      <w:numFmt w:val="bullet"/>
      <w:start w:val="1"/>
    </w:lvl>
  </w:abstractNum>
  <w:abstractNum w:abstractNumId="11">
    <w:nsid w:val="397C46BC"/>
    <w:multiLevelType w:val="hybridMultilevel"/>
    <w:lvl w:ilvl="0">
      <w:lvlJc w:val="left"/>
      <w:lvlText w:val="•"/>
      <w:numFmt w:val="bullet"/>
      <w:start w:val="1"/>
    </w:lvl>
    <w:lvl w:ilvl="1">
      <w:lvlJc w:val="left"/>
      <w:lvlText w:val="-"/>
      <w:numFmt w:val="bullet"/>
      <w:start w:val="1"/>
    </w:lvl>
  </w:abstractNum>
  <w:abstractNum w:abstractNumId="12">
    <w:nsid w:val="7E448DE9"/>
    <w:multiLevelType w:val="hybridMultilevel"/>
    <w:lvl w:ilvl="0">
      <w:lvlJc w:val="left"/>
      <w:lvlText w:val="•"/>
      <w:numFmt w:val="bullet"/>
      <w:start w:val="1"/>
    </w:lvl>
  </w:abstractNum>
  <w:abstractNum w:abstractNumId="13">
    <w:nsid w:val="5A9CC3E5"/>
    <w:multiLevelType w:val="hybridMultilevel"/>
    <w:lvl w:ilvl="0">
      <w:lvlJc w:val="left"/>
      <w:lvlText w:val="•"/>
      <w:numFmt w:val="bullet"/>
      <w:start w:val="1"/>
    </w:lvl>
    <w:lvl w:ilvl="1">
      <w:lvlJc w:val="left"/>
      <w:lvlText w:val="-"/>
      <w:numFmt w:val="bullet"/>
      <w:start w:val="1"/>
    </w:lvl>
  </w:abstractNum>
  <w:abstractNum w:abstractNumId="14">
    <w:nsid w:val="1AFE3625"/>
    <w:multiLevelType w:val="hybridMultilevel"/>
    <w:lvl w:ilvl="0">
      <w:lvlJc w:val="left"/>
      <w:lvlText w:val="•"/>
      <w:numFmt w:val="bullet"/>
      <w:start w:val="1"/>
    </w:lvl>
    <w:lvl w:ilvl="1">
      <w:lvlJc w:val="left"/>
      <w:lvlText w:val="-"/>
      <w:numFmt w:val="bullet"/>
      <w:start w:val="1"/>
    </w:lvl>
  </w:abstractNum>
  <w:abstractNum w:abstractNumId="15">
    <w:nsid w:val="3CA88ECF"/>
    <w:multiLevelType w:val="hybridMultilevel"/>
    <w:lvl w:ilvl="0">
      <w:lvlJc w:val="left"/>
      <w:lvlText w:val="•"/>
      <w:numFmt w:val="bullet"/>
      <w:start w:val="1"/>
    </w:lvl>
  </w:abstractNum>
  <w:abstractNum w:abstractNumId="16">
    <w:nsid w:val="6EBE4208"/>
    <w:multiLevelType w:val="hybridMultilevel"/>
    <w:lvl w:ilvl="0">
      <w:lvlJc w:val="left"/>
      <w:lvlText w:val="•"/>
      <w:numFmt w:val="bullet"/>
      <w:start w:val="1"/>
    </w:lvl>
    <w:lvl w:ilvl="1">
      <w:lvlJc w:val="left"/>
      <w:lvlText w:val="-"/>
      <w:numFmt w:val="bullet"/>
      <w:start w:val="1"/>
    </w:lvl>
  </w:abstractNum>
  <w:abstractNum w:abstractNumId="17">
    <w:nsid w:val="C058DF5"/>
    <w:multiLevelType w:val="hybridMultilevel"/>
    <w:lvl w:ilvl="0">
      <w:lvlJc w:val="left"/>
      <w:lvlText w:val="•"/>
      <w:numFmt w:val="bullet"/>
      <w:start w:val="1"/>
    </w:lvl>
  </w:abstractNum>
  <w:abstractNum w:abstractNumId="18">
    <w:nsid w:val="CBE5BE9"/>
    <w:multiLevelType w:val="hybridMultilevel"/>
    <w:lvl w:ilvl="0">
      <w:lvlJc w:val="left"/>
      <w:lvlText w:val="•"/>
      <w:numFmt w:val="bullet"/>
      <w:start w:val="1"/>
    </w:lvl>
    <w:lvl w:ilvl="1">
      <w:lvlJc w:val="left"/>
      <w:lvlText w:val="-"/>
      <w:numFmt w:val="bullet"/>
      <w:start w:val="1"/>
    </w:lvl>
  </w:abstractNum>
  <w:abstractNum w:abstractNumId="19">
    <w:nsid w:val="3102BBE2"/>
    <w:multiLevelType w:val="hybridMultilevel"/>
    <w:lvl w:ilvl="0">
      <w:lvlJc w:val="left"/>
      <w:lvlText w:val="•"/>
      <w:numFmt w:val="bullet"/>
      <w:start w:val="1"/>
    </w:lvl>
  </w:abstractNum>
  <w:abstractNum w:abstractNumId="20">
    <w:nsid w:val="26A02C5E"/>
    <w:multiLevelType w:val="hybridMultilevel"/>
    <w:lvl w:ilvl="0">
      <w:lvlJc w:val="left"/>
      <w:lvlText w:val="•"/>
      <w:numFmt w:val="bullet"/>
      <w:start w:val="1"/>
    </w:lvl>
  </w:abstractNum>
  <w:abstractNum w:abstractNumId="21">
    <w:nsid w:val="541C8153"/>
    <w:multiLevelType w:val="hybridMultilevel"/>
    <w:lvl w:ilvl="0">
      <w:lvlJc w:val="left"/>
      <w:lvlText w:val="•"/>
      <w:numFmt w:val="bullet"/>
      <w:start w:val="1"/>
    </w:lvl>
    <w:lvl w:ilvl="1">
      <w:lvlJc w:val="left"/>
      <w:lvlText w:val="-"/>
      <w:numFmt w:val="bullet"/>
      <w:start w:val="1"/>
    </w:lvl>
  </w:abstractNum>
  <w:abstractNum w:abstractNumId="22">
    <w:nsid w:val="67906F60"/>
    <w:multiLevelType w:val="hybridMultilevel"/>
    <w:lvl w:ilvl="0">
      <w:lvlJc w:val="left"/>
      <w:lvlText w:val="(%1)"/>
      <w:numFmt w:val="decimal"/>
      <w:start w:val="1"/>
    </w:lvl>
  </w:abstractNum>
  <w:abstractNum w:abstractNumId="23">
    <w:nsid w:val="10DB9DAA"/>
    <w:multiLevelType w:val="hybridMultilevel"/>
    <w:lvl w:ilvl="0">
      <w:lvlJc w:val="left"/>
      <w:lvlText w:val="•"/>
      <w:numFmt w:val="bullet"/>
      <w:start w:val="1"/>
    </w:lvl>
  </w:abstractNum>
  <w:abstractNum w:abstractNumId="24">
    <w:nsid w:val="697D2D2"/>
    <w:multiLevelType w:val="hybridMultilevel"/>
    <w:lvl w:ilvl="0">
      <w:lvlJc w:val="left"/>
      <w:lvlText w:val="$"/>
      <w:numFmt w:val="bullet"/>
      <w:start w:val="1"/>
    </w:lvl>
  </w:abstractNum>
  <w:abstractNum w:abstractNumId="25">
    <w:nsid w:val="6D68AB2"/>
    <w:multiLevelType w:val="hybridMultilevel"/>
    <w:lvl w:ilvl="0">
      <w:lvlJc w:val="left"/>
      <w:lvlText w:val="(%1)"/>
      <w:numFmt w:val="decimal"/>
      <w:start w:val="2"/>
    </w:lvl>
    <w:lvl w:ilvl="1">
      <w:lvlJc w:val="left"/>
      <w:lvlText w:val="-"/>
      <w:numFmt w:val="bullet"/>
      <w:start w:val="1"/>
    </w:lvl>
  </w:abstractNum>
  <w:abstractNum w:abstractNumId="26">
    <w:nsid w:val="3A966CD0"/>
    <w:multiLevelType w:val="hybridMultilevel"/>
    <w:lvl w:ilvl="0">
      <w:lvlJc w:val="left"/>
      <w:lvlText w:val="•"/>
      <w:numFmt w:val="bullet"/>
      <w:start w:val="1"/>
    </w:lvl>
    <w:lvl w:ilvl="1">
      <w:lvlJc w:val="left"/>
      <w:lvlText w:val="-"/>
      <w:numFmt w:val="bullet"/>
      <w:start w:val="1"/>
    </w:lvl>
  </w:abstractNum>
  <w:abstractNum w:abstractNumId="27">
    <w:nsid w:val="63F37E85"/>
    <w:multiLevelType w:val="hybridMultilevel"/>
    <w:lvl w:ilvl="0">
      <w:lvlJc w:val="left"/>
      <w:lvlText w:val="•"/>
      <w:numFmt w:val="bullet"/>
      <w:start w:val="1"/>
    </w:lvl>
  </w:abstractNum>
  <w:abstractNum w:abstractNumId="28">
    <w:nsid w:val="5895F5FA"/>
    <w:multiLevelType w:val="hybridMultilevel"/>
    <w:lvl w:ilvl="0">
      <w:lvlJc w:val="left"/>
      <w:lvlText w:val="•"/>
      <w:numFmt w:val="bullet"/>
      <w:start w:val="1"/>
    </w:lvl>
  </w:abstractNum>
  <w:abstractNum w:abstractNumId="29">
    <w:nsid w:val="38A5D054"/>
    <w:multiLevelType w:val="hybridMultilevel"/>
    <w:lvl w:ilvl="0">
      <w:lvlJc w:val="left"/>
      <w:lvlText w:val="•"/>
      <w:numFmt w:val="bullet"/>
      <w:start w:val="1"/>
    </w:lvl>
  </w:abstractNum>
  <w:abstractNum w:abstractNumId="30">
    <w:nsid w:val="F3F09D8"/>
    <w:multiLevelType w:val="hybridMultilevel"/>
    <w:lvl w:ilvl="0">
      <w:lvlJc w:val="left"/>
      <w:lvlText w:val="•"/>
      <w:numFmt w:val="bullet"/>
      <w:start w:val="1"/>
    </w:lvl>
    <w:lvl w:ilvl="1">
      <w:lvlJc w:val="left"/>
      <w:lvlText w:val="-"/>
      <w:numFmt w:val="bullet"/>
      <w:start w:val="1"/>
    </w:lvl>
  </w:abstractNum>
  <w:abstractNum w:abstractNumId="31">
    <w:nsid w:val="4B793735"/>
    <w:multiLevelType w:val="hybridMultilevel"/>
    <w:lvl w:ilvl="0">
      <w:lvlJc w:val="left"/>
      <w:lvlText w:val="•"/>
      <w:numFmt w:val="bullet"/>
      <w:start w:val="1"/>
    </w:lvl>
  </w:abstractNum>
  <w:abstractNum w:abstractNumId="32">
    <w:nsid w:val="4A10B4E8"/>
    <w:multiLevelType w:val="hybridMultilevel"/>
    <w:lvl w:ilvl="0">
      <w:lvlJc w:val="left"/>
      <w:lvlText w:val="•"/>
      <w:numFmt w:val="bullet"/>
      <w:start w:val="1"/>
    </w:lvl>
    <w:lvl w:ilvl="1">
      <w:lvlJc w:val="left"/>
      <w:lvlText w:val="-"/>
      <w:numFmt w:val="bullet"/>
      <w:start w:val="1"/>
    </w:lvl>
  </w:abstractNum>
  <w:abstractNum w:abstractNumId="33">
    <w:nsid w:val="43D3BCD4"/>
    <w:multiLevelType w:val="hybridMultilevel"/>
    <w:lvl w:ilvl="0">
      <w:lvlJc w:val="left"/>
      <w:lvlText w:val="•"/>
      <w:numFmt w:val="bullet"/>
      <w:start w:val="1"/>
    </w:lvl>
  </w:abstractNum>
  <w:abstractNum w:abstractNumId="34">
    <w:nsid w:val="4C2A7166"/>
    <w:multiLevelType w:val="hybridMultilevel"/>
    <w:lvl w:ilvl="0">
      <w:lvlJc w:val="left"/>
      <w:lvlText w:val="•"/>
      <w:numFmt w:val="bullet"/>
      <w:start w:val="1"/>
    </w:lvl>
    <w:lvl w:ilvl="1">
      <w:lvlJc w:val="left"/>
      <w:lvlText w:val="-"/>
      <w:numFmt w:val="bullet"/>
      <w:start w:val="1"/>
    </w:lvl>
  </w:abstractNum>
  <w:abstractNum w:abstractNumId="35">
    <w:nsid w:val="2E534A82"/>
    <w:multiLevelType w:val="hybridMultilevel"/>
    <w:lvl w:ilvl="0">
      <w:lvlJc w:val="left"/>
      <w:lvlText w:val="•"/>
      <w:numFmt w:val="bullet"/>
      <w:start w:val="1"/>
    </w:lvl>
    <w:lvl w:ilvl="1">
      <w:lvlJc w:val="left"/>
      <w:lvlText w:val="-"/>
      <w:numFmt w:val="bullet"/>
      <w:start w:val="1"/>
    </w:lvl>
  </w:abstractNum>
  <w:abstractNum w:abstractNumId="36">
    <w:nsid w:val="26F2D364"/>
    <w:multiLevelType w:val="hybridMultilevel"/>
    <w:lvl w:ilvl="0">
      <w:lvlJc w:val="left"/>
      <w:lvlText w:val="•"/>
      <w:numFmt w:val="bullet"/>
      <w:start w:val="1"/>
    </w:lvl>
  </w:abstractNum>
  <w:abstractNum w:abstractNumId="37">
    <w:nsid w:val="71C1AF98"/>
    <w:multiLevelType w:val="hybridMultilevel"/>
    <w:lvl w:ilvl="0">
      <w:lvlJc w:val="left"/>
      <w:lvlText w:val="•"/>
      <w:numFmt w:val="bullet"/>
      <w:start w:val="1"/>
    </w:lvl>
  </w:abstractNum>
  <w:abstractNum w:abstractNumId="38">
    <w:nsid w:val="3D00B9D9"/>
    <w:multiLevelType w:val="hybridMultilevel"/>
    <w:lvl w:ilvl="0">
      <w:lvlJc w:val="left"/>
      <w:lvlText w:val="•"/>
      <w:numFmt w:val="bullet"/>
      <w:start w:val="1"/>
    </w:lvl>
    <w:lvl w:ilvl="1">
      <w:lvlJc w:val="left"/>
      <w:lvlText w:val="-"/>
      <w:numFmt w:val="bullet"/>
      <w:start w:val="1"/>
    </w:lvl>
  </w:abstractNum>
  <w:abstractNum w:abstractNumId="39">
    <w:nsid w:val="15BCABA8"/>
    <w:multiLevelType w:val="hybridMultilevel"/>
    <w:lvl w:ilvl="0">
      <w:lvlJc w:val="left"/>
      <w:lvlText w:val="•"/>
      <w:numFmt w:val="bullet"/>
      <w:start w:val="1"/>
    </w:lvl>
  </w:abstractNum>
  <w:abstractNum w:abstractNumId="40">
    <w:nsid w:val="4E0B9A87"/>
    <w:multiLevelType w:val="hybridMultilevel"/>
    <w:lvl w:ilvl="0">
      <w:lvlJc w:val="left"/>
      <w:lvlText w:val="•"/>
      <w:numFmt w:val="bullet"/>
      <w:start w:val="1"/>
    </w:lvl>
    <w:lvl w:ilvl="1">
      <w:lvlJc w:val="left"/>
      <w:lvlText w:val="-"/>
      <w:numFmt w:val="bullet"/>
      <w:start w:val="1"/>
    </w:lvl>
  </w:abstractNum>
  <w:abstractNum w:abstractNumId="41">
    <w:nsid w:val="434BAE75"/>
    <w:multiLevelType w:val="hybridMultilevel"/>
    <w:lvl w:ilvl="0">
      <w:lvlJc w:val="left"/>
      <w:lvlText w:val="•"/>
      <w:numFmt w:val="bullet"/>
      <w:start w:val="1"/>
    </w:lvl>
  </w:abstractNum>
  <w:abstractNum w:abstractNumId="42">
    <w:nsid w:val="4F38F265"/>
    <w:multiLevelType w:val="hybridMultilevel"/>
    <w:lvl w:ilvl="0">
      <w:lvlJc w:val="left"/>
      <w:lvlText w:val="•"/>
      <w:numFmt w:val="bullet"/>
      <w:start w:val="1"/>
    </w:lvl>
  </w:abstractNum>
  <w:abstractNum w:abstractNumId="43">
    <w:nsid w:val="4C502870"/>
    <w:multiLevelType w:val="hybridMultilevel"/>
    <w:lvl w:ilvl="0">
      <w:lvlJc w:val="left"/>
      <w:lvlText w:val="•"/>
      <w:numFmt w:val="bullet"/>
      <w:start w:val="1"/>
    </w:lvl>
    <w:lvl w:ilvl="1">
      <w:lvlJc w:val="left"/>
      <w:lvlText w:val="-"/>
      <w:numFmt w:val="bullet"/>
      <w:start w:val="1"/>
    </w:lvl>
  </w:abstractNum>
  <w:abstractNum w:abstractNumId="44">
    <w:nsid w:val="1DE8725A"/>
    <w:multiLevelType w:val="hybridMultilevel"/>
    <w:lvl w:ilvl="0">
      <w:lvlJc w:val="left"/>
      <w:lvlText w:val="•"/>
      <w:numFmt w:val="bullet"/>
      <w:start w:val="1"/>
    </w:lvl>
  </w:abstractNum>
  <w:abstractNum w:abstractNumId="45">
    <w:nsid w:val="6A37288A"/>
    <w:multiLevelType w:val="hybridMultilevel"/>
    <w:lvl w:ilvl="0">
      <w:lvlJc w:val="left"/>
      <w:lvlText w:val="•"/>
      <w:numFmt w:val="bullet"/>
      <w:start w:val="1"/>
    </w:lvl>
    <w:lvl w:ilvl="1">
      <w:lvlJc w:val="left"/>
      <w:lvlText w:val="-"/>
      <w:numFmt w:val="bullet"/>
      <w:start w:val="1"/>
    </w:lvl>
  </w:abstractNum>
  <w:abstractNum w:abstractNumId="46">
    <w:nsid w:val="8F8B73F"/>
    <w:multiLevelType w:val="hybridMultilevel"/>
    <w:lvl w:ilvl="0">
      <w:lvlJc w:val="left"/>
      <w:lvlText w:val="•"/>
      <w:numFmt w:val="bullet"/>
      <w:start w:val="1"/>
    </w:lvl>
  </w:abstractNum>
  <w:abstractNum w:abstractNumId="47">
    <w:nsid w:val="CA6B462"/>
    <w:multiLevelType w:val="hybridMultilevel"/>
    <w:lvl w:ilvl="0">
      <w:lvlJc w:val="left"/>
      <w:lvlText w:val="•"/>
      <w:numFmt w:val="bullet"/>
      <w:start w:val="1"/>
    </w:lvl>
  </w:abstractNum>
  <w:abstractNum w:abstractNumId="48">
    <w:nsid w:val="763CB680"/>
    <w:multiLevelType w:val="hybridMultilevel"/>
    <w:lvl w:ilvl="0">
      <w:lvlJc w:val="left"/>
      <w:lvlText w:val="•"/>
      <w:numFmt w:val="bullet"/>
      <w:start w:val="1"/>
    </w:lvl>
  </w:abstractNum>
  <w:abstractNum w:abstractNumId="49">
    <w:nsid w:val="15B71329"/>
    <w:multiLevelType w:val="hybridMultilevel"/>
    <w:lvl w:ilvl="0">
      <w:lvlJc w:val="left"/>
      <w:lvlText w:val="•"/>
      <w:numFmt w:val="bullet"/>
      <w:start w:val="1"/>
    </w:lvl>
  </w:abstractNum>
  <w:abstractNum w:abstractNumId="50">
    <w:nsid w:val="3DA97044"/>
    <w:multiLevelType w:val="hybridMultilevel"/>
    <w:lvl w:ilvl="0">
      <w:lvlJc w:val="left"/>
      <w:lvlText w:val="•"/>
      <w:numFmt w:val="bullet"/>
      <w:start w:val="1"/>
    </w:lvl>
  </w:abstractNum>
  <w:abstractNum w:abstractNumId="51">
    <w:nsid w:val="1CDCE2DE"/>
    <w:multiLevelType w:val="hybridMultilevel"/>
    <w:lvl w:ilvl="0">
      <w:lvlJc w:val="left"/>
      <w:lvlText w:val="•"/>
      <w:numFmt w:val="bullet"/>
      <w:start w:val="1"/>
    </w:lvl>
  </w:abstractNum>
  <w:abstractNum w:abstractNumId="52">
    <w:nsid w:val="69D3947C"/>
    <w:multiLevelType w:val="hybridMultilevel"/>
    <w:lvl w:ilvl="0">
      <w:lvlJc w:val="left"/>
      <w:lvlText w:val="•"/>
      <w:numFmt w:val="bullet"/>
      <w:start w:val="1"/>
    </w:lvl>
    <w:lvl w:ilvl="1">
      <w:lvlJc w:val="left"/>
      <w:lvlText w:val="-"/>
      <w:numFmt w:val="bullet"/>
      <w:start w:val="1"/>
    </w:lvl>
  </w:abstractNum>
  <w:abstractNum w:abstractNumId="53">
    <w:nsid w:val="2539DFA5"/>
    <w:multiLevelType w:val="hybridMultilevel"/>
    <w:lvl w:ilvl="0">
      <w:lvlJc w:val="left"/>
      <w:lvlText w:val="•"/>
      <w:numFmt w:val="bullet"/>
      <w:start w:val="1"/>
    </w:lvl>
  </w:abstractNum>
  <w:abstractNum w:abstractNumId="54">
    <w:nsid w:val="2DB88089"/>
    <w:multiLevelType w:val="hybridMultilevel"/>
    <w:lvl w:ilvl="0">
      <w:lvlJc w:val="left"/>
      <w:lvlText w:val="•"/>
      <w:numFmt w:val="bullet"/>
      <w:start w:val="1"/>
    </w:lvl>
  </w:abstractNum>
  <w:abstractNum w:abstractNumId="55">
    <w:nsid w:val="706B674E"/>
    <w:multiLevelType w:val="hybridMultilevel"/>
    <w:lvl w:ilvl="0">
      <w:lvlJc w:val="left"/>
      <w:lvlText w:val="•"/>
      <w:numFmt w:val="bullet"/>
      <w:start w:val="1"/>
    </w:lvl>
  </w:abstractNum>
  <w:abstractNum w:abstractNumId="56">
    <w:nsid w:val="2C106A57"/>
    <w:multiLevelType w:val="hybridMultilevel"/>
    <w:lvl w:ilvl="0">
      <w:lvlJc w:val="left"/>
      <w:lvlText w:val="•"/>
      <w:numFmt w:val="bullet"/>
      <w:start w:val="1"/>
    </w:lvl>
    <w:lvl w:ilvl="1">
      <w:lvlJc w:val="left"/>
      <w:lvlText w:val="-"/>
      <w:numFmt w:val="bullet"/>
      <w:start w:val="1"/>
    </w:lvl>
  </w:abstractNum>
  <w:abstractNum w:abstractNumId="57">
    <w:nsid w:val="684EED59"/>
    <w:multiLevelType w:val="hybridMultilevel"/>
    <w:lvl w:ilvl="0">
      <w:lvlJc w:val="left"/>
      <w:lvlText w:val="•"/>
      <w:numFmt w:val="bullet"/>
      <w:start w:val="1"/>
    </w:lvl>
  </w:abstractNum>
  <w:abstractNum w:abstractNumId="58">
    <w:nsid w:val="545EE5D3"/>
    <w:multiLevelType w:val="hybridMultilevel"/>
    <w:lvl w:ilvl="0">
      <w:lvlJc w:val="left"/>
      <w:lvlText w:val="•"/>
      <w:numFmt w:val="bullet"/>
      <w:start w:val="1"/>
    </w:lvl>
    <w:lvl w:ilvl="1">
      <w:lvlJc w:val="left"/>
      <w:lvlText w:val="-"/>
      <w:numFmt w:val="bullet"/>
      <w:start w:val="1"/>
    </w:lvl>
  </w:abstractNum>
  <w:abstractNum w:abstractNumId="59">
    <w:nsid w:val="4A66051"/>
    <w:multiLevelType w:val="hybridMultilevel"/>
    <w:lvl w:ilvl="0">
      <w:lvlJc w:val="left"/>
      <w:lvlText w:val="(%1)"/>
      <w:numFmt w:val="lowerRoman"/>
      <w:start w:val="6"/>
    </w:lvl>
  </w:abstractNum>
  <w:abstractNum w:abstractNumId="60">
    <w:nsid w:val="20F4BDAD"/>
    <w:multiLevelType w:val="hybridMultilevel"/>
    <w:lvl w:ilvl="0">
      <w:lvlJc w:val="left"/>
      <w:lvlText w:val="(%1)"/>
      <w:numFmt w:val="lowerRoman"/>
      <w:start w:val="4"/>
    </w:lvl>
    <w:lvl w:ilvl="1">
      <w:lvlJc w:val="left"/>
      <w:lvlText w:val="-"/>
      <w:numFmt w:val="bullet"/>
      <w:start w:val="1"/>
    </w:lvl>
  </w:abstractNum>
  <w:abstractNum w:abstractNumId="61">
    <w:nsid w:val="639DEFAC"/>
    <w:multiLevelType w:val="hybridMultilevel"/>
    <w:lvl w:ilvl="0">
      <w:lvlJc w:val="left"/>
      <w:lvlText w:val="•"/>
      <w:numFmt w:val="bullet"/>
      <w:start w:val="1"/>
    </w:lvl>
    <w:lvl w:ilvl="1">
      <w:lvlJc w:val="left"/>
      <w:lvlText w:val="-"/>
      <w:numFmt w:val="bullet"/>
      <w:start w:val="1"/>
    </w:lvl>
  </w:abstractNum>
  <w:abstractNum w:abstractNumId="62">
    <w:nsid w:val="501F9786"/>
    <w:multiLevelType w:val="hybridMultilevel"/>
    <w:lvl w:ilvl="0">
      <w:lvlJc w:val="left"/>
      <w:lvlText w:val="•"/>
      <w:numFmt w:val="bullet"/>
      <w:start w:val="1"/>
    </w:lvl>
    <w:lvl w:ilvl="1">
      <w:lvlJc w:val="left"/>
      <w:lvlText w:val="-"/>
      <w:numFmt w:val="bullet"/>
      <w:start w:val="1"/>
    </w:lvl>
  </w:abstractNum>
  <w:abstractNum w:abstractNumId="63">
    <w:nsid w:val="6B057295"/>
    <w:multiLevelType w:val="hybridMultilevel"/>
    <w:lvl w:ilvl="0">
      <w:lvlJc w:val="left"/>
      <w:lvlText w:val="•"/>
      <w:numFmt w:val="bullet"/>
      <w:start w:val="1"/>
    </w:lvl>
  </w:abstractNum>
  <w:abstractNum w:abstractNumId="64">
    <w:nsid w:val="2771AC80"/>
    <w:multiLevelType w:val="hybridMultilevel"/>
    <w:lvl w:ilvl="0">
      <w:lvlJc w:val="left"/>
      <w:lvlText w:val="•"/>
      <w:numFmt w:val="bullet"/>
      <w:start w:val="1"/>
    </w:lvl>
  </w:abstractNum>
  <w:abstractNum w:abstractNumId="65">
    <w:nsid w:val="1C4A08EC"/>
    <w:multiLevelType w:val="hybridMultilevel"/>
    <w:lvl w:ilvl="0">
      <w:lvlJc w:val="left"/>
      <w:lvlText w:val="•"/>
      <w:numFmt w:val="bullet"/>
      <w:start w:val="1"/>
    </w:lvl>
    <w:lvl w:ilvl="1">
      <w:lvlJc w:val="left"/>
      <w:lvlText w:val="-"/>
      <w:numFmt w:val="bullet"/>
      <w:start w:val="1"/>
    </w:lvl>
  </w:abstractNum>
  <w:abstractNum w:abstractNumId="66">
    <w:nsid w:val="1958BD17"/>
    <w:multiLevelType w:val="hybridMultilevel"/>
    <w:lvl w:ilvl="0">
      <w:lvlJc w:val="left"/>
      <w:lvlText w:val="$"/>
      <w:numFmt w:val="bullet"/>
      <w:start w:val="1"/>
    </w:lvl>
  </w:abstractNum>
  <w:abstractNum w:abstractNumId="67">
    <w:nsid w:val="4E647FE4"/>
    <w:multiLevelType w:val="hybridMultilevel"/>
    <w:lvl w:ilvl="0">
      <w:lvlJc w:val="left"/>
      <w:lvlText w:val="•"/>
      <w:numFmt w:val="bullet"/>
      <w:start w:val="1"/>
    </w:lvl>
    <w:lvl w:ilvl="1">
      <w:lvlJc w:val="left"/>
      <w:lvlText w:val="-"/>
      <w:numFmt w:val="bullet"/>
      <w:start w:val="1"/>
    </w:lvl>
  </w:abstractNum>
  <w:abstractNum w:abstractNumId="68">
    <w:nsid w:val="E0BB885"/>
    <w:multiLevelType w:val="hybridMultilevel"/>
    <w:lvl w:ilvl="0">
      <w:lvlJc w:val="left"/>
      <w:lvlText w:val="•"/>
      <w:numFmt w:val="bullet"/>
      <w:start w:val="1"/>
    </w:lvl>
  </w:abstractNum>
  <w:abstractNum w:abstractNumId="69">
    <w:nsid w:val="565976F1"/>
    <w:multiLevelType w:val="hybridMultilevel"/>
    <w:lvl w:ilvl="0">
      <w:lvlJc w:val="left"/>
      <w:lvlText w:val="•"/>
      <w:numFmt w:val="bullet"/>
      <w:start w:val="1"/>
    </w:lvl>
  </w:abstractNum>
  <w:abstractNum w:abstractNumId="70">
    <w:nsid w:val="64212B8C"/>
    <w:multiLevelType w:val="hybridMultilevel"/>
    <w:lvl w:ilvl="0">
      <w:lvlJc w:val="left"/>
      <w:lvlText w:val="•"/>
      <w:numFmt w:val="bullet"/>
      <w:start w:val="1"/>
    </w:lvl>
  </w:abstractNum>
  <w:abstractNum w:abstractNumId="71">
    <w:nsid w:val="5C17530C"/>
    <w:multiLevelType w:val="hybridMultilevel"/>
    <w:lvl w:ilvl="0">
      <w:lvlJc w:val="left"/>
      <w:lvlText w:val="•"/>
      <w:numFmt w:val="bullet"/>
      <w:start w:val="1"/>
    </w:lvl>
    <w:lvl w:ilvl="1">
      <w:lvlJc w:val="left"/>
      <w:lvlText w:val="-"/>
      <w:numFmt w:val="bullet"/>
      <w:start w:val="1"/>
    </w:lvl>
  </w:abstractNum>
  <w:abstractNum w:abstractNumId="72">
    <w:nsid w:val="19A52566"/>
    <w:multiLevelType w:val="hybridMultilevel"/>
    <w:lvl w:ilvl="0">
      <w:lvlJc w:val="left"/>
      <w:lvlText w:val="•"/>
      <w:numFmt w:val="bullet"/>
      <w:start w:val="1"/>
    </w:lvl>
  </w:abstractNum>
  <w:abstractNum w:abstractNumId="73">
    <w:nsid w:val="335A1DF1"/>
    <w:multiLevelType w:val="hybridMultilevel"/>
    <w:lvl w:ilvl="0">
      <w:lvlJc w:val="left"/>
      <w:lvlText w:val="$"/>
      <w:numFmt w:val="bullet"/>
      <w:start w:val="1"/>
    </w:lvl>
  </w:abstractNum>
  <w:abstractNum w:abstractNumId="74">
    <w:nsid w:val="28677B7C"/>
    <w:multiLevelType w:val="hybridMultilevel"/>
    <w:lvl w:ilvl="0">
      <w:lvlJc w:val="left"/>
      <w:lvlText w:val="•"/>
      <w:numFmt w:val="bullet"/>
      <w:start w:val="1"/>
    </w:lvl>
  </w:abstractNum>
  <w:abstractNum w:abstractNumId="75">
    <w:nsid w:val="378D97C0"/>
    <w:multiLevelType w:val="hybridMultilevel"/>
    <w:lvl w:ilvl="0">
      <w:lvlJc w:val="left"/>
      <w:lvlText w:val="(%1)"/>
      <w:numFmt w:val="lowerRoman"/>
      <w:start w:val="1"/>
    </w:lvl>
    <w:lvl w:ilvl="1">
      <w:lvlJc w:val="left"/>
      <w:lvlText w:val="-"/>
      <w:numFmt w:val="bullet"/>
      <w:start w:val="1"/>
    </w:lvl>
  </w:abstractNum>
  <w:abstractNum w:abstractNumId="76">
    <w:nsid w:val="1D91467C"/>
    <w:multiLevelType w:val="hybridMultilevel"/>
    <w:lvl w:ilvl="0">
      <w:lvlJc w:val="left"/>
      <w:lvlText w:val="(%1)"/>
      <w:numFmt w:val="lowerRoman"/>
      <w:start w:val="4"/>
    </w:lvl>
  </w:abstractNum>
  <w:abstractNum w:abstractNumId="77">
    <w:nsid w:val="316032BB"/>
    <w:multiLevelType w:val="hybridMultilevel"/>
    <w:lvl w:ilvl="0">
      <w:lvlJc w:val="left"/>
      <w:lvlText w:val="•"/>
      <w:numFmt w:val="bullet"/>
      <w:start w:val="1"/>
    </w:lvl>
  </w:abstractNum>
  <w:abstractNum w:abstractNumId="78">
    <w:nsid w:val="44344C22"/>
    <w:multiLevelType w:val="hybridMultilevel"/>
    <w:lvl w:ilvl="0">
      <w:lvlJc w:val="left"/>
      <w:lvlText w:val="•"/>
      <w:numFmt w:val="bullet"/>
      <w:start w:val="1"/>
    </w:lvl>
  </w:abstractNum>
  <w:abstractNum w:abstractNumId="79">
    <w:nsid w:val="13CDFCFC"/>
    <w:multiLevelType w:val="hybridMultilevel"/>
    <w:lvl w:ilvl="0">
      <w:lvlJc w:val="left"/>
      <w:lvlText w:val="•"/>
      <w:numFmt w:val="bullet"/>
      <w:start w:val="1"/>
    </w:lvl>
    <w:lvl w:ilvl="1">
      <w:lvlJc w:val="left"/>
      <w:lvlText w:val="-"/>
      <w:numFmt w:val="bullet"/>
      <w:start w:val="1"/>
    </w:lvl>
  </w:abstractNum>
  <w:abstractNum w:abstractNumId="80">
    <w:nsid w:val="471745E4"/>
    <w:multiLevelType w:val="hybridMultilevel"/>
    <w:lvl w:ilvl="0">
      <w:lvlJc w:val="left"/>
      <w:lvlText w:val="$"/>
      <w:numFmt w:val="bullet"/>
      <w:start w:val="1"/>
    </w:lvl>
  </w:abstractNum>
  <w:abstractNum w:abstractNumId="81">
    <w:nsid w:val="1DDBC66"/>
    <w:multiLevelType w:val="hybridMultilevel"/>
    <w:lvl w:ilvl="0">
      <w:lvlJc w:val="left"/>
      <w:lvlText w:val="•"/>
      <w:numFmt w:val="bullet"/>
      <w:start w:val="1"/>
    </w:lvl>
  </w:abstractNum>
  <w:abstractNum w:abstractNumId="82">
    <w:nsid w:val="30AADFDA"/>
    <w:multiLevelType w:val="hybridMultilevel"/>
    <w:lvl w:ilvl="0">
      <w:lvlJc w:val="left"/>
      <w:lvlText w:val="•"/>
      <w:numFmt w:val="bullet"/>
      <w:start w:val="1"/>
    </w:lvl>
  </w:abstractNum>
  <w:abstractNum w:abstractNumId="83">
    <w:nsid w:val="30EADA61"/>
    <w:multiLevelType w:val="hybridMultilevel"/>
    <w:lvl w:ilvl="0">
      <w:lvlJc w:val="left"/>
      <w:lvlText w:val="(%1)"/>
      <w:numFmt w:val="decimal"/>
      <w:start w:val="1"/>
    </w:lvl>
  </w:abstractNum>
  <w:abstractNum w:abstractNumId="84">
    <w:nsid w:val="27179C0B"/>
    <w:multiLevelType w:val="hybridMultilevel"/>
    <w:lvl w:ilvl="0">
      <w:lvlJc w:val="left"/>
      <w:lvlText w:val="(%1)"/>
      <w:numFmt w:val="decimal"/>
      <w:start w:val="1"/>
    </w:lvl>
  </w:abstractNum>
  <w:abstractNum w:abstractNumId="85">
    <w:nsid w:val="5E636063"/>
    <w:multiLevelType w:val="hybridMultilevel"/>
    <w:lvl w:ilvl="0">
      <w:lvlJc w:val="left"/>
      <w:lvlText w:val="•"/>
      <w:numFmt w:val="bullet"/>
      <w:start w:val="1"/>
    </w:lvl>
  </w:abstractNum>
  <w:abstractNum w:abstractNumId="86">
    <w:nsid w:val="215641AF"/>
    <w:multiLevelType w:val="hybridMultilevel"/>
    <w:lvl w:ilvl="0">
      <w:lvlJc w:val="left"/>
      <w:lvlText w:val="•"/>
      <w:numFmt w:val="bullet"/>
      <w:start w:val="1"/>
    </w:lvl>
  </w:abstractNum>
  <w:abstractNum w:abstractNumId="87">
    <w:nsid w:val="53280662"/>
    <w:multiLevelType w:val="hybridMultilevel"/>
    <w:lvl w:ilvl="0">
      <w:lvlJc w:val="left"/>
      <w:lvlText w:val="(%1)"/>
      <w:numFmt w:val="lowerRoman"/>
      <w:start w:val="1"/>
    </w:lvl>
  </w:abstractNum>
  <w:abstractNum w:abstractNumId="88">
    <w:nsid w:val="46B24DBC"/>
    <w:multiLevelType w:val="hybridMultilevel"/>
    <w:lvl w:ilvl="0">
      <w:lvlJc w:val="left"/>
      <w:lvlText w:val="(%1)"/>
      <w:numFmt w:val="lowerRoman"/>
      <w:start w:val="1"/>
    </w:lvl>
  </w:abstractNum>
  <w:abstractNum w:abstractNumId="89">
    <w:nsid w:val="75B52783"/>
    <w:multiLevelType w:val="hybridMultilevel"/>
    <w:lvl w:ilvl="0">
      <w:lvlJc w:val="left"/>
      <w:lvlText w:val="•"/>
      <w:numFmt w:val="bullet"/>
      <w:start w:val="1"/>
    </w:lvl>
  </w:abstractNum>
  <w:abstractNum w:abstractNumId="90">
    <w:nsid w:val="57CE66B4"/>
    <w:multiLevelType w:val="hybridMultilevel"/>
    <w:lvl w:ilvl="0">
      <w:lvlJc w:val="left"/>
      <w:lvlText w:val="(%1)"/>
      <w:numFmt w:val="decimal"/>
      <w:start w:val="1"/>
    </w:lvl>
  </w:abstractNum>
  <w:abstractNum w:abstractNumId="91">
    <w:nsid w:val="67A70B69"/>
    <w:multiLevelType w:val="hybridMultilevel"/>
    <w:lvl w:ilvl="0">
      <w:lvlJc w:val="left"/>
      <w:lvlText w:val="(%1)"/>
      <w:numFmt w:val="decimal"/>
      <w:start w:val="1"/>
    </w:lvl>
  </w:abstractNum>
  <w:abstractNum w:abstractNumId="92">
    <w:nsid w:val="5953172F"/>
    <w:multiLevelType w:val="hybridMultilevel"/>
    <w:lvl w:ilvl="0">
      <w:lvlJc w:val="left"/>
      <w:lvlText w:val="•"/>
      <w:numFmt w:val="bullet"/>
      <w:start w:val="1"/>
    </w:lvl>
    <w:lvl w:ilvl="1">
      <w:lvlJc w:val="left"/>
      <w:lvlText w:val="-"/>
      <w:numFmt w:val="bullet"/>
      <w:start w:val="1"/>
    </w:lvl>
  </w:abstractNum>
  <w:abstractNum w:abstractNumId="93">
    <w:nsid w:val="27EDFE3A"/>
    <w:multiLevelType w:val="hybridMultilevel"/>
    <w:lvl w:ilvl="0">
      <w:lvlJc w:val="left"/>
      <w:lvlText w:val="•"/>
      <w:numFmt w:val="bullet"/>
      <w:start w:val="1"/>
    </w:lvl>
  </w:abstractNum>
  <w:abstractNum w:abstractNumId="94">
    <w:nsid w:val="52AC7DFF"/>
    <w:multiLevelType w:val="hybridMultilevel"/>
    <w:lvl w:ilvl="0">
      <w:lvlJc w:val="left"/>
      <w:lvlText w:val="•"/>
      <w:numFmt w:val="bullet"/>
      <w:start w:val="1"/>
    </w:lvl>
  </w:abstractNum>
  <w:abstractNum w:abstractNumId="95">
    <w:nsid w:val="C4C3AF"/>
    <w:multiLevelType w:val="hybridMultilevel"/>
    <w:lvl w:ilvl="0">
      <w:lvlJc w:val="left"/>
      <w:lvlText w:val="*"/>
      <w:numFmt w:val="bullet"/>
      <w:start w:val="1"/>
    </w:lvl>
    <w:lvl w:ilvl="1">
      <w:lvlJc w:val="left"/>
      <w:lvlText w:val="-"/>
      <w:numFmt w:val="bullet"/>
      <w:start w:val="1"/>
    </w:lvl>
  </w:abstractNum>
  <w:abstractNum w:abstractNumId="96">
    <w:nsid w:val="44380727"/>
    <w:multiLevelType w:val="hybridMultilevel"/>
    <w:lvl w:ilvl="0">
      <w:lvlJc w:val="left"/>
      <w:lvlText w:val="**"/>
      <w:numFmt w:val="bullet"/>
      <w:start w:val="1"/>
    </w:lvl>
  </w:abstractNum>
  <w:abstractNum w:abstractNumId="97">
    <w:nsid w:val="6C053B16"/>
    <w:multiLevelType w:val="hybridMultilevel"/>
    <w:lvl w:ilvl="0">
      <w:lvlJc w:val="left"/>
      <w:lvlText w:val="***"/>
      <w:numFmt w:val="bullet"/>
      <w:start w:val="1"/>
    </w:lvl>
  </w:abstractNum>
  <w:abstractNum w:abstractNumId="98">
    <w:nsid w:val="4F294393"/>
    <w:multiLevelType w:val="hybridMultilevel"/>
    <w:lvl w:ilvl="0">
      <w:lvlJc w:val="left"/>
      <w:lvlText w:val="†"/>
      <w:numFmt w:val="bullet"/>
      <w:start w:val="1"/>
    </w:lvl>
  </w:abstractNum>
  <w:abstractNum w:abstractNumId="99">
    <w:nsid w:val="5243BFAC"/>
    <w:multiLevelType w:val="hybridMultilevel"/>
    <w:lvl w:ilvl="0">
      <w:lvlJc w:val="left"/>
      <w:lvlText w:val="††"/>
      <w:numFmt w:val="bullet"/>
      <w:start w:val="1"/>
    </w:lvl>
  </w:abstractNum>
  <w:abstractNum w:abstractNumId="100">
    <w:nsid w:val="425EB207"/>
    <w:multiLevelType w:val="hybridMultilevel"/>
    <w:lvl w:ilvl="0">
      <w:lvlJc w:val="left"/>
      <w:lvlText w:val="*"/>
      <w:numFmt w:val="bullet"/>
      <w:start w:val="1"/>
    </w:lvl>
  </w:abstractNum>
  <w:abstractNum w:abstractNumId="101">
    <w:nsid w:val="334A6F1F"/>
    <w:multiLevelType w:val="hybridMultilevel"/>
    <w:lvl w:ilvl="0">
      <w:lvlJc w:val="left"/>
      <w:lvlText w:val="**"/>
      <w:numFmt w:val="bullet"/>
      <w:start w:val="1"/>
    </w:lvl>
  </w:abstractNum>
  <w:abstractNum w:abstractNumId="102">
    <w:nsid w:val="2E5B12B8"/>
    <w:multiLevelType w:val="hybridMultilevel"/>
    <w:lvl w:ilvl="0">
      <w:lvlJc w:val="left"/>
      <w:lvlText w:val="†"/>
      <w:numFmt w:val="bullet"/>
      <w:start w:val="1"/>
    </w:lvl>
  </w:abstractNum>
  <w:abstractNum w:abstractNumId="103">
    <w:nsid w:val="5C03D76D"/>
    <w:multiLevelType w:val="hybridMultilevel"/>
    <w:lvl w:ilvl="0">
      <w:lvlJc w:val="left"/>
      <w:lvlText w:val="††"/>
      <w:numFmt w:val="bullet"/>
      <w:start w:val="1"/>
    </w:lvl>
  </w:abstractNum>
  <w:abstractNum w:abstractNumId="104">
    <w:nsid w:val="66A48D11"/>
    <w:multiLevelType w:val="hybridMultilevel"/>
    <w:lvl w:ilvl="0">
      <w:lvlJc w:val="left"/>
      <w:lvlText w:val="•"/>
      <w:numFmt w:val="bullet"/>
      <w:start w:val="1"/>
    </w:lvl>
    <w:lvl w:ilvl="1">
      <w:lvlJc w:val="left"/>
      <w:lvlText w:val="-"/>
      <w:numFmt w:val="bullet"/>
      <w:start w:val="1"/>
    </w:lvl>
  </w:abstractNum>
  <w:abstractNum w:abstractNumId="105">
    <w:nsid w:val="56C28E34"/>
    <w:multiLevelType w:val="hybridMultilevel"/>
    <w:lvl w:ilvl="0">
      <w:lvlJc w:val="left"/>
      <w:lvlText w:val="•"/>
      <w:numFmt w:val="bullet"/>
      <w:start w:val="1"/>
    </w:lvl>
  </w:abstractNum>
  <w:abstractNum w:abstractNumId="106">
    <w:nsid w:val="13916F2D"/>
    <w:multiLevelType w:val="hybridMultilevel"/>
    <w:lvl w:ilvl="0">
      <w:lvlJc w:val="left"/>
      <w:lvlText w:val="•"/>
      <w:numFmt w:val="bullet"/>
      <w:start w:val="1"/>
    </w:lvl>
    <w:lvl w:ilvl="1">
      <w:lvlJc w:val="left"/>
      <w:lvlText w:val="-"/>
      <w:numFmt w:val="bullet"/>
      <w:start w:val="1"/>
    </w:lvl>
  </w:abstractNum>
  <w:abstractNum w:abstractNumId="107">
    <w:nsid w:val="435D38D"/>
    <w:multiLevelType w:val="hybridMultilevel"/>
    <w:lvl w:ilvl="0">
      <w:lvlJc w:val="left"/>
      <w:lvlText w:val="•"/>
      <w:numFmt w:val="bullet"/>
      <w:start w:val="1"/>
    </w:lvl>
  </w:abstractNum>
  <w:abstractNum w:abstractNumId="108">
    <w:nsid w:val="822C0EF"/>
    <w:multiLevelType w:val="hybridMultilevel"/>
    <w:lvl w:ilvl="0">
      <w:lvlJc w:val="left"/>
      <w:lvlText w:val="%1)"/>
      <w:numFmt w:val="decimal"/>
      <w:start w:val="1"/>
    </w:lvl>
  </w:abstractNum>
  <w:abstractNum w:abstractNumId="109">
    <w:nsid w:val="57C5BB4F"/>
    <w:multiLevelType w:val="hybridMultilevel"/>
    <w:lvl w:ilvl="0">
      <w:lvlJc w:val="left"/>
      <w:lvlText w:val="•"/>
      <w:numFmt w:val="bullet"/>
      <w:start w:val="1"/>
    </w:lvl>
  </w:abstractNum>
  <w:abstractNum w:abstractNumId="110">
    <w:nsid w:val="1803D089"/>
    <w:multiLevelType w:val="hybridMultilevel"/>
    <w:lvl w:ilvl="0">
      <w:lvlJc w:val="left"/>
      <w:lvlText w:val="*"/>
      <w:numFmt w:val="bullet"/>
      <w:start w:val="1"/>
    </w:lvl>
  </w:abstractNum>
  <w:abstractNum w:abstractNumId="111">
    <w:nsid w:val="4F3A06D4"/>
    <w:multiLevelType w:val="hybridMultilevel"/>
    <w:lvl w:ilvl="0">
      <w:lvlJc w:val="left"/>
      <w:lvlText w:val="*"/>
      <w:numFmt w:val="bullet"/>
      <w:start w:val="1"/>
    </w:lvl>
  </w:abstractNum>
  <w:abstractNum w:abstractNumId="112">
    <w:nsid w:val="59A377B6"/>
    <w:multiLevelType w:val="hybridMultilevel"/>
    <w:lvl w:ilvl="0">
      <w:lvlJc w:val="left"/>
      <w:lvlText w:val="(%1)"/>
      <w:numFmt w:val="lowerRoman"/>
      <w:start w:val="1"/>
    </w:lvl>
    <w:lvl w:ilvl="1">
      <w:lvlJc w:val="left"/>
      <w:lvlText w:val="-"/>
      <w:numFmt w:val="bullet"/>
      <w:start w:val="1"/>
    </w:lvl>
  </w:abstractNum>
  <w:abstractNum w:abstractNumId="113">
    <w:nsid w:val="48AEB063"/>
    <w:multiLevelType w:val="hybridMultilevel"/>
    <w:lvl w:ilvl="0">
      <w:lvlJc w:val="left"/>
      <w:lvlText w:val="•"/>
      <w:numFmt w:val="bullet"/>
      <w:start w:val="1"/>
    </w:lvl>
    <w:lvl w:ilvl="1">
      <w:lvlJc w:val="left"/>
      <w:lvlText w:val="-"/>
      <w:numFmt w:val="bullet"/>
      <w:start w:val="1"/>
    </w:lvl>
  </w:abstractNum>
  <w:abstractNum w:abstractNumId="114">
    <w:nsid w:val="24E135"/>
    <w:multiLevelType w:val="hybridMultilevel"/>
    <w:lvl w:ilvl="0">
      <w:lvlJc w:val="left"/>
      <w:lvlText w:val="•"/>
      <w:numFmt w:val="bullet"/>
      <w:start w:val="1"/>
    </w:lvl>
  </w:abstractNum>
  <w:abstractNum w:abstractNumId="115">
    <w:nsid w:val="BB13C1"/>
    <w:multiLevelType w:val="hybridMultilevel"/>
    <w:lvl w:ilvl="0">
      <w:lvlJc w:val="left"/>
      <w:lvlText w:val="•"/>
      <w:numFmt w:val="bullet"/>
      <w:start w:val="1"/>
    </w:lvl>
  </w:abstractNum>
  <w:abstractNum w:abstractNumId="116">
    <w:nsid w:val="271210C7"/>
    <w:multiLevelType w:val="hybridMultilevel"/>
    <w:lvl w:ilvl="0">
      <w:lvlJc w:val="left"/>
      <w:lvlText w:val="•"/>
      <w:numFmt w:val="bullet"/>
      <w:start w:val="1"/>
    </w:lvl>
  </w:abstractNum>
  <w:abstractNum w:abstractNumId="117">
    <w:nsid w:val="217B22E4"/>
    <w:multiLevelType w:val="hybridMultilevel"/>
    <w:lvl w:ilvl="0">
      <w:lvlJc w:val="left"/>
      <w:lvlText w:val="•"/>
      <w:numFmt w:val="bullet"/>
      <w:start w:val="1"/>
    </w:lvl>
    <w:lvl w:ilvl="1">
      <w:lvlJc w:val="left"/>
      <w:lvlText w:val="-"/>
      <w:numFmt w:val="bullet"/>
      <w:start w:val="1"/>
    </w:lvl>
  </w:abstractNum>
  <w:abstractNum w:abstractNumId="118">
    <w:nsid w:val="53E31A24"/>
    <w:multiLevelType w:val="hybridMultilevel"/>
    <w:lvl w:ilvl="0">
      <w:lvlJc w:val="left"/>
      <w:lvlText w:val="•"/>
      <w:numFmt w:val="bullet"/>
      <w:start w:val="1"/>
    </w:lvl>
    <w:lvl w:ilvl="1">
      <w:lvlJc w:val="left"/>
      <w:lvlText w:val="-"/>
      <w:numFmt w:val="bullet"/>
      <w:start w:val="1"/>
    </w:lvl>
  </w:abstractNum>
  <w:abstractNum w:abstractNumId="119">
    <w:nsid w:val="6DC45E83"/>
    <w:multiLevelType w:val="hybridMultilevel"/>
    <w:lvl w:ilvl="0">
      <w:lvlJc w:val="left"/>
      <w:lvlText w:val="•"/>
      <w:numFmt w:val="bullet"/>
      <w:start w:val="1"/>
    </w:lvl>
  </w:abstractNum>
  <w:abstractNum w:abstractNumId="120">
    <w:nsid w:val="17304A67"/>
    <w:multiLevelType w:val="hybridMultilevel"/>
    <w:lvl w:ilvl="0">
      <w:lvlJc w:val="left"/>
      <w:lvlText w:val="(%1)"/>
      <w:numFmt w:val="decimal"/>
      <w:start w:val="1"/>
    </w:lvl>
  </w:abstractNum>
  <w:abstractNum w:abstractNumId="121">
    <w:nsid w:val="2BB180D8"/>
    <w:multiLevelType w:val="hybridMultilevel"/>
    <w:lvl w:ilvl="0">
      <w:lvlJc w:val="left"/>
      <w:lvlText w:val="•"/>
      <w:numFmt w:val="bullet"/>
      <w:start w:val="1"/>
    </w:lvl>
  </w:abstractNum>
  <w:abstractNum w:abstractNumId="122">
    <w:nsid w:val="556B69ED"/>
    <w:multiLevelType w:val="hybridMultilevel"/>
    <w:lvl w:ilvl="0">
      <w:lvlJc w:val="left"/>
      <w:lvlText w:val="(%1)"/>
      <w:numFmt w:val="decimal"/>
      <w:start w:val="1"/>
    </w:lvl>
  </w:abstractNum>
  <w:abstractNum w:abstractNumId="123">
    <w:nsid w:val="70836196"/>
    <w:multiLevelType w:val="hybridMultilevel"/>
    <w:lvl w:ilvl="0">
      <w:lvlJc w:val="left"/>
      <w:lvlText w:val="(%1)"/>
      <w:numFmt w:val="decimal"/>
      <w:start w:val="1"/>
    </w:lvl>
  </w:abstractNum>
  <w:abstractNum w:abstractNumId="124">
    <w:nsid w:val="539F7F12"/>
    <w:multiLevelType w:val="hybridMultilevel"/>
    <w:lvl w:ilvl="0">
      <w:lvlJc w:val="left"/>
      <w:lvlText w:val="•"/>
      <w:numFmt w:val="bullet"/>
      <w:start w:val="1"/>
    </w:lvl>
  </w:abstractNum>
  <w:abstractNum w:abstractNumId="125">
    <w:nsid w:val="2817E7EC"/>
    <w:multiLevelType w:val="hybridMultilevel"/>
    <w:lvl w:ilvl="0">
      <w:lvlJc w:val="left"/>
      <w:lvlText w:val="•"/>
      <w:numFmt w:val="bullet"/>
      <w:start w:val="1"/>
    </w:lvl>
    <w:lvl w:ilvl="1">
      <w:lvlJc w:val="left"/>
      <w:lvlText w:val="-"/>
      <w:numFmt w:val="bullet"/>
      <w:start w:val="1"/>
    </w:lvl>
  </w:abstractNum>
  <w:abstractNum w:abstractNumId="126">
    <w:nsid w:val="71482545"/>
    <w:multiLevelType w:val="hybridMultilevel"/>
    <w:lvl w:ilvl="0">
      <w:lvlJc w:val="left"/>
      <w:lvlText w:val="•"/>
      <w:numFmt w:val="bullet"/>
      <w:start w:val="1"/>
    </w:lvl>
  </w:abstractNum>
  <w:abstractNum w:abstractNumId="127">
    <w:nsid w:val="17D78639"/>
    <w:multiLevelType w:val="hybridMultilevel"/>
    <w:lvl w:ilvl="0">
      <w:lvlJc w:val="left"/>
      <w:lvlText w:val="•"/>
      <w:numFmt w:val="bullet"/>
      <w:start w:val="1"/>
    </w:lvl>
  </w:abstractNum>
  <w:abstractNum w:abstractNumId="128">
    <w:nsid w:val="141D2302"/>
    <w:multiLevelType w:val="hybridMultilevel"/>
    <w:lvl w:ilvl="0">
      <w:lvlJc w:val="left"/>
      <w:lvlText w:val="•"/>
      <w:numFmt w:val="bullet"/>
      <w:start w:val="1"/>
    </w:lvl>
    <w:lvl w:ilvl="1">
      <w:lvlJc w:val="left"/>
      <w:lvlText w:val="-"/>
      <w:numFmt w:val="bullet"/>
      <w:start w:val="1"/>
    </w:lvl>
  </w:abstractNum>
  <w:abstractNum w:abstractNumId="129">
    <w:nsid w:val="407168D8"/>
    <w:multiLevelType w:val="hybridMultilevel"/>
    <w:lvl w:ilvl="0">
      <w:lvlJc w:val="left"/>
      <w:lvlText w:val="•"/>
      <w:numFmt w:val="bullet"/>
      <w:start w:val="1"/>
    </w:lvl>
  </w:abstractNum>
  <w:abstractNum w:abstractNumId="130">
    <w:nsid w:val="6A1B45E5"/>
    <w:multiLevelType w:val="hybridMultilevel"/>
    <w:lvl w:ilvl="0">
      <w:lvlJc w:val="left"/>
      <w:lvlText w:val="•"/>
      <w:numFmt w:val="bullet"/>
      <w:start w:val="1"/>
    </w:lvl>
  </w:abstractNum>
  <w:abstractNum w:abstractNumId="131">
    <w:nsid w:val="567BD50A"/>
    <w:multiLevelType w:val="hybridMultilevel"/>
    <w:lvl w:ilvl="0">
      <w:lvlJc w:val="left"/>
      <w:lvlText w:val="•"/>
      <w:numFmt w:val="bullet"/>
      <w:start w:val="1"/>
    </w:lvl>
  </w:abstractNum>
  <w:abstractNum w:abstractNumId="132">
    <w:nsid w:val="73BBD7F8"/>
    <w:multiLevelType w:val="hybridMultilevel"/>
    <w:lvl w:ilvl="0">
      <w:lvlJc w:val="left"/>
      <w:lvlText w:val="•"/>
      <w:numFmt w:val="bullet"/>
      <w:start w:val="1"/>
    </w:lvl>
  </w:abstractNum>
  <w:abstractNum w:abstractNumId="133">
    <w:nsid w:val="1876589D"/>
    <w:multiLevelType w:val="hybridMultilevel"/>
    <w:lvl w:ilvl="0">
      <w:lvlJc w:val="left"/>
      <w:lvlText w:val="•"/>
      <w:numFmt w:val="bullet"/>
      <w:start w:val="1"/>
    </w:lvl>
    <w:lvl w:ilvl="1">
      <w:lvlJc w:val="left"/>
      <w:lvlText w:val="-"/>
      <w:numFmt w:val="bullet"/>
      <w:start w:val="1"/>
    </w:lvl>
  </w:abstractNum>
  <w:abstractNum w:abstractNumId="134">
    <w:nsid w:val="327FAC77"/>
    <w:multiLevelType w:val="hybridMultilevel"/>
    <w:lvl w:ilvl="0">
      <w:lvlJc w:val="left"/>
      <w:lvlText w:val="•"/>
      <w:numFmt w:val="bullet"/>
      <w:start w:val="1"/>
    </w:lvl>
  </w:abstractNum>
  <w:abstractNum w:abstractNumId="135">
    <w:nsid w:val="5A606509"/>
    <w:multiLevelType w:val="hybridMultilevel"/>
    <w:lvl w:ilvl="0">
      <w:lvlJc w:val="left"/>
      <w:lvlText w:val="•"/>
      <w:numFmt w:val="bullet"/>
      <w:start w:val="1"/>
    </w:lvl>
    <w:lvl w:ilvl="1">
      <w:lvlJc w:val="left"/>
      <w:lvlText w:val="-"/>
      <w:numFmt w:val="bullet"/>
      <w:start w:val="1"/>
    </w:lvl>
  </w:abstractNum>
  <w:abstractNum w:abstractNumId="136">
    <w:nsid w:val="6F38E6D1"/>
    <w:multiLevelType w:val="hybridMultilevel"/>
    <w:lvl w:ilvl="0">
      <w:lvlJc w:val="left"/>
      <w:lvlText w:val="(%1)"/>
      <w:numFmt w:val="decimal"/>
      <w:start w:val="1"/>
    </w:lvl>
  </w:abstractNum>
  <w:abstractNum w:abstractNumId="137">
    <w:nsid w:val="46111BA5"/>
    <w:multiLevelType w:val="hybridMultilevel"/>
    <w:lvl w:ilvl="0">
      <w:lvlJc w:val="left"/>
      <w:lvlText w:val="(%1)"/>
      <w:numFmt w:val="decimal"/>
      <w:start w:val="1"/>
    </w:lvl>
  </w:abstractNum>
  <w:abstractNum w:abstractNumId="138">
    <w:nsid w:val="5E963896"/>
    <w:multiLevelType w:val="hybridMultilevel"/>
    <w:lvl w:ilvl="0">
      <w:lvlJc w:val="left"/>
      <w:lvlText w:val="(%1)"/>
      <w:numFmt w:val="decimal"/>
      <w:start w:val="1"/>
    </w:lvl>
    <w:lvl w:ilvl="1">
      <w:lvlJc w:val="left"/>
      <w:lvlText w:val="-"/>
      <w:numFmt w:val="bullet"/>
      <w:start w:val="1"/>
    </w:lvl>
  </w:abstractNum>
  <w:abstractNum w:abstractNumId="139">
    <w:nsid w:val="775BA7C1"/>
    <w:multiLevelType w:val="hybridMultilevel"/>
    <w:lvl w:ilvl="0">
      <w:lvlJc w:val="left"/>
      <w:lvlText w:val="(%1)"/>
      <w:numFmt w:val="decimal"/>
      <w:start w:val="1"/>
    </w:lvl>
  </w:abstractNum>
  <w:abstractNum w:abstractNumId="140">
    <w:nsid w:val="1DD6D6F4"/>
    <w:multiLevelType w:val="hybridMultilevel"/>
    <w:lvl w:ilvl="0">
      <w:lvlJc w:val="left"/>
      <w:lvlText w:val="(%1)"/>
      <w:numFmt w:val="lowerRoman"/>
      <w:start w:val="8"/>
    </w:lvl>
  </w:abstractNum>
  <w:abstractNum w:abstractNumId="141">
    <w:nsid w:val="769A091F"/>
    <w:multiLevelType w:val="hybridMultilevel"/>
    <w:lvl w:ilvl="0">
      <w:lvlJc w:val="left"/>
      <w:lvlText w:val="(%1)"/>
      <w:numFmt w:val="lowerRoman"/>
      <w:start w:val="8"/>
    </w:lvl>
    <w:lvl w:ilvl="1">
      <w:lvlJc w:val="left"/>
      <w:lvlText w:val="-"/>
      <w:numFmt w:val="bullet"/>
      <w:start w:val="1"/>
    </w:lvl>
  </w:abstractNum>
  <w:abstractNum w:abstractNumId="142">
    <w:nsid w:val="4695AE95"/>
    <w:multiLevelType w:val="hybridMultilevel"/>
    <w:lvl w:ilvl="0">
      <w:lvlJc w:val="left"/>
      <w:lvlText w:val="(%1)"/>
      <w:numFmt w:val="lowerRoman"/>
      <w:start w:val="8"/>
    </w:lvl>
  </w:abstractNum>
  <w:abstractNum w:abstractNumId="143">
    <w:nsid w:val="777A4EAA"/>
    <w:multiLevelType w:val="hybridMultilevel"/>
    <w:lvl w:ilvl="0">
      <w:lvlJc w:val="left"/>
      <w:lvlText w:val="•"/>
      <w:numFmt w:val="bullet"/>
      <w:start w:val="1"/>
    </w:lvl>
  </w:abstractNum>
  <w:abstractNum w:abstractNumId="144">
    <w:nsid w:val="3F48B982"/>
    <w:multiLevelType w:val="hybridMultilevel"/>
    <w:lvl w:ilvl="0">
      <w:lvlJc w:val="left"/>
      <w:lvlText w:val="*"/>
      <w:numFmt w:val="bullet"/>
      <w:start w:val="1"/>
    </w:lvl>
  </w:abstractNum>
  <w:abstractNum w:abstractNumId="145">
    <w:nsid w:val="46BA8FCA"/>
    <w:multiLevelType w:val="hybridMultilevel"/>
    <w:lvl w:ilvl="0">
      <w:lvlJc w:val="left"/>
      <w:lvlText w:val="(%1)"/>
      <w:numFmt w:val="decimal"/>
      <w:start w:val="1"/>
    </w:lvl>
    <w:lvl w:ilvl="1">
      <w:lvlJc w:val="left"/>
      <w:lvlText w:val="-"/>
      <w:numFmt w:val="bullet"/>
      <w:start w:val="1"/>
    </w:lvl>
  </w:abstractNum>
  <w:abstractNum w:abstractNumId="146">
    <w:nsid w:val="7835626C"/>
    <w:multiLevelType w:val="hybridMultilevel"/>
    <w:lvl w:ilvl="0">
      <w:lvlJc w:val="left"/>
      <w:lvlText w:val="(%1)"/>
      <w:numFmt w:val="decimal"/>
      <w:start w:val="12"/>
    </w:lvl>
    <w:lvl w:ilvl="1">
      <w:lvlJc w:val="left"/>
      <w:lvlText w:val="-"/>
      <w:numFmt w:val="bullet"/>
      <w:start w:val="1"/>
    </w:lvl>
  </w:abstractNum>
  <w:abstractNum w:abstractNumId="147">
    <w:nsid w:val="665ACA49"/>
    <w:multiLevelType w:val="hybridMultilevel"/>
    <w:lvl w:ilvl="0">
      <w:lvlJc w:val="left"/>
      <w:lvlText w:val="•"/>
      <w:numFmt w:val="bullet"/>
      <w:start w:val="1"/>
    </w:lvl>
  </w:abstractNum>
  <w:abstractNum w:abstractNumId="148">
    <w:nsid w:val="6835B2AE"/>
    <w:multiLevelType w:val="hybridMultilevel"/>
    <w:lvl w:ilvl="0">
      <w:lvlJc w:val="left"/>
      <w:lvlText w:val="•"/>
      <w:numFmt w:val="bullet"/>
      <w:start w:val="1"/>
    </w:lvl>
  </w:abstractNum>
  <w:abstractNum w:abstractNumId="149">
    <w:nsid w:val="4C187C90"/>
    <w:multiLevelType w:val="hybridMultilevel"/>
    <w:lvl w:ilvl="0">
      <w:lvlJc w:val="left"/>
      <w:lvlText w:val="•"/>
      <w:numFmt w:val="bullet"/>
      <w:start w:val="1"/>
    </w:lvl>
  </w:abstractNum>
  <w:abstractNum w:abstractNumId="150">
    <w:nsid w:val="541F28CD"/>
    <w:multiLevelType w:val="hybridMultilevel"/>
    <w:lvl w:ilvl="0">
      <w:lvlJc w:val="left"/>
      <w:lvlText w:val="•"/>
      <w:numFmt w:val="bullet"/>
      <w:start w:val="1"/>
    </w:lvl>
  </w:abstractNum>
  <w:abstractNum w:abstractNumId="151">
    <w:nsid w:val="7F65FD16"/>
    <w:multiLevelType w:val="hybridMultilevel"/>
    <w:lvl w:ilvl="0">
      <w:lvlJc w:val="left"/>
      <w:lvlText w:val="•"/>
      <w:numFmt w:val="bullet"/>
      <w:start w:val="1"/>
    </w:lvl>
  </w:abstractNum>
  <w:abstractNum w:abstractNumId="152">
    <w:nsid w:val="77C9FD68"/>
    <w:multiLevelType w:val="hybridMultilevel"/>
    <w:lvl w:ilvl="0">
      <w:lvlJc w:val="left"/>
      <w:lvlText w:val="•"/>
      <w:numFmt w:val="bullet"/>
      <w:start w:val="1"/>
    </w:lvl>
  </w:abstractNum>
  <w:abstractNum w:abstractNumId="153">
    <w:nsid w:val="298A92BA"/>
    <w:multiLevelType w:val="hybridMultilevel"/>
    <w:lvl w:ilvl="0">
      <w:lvlJc w:val="left"/>
      <w:lvlText w:val="•"/>
      <w:numFmt w:val="bullet"/>
      <w:start w:val="1"/>
    </w:lvl>
    <w:lvl w:ilvl="1">
      <w:lvlJc w:val="left"/>
      <w:lvlText w:val="-"/>
      <w:numFmt w:val="bullet"/>
      <w:start w:val="1"/>
    </w:lvl>
  </w:abstractNum>
  <w:abstractNum w:abstractNumId="154">
    <w:nsid w:val="6FE95EAC"/>
    <w:multiLevelType w:val="hybridMultilevel"/>
    <w:lvl w:ilvl="0">
      <w:lvlJc w:val="left"/>
      <w:lvlText w:val="•"/>
      <w:numFmt w:val="bullet"/>
      <w:start w:val="1"/>
    </w:lvl>
  </w:abstractNum>
  <w:abstractNum w:abstractNumId="155">
    <w:nsid w:val="4B697C7A"/>
    <w:multiLevelType w:val="hybridMultilevel"/>
    <w:lvl w:ilvl="0">
      <w:lvlJc w:val="left"/>
      <w:lvlText w:val="•"/>
      <w:numFmt w:val="bullet"/>
      <w:start w:val="1"/>
    </w:lvl>
    <w:lvl w:ilvl="1">
      <w:lvlJc w:val="left"/>
      <w:lvlText w:val="-"/>
      <w:numFmt w:val="bullet"/>
      <w:start w:val="1"/>
    </w:lvl>
  </w:abstractNum>
  <w:abstractNum w:abstractNumId="156">
    <w:nsid w:val="51A27AA6"/>
    <w:multiLevelType w:val="hybridMultilevel"/>
    <w:lvl w:ilvl="0">
      <w:lvlJc w:val="left"/>
      <w:lvlText w:val="•"/>
      <w:numFmt w:val="bullet"/>
      <w:start w:val="1"/>
    </w:lvl>
  </w:abstractNum>
  <w:abstractNum w:abstractNumId="157">
    <w:nsid w:val="613183F2"/>
    <w:multiLevelType w:val="hybridMultilevel"/>
    <w:lvl w:ilvl="0">
      <w:lvlJc w:val="left"/>
      <w:lvlText w:val="•"/>
      <w:numFmt w:val="bullet"/>
      <w:start w:val="1"/>
    </w:lvl>
  </w:abstractNum>
  <w:abstractNum w:abstractNumId="158">
    <w:nsid w:val="634102B4"/>
    <w:multiLevelType w:val="hybridMultilevel"/>
    <w:lvl w:ilvl="0">
      <w:lvlJc w:val="left"/>
      <w:lvlText w:val="•"/>
      <w:numFmt w:val="bullet"/>
      <w:start w:val="1"/>
    </w:lvl>
    <w:lvl w:ilvl="1">
      <w:lvlJc w:val="left"/>
      <w:lvlText w:val="-"/>
      <w:numFmt w:val="bullet"/>
      <w:start w:val="1"/>
    </w:lvl>
  </w:abstractNum>
  <w:abstractNum w:abstractNumId="159">
    <w:nsid w:val="65BF9DA8"/>
    <w:multiLevelType w:val="hybridMultilevel"/>
    <w:lvl w:ilvl="0">
      <w:lvlJc w:val="left"/>
      <w:lvlText w:val="(%1)"/>
      <w:numFmt w:val="lowerLetter"/>
      <w:start w:val="1"/>
    </w:lvl>
    <w:lvl w:ilvl="1">
      <w:lvlJc w:val="left"/>
      <w:lvlText w:val="-"/>
      <w:numFmt w:val="bullet"/>
      <w:start w:val="1"/>
    </w:lvl>
  </w:abstractNum>
  <w:abstractNum w:abstractNumId="160">
    <w:nsid w:val="21A2ECCA"/>
    <w:multiLevelType w:val="hybridMultilevel"/>
    <w:lvl w:ilvl="0">
      <w:lvlJc w:val="left"/>
      <w:lvlText w:val="(%1)"/>
      <w:numFmt w:val="lowerLetter"/>
      <w:start w:val="5"/>
    </w:lvl>
  </w:abstractNum>
  <w:abstractNum w:abstractNumId="161">
    <w:nsid w:val="4D5C4899"/>
    <w:multiLevelType w:val="hybridMultilevel"/>
    <w:lvl w:ilvl="0">
      <w:lvlJc w:val="left"/>
      <w:lvlText w:val="(%1)"/>
      <w:numFmt w:val="lowerRoman"/>
      <w:start w:val="3"/>
    </w:lvl>
  </w:abstractNum>
  <w:abstractNum w:abstractNumId="162">
    <w:nsid w:val="3C3B72B2"/>
    <w:multiLevelType w:val="hybridMultilevel"/>
    <w:lvl w:ilvl="0">
      <w:lvlJc w:val="left"/>
      <w:lvlText w:val="•"/>
      <w:numFmt w:val="bullet"/>
      <w:start w:val="1"/>
    </w:lvl>
  </w:abstractNum>
  <w:abstractNum w:abstractNumId="163">
    <w:nsid w:val="155EC4C2"/>
    <w:multiLevelType w:val="hybridMultilevel"/>
    <w:lvl w:ilvl="0">
      <w:lvlJc w:val="left"/>
      <w:lvlText w:val="•"/>
      <w:numFmt w:val="bullet"/>
      <w:start w:val="1"/>
    </w:lvl>
  </w:abstractNum>
  <w:abstractNum w:abstractNumId="164">
    <w:nsid w:val="65D2A137"/>
    <w:multiLevelType w:val="hybridMultilevel"/>
    <w:lvl w:ilvl="0">
      <w:lvlJc w:val="left"/>
      <w:lvlText w:val="(%1)"/>
      <w:numFmt w:val="lowerLetter"/>
      <w:start w:val="1"/>
    </w:lvl>
  </w:abstractNum>
  <w:abstractNum w:abstractNumId="165">
    <w:nsid w:val="6EBB1F2A"/>
    <w:multiLevelType w:val="hybridMultilevel"/>
    <w:lvl w:ilvl="0">
      <w:lvlJc w:val="left"/>
      <w:lvlText w:val="(%1)"/>
      <w:numFmt w:val="decimal"/>
      <w:start w:val="1"/>
    </w:lvl>
  </w:abstractNum>
  <w:abstractNum w:abstractNumId="166">
    <w:nsid w:val="6FBF29CB"/>
    <w:multiLevelType w:val="hybridMultilevel"/>
    <w:lvl w:ilvl="0">
      <w:lvlJc w:val="left"/>
      <w:lvlText w:val="%1."/>
      <w:numFmt w:val="decimal"/>
      <w:start w:val="10"/>
    </w:lvl>
  </w:abstractNum>
  <w:abstractNum w:abstractNumId="167">
    <w:nsid w:val="550B8808"/>
    <w:multiLevelType w:val="hybridMultilevel"/>
    <w:lvl w:ilvl="0">
      <w:lvlJc w:val="left"/>
      <w:lvlText w:val="(%1)"/>
      <w:numFmt w:val="decimal"/>
      <w:start w:val="2"/>
    </w:lvl>
  </w:abstractNum>
  <w:abstractNum w:abstractNumId="168">
    <w:nsid w:val="34CC3ACF"/>
    <w:multiLevelType w:val="hybridMultilevel"/>
    <w:lvl w:ilvl="0">
      <w:lvlJc w:val="left"/>
      <w:lvlText w:val="(%1)"/>
      <w:numFmt w:val="lowerRoman"/>
      <w:start w:val="1"/>
    </w:lvl>
  </w:abstractNum>
  <w:abstractNum w:abstractNumId="169">
    <w:nsid w:val="4E556261"/>
    <w:multiLevelType w:val="hybridMultilevel"/>
    <w:lvl w:ilvl="0">
      <w:lvlJc w:val="left"/>
      <w:lvlText w:val="•"/>
      <w:numFmt w:val="bullet"/>
      <w:start w:val="1"/>
    </w:lvl>
  </w:abstractNum>
  <w:abstractNum w:abstractNumId="170">
    <w:nsid w:val="4C672FC9"/>
    <w:multiLevelType w:val="hybridMultilevel"/>
    <w:lvl w:ilvl="0">
      <w:lvlJc w:val="left"/>
      <w:lvlText w:val="(%1)"/>
      <w:numFmt w:val="lowerLetter"/>
      <w:start w:val="1"/>
    </w:lvl>
  </w:abstractNum>
  <w:abstractNum w:abstractNumId="171">
    <w:nsid w:val="52A311C3"/>
    <w:multiLevelType w:val="hybridMultilevel"/>
    <w:lvl w:ilvl="0">
      <w:lvlJc w:val="left"/>
      <w:lvlText w:val="(%1)"/>
      <w:numFmt w:val="lowerLetter"/>
      <w:start w:val="6"/>
    </w:lvl>
  </w:abstractNum>
  <w:abstractNum w:abstractNumId="172">
    <w:nsid w:val="44EF6B80"/>
    <w:multiLevelType w:val="hybridMultilevel"/>
    <w:lvl w:ilvl="0">
      <w:lvlJc w:val="left"/>
      <w:lvlText w:val="(%1)"/>
      <w:numFmt w:val="lowerLetter"/>
      <w:start w:val="1"/>
    </w:lvl>
  </w:abstractNum>
  <w:abstractNum w:abstractNumId="173">
    <w:nsid w:val="12FCDE5E"/>
    <w:multiLevelType w:val="hybridMultilevel"/>
    <w:lvl w:ilvl="0">
      <w:lvlJc w:val="left"/>
      <w:lvlText w:val="*"/>
      <w:numFmt w:val="bullet"/>
      <w:start w:val="1"/>
    </w:lvl>
  </w:abstractNum>
  <w:abstractNum w:abstractNumId="174">
    <w:nsid w:val="4A1D606E"/>
    <w:multiLevelType w:val="hybridMultilevel"/>
    <w:lvl w:ilvl="0">
      <w:lvlJc w:val="left"/>
      <w:lvlText w:val="^"/>
      <w:numFmt w:val="bullet"/>
      <w:start w:val="1"/>
    </w:lvl>
  </w:abstractNum>
  <w:abstractNum w:abstractNumId="175">
    <w:nsid w:val="4382503"/>
    <w:multiLevelType w:val="hybridMultilevel"/>
    <w:lvl w:ilvl="0">
      <w:lvlJc w:val="left"/>
      <w:lvlText w:val="†"/>
      <w:numFmt w:val="bullet"/>
      <w:start w:val="1"/>
    </w:lvl>
    <w:lvl w:ilvl="1">
      <w:lvlJc w:val="left"/>
      <w:lvlText w:val="(%2)"/>
      <w:numFmt w:val="lowerLetter"/>
      <w:start w:val="2"/>
    </w:lvl>
  </w:abstractNum>
  <w:abstractNum w:abstractNumId="176">
    <w:nsid w:val="59B76E28"/>
    <w:multiLevelType w:val="hybridMultilevel"/>
    <w:lvl w:ilvl="0">
      <w:lvlJc w:val="left"/>
      <w:lvlText w:val="(%1)"/>
      <w:numFmt w:val="decimal"/>
      <w:start w:val="1"/>
    </w:lvl>
  </w:abstractNum>
  <w:abstractNum w:abstractNumId="177">
    <w:nsid w:val="4252C2DA"/>
    <w:multiLevelType w:val="hybridMultilevel"/>
    <w:lvl w:ilvl="0">
      <w:lvlJc w:val="left"/>
      <w:lvlText w:val="(%1)"/>
      <w:numFmt w:val="lowerLetter"/>
      <w:start w:val="1"/>
    </w:lvl>
  </w:abstractNum>
  <w:abstractNum w:abstractNumId="178">
    <w:nsid w:val="6A92EF4C"/>
    <w:multiLevelType w:val="hybridMultilevel"/>
    <w:lvl w:ilvl="0">
      <w:lvlJc w:val="left"/>
      <w:lvlText w:val="(%1)"/>
      <w:numFmt w:val="lowerLetter"/>
      <w:start w:val="1"/>
    </w:lvl>
  </w:abstractNum>
  <w:abstractNum w:abstractNumId="179">
    <w:nsid w:val="41ED20D7"/>
    <w:multiLevelType w:val="hybridMultilevel"/>
    <w:lvl w:ilvl="0">
      <w:lvlJc w:val="left"/>
      <w:lvlText w:val="1"/>
      <w:numFmt w:val="bullet"/>
      <w:start w:val="1"/>
    </w:lvl>
  </w:abstractNum>
  <w:abstractNum w:abstractNumId="180">
    <w:nsid w:val="E6B3F6A"/>
    <w:multiLevelType w:val="hybridMultilevel"/>
    <w:lvl w:ilvl="0">
      <w:lvlJc w:val="left"/>
      <w:lvlText w:val="(%1)"/>
      <w:numFmt w:val="lowerLetter"/>
      <w:start w:val="1"/>
    </w:lvl>
  </w:abstractNum>
  <w:abstractNum w:abstractNumId="181">
    <w:nsid w:val="3EB21819"/>
    <w:multiLevelType w:val="hybridMultilevel"/>
    <w:lvl w:ilvl="0">
      <w:lvlJc w:val="left"/>
      <w:lvlText w:val="(%1)"/>
      <w:numFmt w:val="lowerLetter"/>
      <w:start w:val="1"/>
    </w:lvl>
  </w:abstractNum>
  <w:abstractNum w:abstractNumId="182">
    <w:nsid w:val="41531DED"/>
    <w:multiLevelType w:val="hybridMultilevel"/>
    <w:lvl w:ilvl="0">
      <w:lvlJc w:val="left"/>
      <w:lvlText w:val="(%1)"/>
      <w:numFmt w:val="lowerLetter"/>
      <w:start w:val="1"/>
    </w:lvl>
  </w:abstractNum>
  <w:abstractNum w:abstractNumId="183">
    <w:nsid w:val="6353CD2"/>
    <w:multiLevelType w:val="hybridMultilevel"/>
    <w:lvl w:ilvl="0">
      <w:lvlJc w:val="left"/>
      <w:lvlText w:val="2"/>
      <w:numFmt w:val="bullet"/>
      <w:start w:val="1"/>
    </w:lvl>
  </w:abstractNum>
  <w:abstractNum w:abstractNumId="184">
    <w:nsid w:val="683CAAD3"/>
    <w:multiLevelType w:val="hybridMultilevel"/>
    <w:lvl w:ilvl="0">
      <w:lvlJc w:val="left"/>
      <w:lvlText w:val="(%1)"/>
      <w:numFmt w:val="lowerLetter"/>
      <w:start w:val="2"/>
    </w:lvl>
  </w:abstractNum>
  <w:abstractNum w:abstractNumId="185">
    <w:nsid w:val="313C7C99"/>
    <w:multiLevelType w:val="hybridMultilevel"/>
    <w:lvl w:ilvl="0">
      <w:lvlJc w:val="left"/>
      <w:lvlText w:val="(%1)"/>
      <w:numFmt w:val="lowerLetter"/>
      <w:start w:val="6"/>
    </w:lvl>
    <w:lvl w:ilvl="1">
      <w:lvlJc w:val="left"/>
      <w:lvlText w:val="(%2)"/>
      <w:numFmt w:val="lowerRoman"/>
      <w:start w:val="1"/>
    </w:lvl>
  </w:abstractNum>
  <w:abstractNum w:abstractNumId="186">
    <w:nsid w:val="519EB94C"/>
    <w:multiLevelType w:val="hybridMultilevel"/>
    <w:lvl w:ilvl="0">
      <w:lvlJc w:val="left"/>
      <w:lvlText w:val="(%1)"/>
      <w:numFmt w:val="lowerLetter"/>
      <w:start w:val="7"/>
    </w:lvl>
    <w:lvl w:ilvl="1">
      <w:lvlJc w:val="left"/>
      <w:lvlText w:val="(%2)"/>
      <w:numFmt w:val="lowerRoman"/>
      <w:start w:val="1"/>
    </w:lvl>
  </w:abstractNum>
  <w:abstractNum w:abstractNumId="187">
    <w:nsid w:val="39DF2579"/>
    <w:multiLevelType w:val="hybridMultilevel"/>
    <w:lvl w:ilvl="0">
      <w:lvlJc w:val="left"/>
      <w:lvlText w:val="%1"/>
      <w:numFmt w:val="lowerRoman"/>
      <w:start w:val="1"/>
    </w:lvl>
    <w:lvl w:ilvl="1">
      <w:lvlJc w:val="left"/>
      <w:lvlText w:val="(%2)"/>
      <w:numFmt w:val="lowerRoman"/>
      <w:start w:val="1"/>
    </w:lvl>
  </w:abstractNum>
  <w:abstractNum w:abstractNumId="188">
    <w:nsid w:val="126E008B"/>
    <w:multiLevelType w:val="hybridMultilevel"/>
    <w:lvl w:ilvl="0">
      <w:lvlJc w:val="left"/>
      <w:lvlText w:val="(%1)"/>
      <w:numFmt w:val="lowerRoman"/>
      <w:start w:val="2"/>
    </w:lvl>
    <w:lvl w:ilvl="1">
      <w:lvlJc w:val="left"/>
      <w:lvlText w:val="%2"/>
      <w:numFmt w:val="lowerRoman"/>
      <w:start w:val="1"/>
    </w:lvl>
  </w:abstractNum>
  <w:abstractNum w:abstractNumId="189">
    <w:nsid w:val="34DFBC00"/>
    <w:multiLevelType w:val="hybridMultilevel"/>
    <w:lvl w:ilvl="0">
      <w:lvlJc w:val="left"/>
      <w:lvlText w:val="(%1)"/>
      <w:numFmt w:val="lowerLetter"/>
      <w:start w:val="10"/>
    </w:lvl>
  </w:abstractNum>
  <w:abstractNum w:abstractNumId="190">
    <w:nsid w:val="1F9EC322"/>
    <w:multiLevelType w:val="hybridMultilevel"/>
    <w:lvl w:ilvl="0">
      <w:lvlJc w:val="left"/>
      <w:lvlText w:val="(%1)"/>
      <w:numFmt w:val="lowerLetter"/>
      <w:start w:val="1"/>
    </w:lvl>
  </w:abstractNum>
  <w:abstractNum w:abstractNumId="191">
    <w:nsid w:val="3410ED56"/>
    <w:multiLevelType w:val="hybridMultilevel"/>
    <w:lvl w:ilvl="0">
      <w:lvlJc w:val="left"/>
      <w:lvlText w:val="%1"/>
      <w:numFmt w:val="lowerLetter"/>
      <w:start w:val="1"/>
    </w:lvl>
    <w:lvl w:ilvl="1">
      <w:lvlJc w:val="left"/>
      <w:lvlText w:val="(%2)"/>
      <w:numFmt w:val="lowerLetter"/>
      <w:start w:val="1"/>
    </w:lvl>
  </w:abstractNum>
  <w:abstractNum w:abstractNumId="192">
    <w:nsid w:val="23C049A"/>
    <w:multiLevelType w:val="hybridMultilevel"/>
    <w:lvl w:ilvl="0">
      <w:lvlJc w:val="left"/>
      <w:lvlText w:val="(%1)"/>
      <w:numFmt w:val="lowerLetter"/>
      <w:start w:val="35"/>
    </w:lvl>
    <w:lvl w:ilvl="1">
      <w:lvlJc w:val="left"/>
      <w:lvlText w:val="%2"/>
      <w:numFmt w:val="lowerLetter"/>
      <w:start w:val="1"/>
    </w:lvl>
  </w:abstractNum>
  <w:abstractNum w:abstractNumId="193">
    <w:nsid w:val="5BDA35D4"/>
    <w:multiLevelType w:val="hybridMultilevel"/>
    <w:lvl w:ilvl="0">
      <w:lvlJc w:val="left"/>
      <w:lvlText w:val="%1"/>
      <w:numFmt w:val="upperLetter"/>
      <w:start w:val="1"/>
    </w:lvl>
    <w:lvl w:ilvl="1">
      <w:lvlJc w:val="left"/>
      <w:lvlText w:val="(%2)"/>
      <w:numFmt w:val="lowerLetter"/>
      <w:start w:val="2"/>
    </w:lvl>
    <w:lvl w:ilvl="2">
      <w:lvlJc w:val="left"/>
      <w:lvlText w:val="(%3)"/>
      <w:numFmt w:val="lowerRoman"/>
      <w:start w:val="1"/>
    </w:lvl>
  </w:abstractNum>
  <w:abstractNum w:abstractNumId="194">
    <w:nsid w:val="496FB218"/>
    <w:multiLevelType w:val="hybridMultilevel"/>
    <w:lvl w:ilvl="0">
      <w:lvlJc w:val="left"/>
      <w:lvlText w:val="(%1)"/>
      <w:numFmt w:val="upperLetter"/>
      <w:start w:val="2"/>
    </w:lvl>
    <w:lvl w:ilvl="1">
      <w:lvlJc w:val="left"/>
      <w:lvlText w:val="%2"/>
      <w:numFmt w:val="lowerLetter"/>
      <w:start w:val="1"/>
    </w:lvl>
    <w:lvl w:ilvl="2">
      <w:lvlJc w:val="left"/>
      <w:lvlText w:val="%3"/>
      <w:numFmt w:val="lowerRoman"/>
      <w:start w:val="1"/>
    </w:lvl>
  </w:abstractNum>
  <w:abstractNum w:abstractNumId="195">
    <w:nsid w:val="680EA5D1"/>
    <w:multiLevelType w:val="hybridMultilevel"/>
    <w:lvl w:ilvl="0">
      <w:lvlJc w:val="left"/>
      <w:lvlText w:val="(%1)"/>
      <w:numFmt w:val="lowerRoman"/>
      <w:start w:val="5"/>
    </w:lvl>
  </w:abstractNum>
  <w:abstractNum w:abstractNumId="196">
    <w:nsid w:val="4A9554FE"/>
    <w:multiLevelType w:val="hybridMultilevel"/>
    <w:lvl w:ilvl="0">
      <w:lvlJc w:val="left"/>
      <w:lvlText w:val="(%1)"/>
      <w:numFmt w:val="lowerLetter"/>
      <w:start w:val="3"/>
    </w:lvl>
  </w:abstractNum>
  <w:abstractNum w:abstractNumId="197">
    <w:nsid w:val="392EDBE4"/>
    <w:multiLevelType w:val="hybridMultilevel"/>
    <w:lvl w:ilvl="0">
      <w:lvlJc w:val="left"/>
      <w:lvlText w:val="(%1)"/>
      <w:numFmt w:val="lowerLetter"/>
      <w:start w:val="1"/>
    </w:lvl>
  </w:abstractNum>
  <w:abstractNum w:abstractNumId="198">
    <w:nsid w:val="3D1A2DD9"/>
    <w:multiLevelType w:val="hybridMultilevel"/>
    <w:lvl w:ilvl="0">
      <w:lvlJc w:val="left"/>
      <w:lvlText w:val="(%1)"/>
      <w:numFmt w:val="lowerLetter"/>
      <w:start w:val="3"/>
    </w:lvl>
    <w:lvl w:ilvl="1">
      <w:lvlJc w:val="left"/>
      <w:lvlText w:val="(%2)"/>
      <w:numFmt w:val="lowerRoman"/>
      <w:start w:val="1"/>
    </w:lvl>
  </w:abstractNum>
  <w:abstractNum w:abstractNumId="199">
    <w:nsid w:val="7F618FCD"/>
    <w:multiLevelType w:val="hybridMultilevel"/>
    <w:lvl w:ilvl="0">
      <w:lvlJc w:val="left"/>
      <w:lvlText w:val="(%1)"/>
      <w:numFmt w:val="lowerRoman"/>
      <w:start w:val="3"/>
    </w:lvl>
  </w:abstractNum>
  <w:abstractNum w:abstractNumId="200">
    <w:nsid w:val="7843E45"/>
    <w:multiLevelType w:val="hybridMultilevel"/>
    <w:lvl w:ilvl="0">
      <w:lvlJc w:val="left"/>
      <w:lvlText w:val="(%1)"/>
      <w:numFmt w:val="lowerLetter"/>
      <w:start w:val="1"/>
    </w:lvl>
  </w:abstractNum>
  <w:abstractNum w:abstractNumId="201">
    <w:nsid w:val="9815DA3"/>
    <w:multiLevelType w:val="hybridMultilevel"/>
    <w:lvl w:ilvl="0">
      <w:lvlJc w:val="left"/>
      <w:lvlText w:val="(%1)"/>
      <w:numFmt w:val="lowerLetter"/>
      <w:start w:val="1"/>
    </w:lvl>
  </w:abstractNum>
  <w:abstractNum w:abstractNumId="202">
    <w:nsid w:val="5204A191"/>
    <w:multiLevelType w:val="hybridMultilevel"/>
    <w:lvl w:ilvl="0">
      <w:lvlJc w:val="left"/>
      <w:lvlText w:val="(%1)"/>
      <w:numFmt w:val="lowerLetter"/>
      <w:start w:val="6"/>
    </w:lvl>
  </w:abstractNum>
  <w:abstractNum w:abstractNumId="203">
    <w:nsid w:val="4C73A9C6"/>
    <w:multiLevelType w:val="hybridMultilevel"/>
    <w:lvl w:ilvl="0">
      <w:lvlJc w:val="left"/>
      <w:lvlText w:val="3"/>
      <w:numFmt w:val="bullet"/>
      <w:start w:val="1"/>
    </w:lvl>
  </w:abstractNum>
  <w:abstractNum w:abstractNumId="204">
    <w:nsid w:val="1C7E3C01"/>
    <w:multiLevelType w:val="hybridMultilevel"/>
    <w:lvl w:ilvl="0">
      <w:lvlJc w:val="left"/>
      <w:lvlText w:val="(%1)"/>
      <w:numFmt w:val="lowerLetter"/>
      <w:start w:val="19"/>
    </w:lvl>
  </w:abstractNum>
  <w:abstractNum w:abstractNumId="205">
    <w:nsid w:val="1C2201FF"/>
    <w:multiLevelType w:val="hybridMultilevel"/>
    <w:lvl w:ilvl="0">
      <w:lvlJc w:val="left"/>
      <w:lvlText w:val="(%1)"/>
      <w:numFmt w:val="lowerLetter"/>
      <w:start w:val="27"/>
    </w:lvl>
  </w:abstractNum>
  <w:abstractNum w:abstractNumId="206">
    <w:nsid w:val="50ABCEC9"/>
    <w:multiLevelType w:val="hybridMultilevel"/>
    <w:lvl w:ilvl="0">
      <w:lvlJc w:val="left"/>
      <w:lvlText w:val="(%1)"/>
      <w:numFmt w:val="lowerLetter"/>
      <w:start w:val="1"/>
    </w:lvl>
  </w:abstractNum>
  <w:abstractNum w:abstractNumId="207">
    <w:nsid w:val="7635AA2A"/>
    <w:multiLevelType w:val="hybridMultilevel"/>
    <w:lvl w:ilvl="0">
      <w:lvlJc w:val="left"/>
      <w:lvlText w:val="(%1)"/>
      <w:numFmt w:val="lowerLetter"/>
      <w:start w:val="1"/>
    </w:lvl>
  </w:abstractNum>
  <w:abstractNum w:abstractNumId="208">
    <w:nsid w:val="5E74C4D9"/>
    <w:multiLevelType w:val="hybridMultilevel"/>
    <w:lvl w:ilvl="0">
      <w:lvlJc w:val="left"/>
      <w:lvlText w:val="(%1)"/>
      <w:numFmt w:val="lowerLetter"/>
      <w:start w:val="1"/>
    </w:lvl>
  </w:abstractNum>
  <w:abstractNum w:abstractNumId="209">
    <w:nsid w:val="3B3EBE15"/>
    <w:multiLevelType w:val="hybridMultilevel"/>
    <w:lvl w:ilvl="0">
      <w:lvlJc w:val="left"/>
      <w:lvlText w:val="(%1)"/>
      <w:numFmt w:val="lowerLetter"/>
      <w:start w:val="1"/>
    </w:lvl>
  </w:abstractNum>
  <w:abstractNum w:abstractNumId="210">
    <w:nsid w:val="3822CB01"/>
    <w:multiLevelType w:val="hybridMultilevel"/>
    <w:lvl w:ilvl="0">
      <w:lvlJc w:val="left"/>
      <w:lvlText w:val="(%1)"/>
      <w:numFmt w:val="lowerLetter"/>
      <w:start w:val="1"/>
    </w:lvl>
  </w:abstractNum>
  <w:abstractNum w:abstractNumId="211">
    <w:nsid w:val="6CE00443"/>
    <w:multiLevelType w:val="hybridMultilevel"/>
    <w:lvl w:ilvl="0">
      <w:lvlJc w:val="left"/>
      <w:lvlText w:val="(%1)"/>
      <w:numFmt w:val="lowerLetter"/>
      <w:start w:val="2"/>
    </w:lvl>
    <w:lvl w:ilvl="1">
      <w:lvlJc w:val="left"/>
      <w:lvlText w:val="(%2)"/>
      <w:numFmt w:val="lowerRoman"/>
      <w:start w:val="1"/>
    </w:lvl>
  </w:abstractNum>
  <w:abstractNum w:abstractNumId="212">
    <w:nsid w:val="79F0D62F"/>
    <w:multiLevelType w:val="hybridMultilevel"/>
    <w:lvl w:ilvl="0">
      <w:lvlJc w:val="left"/>
      <w:lvlText w:val="(%1)"/>
      <w:numFmt w:val="lowerLetter"/>
      <w:start w:val="3"/>
    </w:lvl>
  </w:abstractNum>
  <w:abstractNum w:abstractNumId="213">
    <w:nsid w:val="7975E8EE"/>
    <w:multiLevelType w:val="hybridMultilevel"/>
    <w:lvl w:ilvl="0">
      <w:lvlJc w:val="left"/>
      <w:lvlText w:val="(%1)"/>
      <w:numFmt w:val="lowerRoman"/>
      <w:start w:val="1"/>
    </w:lvl>
  </w:abstractNum>
  <w:abstractNum w:abstractNumId="214">
    <w:nsid w:val="73154115"/>
    <w:multiLevelType w:val="hybridMultilevel"/>
    <w:lvl w:ilvl="0">
      <w:lvlJc w:val="left"/>
      <w:lvlText w:val="%1"/>
      <w:numFmt w:val="lowerLetter"/>
      <w:start w:val="1"/>
    </w:lvl>
    <w:lvl w:ilvl="1">
      <w:lvlJc w:val="left"/>
      <w:lvlText w:val="(%2)"/>
      <w:numFmt w:val="lowerLetter"/>
      <w:start w:val="4"/>
    </w:lvl>
  </w:abstractNum>
  <w:abstractNum w:abstractNumId="215">
    <w:nsid w:val="622D8102"/>
    <w:multiLevelType w:val="hybridMultilevel"/>
    <w:lvl w:ilvl="0">
      <w:lvlJc w:val="left"/>
      <w:lvlText w:val="(%1)"/>
      <w:numFmt w:val="lowerLetter"/>
      <w:start w:val="35"/>
    </w:lvl>
    <w:lvl w:ilvl="1">
      <w:lvlJc w:val="left"/>
      <w:lvlText w:val="%2"/>
      <w:numFmt w:val="lowerLetter"/>
      <w:start w:val="1"/>
    </w:lvl>
  </w:abstractNum>
  <w:abstractNum w:abstractNumId="216">
    <w:nsid w:val="2AB26587"/>
    <w:multiLevelType w:val="hybridMultilevel"/>
    <w:lvl w:ilvl="0">
      <w:lvlJc w:val="left"/>
      <w:lvlText w:val="%1"/>
      <w:numFmt w:val="lowerLetter"/>
      <w:start w:val="1"/>
    </w:lvl>
    <w:lvl w:ilvl="1">
      <w:lvlJc w:val="left"/>
      <w:lvlText w:val="(%2)"/>
      <w:numFmt w:val="lowerLetter"/>
      <w:start w:val="5"/>
    </w:lvl>
    <w:lvl w:ilvl="2">
      <w:lvlJc w:val="left"/>
      <w:lvlText w:val="%3"/>
      <w:numFmt w:val="lowerRoman"/>
      <w:start w:val="1"/>
    </w:lvl>
  </w:abstractNum>
  <w:abstractNum w:abstractNumId="217">
    <w:nsid w:val="44B3FA61"/>
    <w:multiLevelType w:val="hybridMultilevel"/>
    <w:lvl w:ilvl="0">
      <w:lvlJc w:val="left"/>
      <w:lvlText w:val="(%1)"/>
      <w:numFmt w:val="lowerLetter"/>
      <w:start w:val="35"/>
    </w:lvl>
    <w:lvl w:ilvl="1">
      <w:lvlJc w:val="left"/>
      <w:lvlText w:val="(%2)"/>
      <w:numFmt w:val="lowerLetter"/>
      <w:start w:val="6"/>
    </w:lvl>
    <w:lvl w:ilvl="2">
      <w:lvlJc w:val="left"/>
      <w:lvlText w:val="(%3)"/>
      <w:numFmt w:val="lowerRoman"/>
      <w:start w:val="1"/>
    </w:lvl>
  </w:abstractNum>
  <w:abstractNum w:abstractNumId="218">
    <w:nsid w:val="1C0CA67C"/>
    <w:multiLevelType w:val="hybridMultilevel"/>
    <w:lvl w:ilvl="0">
      <w:lvlJc w:val="left"/>
      <w:lvlText w:val="(%1)"/>
      <w:numFmt w:val="lowerLetter"/>
      <w:start w:val="1"/>
    </w:lvl>
  </w:abstractNum>
  <w:abstractNum w:abstractNumId="219">
    <w:nsid w:val="3D206613"/>
    <w:multiLevelType w:val="hybridMultilevel"/>
    <w:lvl w:ilvl="0">
      <w:lvlJc w:val="left"/>
      <w:lvlText w:val="(%1)"/>
      <w:numFmt w:val="lowerLetter"/>
      <w:start w:val="3"/>
    </w:lvl>
  </w:abstractNum>
  <w:abstractNum w:abstractNumId="220">
    <w:nsid w:val="7993B662"/>
    <w:multiLevelType w:val="hybridMultilevel"/>
    <w:lvl w:ilvl="0">
      <w:lvlJc w:val="left"/>
      <w:lvlText w:val="(%1)"/>
      <w:numFmt w:val="lowerLetter"/>
      <w:start w:val="1"/>
    </w:lvl>
  </w:abstractNum>
  <w:abstractNum w:abstractNumId="221">
    <w:nsid w:val="3BAB699E"/>
    <w:multiLevelType w:val="hybridMultilevel"/>
    <w:lvl w:ilvl="0">
      <w:lvlJc w:val="left"/>
      <w:lvlText w:val="(%1)"/>
      <w:numFmt w:val="lowerLetter"/>
      <w:start w:val="1"/>
    </w:lvl>
  </w:abstractNum>
  <w:abstractNum w:abstractNumId="222">
    <w:nsid w:val="71315369"/>
    <w:multiLevelType w:val="hybridMultilevel"/>
    <w:lvl w:ilvl="0">
      <w:lvlJc w:val="left"/>
      <w:lvlText w:val="(%1)"/>
      <w:numFmt w:val="lowerLetter"/>
      <w:start w:val="3"/>
    </w:lvl>
  </w:abstractNum>
  <w:abstractNum w:abstractNumId="223">
    <w:nsid w:val="7BCFBAFC"/>
    <w:multiLevelType w:val="hybridMultilevel"/>
    <w:lvl w:ilvl="0">
      <w:lvlJc w:val="left"/>
      <w:lvlText w:val="(%1)"/>
      <w:numFmt w:val="lowerLetter"/>
      <w:start w:val="6"/>
    </w:lvl>
  </w:abstractNum>
  <w:abstractNum w:abstractNumId="224">
    <w:nsid w:val="17859F72"/>
    <w:multiLevelType w:val="hybridMultilevel"/>
    <w:lvl w:ilvl="0">
      <w:lvlJc w:val="left"/>
      <w:lvlText w:val="%1"/>
      <w:numFmt w:val="lowerLetter"/>
      <w:start w:val="1"/>
    </w:lvl>
    <w:lvl w:ilvl="1">
      <w:lvlJc w:val="left"/>
      <w:lvlText w:val="(%2)"/>
      <w:numFmt w:val="lowerLetter"/>
      <w:start w:val="1"/>
    </w:lvl>
  </w:abstractNum>
  <w:abstractNum w:abstractNumId="225">
    <w:nsid w:val="3AA10581"/>
    <w:multiLevelType w:val="hybridMultilevel"/>
    <w:lvl w:ilvl="0">
      <w:lvlJc w:val="left"/>
      <w:lvlText w:val="(%1)"/>
      <w:numFmt w:val="lowerLetter"/>
      <w:start w:val="9"/>
    </w:lvl>
    <w:lvl w:ilvl="1">
      <w:lvlJc w:val="left"/>
      <w:lvlText w:val="%2"/>
      <w:numFmt w:val="lowerLetter"/>
      <w:start w:val="1"/>
    </w:lvl>
  </w:abstractNum>
  <w:abstractNum w:abstractNumId="226">
    <w:nsid w:val="63DE60CD"/>
    <w:multiLevelType w:val="hybridMultilevel"/>
    <w:lvl w:ilvl="0">
      <w:lvlJc w:val="left"/>
      <w:lvlText w:val="(%1)"/>
      <w:numFmt w:val="lowerLetter"/>
      <w:start w:val="61"/>
    </w:lvl>
    <w:lvl w:ilvl="1">
      <w:lvlJc w:val="left"/>
      <w:lvlText w:val="(%2)"/>
      <w:numFmt w:val="lowerLetter"/>
      <w:start w:val="4"/>
    </w:lvl>
  </w:abstractNum>
  <w:abstractNum w:abstractNumId="227">
    <w:nsid w:val="621AF471"/>
    <w:multiLevelType w:val="hybridMultilevel"/>
    <w:lvl w:ilvl="0">
      <w:lvlJc w:val="left"/>
      <w:lvlText w:val="(%1)"/>
      <w:numFmt w:val="lowerLetter"/>
      <w:start w:val="6"/>
    </w:lvl>
  </w:abstractNum>
  <w:abstractNum w:abstractNumId="228">
    <w:nsid w:val="73CFE165"/>
    <w:multiLevelType w:val="hybridMultilevel"/>
    <w:lvl w:ilvl="0">
      <w:lvlJc w:val="left"/>
      <w:lvlText w:val="(%1)"/>
      <w:numFmt w:val="lowerLetter"/>
      <w:start w:val="1"/>
    </w:lvl>
  </w:abstractNum>
  <w:abstractNum w:abstractNumId="229">
    <w:nsid w:val="20F88EA6"/>
    <w:multiLevelType w:val="hybridMultilevel"/>
    <w:lvl w:ilvl="0">
      <w:lvlJc w:val="left"/>
      <w:lvlText w:val="(%1)"/>
      <w:numFmt w:val="lowerLetter"/>
      <w:start w:val="5"/>
    </w:lvl>
  </w:abstractNum>
  <w:abstractNum w:abstractNumId="230">
    <w:nsid w:val="617C843E"/>
    <w:multiLevelType w:val="hybridMultilevel"/>
    <w:lvl w:ilvl="0">
      <w:lvlJc w:val="left"/>
      <w:lvlText w:val="(%1)"/>
      <w:numFmt w:val="lowerLetter"/>
      <w:start w:val="1"/>
    </w:lvl>
  </w:abstractNum>
  <w:abstractNum w:abstractNumId="231">
    <w:nsid w:val="7B541FAB"/>
    <w:multiLevelType w:val="hybridMultilevel"/>
    <w:lvl w:ilvl="0">
      <w:lvlJc w:val="left"/>
      <w:lvlText w:val="(%1)"/>
      <w:numFmt w:val="lowerLetter"/>
      <w:start w:val="1"/>
    </w:lvl>
  </w:abstractNum>
  <w:abstractNum w:abstractNumId="232">
    <w:nsid w:val="2A79EC49"/>
    <w:multiLevelType w:val="hybridMultilevel"/>
    <w:lvl w:ilvl="0">
      <w:lvlJc w:val="left"/>
      <w:lvlText w:val="(%1)"/>
      <w:numFmt w:val="lowerLetter"/>
      <w:start w:val="1"/>
    </w:lvl>
  </w:abstractNum>
  <w:abstractNum w:abstractNumId="233">
    <w:nsid w:val="338125CF"/>
    <w:multiLevelType w:val="hybridMultilevel"/>
    <w:lvl w:ilvl="0">
      <w:lvlJc w:val="left"/>
      <w:lvlText w:val="(%1)"/>
      <w:numFmt w:val="lowerLetter"/>
      <w:start w:val="1"/>
    </w:lvl>
  </w:abstractNum>
  <w:abstractNum w:abstractNumId="234">
    <w:nsid w:val="47C7C971"/>
    <w:multiLevelType w:val="hybridMultilevel"/>
    <w:lvl w:ilvl="0">
      <w:lvlJc w:val="left"/>
      <w:lvlText w:val="(%1)"/>
      <w:numFmt w:val="lowerLetter"/>
      <w:start w:val="1"/>
    </w:lvl>
  </w:abstractNum>
  <w:abstractNum w:abstractNumId="235">
    <w:nsid w:val="46F8284B"/>
    <w:multiLevelType w:val="hybridMultilevel"/>
    <w:lvl w:ilvl="0">
      <w:lvlJc w:val="left"/>
      <w:lvlText w:val="(%1)"/>
      <w:numFmt w:val="lowerLetter"/>
      <w:start w:val="1"/>
    </w:lvl>
    <w:lvl w:ilvl="1">
      <w:lvlJc w:val="left"/>
      <w:lvlText w:val="(%2)"/>
      <w:numFmt w:val="lowerRoman"/>
      <w:start w:val="1"/>
    </w:lvl>
  </w:abstractNum>
  <w:abstractNum w:abstractNumId="236">
    <w:nsid w:val="4FA327CE"/>
    <w:multiLevelType w:val="hybridMultilevel"/>
    <w:lvl w:ilvl="0">
      <w:lvlJc w:val="left"/>
      <w:lvlText w:val="(%1)"/>
      <w:numFmt w:val="lowerLetter"/>
      <w:start w:val="3"/>
    </w:lvl>
  </w:abstractNum>
  <w:abstractNum w:abstractNumId="237">
    <w:nsid w:val="1873983A"/>
    <w:multiLevelType w:val="hybridMultilevel"/>
    <w:lvl w:ilvl="0">
      <w:lvlJc w:val="left"/>
      <w:lvlText w:val="(%1)"/>
      <w:numFmt w:val="lowerRoman"/>
      <w:start w:val="1"/>
    </w:lvl>
  </w:abstractNum>
  <w:abstractNum w:abstractNumId="238">
    <w:nsid w:val="3D2DD275"/>
    <w:multiLevelType w:val="hybridMultilevel"/>
    <w:lvl w:ilvl="0">
      <w:lvlJc w:val="left"/>
      <w:lvlText w:val="%1"/>
      <w:numFmt w:val="lowerLetter"/>
      <w:start w:val="1"/>
    </w:lvl>
    <w:lvl w:ilvl="1">
      <w:lvlJc w:val="left"/>
      <w:lvlText w:val="(%2)"/>
      <w:numFmt w:val="lowerLetter"/>
      <w:start w:val="4"/>
    </w:lvl>
    <w:lvl w:ilvl="2">
      <w:lvlJc w:val="left"/>
      <w:lvlText w:val="%3"/>
      <w:numFmt w:val="lowerRoman"/>
      <w:start w:val="1"/>
    </w:lvl>
  </w:abstractNum>
  <w:abstractNum w:abstractNumId="239">
    <w:nsid w:val="2E17ECA7"/>
    <w:multiLevelType w:val="hybridMultilevel"/>
    <w:lvl w:ilvl="0">
      <w:lvlJc w:val="left"/>
      <w:lvlText w:val="(%1)"/>
      <w:numFmt w:val="lowerLetter"/>
      <w:start w:val="35"/>
    </w:lvl>
    <w:lvl w:ilvl="1">
      <w:lvlJc w:val="left"/>
      <w:lvlText w:val="(%2)"/>
      <w:numFmt w:val="lowerLetter"/>
      <w:start w:val="5"/>
    </w:lvl>
    <w:lvl w:ilvl="2">
      <w:lvlJc w:val="left"/>
      <w:lvlText w:val="%3"/>
      <w:numFmt w:val="lowerRoman"/>
      <w:start w:val="1"/>
    </w:lvl>
  </w:abstractNum>
  <w:abstractNum w:abstractNumId="240">
    <w:nsid w:val="53B2564F"/>
    <w:multiLevelType w:val="hybridMultilevel"/>
    <w:lvl w:ilvl="0">
      <w:lvlJc w:val="left"/>
      <w:lvlText w:val="(%1)"/>
      <w:numFmt w:val="lowerLetter"/>
      <w:start w:val="35"/>
    </w:lvl>
    <w:lvl w:ilvl="1">
      <w:lvlJc w:val="left"/>
      <w:lvlText w:val="(%2)"/>
      <w:numFmt w:val="lowerLetter"/>
      <w:start w:val="6"/>
    </w:lvl>
    <w:lvl w:ilvl="2">
      <w:lvlJc w:val="left"/>
      <w:lvlText w:val="(%3)"/>
      <w:numFmt w:val="lowerRoman"/>
      <w:start w:val="1"/>
    </w:lvl>
  </w:abstractNum>
  <w:abstractNum w:abstractNumId="241">
    <w:nsid w:val="75509D76"/>
    <w:multiLevelType w:val="hybridMultilevel"/>
    <w:lvl w:ilvl="0">
      <w:lvlJc w:val="left"/>
      <w:lvlText w:val="(%1)"/>
      <w:numFmt w:val="lowerLetter"/>
      <w:start w:val="1"/>
    </w:lvl>
  </w:abstractNum>
  <w:abstractNum w:abstractNumId="242">
    <w:nsid w:val="1AF7F0EA"/>
    <w:multiLevelType w:val="hybridMultilevel"/>
    <w:lvl w:ilvl="0">
      <w:lvlJc w:val="left"/>
      <w:lvlText w:val="(%1)"/>
      <w:numFmt w:val="lowerLetter"/>
      <w:start w:val="2"/>
    </w:lvl>
  </w:abstractNum>
  <w:abstractNum w:abstractNumId="243">
    <w:nsid w:val="4DA32C7E"/>
    <w:multiLevelType w:val="hybridMultilevel"/>
    <w:lvl w:ilvl="0">
      <w:lvlJc w:val="left"/>
      <w:lvlText w:val="(%1)"/>
      <w:numFmt w:val="lowerLetter"/>
      <w:start w:val="8"/>
    </w:lvl>
  </w:abstractNum>
  <w:abstractNum w:abstractNumId="244">
    <w:nsid w:val="6EC68664"/>
    <w:multiLevelType w:val="hybridMultilevel"/>
    <w:lvl w:ilvl="0">
      <w:lvlJc w:val="left"/>
      <w:lvlText w:val="(%1)"/>
      <w:numFmt w:val="lowerLetter"/>
      <w:start w:val="1"/>
    </w:lvl>
  </w:abstractNum>
  <w:abstractNum w:abstractNumId="245">
    <w:nsid w:val="E0D31FF"/>
    <w:multiLevelType w:val="hybridMultilevel"/>
    <w:lvl w:ilvl="0">
      <w:lvlJc w:val="left"/>
      <w:lvlText w:val="(%1)"/>
      <w:numFmt w:val="lowerLetter"/>
      <w:start w:val="4"/>
    </w:lvl>
  </w:abstractNum>
  <w:abstractNum w:abstractNumId="246">
    <w:nsid w:val="2FD0AD81"/>
    <w:multiLevelType w:val="hybridMultilevel"/>
    <w:lvl w:ilvl="0">
      <w:lvlJc w:val="left"/>
      <w:lvlText w:val="(%1)"/>
      <w:numFmt w:val="lowerLetter"/>
      <w:start w:val="1"/>
    </w:lvl>
  </w:abstractNum>
  <w:abstractNum w:abstractNumId="247">
    <w:nsid w:val="1978EBEB"/>
    <w:multiLevelType w:val="hybridMultilevel"/>
    <w:lvl w:ilvl="0">
      <w:lvlJc w:val="left"/>
      <w:lvlText w:val="(%1)"/>
      <w:numFmt w:val="lowerLetter"/>
      <w:start w:val="1"/>
    </w:lvl>
  </w:abstractNum>
  <w:abstractNum w:abstractNumId="248">
    <w:nsid w:val="52C12C61"/>
    <w:multiLevelType w:val="hybridMultilevel"/>
    <w:lvl w:ilvl="0">
      <w:lvlJc w:val="left"/>
      <w:lvlText w:val="(%1)"/>
      <w:numFmt w:val="lowerLetter"/>
      <w:start w:val="5"/>
    </w:lvl>
  </w:abstractNum>
  <w:abstractNum w:abstractNumId="249">
    <w:nsid w:val="4BDD53FD"/>
    <w:multiLevelType w:val="hybridMultilevel"/>
    <w:lvl w:ilvl="0">
      <w:lvlJc w:val="left"/>
      <w:lvlText w:val="(%1)"/>
      <w:numFmt w:val="lowerLetter"/>
      <w:start w:val="6"/>
    </w:lvl>
  </w:abstractNum>
  <w:abstractNum w:abstractNumId="250">
    <w:nsid w:val="569951FE"/>
    <w:multiLevelType w:val="hybridMultilevel"/>
    <w:lvl w:ilvl="0">
      <w:lvlJc w:val="left"/>
      <w:lvlText w:val="%1"/>
      <w:numFmt w:val="lowerLetter"/>
      <w:start w:val="1"/>
    </w:lvl>
    <w:lvl w:ilvl="1">
      <w:lvlJc w:val="left"/>
      <w:lvlText w:val="(%2)"/>
      <w:numFmt w:val="lowerLetter"/>
      <w:start w:val="1"/>
    </w:lvl>
  </w:abstractNum>
  <w:abstractNum w:abstractNumId="251">
    <w:nsid w:val="4C54E2C3"/>
    <w:multiLevelType w:val="hybridMultilevel"/>
    <w:lvl w:ilvl="0">
      <w:lvlJc w:val="left"/>
      <w:lvlText w:val="(%1)"/>
      <w:numFmt w:val="lowerLetter"/>
      <w:start w:val="9"/>
    </w:lvl>
    <w:lvl w:ilvl="1">
      <w:lvlJc w:val="left"/>
      <w:lvlText w:val="%2"/>
      <w:numFmt w:val="lowerLetter"/>
      <w:start w:val="1"/>
    </w:lvl>
  </w:abstractNum>
  <w:abstractNum w:abstractNumId="252">
    <w:nsid w:val="788BD9B"/>
    <w:multiLevelType w:val="hybridMultilevel"/>
    <w:lvl w:ilvl="0">
      <w:lvlJc w:val="left"/>
      <w:lvlText w:val="(%1)"/>
      <w:numFmt w:val="lowerLetter"/>
      <w:start w:val="61"/>
    </w:lvl>
    <w:lvl w:ilvl="1">
      <w:lvlJc w:val="left"/>
      <w:lvlText w:val="(%2)"/>
      <w:numFmt w:val="lowerLetter"/>
      <w:start w:val="4"/>
    </w:lvl>
  </w:abstractNum>
  <w:abstractNum w:abstractNumId="253">
    <w:nsid w:val="47CAA567"/>
    <w:multiLevelType w:val="hybridMultilevel"/>
    <w:lvl w:ilvl="0">
      <w:lvlJc w:val="left"/>
      <w:lvlText w:val="(%1)"/>
      <w:numFmt w:val="lowerLetter"/>
      <w:start w:val="1"/>
    </w:lvl>
  </w:abstractNum>
  <w:abstractNum w:abstractNumId="254">
    <w:nsid w:val="48249DBF"/>
    <w:multiLevelType w:val="hybridMultilevel"/>
    <w:lvl w:ilvl="0">
      <w:lvlJc w:val="left"/>
      <w:lvlText w:val="(%1)"/>
      <w:numFmt w:val="lowerLetter"/>
      <w:start w:val="6"/>
    </w:lvl>
  </w:abstractNum>
  <w:abstractNum w:abstractNumId="255">
    <w:nsid w:val="1F0E5D0D"/>
    <w:multiLevelType w:val="hybridMultilevel"/>
    <w:lvl w:ilvl="0">
      <w:lvlJc w:val="left"/>
      <w:lvlText w:val="(%1)"/>
      <w:numFmt w:val="lowerLetter"/>
      <w:start w:val="1"/>
    </w:lvl>
  </w:abstractNum>
  <w:abstractNum w:abstractNumId="256">
    <w:nsid w:val="26BAAE9"/>
    <w:multiLevelType w:val="hybridMultilevel"/>
    <w:lvl w:ilvl="0">
      <w:lvlJc w:val="left"/>
      <w:lvlText w:val="(%1)"/>
      <w:numFmt w:val="lowerLetter"/>
      <w:start w:val="6"/>
    </w:lvl>
  </w:abstractNum>
  <w:abstractNum w:abstractNumId="257">
    <w:nsid w:val="2C02FE8C"/>
    <w:multiLevelType w:val="hybridMultilevel"/>
    <w:lvl w:ilvl="0">
      <w:lvlJc w:val="left"/>
      <w:lvlText w:val="☐"/>
      <w:numFmt w:val="bullet"/>
      <w:start w:val="1"/>
    </w:lvl>
  </w:abstractNum>
  <w:abstractNum w:abstractNumId="258">
    <w:nsid w:val="129517E"/>
    <w:multiLevelType w:val="hybridMultilevel"/>
    <w:lvl w:ilvl="0">
      <w:lvlJc w:val="left"/>
      <w:lvlText w:val="☐"/>
      <w:numFmt w:val="bullet"/>
      <w:start w:val="1"/>
    </w:lvl>
  </w:abstractNum>
  <w:abstractNum w:abstractNumId="259">
    <w:nsid w:val="763B8C4E"/>
    <w:multiLevelType w:val="hybridMultilevel"/>
    <w:lvl w:ilvl="0">
      <w:lvlJc w:val="left"/>
      <w:lvlText w:val="☐"/>
      <w:numFmt w:val="bullet"/>
      <w:start w:val="1"/>
    </w:lvl>
  </w:abstractNum>
  <w:abstractNum w:abstractNumId="260">
    <w:nsid w:val="4CFB8D32"/>
    <w:multiLevelType w:val="hybridMultilevel"/>
    <w:lvl w:ilvl="0">
      <w:lvlJc w:val="left"/>
      <w:lvlText w:val="☐"/>
      <w:numFmt w:val="bullet"/>
      <w:start w:val="1"/>
    </w:lvl>
  </w:abstractNum>
  <w:abstractNum w:abstractNumId="261">
    <w:nsid w:val="62A5D5BD"/>
    <w:multiLevelType w:val="hybridMultilevel"/>
    <w:lvl w:ilvl="0">
      <w:lvlJc w:val="left"/>
      <w:lvlText w:val="%1."/>
      <w:numFmt w:val="decimal"/>
      <w:start w:val="1"/>
    </w:lvl>
  </w:abstractNum>
  <w:abstractNum w:abstractNumId="262">
    <w:nsid w:val="718FABF9"/>
    <w:multiLevelType w:val="hybridMultilevel"/>
    <w:lvl w:ilvl="0">
      <w:lvlJc w:val="left"/>
      <w:lvlText w:val="%1."/>
      <w:numFmt w:val="decimal"/>
      <w:start w:val="8"/>
    </w:lvl>
  </w:abstractNum>
  <w:abstractNum w:abstractNumId="263">
    <w:nsid w:val="7775797C"/>
    <w:multiLevelType w:val="hybridMultilevel"/>
    <w:lvl w:ilvl="0">
      <w:lvlJc w:val="left"/>
      <w:lvlText w:val="☐"/>
      <w:numFmt w:val="bullet"/>
      <w:start w:val="1"/>
    </w:lvl>
  </w:abstractNum>
  <w:abstractNum w:abstractNumId="264">
    <w:nsid w:val="1626FB8C"/>
    <w:multiLevelType w:val="hybridMultilevel"/>
    <w:lvl w:ilvl="0">
      <w:lvlJc w:val="left"/>
      <w:lvlText w:val="☐"/>
      <w:numFmt w:val="bullet"/>
      <w:start w:val="1"/>
    </w:lvl>
  </w:abstractNum>
  <w:abstractNum w:abstractNumId="265">
    <w:nsid w:val="3957756A"/>
    <w:multiLevelType w:val="hybridMultilevel"/>
    <w:lvl w:ilvl="0">
      <w:lvlJc w:val="left"/>
      <w:lvlText w:val="☐"/>
      <w:numFmt w:val="bullet"/>
      <w:start w:val="1"/>
    </w:lvl>
  </w:abstractNum>
  <w:abstractNum w:abstractNumId="266">
    <w:nsid w:val="3E6DA1C7"/>
    <w:multiLevelType w:val="hybridMultilevel"/>
    <w:lvl w:ilvl="0">
      <w:lvlJc w:val="left"/>
      <w:lvlText w:val="☐"/>
      <w:numFmt w:val="bullet"/>
      <w:start w:val="1"/>
    </w:lvl>
  </w:abstractNum>
  <w:abstractNum w:abstractNumId="267">
    <w:nsid w:val="65CA235B"/>
    <w:multiLevelType w:val="hybridMultilevel"/>
    <w:lvl w:ilvl="0">
      <w:lvlJc w:val="left"/>
      <w:lvlText w:val="☐"/>
      <w:numFmt w:val="bullet"/>
      <w:start w:val="1"/>
    </w:lvl>
  </w:abstractNum>
  <w:abstractNum w:abstractNumId="268">
    <w:nsid w:val="51CB0DA4"/>
    <w:multiLevelType w:val="hybridMultilevel"/>
    <w:lvl w:ilvl="0">
      <w:lvlJc w:val="left"/>
      <w:lvlText w:val="5"/>
      <w:numFmt w:val="bullet"/>
      <w:start w:val="1"/>
    </w:lvl>
  </w:abstractNum>
  <w:abstractNum w:abstractNumId="269">
    <w:nsid w:val="7B9B743C"/>
    <w:multiLevelType w:val="hybridMultilevel"/>
    <w:lvl w:ilvl="0">
      <w:lvlJc w:val="left"/>
      <w:lvlText w:val="☐"/>
      <w:numFmt w:val="bullet"/>
      <w:start w:val="1"/>
    </w:lvl>
    <w:lvl w:ilvl="1">
      <w:lvlJc w:val="left"/>
      <w:lvlText w:val="☐"/>
      <w:numFmt w:val="bullet"/>
      <w:start w:val="1"/>
    </w:lvl>
  </w:abstractNum>
  <w:abstractNum w:abstractNumId="270">
    <w:nsid w:val="13E21002"/>
    <w:multiLevelType w:val="hybridMultilevel"/>
    <w:lvl w:ilvl="0">
      <w:lvlJc w:val="left"/>
      <w:lvlText w:val="6"/>
      <w:numFmt w:val="bullet"/>
      <w:start w:val="1"/>
    </w:lvl>
  </w:abstractNum>
  <w:abstractNum w:abstractNumId="271">
    <w:nsid w:val="257D63F4"/>
    <w:multiLevelType w:val="hybridMultilevel"/>
    <w:lvl w:ilvl="0">
      <w:lvlJc w:val="left"/>
      <w:lvlText w:val="☐"/>
      <w:numFmt w:val="bullet"/>
      <w:start w:val="1"/>
    </w:lvl>
  </w:abstractNum>
  <w:abstractNum w:abstractNumId="272">
    <w:nsid w:val="70EC11B2"/>
    <w:multiLevelType w:val="hybridMultilevel"/>
    <w:lvl w:ilvl="0">
      <w:lvlJc w:val="left"/>
      <w:lvlText w:val="☐"/>
      <w:numFmt w:val="bullet"/>
      <w:start w:val="1"/>
    </w:lvl>
  </w:abstractNum>
  <w:abstractNum w:abstractNumId="273">
    <w:nsid w:val="2EDA00ED"/>
    <w:multiLevelType w:val="hybridMultilevel"/>
    <w:lvl w:ilvl="0">
      <w:lvlJc w:val="left"/>
      <w:lvlText w:val="☐"/>
      <w:numFmt w:val="bullet"/>
      <w:start w:val="1"/>
    </w:lvl>
  </w:abstractNum>
  <w:abstractNum w:abstractNumId="274">
    <w:nsid w:val="73209072"/>
    <w:multiLevelType w:val="hybridMultilevel"/>
    <w:lvl w:ilvl="0">
      <w:lvlJc w:val="left"/>
      <w:lvlText w:val="%1."/>
      <w:numFmt w:val="decimal"/>
      <w:start w:val="1"/>
    </w:lvl>
  </w:abstractNum>
  <w:abstractNum w:abstractNumId="275">
    <w:nsid w:val="5FB29816"/>
    <w:multiLevelType w:val="hybridMultilevel"/>
    <w:lvl w:ilvl="0">
      <w:lvlJc w:val="left"/>
      <w:lvlText w:val="%1."/>
      <w:numFmt w:val="decimal"/>
      <w:start w:val="9"/>
    </w:lvl>
  </w:abstractNum>
  <w:abstractNum w:abstractNumId="276">
    <w:nsid w:val="3CE732EC"/>
    <w:multiLevelType w:val="hybridMultilevel"/>
    <w:lvl w:ilvl="0">
      <w:lvlJc w:val="left"/>
      <w:lvlText w:val="☐"/>
      <w:numFmt w:val="bullet"/>
      <w:start w:val="1"/>
    </w:lvl>
  </w:abstractNum>
  <w:abstractNum w:abstractNumId="277">
    <w:nsid w:val="22F13DF3"/>
    <w:multiLevelType w:val="hybridMultilevel"/>
    <w:lvl w:ilvl="0">
      <w:lvlJc w:val="left"/>
      <w:lvlText w:val="☐"/>
      <w:numFmt w:val="bullet"/>
      <w:start w:val="1"/>
    </w:lvl>
  </w:abstractNum>
  <w:abstractNum w:abstractNumId="278">
    <w:nsid w:val="792B8401"/>
    <w:multiLevelType w:val="hybridMultilevel"/>
    <w:lvl w:ilvl="0">
      <w:lvlJc w:val="left"/>
      <w:lvlText w:val="☐"/>
      <w:numFmt w:val="bullet"/>
      <w:start w:val="1"/>
    </w:lvl>
  </w:abstractNum>
  <w:abstractNum w:abstractNumId="279">
    <w:nsid w:val="FA85F4D"/>
    <w:multiLevelType w:val="hybridMultilevel"/>
    <w:lvl w:ilvl="0">
      <w:lvlJc w:val="left"/>
      <w:lvlText w:val="☐"/>
      <w:numFmt w:val="bullet"/>
      <w:start w:val="1"/>
    </w:lvl>
  </w:abstractNum>
  <w:abstractNum w:abstractNumId="280">
    <w:nsid w:val="6ECE91F0"/>
    <w:multiLevelType w:val="hybridMultilevel"/>
    <w:lvl w:ilvl="0">
      <w:lvlJc w:val="left"/>
      <w:lvlText w:val="☐"/>
      <w:numFmt w:val="bullet"/>
      <w:start w:val="1"/>
    </w:lvl>
  </w:abstractNum>
  <w:abstractNum w:abstractNumId="281">
    <w:nsid w:val="4FC4D600"/>
    <w:multiLevelType w:val="hybridMultilevel"/>
    <w:lvl w:ilvl="0">
      <w:lvlJc w:val="left"/>
      <w:lvlText w:val="9"/>
      <w:numFmt w:val="bullet"/>
      <w:start w:val="1"/>
    </w:lvl>
  </w:abstractNum>
  <w:abstractNum w:abstractNumId="282">
    <w:nsid w:val="5BFD4210"/>
    <w:multiLevelType w:val="hybridMultilevel"/>
    <w:lvl w:ilvl="0">
      <w:lvlJc w:val="left"/>
      <w:lvlText w:val="☐"/>
      <w:numFmt w:val="bullet"/>
      <w:start w:val="1"/>
    </w:lvl>
  </w:abstractNum>
  <w:abstractNum w:abstractNumId="283">
    <w:nsid w:val="76574F8B"/>
    <w:multiLevelType w:val="hybridMultilevel"/>
    <w:lvl w:ilvl="0">
      <w:lvlJc w:val="left"/>
      <w:lvlText w:val="☐"/>
      <w:numFmt w:val="bullet"/>
      <w:start w:val="1"/>
    </w:lvl>
    <w:lvl w:ilvl="1">
      <w:lvlJc w:val="left"/>
      <w:lvlText w:val="☐"/>
      <w:numFmt w:val="bullet"/>
      <w:start w:val="1"/>
    </w:lvl>
  </w:abstractNum>
  <w:abstractNum w:abstractNumId="284">
    <w:nsid w:val="178F7B67"/>
    <w:multiLevelType w:val="hybridMultilevel"/>
    <w:lvl w:ilvl="0">
      <w:lvlJc w:val="left"/>
      <w:lvlText w:val="%1"/>
      <w:numFmt w:val="decimal"/>
      <w:start w:val="10"/>
    </w:lvl>
  </w:abstractNum>
  <w:abstractNum w:abstractNumId="285">
    <w:nsid w:val="2421DFCF"/>
    <w:multiLevelType w:val="hybridMultilevel"/>
    <w:lvl w:ilvl="0">
      <w:lvlJc w:val="left"/>
      <w:lvlText w:val="%1."/>
      <w:numFmt w:val="upperLetter"/>
      <w:start w:val="1"/>
    </w:lvl>
  </w:abstractNum>
  <w:abstractNum w:abstractNumId="286">
    <w:nsid w:val="1565AC99"/>
    <w:multiLevelType w:val="hybridMultilevel"/>
    <w:lvl w:ilvl="0">
      <w:lvlJc w:val="left"/>
      <w:lvlText w:val="%1."/>
      <w:numFmt w:val="upperLetter"/>
      <w:start w:val="2"/>
    </w:lvl>
  </w:abstractNum>
  <w:abstractNum w:abstractNumId="287">
    <w:nsid w:val="19FB2650"/>
    <w:multiLevelType w:val="hybridMultilevel"/>
    <w:lvl w:ilvl="0">
      <w:lvlJc w:val="left"/>
      <w:lvlText w:val="(%1)"/>
      <w:numFmt w:val="lowerLetter"/>
      <w:start w:val="1"/>
    </w:lvl>
  </w:abstractNum>
  <w:abstractNum w:abstractNumId="288">
    <w:nsid w:val="5024DE5B"/>
    <w:multiLevelType w:val="hybridMultilevel"/>
    <w:lvl w:ilvl="0">
      <w:lvlJc w:val="left"/>
      <w:lvlText w:val="(%1)"/>
      <w:numFmt w:val="lowerLetter"/>
      <w:start w:val="1"/>
    </w:lvl>
  </w:abstractNum>
  <w:abstractNum w:abstractNumId="289">
    <w:nsid w:val="168EFE17"/>
    <w:multiLevelType w:val="hybridMultilevel"/>
    <w:lvl w:ilvl="0">
      <w:lvlJc w:val="left"/>
      <w:lvlText w:val="%1"/>
      <w:numFmt w:val="lowerRoman"/>
      <w:start w:val="1"/>
    </w:lvl>
    <w:lvl w:ilvl="1">
      <w:lvlJc w:val="left"/>
      <w:lvlText w:val="(%2)"/>
      <w:numFmt w:val="lowerLetter"/>
      <w:start w:val="5"/>
    </w:lvl>
  </w:abstractNum>
  <w:abstractNum w:abstractNumId="290">
    <w:nsid w:val="1036B29F"/>
    <w:multiLevelType w:val="hybridMultilevel"/>
    <w:lvl w:ilvl="0">
      <w:lvlJc w:val="left"/>
      <w:lvlText w:val="(%1)"/>
      <w:numFmt w:val="lowerRoman"/>
      <w:start w:val="1"/>
    </w:lvl>
    <w:lvl w:ilvl="1">
      <w:lvlJc w:val="left"/>
      <w:lvlText w:val="(%2)"/>
      <w:numFmt w:val="lowerLetter"/>
      <w:start w:val="7"/>
    </w:lvl>
  </w:abstractNum>
  <w:abstractNum w:abstractNumId="291">
    <w:nsid w:val="1D206B8E"/>
    <w:multiLevelType w:val="hybridMultilevel"/>
    <w:lvl w:ilvl="0">
      <w:lvlJc w:val="left"/>
      <w:lvlText w:val="(%1)"/>
      <w:numFmt w:val="lowerLetter"/>
      <w:start w:val="1"/>
    </w:lvl>
  </w:abstractNum>
  <w:abstractNum w:abstractNumId="292">
    <w:nsid w:val="7934D3D4"/>
    <w:multiLevelType w:val="hybridMultilevel"/>
    <w:lvl w:ilvl="0">
      <w:lvlJc w:val="left"/>
      <w:lvlText w:val="%1"/>
      <w:numFmt w:val="lowerLetter"/>
      <w:start w:val="1"/>
    </w:lvl>
    <w:lvl w:ilvl="1">
      <w:lvlJc w:val="left"/>
      <w:lvlText w:val="(%2)"/>
      <w:numFmt w:val="lowerLetter"/>
      <w:start w:val="3"/>
    </w:lvl>
  </w:abstractNum>
  <w:abstractNum w:abstractNumId="293">
    <w:nsid w:val="1C65E98"/>
    <w:multiLevelType w:val="hybridMultilevel"/>
    <w:lvl w:ilvl="0">
      <w:lvlJc w:val="left"/>
      <w:lvlText w:val="(%1)"/>
      <w:numFmt w:val="lowerLetter"/>
      <w:start w:val="2"/>
    </w:lvl>
    <w:lvl w:ilvl="1">
      <w:lvlJc w:val="left"/>
      <w:lvlText w:val="(%2)"/>
      <w:numFmt w:val="lowerLetter"/>
      <w:start w:val="5"/>
    </w:lvl>
  </w:abstractNum>
  <w:abstractNum w:abstractNumId="294">
    <w:nsid w:val="1495E50A"/>
    <w:multiLevelType w:val="hybridMultilevel"/>
    <w:lvl w:ilvl="0">
      <w:lvlJc w:val="left"/>
      <w:lvlText w:val="(%1)"/>
      <w:numFmt w:val="lowerLetter"/>
      <w:start w:val="1"/>
    </w:lvl>
    <w:lvl w:ilvl="1">
      <w:lvlJc w:val="left"/>
      <w:lvlText w:val="(%2)"/>
      <w:numFmt w:val="lowerRoman"/>
      <w:start w:val="1"/>
    </w:lvl>
  </w:abstractNum>
  <w:abstractNum w:abstractNumId="295">
    <w:nsid w:val="F5BCF61"/>
    <w:multiLevelType w:val="hybridMultilevel"/>
    <w:lvl w:ilvl="0">
      <w:lvlJc w:val="left"/>
      <w:lvlText w:val="(%1)"/>
      <w:numFmt w:val="lowerLetter"/>
      <w:start w:val="2"/>
    </w:lvl>
  </w:abstractNum>
  <w:abstractNum w:abstractNumId="296">
    <w:nsid w:val="3B1DD403"/>
    <w:multiLevelType w:val="hybridMultilevel"/>
    <w:lvl w:ilvl="0">
      <w:lvlJc w:val="left"/>
      <w:lvlText w:val="%1"/>
      <w:numFmt w:val="lowerLetter"/>
      <w:start w:val="1"/>
    </w:lvl>
    <w:lvl w:ilvl="1">
      <w:lvlJc w:val="left"/>
      <w:lvlText w:val="(%2)"/>
      <w:numFmt w:val="lowerLetter"/>
      <w:start w:val="1"/>
    </w:lvl>
  </w:abstractNum>
  <w:abstractNum w:abstractNumId="297">
    <w:nsid w:val="530386D1"/>
    <w:multiLevelType w:val="hybridMultilevel"/>
    <w:lvl w:ilvl="0">
      <w:lvlJc w:val="left"/>
      <w:lvlText w:val="(%1)"/>
      <w:numFmt w:val="lowerLetter"/>
      <w:start w:val="9"/>
    </w:lvl>
    <w:lvl w:ilvl="1">
      <w:lvlJc w:val="left"/>
      <w:lvlText w:val="%2"/>
      <w:numFmt w:val="lowerLetter"/>
      <w:start w:val="1"/>
    </w:lvl>
  </w:abstractNum>
  <w:abstractNum w:abstractNumId="298">
    <w:nsid w:val="7525F2BC"/>
    <w:multiLevelType w:val="hybridMultilevel"/>
    <w:lvl w:ilvl="0">
      <w:lvlJc w:val="left"/>
      <w:lvlText w:val="(%1)"/>
      <w:numFmt w:val="lowerLetter"/>
      <w:start w:val="61"/>
    </w:lvl>
    <w:lvl w:ilvl="1">
      <w:lvlJc w:val="left"/>
      <w:lvlText w:val="(%2)"/>
      <w:numFmt w:val="lowerLetter"/>
      <w:start w:val="3"/>
    </w:lvl>
  </w:abstractNum>
  <w:abstractNum w:abstractNumId="299">
    <w:nsid w:val="CE8E1A7"/>
    <w:multiLevelType w:val="hybridMultilevel"/>
    <w:lvl w:ilvl="0">
      <w:lvlJc w:val="left"/>
      <w:lvlText w:val="(%1)"/>
      <w:numFmt w:val="lowerLetter"/>
      <w:start w:val="1"/>
    </w:lvl>
  </w:abstractNum>
  <w:abstractNum w:abstractNumId="300">
    <w:nsid w:val="4E9EFB0D"/>
    <w:multiLevelType w:val="hybridMultilevel"/>
    <w:lvl w:ilvl="0">
      <w:lvlJc w:val="left"/>
      <w:lvlText w:val="(%1)"/>
      <w:numFmt w:val="lowerLetter"/>
      <w:start w:val="2"/>
    </w:lvl>
  </w:abstractNum>
  <w:abstractNum w:abstractNumId="301">
    <w:nsid w:val="90802BE"/>
    <w:multiLevelType w:val="hybridMultilevel"/>
    <w:lvl w:ilvl="0">
      <w:lvlJc w:val="left"/>
      <w:lvlText w:val="(%1)"/>
      <w:numFmt w:val="lowerLetter"/>
      <w:start w:val="1"/>
    </w:lvl>
  </w:abstractNum>
  <w:abstractNum w:abstractNumId="302">
    <w:nsid w:val="3266459B"/>
    <w:multiLevelType w:val="hybridMultilevel"/>
    <w:lvl w:ilvl="0">
      <w:lvlJc w:val="left"/>
      <w:lvlText w:val="(%1)"/>
      <w:numFmt w:val="lowerLetter"/>
      <w:start w:val="3"/>
    </w:lvl>
  </w:abstractNum>
  <w:abstractNum w:abstractNumId="303">
    <w:nsid w:val="3F8B0CBF"/>
    <w:multiLevelType w:val="hybridMultilevel"/>
    <w:lvl w:ilvl="0">
      <w:lvlJc w:val="left"/>
      <w:lvlText w:val="(%1)"/>
      <w:numFmt w:val="decimal"/>
      <w:start w:val="1"/>
    </w:lvl>
  </w:abstractNum>
  <w:abstractNum w:abstractNumId="304">
    <w:nsid w:val="37E203AB"/>
    <w:multiLevelType w:val="hybridMultilevel"/>
    <w:lvl w:ilvl="0">
      <w:lvlJc w:val="left"/>
      <w:lvlText w:val="(%1)"/>
      <w:numFmt w:val="decimal"/>
      <w:start w:val="2"/>
    </w:lvl>
  </w:abstractNum>
  <w:abstractNum w:abstractNumId="305">
    <w:nsid w:val="2586D60E"/>
    <w:multiLevelType w:val="hybridMultilevel"/>
    <w:lvl w:ilvl="0">
      <w:lvlJc w:val="left"/>
      <w:lvlText w:val="%1."/>
      <w:numFmt w:val="decimal"/>
      <w:start w:val="1"/>
    </w:lvl>
  </w:abstractNum>
  <w:abstractNum w:abstractNumId="306">
    <w:nsid w:val="1F3DA4D5"/>
    <w:multiLevelType w:val="hybridMultilevel"/>
    <w:lvl w:ilvl="0">
      <w:lvlJc w:val="left"/>
      <w:lvlText w:val="%1"/>
      <w:numFmt w:val="lowerLetter"/>
      <w:start w:val="1"/>
    </w:lvl>
    <w:lvl w:ilvl="1">
      <w:lvlJc w:val="left"/>
      <w:lvlText w:val="%2."/>
      <w:numFmt w:val="decimal"/>
      <w:start w:val="6"/>
    </w:lvl>
    <w:lvl w:ilvl="2">
      <w:lvlJc w:val="left"/>
      <w:lvlText w:val="(%3)"/>
      <w:numFmt w:val="lowerLetter"/>
      <w:start w:val="1"/>
    </w:lvl>
  </w:abstractNum>
  <w:abstractNum w:abstractNumId="307">
    <w:nsid w:val="74C93698"/>
    <w:multiLevelType w:val="hybridMultilevel"/>
    <w:lvl w:ilvl="0">
      <w:lvlJc w:val="left"/>
      <w:lvlText w:val="(%1)"/>
      <w:numFmt w:val="lowerLetter"/>
      <w:start w:val="35"/>
    </w:lvl>
    <w:lvl w:ilvl="1">
      <w:lvlJc w:val="left"/>
      <w:lvlText w:val="%2."/>
      <w:numFmt w:val="decimal"/>
      <w:start w:val="7"/>
    </w:lvl>
    <w:lvl w:ilvl="2">
      <w:lvlJc w:val="left"/>
      <w:lvlText w:val="%3"/>
      <w:numFmt w:val="lowerLetter"/>
      <w:start w:val="1"/>
    </w:lvl>
  </w:abstractNum>
  <w:abstractNum w:abstractNumId="308">
    <w:nsid w:val="48781401"/>
    <w:multiLevelType w:val="hybridMultilevel"/>
    <w:lvl w:ilvl="0">
      <w:lvlJc w:val="left"/>
      <w:lvlText w:val="%1."/>
      <w:numFmt w:val="decimal"/>
      <w:start w:val="8"/>
    </w:lvl>
    <w:lvl w:ilvl="1">
      <w:lvlJc w:val="left"/>
      <w:lvlText w:val="(%2)"/>
      <w:numFmt w:val="lowerLetter"/>
      <w:start w:val="1"/>
    </w:lvl>
  </w:abstractNum>
  <w:abstractNum w:abstractNumId="309">
    <w:nsid w:val="186928D6"/>
    <w:multiLevelType w:val="hybridMultilevel"/>
    <w:lvl w:ilvl="0">
      <w:lvlJc w:val="left"/>
      <w:lvlText w:val="(%1)"/>
      <w:numFmt w:val="lowerLetter"/>
      <w:start w:val="2"/>
    </w:lvl>
  </w:abstractNum>
  <w:abstractNum w:abstractNumId="310">
    <w:nsid w:val="47195E5"/>
    <w:multiLevelType w:val="hybridMultilevel"/>
    <w:lvl w:ilvl="0">
      <w:lvlJc w:val="left"/>
      <w:lvlText w:val="(%1)"/>
      <w:numFmt w:val="lowerLetter"/>
      <w:start w:val="1"/>
    </w:lvl>
  </w:abstractNum>
  <w:abstractNum w:abstractNumId="311">
    <w:nsid w:val="3746A5F2"/>
    <w:multiLevelType w:val="hybridMultilevel"/>
    <w:lvl w:ilvl="0">
      <w:lvlJc w:val="left"/>
      <w:lvlText w:val="%1."/>
      <w:numFmt w:val="decimal"/>
      <w:start w:val="1"/>
    </w:lvl>
  </w:abstractNum>
  <w:abstractNum w:abstractNumId="312">
    <w:nsid w:val="682DFED6"/>
    <w:multiLevelType w:val="hybridMultilevel"/>
    <w:lvl w:ilvl="0">
      <w:lvlJc w:val="left"/>
      <w:lvlText w:val="%1."/>
      <w:numFmt w:val="decimal"/>
      <w:start w:val="5"/>
    </w:lvl>
  </w:abstractNum>
  <w:abstractNum w:abstractNumId="313">
    <w:nsid w:val="606ED7F6"/>
    <w:multiLevelType w:val="hybridMultilevel"/>
    <w:lvl w:ilvl="0">
      <w:lvlJc w:val="left"/>
      <w:lvlText w:val="%1"/>
      <w:numFmt w:val="lowerLetter"/>
      <w:start w:val="1"/>
    </w:lvl>
    <w:lvl w:ilvl="1">
      <w:lvlJc w:val="left"/>
      <w:lvlText w:val="%2."/>
      <w:numFmt w:val="decimal"/>
      <w:start w:val="6"/>
    </w:lvl>
    <w:lvl w:ilvl="2">
      <w:lvlJc w:val="left"/>
      <w:lvlText w:val="(%3)"/>
      <w:numFmt w:val="lowerLetter"/>
      <w:start w:val="1"/>
    </w:lvl>
  </w:abstractNum>
  <w:abstractNum w:abstractNumId="314">
    <w:nsid w:val="2D9DF57D"/>
    <w:multiLevelType w:val="hybridMultilevel"/>
    <w:lvl w:ilvl="0">
      <w:lvlJc w:val="left"/>
      <w:lvlText w:val="(%1)"/>
      <w:numFmt w:val="lowerLetter"/>
      <w:start w:val="35"/>
    </w:lvl>
    <w:lvl w:ilvl="1">
      <w:lvlJc w:val="left"/>
      <w:lvlText w:val="%2."/>
      <w:numFmt w:val="decimal"/>
      <w:start w:val="7"/>
    </w:lvl>
    <w:lvl w:ilvl="2">
      <w:lvlJc w:val="left"/>
      <w:lvlText w:val="%3"/>
      <w:numFmt w:val="lowerLetter"/>
      <w:start w:val="1"/>
    </w:lvl>
  </w:abstractNum>
  <w:abstractNum w:abstractNumId="315">
    <w:nsid w:val="7FBD7A3E"/>
    <w:multiLevelType w:val="hybridMultilevel"/>
    <w:lvl w:ilvl="0">
      <w:lvlJc w:val="left"/>
      <w:lvlText w:val="%1."/>
      <w:numFmt w:val="decimal"/>
      <w:start w:val="8"/>
    </w:lvl>
    <w:lvl w:ilvl="1">
      <w:lvlJc w:val="left"/>
      <w:lvlText w:val="(%2)"/>
      <w:numFmt w:val="lowerLetter"/>
      <w:start w:val="1"/>
    </w:lvl>
  </w:abstractNum>
  <w:abstractNum w:abstractNumId="316">
    <w:nsid w:val="490B7C5"/>
    <w:multiLevelType w:val="hybridMultilevel"/>
    <w:lvl w:ilvl="0">
      <w:lvlJc w:val="left"/>
      <w:lvlText w:val="%1."/>
      <w:numFmt w:val="decimal"/>
      <w:start w:val="12"/>
    </w:lvl>
  </w:abstractNum>
  <w:abstractNum w:abstractNumId="317">
    <w:nsid w:val="4303A216"/>
    <w:multiLevelType w:val="hybridMultilevel"/>
    <w:lvl w:ilvl="0">
      <w:lvlJc w:val="left"/>
      <w:lvlText w:val="(%1)"/>
      <w:numFmt w:val="lowerLetter"/>
      <w:start w:val="2"/>
    </w:lvl>
  </w:abstractNum>
  <w:abstractNum w:abstractNumId="318">
    <w:nsid w:val="19B8A08E"/>
    <w:multiLevelType w:val="hybridMultilevel"/>
    <w:lvl w:ilvl="0">
      <w:lvlJc w:val="left"/>
      <w:lvlText w:val="(%1)"/>
      <w:numFmt w:val="lowerLetter"/>
      <w:start w:val="1"/>
    </w:lvl>
  </w:abstractNum>
  <w:abstractNum w:abstractNumId="319">
    <w:nsid w:val="54B59621"/>
    <w:multiLevelType w:val="hybridMultilevel"/>
    <w:lvl w:ilvl="0">
      <w:lvlJc w:val="left"/>
      <w:lvlText w:val="%1."/>
      <w:numFmt w:val="decimal"/>
      <w:start w:val="1"/>
    </w:lvl>
  </w:abstractNum>
  <w:abstractNum w:abstractNumId="320">
    <w:nsid w:val="5992A02E"/>
    <w:multiLevelType w:val="hybridMultilevel"/>
    <w:lvl w:ilvl="0">
      <w:lvlJc w:val="left"/>
      <w:lvlText w:val="%1."/>
      <w:numFmt w:val="decimal"/>
      <w:start w:val="5"/>
    </w:lvl>
    <w:lvl w:ilvl="1">
      <w:lvlJc w:val="left"/>
      <w:lvlText w:val="(%2)"/>
      <w:numFmt w:val="lowerLetter"/>
      <w:start w:val="1"/>
    </w:lvl>
  </w:abstractNum>
  <w:abstractNum w:abstractNumId="321">
    <w:nsid w:val="29EF532D"/>
    <w:multiLevelType w:val="hybridMultilevel"/>
    <w:lvl w:ilvl="0">
      <w:lvlJc w:val="left"/>
      <w:lvlText w:val="%1."/>
      <w:numFmt w:val="decimal"/>
      <w:start w:val="1"/>
    </w:lvl>
  </w:abstractNum>
  <w:abstractNum w:abstractNumId="322">
    <w:nsid w:val="71D601AF"/>
    <w:multiLevelType w:val="hybridMultilevel"/>
    <w:lvl w:ilvl="0">
      <w:lvlJc w:val="left"/>
      <w:lvlText w:val="%1."/>
      <w:numFmt w:val="decimal"/>
      <w:start w:val="5"/>
    </w:lvl>
  </w:abstractNum>
  <w:abstractNum w:abstractNumId="323">
    <w:nsid w:val="52C77402"/>
    <w:multiLevelType w:val="hybridMultilevel"/>
    <w:lvl w:ilvl="0">
      <w:lvlJc w:val="left"/>
      <w:lvlText w:val="%1"/>
      <w:numFmt w:val="lowerLetter"/>
      <w:start w:val="1"/>
    </w:lvl>
    <w:lvl w:ilvl="1">
      <w:lvlJc w:val="left"/>
      <w:lvlText w:val="%2."/>
      <w:numFmt w:val="decimal"/>
      <w:start w:val="6"/>
    </w:lvl>
    <w:lvl w:ilvl="2">
      <w:lvlJc w:val="left"/>
      <w:lvlText w:val="(%3)"/>
      <w:numFmt w:val="lowerLetter"/>
      <w:start w:val="1"/>
    </w:lvl>
  </w:abstractNum>
  <w:abstractNum w:abstractNumId="324">
    <w:nsid w:val="2BB5B1C6"/>
    <w:multiLevelType w:val="hybridMultilevel"/>
    <w:lvl w:ilvl="0">
      <w:lvlJc w:val="left"/>
      <w:lvlText w:val="(%1)"/>
      <w:numFmt w:val="lowerLetter"/>
      <w:start w:val="35"/>
    </w:lvl>
    <w:lvl w:ilvl="1">
      <w:lvlJc w:val="left"/>
      <w:lvlText w:val="%2."/>
      <w:numFmt w:val="decimal"/>
      <w:start w:val="7"/>
    </w:lvl>
    <w:lvl w:ilvl="2">
      <w:lvlJc w:val="left"/>
      <w:lvlText w:val="%3"/>
      <w:numFmt w:val="lowerLetter"/>
      <w:start w:val="1"/>
    </w:lvl>
  </w:abstractNum>
  <w:abstractNum w:abstractNumId="325">
    <w:nsid w:val="66BE6B9"/>
    <w:multiLevelType w:val="hybridMultilevel"/>
    <w:lvl w:ilvl="0">
      <w:lvlJc w:val="left"/>
      <w:lvlText w:val="(%1)"/>
      <w:numFmt w:val="lowerLetter"/>
      <w:start w:val="2"/>
    </w:lvl>
    <w:lvl w:ilvl="1">
      <w:lvlJc w:val="left"/>
      <w:lvlText w:val="%2."/>
      <w:numFmt w:val="decimal"/>
      <w:start w:val="8"/>
    </w:lvl>
    <w:lvl w:ilvl="2">
      <w:lvlJc w:val="left"/>
      <w:lvlText w:val="(%3)"/>
      <w:numFmt w:val="lowerLetter"/>
      <w:start w:val="1"/>
    </w:lvl>
  </w:abstractNum>
  <w:abstractNum w:abstractNumId="326">
    <w:nsid w:val="62234363"/>
    <w:multiLevelType w:val="hybridMultilevel"/>
    <w:lvl w:ilvl="0">
      <w:lvlJc w:val="left"/>
      <w:lvlText w:val="%1."/>
      <w:numFmt w:val="decimal"/>
      <w:start w:val="12"/>
    </w:lvl>
  </w:abstractNum>
  <w:abstractNum w:abstractNumId="327">
    <w:nsid w:val="66D385C9"/>
    <w:multiLevelType w:val="hybridMultilevel"/>
    <w:lvl w:ilvl="0">
      <w:lvlJc w:val="left"/>
      <w:lvlText w:val="(%1)"/>
      <w:numFmt w:val="lowerLetter"/>
      <w:start w:val="2"/>
    </w:lvl>
  </w:abstractNum>
  <w:abstractNum w:abstractNumId="328">
    <w:nsid w:val="596F6D8A"/>
    <w:multiLevelType w:val="hybridMultilevel"/>
    <w:lvl w:ilvl="0">
      <w:lvlJc w:val="left"/>
      <w:lvlText w:val="(%1)"/>
      <w:numFmt w:val="lowerLetter"/>
      <w:start w:val="1"/>
    </w:lvl>
  </w:abstractNum>
  <w:abstractNum w:abstractNumId="329">
    <w:nsid w:val="5749361F"/>
    <w:multiLevelType w:val="hybridMultilevel"/>
    <w:lvl w:ilvl="0">
      <w:lvlJc w:val="left"/>
      <w:lvlText w:val="%1."/>
      <w:numFmt w:val="decimal"/>
      <w:start w:val="1"/>
    </w:lvl>
  </w:abstractNum>
  <w:abstractNum w:abstractNumId="330">
    <w:nsid w:val="73BC6770"/>
    <w:multiLevelType w:val="hybridMultilevel"/>
    <w:lvl w:ilvl="0">
      <w:lvlJc w:val="left"/>
      <w:lvlText w:val="%1."/>
      <w:numFmt w:val="decimal"/>
      <w:start w:val="7"/>
    </w:lvl>
  </w:abstractNum>
  <w:abstractNum w:abstractNumId="331">
    <w:nsid w:val="280E6897"/>
    <w:multiLevelType w:val="hybridMultilevel"/>
    <w:lvl w:ilvl="0">
      <w:lvlJc w:val="left"/>
      <w:lvlText w:val="%1."/>
      <w:numFmt w:val="decimal"/>
      <w:start w:val="9"/>
    </w:lvl>
  </w:abstractNum>
  <w:abstractNum w:abstractNumId="332">
    <w:nsid w:val="605138DE"/>
    <w:multiLevelType w:val="hybridMultilevel"/>
    <w:lvl w:ilvl="0">
      <w:lvlJc w:val="left"/>
      <w:lvlText w:val="%1"/>
      <w:numFmt w:val="lowerRoman"/>
      <w:start w:val="1"/>
    </w:lvl>
    <w:lvl w:ilvl="1">
      <w:lvlJc w:val="left"/>
      <w:lvlText w:val="(%2)"/>
      <w:numFmt w:val="lowerLetter"/>
      <w:start w:val="1"/>
    </w:lvl>
  </w:abstractNum>
  <w:abstractNum w:abstractNumId="333">
    <w:nsid w:val="2622AD0C"/>
    <w:multiLevelType w:val="hybridMultilevel"/>
    <w:lvl w:ilvl="0">
      <w:lvlJc w:val="left"/>
      <w:lvlText w:val="(%1)"/>
      <w:numFmt w:val="lowerRoman"/>
      <w:start w:val="4"/>
    </w:lvl>
    <w:lvl w:ilvl="1">
      <w:lvlJc w:val="left"/>
      <w:lvlText w:val="%2"/>
      <w:numFmt w:val="lowerLetter"/>
      <w:start w:val="1"/>
    </w:lvl>
  </w:abstractNum>
  <w:abstractNum w:abstractNumId="334">
    <w:nsid w:val="67997556"/>
    <w:multiLevelType w:val="hybridMultilevel"/>
    <w:lvl w:ilvl="0">
      <w:lvlJc w:val="left"/>
      <w:lvlText w:val="(%1)"/>
      <w:numFmt w:val="lowerLetter"/>
      <w:start w:val="2"/>
    </w:lvl>
  </w:abstractNum>
  <w:abstractNum w:abstractNumId="335">
    <w:nsid w:val="18333C89"/>
    <w:multiLevelType w:val="hybridMultilevel"/>
    <w:lvl w:ilvl="0">
      <w:lvlJc w:val="left"/>
      <w:lvlText w:val="(%1)"/>
      <w:numFmt w:val="lowerLetter"/>
      <w:start w:val="5"/>
    </w:lvl>
  </w:abstractNum>
  <w:abstractNum w:abstractNumId="336">
    <w:nsid w:val="4BA9831A"/>
    <w:multiLevelType w:val="hybridMultilevel"/>
    <w:lvl w:ilvl="0">
      <w:lvlJc w:val="left"/>
      <w:lvlText w:val="(%1)"/>
      <w:numFmt w:val="lowerLetter"/>
      <w:start w:val="6"/>
    </w:lvl>
  </w:abstractNum>
  <w:abstractNum w:abstractNumId="337">
    <w:nsid w:val="6D71A2B"/>
    <w:multiLevelType w:val="hybridMultilevel"/>
    <w:lvl w:ilvl="0">
      <w:lvlJc w:val="left"/>
      <w:lvlText w:val="%1"/>
      <w:numFmt w:val="lowerLetter"/>
      <w:start w:val="1"/>
    </w:lvl>
    <w:lvl w:ilvl="1">
      <w:lvlJc w:val="left"/>
      <w:lvlText w:val="(%2)"/>
      <w:numFmt w:val="lowerLetter"/>
      <w:start w:val="1"/>
    </w:lvl>
  </w:abstractNum>
  <w:abstractNum w:abstractNumId="338">
    <w:nsid w:val="CFC7321"/>
    <w:multiLevelType w:val="hybridMultilevel"/>
    <w:lvl w:ilvl="0">
      <w:lvlJc w:val="left"/>
      <w:lvlText w:val="(%1)"/>
      <w:numFmt w:val="lowerLetter"/>
      <w:start w:val="4"/>
    </w:lvl>
    <w:lvl w:ilvl="1">
      <w:lvlJc w:val="left"/>
      <w:lvlText w:val="%2"/>
      <w:numFmt w:val="lowerLetter"/>
      <w:start w:val="1"/>
    </w:lvl>
  </w:abstractNum>
  <w:abstractNum w:abstractNumId="339">
    <w:nsid w:val="1421971B"/>
    <w:multiLevelType w:val="hybridMultilevel"/>
    <w:lvl w:ilvl="0">
      <w:lvlJc w:val="left"/>
      <w:lvlText w:val="(%1)"/>
      <w:numFmt w:val="lowerLetter"/>
      <w:start w:val="3"/>
    </w:lvl>
  </w:abstractNum>
  <w:abstractNum w:abstractNumId="340">
    <w:nsid w:val="1F404301"/>
    <w:multiLevelType w:val="hybridMultilevel"/>
    <w:lvl w:ilvl="0">
      <w:lvlJc w:val="left"/>
      <w:lvlText w:val="(%1)"/>
      <w:numFmt w:val="lowerLetter"/>
      <w:start w:val="1"/>
    </w:lvl>
  </w:abstractNum>
  <w:abstractNum w:abstractNumId="341">
    <w:nsid w:val="116E0907"/>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1"/>
    </w:lvl>
  </w:abstractNum>
  <w:abstractNum w:abstractNumId="342">
    <w:nsid w:val="4B683D0D"/>
    <w:multiLevelType w:val="hybridMultilevel"/>
    <w:lvl w:ilvl="0">
      <w:lvlJc w:val="left"/>
      <w:lvlText w:val="%1"/>
      <w:numFmt w:val="lowerLetter"/>
      <w:start w:val="1"/>
    </w:lvl>
    <w:lvl w:ilvl="1">
      <w:lvlJc w:val="left"/>
      <w:lvlText w:val="%2"/>
      <w:numFmt w:val="lowerLetter"/>
      <w:start w:val="1"/>
    </w:lvl>
    <w:lvl w:ilvl="2">
      <w:lvlJc w:val="left"/>
      <w:lvlText w:val="(%3)"/>
      <w:numFmt w:val="decimal"/>
      <w:start w:val="4"/>
    </w:lvl>
  </w:abstractNum>
  <w:abstractNum w:abstractNumId="343">
    <w:nsid w:val="76E41D8"/>
    <w:multiLevelType w:val="hybridMultilevel"/>
    <w:lvl w:ilvl="0">
      <w:lvlJc w:val="left"/>
      <w:lvlText w:val="%1"/>
      <w:numFmt w:val="lowerLetter"/>
      <w:start w:val="1"/>
    </w:lvl>
    <w:lvl w:ilvl="1">
      <w:lvlJc w:val="left"/>
      <w:lvlText w:val="(%2)"/>
      <w:numFmt w:val="lowerLetter"/>
      <w:start w:val="35"/>
    </w:lvl>
    <w:lvl w:ilvl="2">
      <w:lvlJc w:val="left"/>
      <w:lvlText w:val="%3"/>
      <w:numFmt w:val="decimal"/>
      <w:start w:val="1"/>
    </w:lvl>
  </w:abstractNum>
  <w:abstractNum w:abstractNumId="344">
    <w:nsid w:val="71DCE0FD"/>
    <w:multiLevelType w:val="hybridMultilevel"/>
    <w:lvl w:ilvl="0">
      <w:lvlJc w:val="left"/>
      <w:lvlText w:val="(%1)"/>
      <w:numFmt w:val="lowerLetter"/>
      <w:start w:val="2"/>
    </w:lvl>
    <w:lvl w:ilvl="1">
      <w:lvlJc w:val="left"/>
      <w:lvlText w:val="%2"/>
      <w:numFmt w:val="lowerLetter"/>
      <w:start w:val="1"/>
    </w:lvl>
    <w:lvl w:ilvl="2">
      <w:lvlJc w:val="left"/>
      <w:lvlText w:val="%3"/>
      <w:numFmt w:val="decimal"/>
      <w:start w:val="1"/>
    </w:lvl>
  </w:abstractNum>
  <w:abstractNum w:abstractNumId="345">
    <w:nsid w:val="7906328B"/>
    <w:multiLevelType w:val="hybridMultilevel"/>
    <w:lvl w:ilvl="0">
      <w:lvlJc w:val="left"/>
      <w:lvlText w:val="(%1)"/>
      <w:numFmt w:val="lowerLetter"/>
      <w:start w:val="1"/>
    </w:lvl>
  </w:abstractNum>
  <w:abstractNum w:abstractNumId="346">
    <w:nsid w:val="72BBC16"/>
    <w:multiLevelType w:val="hybridMultilevel"/>
    <w:lvl w:ilvl="0">
      <w:lvlJc w:val="left"/>
      <w:lvlText w:val="(%1)"/>
      <w:numFmt w:val="lowerLetter"/>
      <w:start w:val="1"/>
    </w:lvl>
  </w:abstractNum>
  <w:abstractNum w:abstractNumId="347">
    <w:nsid w:val="766D98C2"/>
    <w:multiLevelType w:val="hybridMultilevel"/>
    <w:lvl w:ilvl="0">
      <w:lvlJc w:val="left"/>
      <w:lvlText w:val="(%1)"/>
      <w:numFmt w:val="lowerLetter"/>
      <w:start w:val="2"/>
    </w:lvl>
  </w:abstractNum>
  <w:abstractNum w:abstractNumId="348">
    <w:nsid w:val="3C09D4A1"/>
    <w:multiLevelType w:val="hybridMultilevel"/>
    <w:lvl w:ilvl="0">
      <w:lvlJc w:val="left"/>
      <w:lvlText w:val="1"/>
      <w:numFmt w:val="bullet"/>
      <w:start w:val="1"/>
    </w:lvl>
  </w:abstractNum>
  <w:abstractNum w:abstractNumId="349">
    <w:nsid w:val="20E45CA4"/>
    <w:multiLevelType w:val="hybridMultilevel"/>
    <w:lvl w:ilvl="0">
      <w:lvlJc w:val="left"/>
      <w:lvlText w:val="2"/>
      <w:numFmt w:val="bullet"/>
      <w:start w:val="1"/>
    </w:lvl>
  </w:abstractNum>
  <w:abstractNum w:abstractNumId="350">
    <w:nsid w:val="4B232EE3"/>
    <w:multiLevelType w:val="hybridMultilevel"/>
    <w:lvl w:ilvl="0">
      <w:lvlJc w:val="left"/>
      <w:lvlText w:val="3"/>
      <w:numFmt w:val="bullet"/>
      <w:start w:val="1"/>
    </w:lvl>
  </w:abstractNum>
  <w:abstractNum w:abstractNumId="351">
    <w:nsid w:val="159C74CF"/>
    <w:multiLevelType w:val="hybridMultilevel"/>
    <w:lvl w:ilvl="0">
      <w:lvlJc w:val="left"/>
      <w:lvlText w:val="4"/>
      <w:numFmt w:val="bullet"/>
      <w:start w:val="1"/>
    </w:lvl>
    <w:lvl w:ilvl="1">
      <w:lvlJc w:val="left"/>
      <w:lvlText w:val="%2."/>
      <w:numFmt w:val="lowerLetter"/>
      <w:start w:val="1"/>
    </w:lvl>
  </w:abstractNum>
  <w:abstractNum w:abstractNumId="352">
    <w:nsid w:val="4AD3AFD2"/>
    <w:multiLevelType w:val="hybridMultilevel"/>
    <w:lvl w:ilvl="0">
      <w:lvlJc w:val="left"/>
      <w:lvlText w:val="5"/>
      <w:numFmt w:val="bullet"/>
      <w:start w:val="1"/>
    </w:lvl>
  </w:abstractNum>
  <w:abstractNum w:abstractNumId="353">
    <w:nsid w:val="3CF93092"/>
    <w:multiLevelType w:val="hybridMultilevel"/>
    <w:lvl w:ilvl="0">
      <w:lvlJc w:val="left"/>
      <w:lvlText w:val="*"/>
      <w:numFmt w:val="bullet"/>
      <w:start w:val="1"/>
    </w:lvl>
  </w:abstractNum>
  <w:abstractNum w:abstractNumId="354">
    <w:nsid w:val="6863E8D2"/>
    <w:multiLevelType w:val="hybridMultilevel"/>
    <w:lvl w:ilvl="0">
      <w:lvlJc w:val="left"/>
      <w:lvlText w:val="6"/>
      <w:numFmt w:val="bullet"/>
      <w:start w:val="1"/>
    </w:lvl>
  </w:abstractNum>
  <w:abstractNum w:abstractNumId="355">
    <w:nsid w:val="76896198"/>
    <w:multiLevelType w:val="hybridMultilevel"/>
    <w:lvl w:ilvl="0">
      <w:lvlJc w:val="left"/>
      <w:lvlText w:val="7"/>
      <w:numFmt w:val="bullet"/>
      <w:start w:val="1"/>
    </w:lvl>
  </w:abstractNum>
  <w:abstractNum w:abstractNumId="356">
    <w:nsid w:val="4365174B"/>
    <w:multiLevelType w:val="hybridMultilevel"/>
    <w:lvl w:ilvl="0">
      <w:lvlJc w:val="left"/>
      <w:lvlText w:val="8"/>
      <w:numFmt w:val="bullet"/>
      <w:start w:val="1"/>
    </w:lvl>
  </w:abstractNum>
  <w:abstractNum w:abstractNumId="357">
    <w:nsid w:val="4A872C35"/>
    <w:multiLevelType w:val="hybridMultilevel"/>
    <w:lvl w:ilvl="0">
      <w:lvlJc w:val="left"/>
      <w:lvlText w:val="9"/>
      <w:numFmt w:val="bullet"/>
      <w:start w:val="1"/>
    </w:lvl>
  </w:abstractNum>
  <w:abstractNum w:abstractNumId="358">
    <w:nsid w:val="5D5CE761"/>
    <w:multiLevelType w:val="hybridMultilevel"/>
    <w:lvl w:ilvl="0">
      <w:lvlJc w:val="left"/>
      <w:lvlText w:val="%1"/>
      <w:numFmt w:val="decimal"/>
      <w:start w:val="10"/>
    </w:lvl>
    <w:lvl w:ilvl="1">
      <w:lvlJc w:val="left"/>
      <w:lvlText w:val="%2."/>
      <w:numFmt w:val="lowerLetter"/>
      <w:start w:val="1"/>
    </w:lvl>
  </w:abstractNum>
  <w:abstractNum w:abstractNumId="359">
    <w:nsid w:val="1CD484D5"/>
    <w:multiLevelType w:val="hybridMultilevel"/>
    <w:lvl w:ilvl="0">
      <w:lvlJc w:val="left"/>
      <w:lvlText w:val="%1."/>
      <w:numFmt w:val="lowerLetter"/>
      <w:start w:val="4"/>
    </w:lvl>
  </w:abstractNum>
  <w:abstractNum w:abstractNumId="360">
    <w:nsid w:val="21D06255"/>
    <w:multiLevelType w:val="hybridMultilevel"/>
    <w:lvl w:ilvl="0">
      <w:lvlJc w:val="left"/>
      <w:lvlText w:val="%1"/>
      <w:numFmt w:val="decimal"/>
      <w:start w:val="11"/>
    </w:lvl>
  </w:abstractNum>
  <w:abstractNum w:abstractNumId="361">
    <w:nsid w:val="51194ED1"/>
    <w:multiLevelType w:val="hybridMultilevel"/>
    <w:lvl w:ilvl="0">
      <w:lvlJc w:val="left"/>
      <w:lvlText w:val="%1"/>
      <w:numFmt w:val="decimal"/>
      <w:start w:val="13"/>
    </w:lvl>
    <w:lvl w:ilvl="1">
      <w:lvlJc w:val="left"/>
      <w:lvlText w:val="%2."/>
      <w:numFmt w:val="lowerLetter"/>
      <w:start w:val="1"/>
    </w:lvl>
    <w:lvl w:ilvl="2">
      <w:lvlJc w:val="left"/>
      <w:lvlText w:val="(%3)"/>
      <w:numFmt w:val="lowerRoman"/>
      <w:start w:val="1"/>
    </w:lvl>
  </w:abstractNum>
  <w:abstractNum w:abstractNumId="362">
    <w:nsid w:val="44E2ED6C"/>
    <w:multiLevelType w:val="hybridMultilevel"/>
    <w:lvl w:ilvl="0">
      <w:lvlJc w:val="left"/>
      <w:lvlText w:val="%1."/>
      <w:numFmt w:val="lowerLetter"/>
      <w:start w:val="3"/>
    </w:lvl>
  </w:abstractNum>
  <w:abstractNum w:abstractNumId="363">
    <w:nsid w:val="2219B33"/>
    <w:multiLevelType w:val="hybridMultilevel"/>
    <w:lvl w:ilvl="0">
      <w:lvlJc w:val="left"/>
      <w:lvlText w:val="%1"/>
      <w:numFmt w:val="decimal"/>
      <w:start w:val="16"/>
    </w:lvl>
  </w:abstractNum>
  <w:abstractNum w:abstractNumId="364">
    <w:nsid w:val="773BFBDD"/>
    <w:multiLevelType w:val="hybridMultilevel"/>
    <w:lvl w:ilvl="0">
      <w:lvlJc w:val="left"/>
      <w:lvlText w:val="%1"/>
      <w:numFmt w:val="decimal"/>
      <w:start w:val="20"/>
    </w:lvl>
  </w:abstractNum>
  <w:abstractNum w:abstractNumId="365">
    <w:nsid w:val="2C7C62C2"/>
    <w:multiLevelType w:val="hybridMultilevel"/>
    <w:lvl w:ilvl="0">
      <w:lvlJc w:val="left"/>
      <w:lvlText w:val="%1"/>
      <w:numFmt w:val="decimal"/>
      <w:start w:val="29"/>
    </w:lvl>
    <w:lvl w:ilvl="1">
      <w:lvlJc w:val="left"/>
      <w:lvlText w:val="(%2)"/>
      <w:numFmt w:val="lowerRoman"/>
      <w:start w:val="2"/>
    </w:lvl>
    <w:lvl w:ilvl="2">
      <w:lvlJc w:val="left"/>
      <w:lvlText w:val="%3."/>
      <w:numFmt w:val="lowerLetter"/>
      <w:start w:val="1"/>
    </w:lvl>
  </w:abstractNum>
  <w:abstractNum w:abstractNumId="366">
    <w:nsid w:val="1A54D7BC"/>
    <w:multiLevelType w:val="hybridMultilevel"/>
    <w:lvl w:ilvl="0">
      <w:lvlJc w:val="left"/>
      <w:lvlText w:val="%1"/>
      <w:numFmt w:val="decimal"/>
      <w:start w:val="1"/>
    </w:lvl>
    <w:lvl w:ilvl="1">
      <w:lvlJc w:val="left"/>
      <w:lvlText w:val="%2"/>
      <w:numFmt w:val="lowerRoman"/>
      <w:start w:val="1"/>
    </w:lvl>
    <w:lvl w:ilvl="2">
      <w:lvlJc w:val="left"/>
      <w:lvlText w:val="%3."/>
      <w:numFmt w:val="lowerLetter"/>
      <w:start w:val="6"/>
    </w:lvl>
  </w:abstractNum>
  <w:abstractNum w:abstractNumId="367">
    <w:nsid w:val="42E57EF7"/>
    <w:multiLevelType w:val="hybridMultilevel"/>
    <w:lvl w:ilvl="0">
      <w:lvlJc w:val="left"/>
      <w:lvlText w:val="%1"/>
      <w:numFmt w:val="decimal"/>
      <w:start w:val="30"/>
    </w:lvl>
  </w:abstractNum>
  <w:abstractNum w:abstractNumId="368">
    <w:nsid w:val="33537CED"/>
    <w:multiLevelType w:val="hybridMultilevel"/>
    <w:lvl w:ilvl="0">
      <w:lvlJc w:val="left"/>
      <w:lvlText w:val="%1."/>
      <w:numFmt w:val="decimal"/>
      <w:start w:val="1"/>
    </w:lvl>
  </w:abstractNum>
  <w:abstractNum w:abstractNumId="369">
    <w:nsid w:val="27514ADE"/>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jpe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jpeg"/><Relationship Id="rId168" Type="http://schemas.openxmlformats.org/officeDocument/2006/relationships/image" Target="media/image161.png"/><Relationship Id="rId169" Type="http://schemas.openxmlformats.org/officeDocument/2006/relationships/image" Target="media/image162.jpe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jpeg"/><Relationship Id="rId175" Type="http://schemas.openxmlformats.org/officeDocument/2006/relationships/image" Target="media/image168.png"/><Relationship Id="rId176" Type="http://schemas.openxmlformats.org/officeDocument/2006/relationships/image" Target="media/image169.jpeg"/><Relationship Id="rId177" Type="http://schemas.openxmlformats.org/officeDocument/2006/relationships/image" Target="media/image170.png"/><Relationship Id="rId178" Type="http://schemas.openxmlformats.org/officeDocument/2006/relationships/image" Target="media/image171.jpeg"/><Relationship Id="rId179" Type="http://schemas.openxmlformats.org/officeDocument/2006/relationships/image" Target="media/image172.jpe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jpeg"/><Relationship Id="rId183" Type="http://schemas.openxmlformats.org/officeDocument/2006/relationships/image" Target="media/image176.jpeg"/><Relationship Id="rId184" Type="http://schemas.openxmlformats.org/officeDocument/2006/relationships/image" Target="media/image177.png"/><Relationship Id="rId185" Type="http://schemas.openxmlformats.org/officeDocument/2006/relationships/image" Target="media/image178.jpeg"/><Relationship Id="rId186" Type="http://schemas.openxmlformats.org/officeDocument/2006/relationships/image" Target="media/image179.png"/><Relationship Id="rId187" Type="http://schemas.openxmlformats.org/officeDocument/2006/relationships/image" Target="media/image180.jpeg"/><Relationship Id="rId188" Type="http://schemas.openxmlformats.org/officeDocument/2006/relationships/image" Target="media/image181.jpe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jpeg"/><Relationship Id="rId192" Type="http://schemas.openxmlformats.org/officeDocument/2006/relationships/image" Target="media/image185.jpeg"/><Relationship Id="rId193" Type="http://schemas.openxmlformats.org/officeDocument/2006/relationships/image" Target="media/image186.png"/><Relationship Id="rId194" Type="http://schemas.openxmlformats.org/officeDocument/2006/relationships/image" Target="media/image187.jpeg"/><Relationship Id="rId195" Type="http://schemas.openxmlformats.org/officeDocument/2006/relationships/image" Target="media/image188.png"/><Relationship Id="rId196" Type="http://schemas.openxmlformats.org/officeDocument/2006/relationships/image" Target="media/image189.jpeg"/><Relationship Id="rId197" Type="http://schemas.openxmlformats.org/officeDocument/2006/relationships/image" Target="media/image190.png"/><Relationship Id="rId198" Type="http://schemas.openxmlformats.org/officeDocument/2006/relationships/image" Target="media/image191.jpeg"/><Relationship Id="rId199" Type="http://schemas.openxmlformats.org/officeDocument/2006/relationships/image" Target="media/image192.png"/><Relationship Id="rId200" Type="http://schemas.openxmlformats.org/officeDocument/2006/relationships/image" Target="media/image193.jpeg"/><Relationship Id="rId201" Type="http://schemas.openxmlformats.org/officeDocument/2006/relationships/image" Target="media/image194.png"/><Relationship Id="rId202" Type="http://schemas.openxmlformats.org/officeDocument/2006/relationships/image" Target="media/image195.jpeg"/><Relationship Id="rId203" Type="http://schemas.openxmlformats.org/officeDocument/2006/relationships/image" Target="media/image196.png"/><Relationship Id="rId204" Type="http://schemas.openxmlformats.org/officeDocument/2006/relationships/image" Target="media/image197.jpeg"/><Relationship Id="rId205" Type="http://schemas.openxmlformats.org/officeDocument/2006/relationships/image" Target="media/image198.png"/><Relationship Id="rId206" Type="http://schemas.openxmlformats.org/officeDocument/2006/relationships/image" Target="media/image199.jpeg"/><Relationship Id="rId207" Type="http://schemas.openxmlformats.org/officeDocument/2006/relationships/image" Target="media/image200.png"/><Relationship Id="rId208" Type="http://schemas.openxmlformats.org/officeDocument/2006/relationships/image" Target="media/image201.jpeg"/><Relationship Id="rId209" Type="http://schemas.openxmlformats.org/officeDocument/2006/relationships/image" Target="media/image202.jpeg"/><Relationship Id="rId210" Type="http://schemas.openxmlformats.org/officeDocument/2006/relationships/image" Target="media/image203.png"/><Relationship Id="rId211" Type="http://schemas.openxmlformats.org/officeDocument/2006/relationships/image" Target="media/image204.jpe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jpe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jpe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2020-09-25T16:28:55Z</dcterms:created>
  <dcterms:modified xsi:type="dcterms:W3CDTF">2020-09-25T16:28:55Z</dcterms:modified>
</cp:coreProperties>
</file>