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SCHEDULE 13G/A</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(Amendment No. 1)*</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Tarsus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87650L103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6" w:lineRule="exact"/>
        <w:rPr>
          <w:sz w:val="24"/>
          <w:szCs w:val="24"/>
          <w:color w:val="auto"/>
        </w:rPr>
      </w:pPr>
    </w:p>
    <w:p>
      <w:pPr>
        <w:ind w:left="3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8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513" w:right="439" w:bottom="1440" w:gutter="0" w:footer="0" w:header="0"/>
        </w:sectPr>
      </w:pPr>
    </w:p>
    <w:bookmarkStart w:id="1" w:name="page2"/>
    <w:bookmarkEnd w:id="1"/>
    <w:p>
      <w:pPr>
        <w:ind w:left="1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56921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5692140"/>
                    </a:xfrm>
                    <a:prstGeom prst="rect">
                      <a:avLst/>
                    </a:prstGeom>
                    <a:noFill/>
                  </pic:spPr>
                </pic:pic>
              </a:graphicData>
            </a:graphic>
          </wp:anchor>
        </w:drawing>
        <w:t xml:space="preserve">CUSIP No. </w:t>
      </w:r>
      <w:r>
        <w:rPr>
          <w:rFonts w:ascii="Arial" w:cs="Arial" w:eastAsia="Arial" w:hAnsi="Arial"/>
          <w:sz w:val="18"/>
          <w:szCs w:val="18"/>
          <w:b w:val="1"/>
          <w:bCs w:val="1"/>
          <w:color w:val="auto"/>
        </w:rPr>
        <w:t>87650L103</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334"/>
        </w:trPr>
        <w:tc>
          <w:tcPr>
            <w:tcW w:w="380" w:type="dxa"/>
            <w:vAlign w:val="bottom"/>
            <w:tcBorders>
              <w:top w:val="single" w:sz="8" w:color="auto"/>
            </w:tcBorders>
          </w:tcPr>
          <w:p>
            <w:pPr>
              <w:jc w:val="center"/>
              <w:ind w:left="17"/>
              <w:spacing w:after="0"/>
              <w:rPr>
                <w:sz w:val="20"/>
                <w:szCs w:val="20"/>
                <w:color w:val="auto"/>
              </w:rPr>
            </w:pPr>
            <w:r>
              <w:rPr>
                <w:rFonts w:ascii="Arial" w:cs="Arial" w:eastAsia="Arial" w:hAnsi="Arial"/>
                <w:sz w:val="22"/>
                <w:szCs w:val="22"/>
                <w:b w:val="1"/>
                <w:bCs w:val="1"/>
                <w:color w:val="auto"/>
                <w:w w:val="81"/>
              </w:rPr>
              <w:t>1</w:t>
            </w:r>
          </w:p>
        </w:tc>
        <w:tc>
          <w:tcPr>
            <w:tcW w:w="100" w:type="dxa"/>
            <w:vAlign w:val="bottom"/>
            <w:tcBorders>
              <w:top w:val="single" w:sz="8" w:color="auto"/>
              <w:right w:val="single" w:sz="8" w:color="auto"/>
            </w:tcBorders>
          </w:tcPr>
          <w:p>
            <w:pPr>
              <w:spacing w:after="0"/>
              <w:rPr>
                <w:sz w:val="24"/>
                <w:szCs w:val="24"/>
                <w:color w:val="auto"/>
              </w:rPr>
            </w:pPr>
          </w:p>
        </w:tc>
        <w:tc>
          <w:tcPr>
            <w:tcW w:w="1076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87"/>
        </w:trPr>
        <w:tc>
          <w:tcPr>
            <w:tcW w:w="38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0760" w:type="dxa"/>
            <w:vAlign w:val="bottom"/>
            <w:gridSpan w:val="3"/>
          </w:tcPr>
          <w:p>
            <w:pPr>
              <w:ind w:left="100"/>
              <w:spacing w:after="0"/>
              <w:rPr>
                <w:sz w:val="20"/>
                <w:szCs w:val="20"/>
                <w:color w:val="auto"/>
              </w:rPr>
            </w:pPr>
            <w:r>
              <w:rPr>
                <w:rFonts w:ascii="Arial" w:cs="Arial" w:eastAsia="Arial" w:hAnsi="Arial"/>
                <w:sz w:val="18"/>
                <w:szCs w:val="18"/>
                <w:b w:val="1"/>
                <w:bCs w:val="1"/>
                <w:color w:val="auto"/>
              </w:rPr>
              <w:t>Vivo Capital IX, LLC</w:t>
            </w:r>
          </w:p>
        </w:tc>
        <w:tc>
          <w:tcPr>
            <w:tcW w:w="0" w:type="dxa"/>
            <w:vAlign w:val="bottom"/>
          </w:tcPr>
          <w:p>
            <w:pPr>
              <w:spacing w:after="0"/>
              <w:rPr>
                <w:sz w:val="1"/>
                <w:szCs w:val="1"/>
                <w:color w:val="auto"/>
              </w:rPr>
            </w:pPr>
          </w:p>
        </w:tc>
      </w:tr>
      <w:tr>
        <w:trPr>
          <w:trHeight w:val="61"/>
        </w:trPr>
        <w:tc>
          <w:tcPr>
            <w:tcW w:w="38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10760" w:type="dxa"/>
            <w:vAlign w:val="bottom"/>
            <w:tcBorders>
              <w:bottom w:val="single" w:sz="8" w:color="auto"/>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380" w:type="dxa"/>
            <w:vAlign w:val="bottom"/>
          </w:tcPr>
          <w:p>
            <w:pPr>
              <w:jc w:val="center"/>
              <w:ind w:left="17"/>
              <w:spacing w:after="0"/>
              <w:rPr>
                <w:sz w:val="20"/>
                <w:szCs w:val="20"/>
                <w:color w:val="auto"/>
              </w:rPr>
            </w:pPr>
            <w:r>
              <w:rPr>
                <w:rFonts w:ascii="Arial" w:cs="Arial" w:eastAsia="Arial" w:hAnsi="Arial"/>
                <w:sz w:val="22"/>
                <w:szCs w:val="22"/>
                <w:b w:val="1"/>
                <w:bCs w:val="1"/>
                <w:color w:val="auto"/>
                <w:w w:val="81"/>
              </w:rPr>
              <w:t>2</w:t>
            </w:r>
          </w:p>
        </w:tc>
        <w:tc>
          <w:tcPr>
            <w:tcW w:w="100" w:type="dxa"/>
            <w:vAlign w:val="bottom"/>
            <w:tcBorders>
              <w:right w:val="single" w:sz="8" w:color="auto"/>
            </w:tcBorders>
          </w:tcPr>
          <w:p>
            <w:pPr>
              <w:spacing w:after="0"/>
              <w:rPr>
                <w:sz w:val="24"/>
                <w:szCs w:val="24"/>
                <w:color w:val="auto"/>
              </w:rPr>
            </w:pPr>
          </w:p>
        </w:tc>
        <w:tc>
          <w:tcPr>
            <w:tcW w:w="10760" w:type="dxa"/>
            <w:vAlign w:val="bottom"/>
            <w:gridSpan w:val="3"/>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07"/>
        </w:trPr>
        <w:tc>
          <w:tcPr>
            <w:tcW w:w="38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14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tcPr>
          <w:p>
            <w:pPr>
              <w:spacing w:after="0"/>
              <w:rPr>
                <w:sz w:val="24"/>
                <w:szCs w:val="24"/>
                <w:color w:val="auto"/>
              </w:rPr>
            </w:pPr>
          </w:p>
        </w:tc>
        <w:tc>
          <w:tcPr>
            <w:tcW w:w="9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8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14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340" w:type="dxa"/>
            <w:vAlign w:val="bottom"/>
          </w:tcPr>
          <w:p>
            <w:pPr>
              <w:spacing w:after="0"/>
              <w:rPr>
                <w:sz w:val="24"/>
                <w:szCs w:val="24"/>
                <w:color w:val="auto"/>
              </w:rPr>
            </w:pPr>
          </w:p>
        </w:tc>
        <w:tc>
          <w:tcPr>
            <w:tcW w:w="9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9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380" w:type="dxa"/>
            <w:vAlign w:val="bottom"/>
          </w:tcPr>
          <w:p>
            <w:pPr>
              <w:jc w:val="center"/>
              <w:ind w:left="17"/>
              <w:spacing w:after="0"/>
              <w:rPr>
                <w:sz w:val="20"/>
                <w:szCs w:val="20"/>
                <w:color w:val="auto"/>
              </w:rPr>
            </w:pPr>
            <w:r>
              <w:rPr>
                <w:rFonts w:ascii="Arial" w:cs="Arial" w:eastAsia="Arial" w:hAnsi="Arial"/>
                <w:sz w:val="22"/>
                <w:szCs w:val="22"/>
                <w:b w:val="1"/>
                <w:bCs w:val="1"/>
                <w:color w:val="auto"/>
                <w:w w:val="81"/>
              </w:rPr>
              <w:t>3</w:t>
            </w:r>
          </w:p>
        </w:tc>
        <w:tc>
          <w:tcPr>
            <w:tcW w:w="100" w:type="dxa"/>
            <w:vAlign w:val="bottom"/>
            <w:tcBorders>
              <w:right w:val="single" w:sz="8" w:color="auto"/>
            </w:tcBorders>
          </w:tcPr>
          <w:p>
            <w:pPr>
              <w:spacing w:after="0"/>
              <w:rPr>
                <w:sz w:val="24"/>
                <w:szCs w:val="24"/>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9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380" w:type="dxa"/>
            <w:vAlign w:val="bottom"/>
          </w:tcPr>
          <w:p>
            <w:pPr>
              <w:jc w:val="center"/>
              <w:ind w:left="17"/>
              <w:spacing w:after="0"/>
              <w:rPr>
                <w:sz w:val="20"/>
                <w:szCs w:val="20"/>
                <w:color w:val="auto"/>
              </w:rPr>
            </w:pPr>
            <w:r>
              <w:rPr>
                <w:rFonts w:ascii="Arial" w:cs="Arial" w:eastAsia="Arial" w:hAnsi="Arial"/>
                <w:sz w:val="22"/>
                <w:szCs w:val="22"/>
                <w:b w:val="1"/>
                <w:bCs w:val="1"/>
                <w:color w:val="auto"/>
                <w:w w:val="81"/>
              </w:rPr>
              <w:t>4</w:t>
            </w:r>
          </w:p>
        </w:tc>
        <w:tc>
          <w:tcPr>
            <w:tcW w:w="100" w:type="dxa"/>
            <w:vAlign w:val="bottom"/>
            <w:tcBorders>
              <w:right w:val="single" w:sz="8" w:color="auto"/>
            </w:tcBorders>
          </w:tcPr>
          <w:p>
            <w:pPr>
              <w:spacing w:after="0"/>
              <w:rPr>
                <w:sz w:val="24"/>
                <w:szCs w:val="24"/>
                <w:color w:val="auto"/>
              </w:rPr>
            </w:pPr>
          </w:p>
        </w:tc>
        <w:tc>
          <w:tcPr>
            <w:tcW w:w="1076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87"/>
        </w:trPr>
        <w:tc>
          <w:tcPr>
            <w:tcW w:w="38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140" w:type="dxa"/>
            <w:vAlign w:val="bottom"/>
          </w:tcPr>
          <w:p>
            <w:pPr>
              <w:ind w:left="100"/>
              <w:spacing w:after="0"/>
              <w:rPr>
                <w:sz w:val="20"/>
                <w:szCs w:val="20"/>
                <w:color w:val="auto"/>
              </w:rPr>
            </w:pPr>
            <w:r>
              <w:rPr>
                <w:rFonts w:ascii="Arial" w:cs="Arial" w:eastAsia="Arial" w:hAnsi="Arial"/>
                <w:sz w:val="18"/>
                <w:szCs w:val="18"/>
                <w:b w:val="1"/>
                <w:bCs w:val="1"/>
                <w:color w:val="auto"/>
              </w:rPr>
              <w:t>Delaware</w:t>
            </w:r>
          </w:p>
        </w:tc>
        <w:tc>
          <w:tcPr>
            <w:tcW w:w="340" w:type="dxa"/>
            <w:vAlign w:val="bottom"/>
          </w:tcPr>
          <w:p>
            <w:pPr>
              <w:spacing w:after="0"/>
              <w:rPr>
                <w:sz w:val="24"/>
                <w:szCs w:val="24"/>
                <w:color w:val="auto"/>
              </w:rPr>
            </w:pPr>
          </w:p>
        </w:tc>
        <w:tc>
          <w:tcPr>
            <w:tcW w:w="9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38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340" w:type="dxa"/>
            <w:vAlign w:val="bottom"/>
            <w:tcBorders>
              <w:right w:val="single" w:sz="8" w:color="auto"/>
            </w:tcBorders>
          </w:tcPr>
          <w:p>
            <w:pPr>
              <w:jc w:val="right"/>
              <w:ind w:right="12"/>
              <w:spacing w:after="0"/>
              <w:rPr>
                <w:sz w:val="20"/>
                <w:szCs w:val="20"/>
                <w:color w:val="auto"/>
              </w:rPr>
            </w:pPr>
            <w:r>
              <w:rPr>
                <w:rFonts w:ascii="Arial" w:cs="Arial" w:eastAsia="Arial" w:hAnsi="Arial"/>
                <w:sz w:val="22"/>
                <w:szCs w:val="22"/>
                <w:b w:val="1"/>
                <w:bCs w:val="1"/>
                <w:color w:val="auto"/>
              </w:rPr>
              <w:t>5</w:t>
            </w:r>
          </w:p>
        </w:tc>
        <w:tc>
          <w:tcPr>
            <w:tcW w:w="928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89"/>
        </w:trPr>
        <w:tc>
          <w:tcPr>
            <w:tcW w:w="162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92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 xml:space="preserve">2,987,331 </w:t>
            </w:r>
            <w:r>
              <w:rPr>
                <w:rFonts w:ascii="Arial" w:cs="Arial" w:eastAsia="Arial" w:hAnsi="Arial"/>
                <w:sz w:val="29"/>
                <w:szCs w:val="29"/>
                <w:b w:val="1"/>
                <w:bCs w:val="1"/>
                <w:color w:val="auto"/>
                <w:vertAlign w:val="superscript"/>
              </w:rPr>
              <w:t>(1)</w:t>
            </w:r>
          </w:p>
        </w:tc>
        <w:tc>
          <w:tcPr>
            <w:tcW w:w="0" w:type="dxa"/>
            <w:vAlign w:val="bottom"/>
          </w:tcPr>
          <w:p>
            <w:pPr>
              <w:spacing w:after="0"/>
              <w:rPr>
                <w:sz w:val="1"/>
                <w:szCs w:val="1"/>
                <w:color w:val="auto"/>
              </w:rPr>
            </w:pPr>
          </w:p>
        </w:tc>
      </w:tr>
      <w:tr>
        <w:trPr>
          <w:trHeight w:val="231"/>
        </w:trPr>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right w:val="single" w:sz="8" w:color="auto"/>
            </w:tcBorders>
          </w:tcPr>
          <w:p>
            <w:pPr>
              <w:jc w:val="center"/>
              <w:ind w:right="370"/>
              <w:spacing w:after="0"/>
              <w:rPr>
                <w:sz w:val="20"/>
                <w:szCs w:val="20"/>
                <w:color w:val="auto"/>
              </w:rPr>
            </w:pPr>
            <w:r>
              <w:rPr>
                <w:rFonts w:ascii="Arial" w:cs="Arial" w:eastAsia="Arial" w:hAnsi="Arial"/>
                <w:sz w:val="18"/>
                <w:szCs w:val="18"/>
                <w:color w:val="auto"/>
                <w:w w:val="91"/>
              </w:rPr>
              <w:t>SHARES</w:t>
            </w:r>
          </w:p>
        </w:tc>
        <w:tc>
          <w:tcPr>
            <w:tcW w:w="340" w:type="dxa"/>
            <w:vAlign w:val="bottom"/>
            <w:tcBorders>
              <w:right w:val="single" w:sz="8" w:color="auto"/>
            </w:tcBorders>
          </w:tcPr>
          <w:p>
            <w:pPr>
              <w:jc w:val="right"/>
              <w:ind w:right="12"/>
              <w:spacing w:after="0" w:line="231" w:lineRule="exact"/>
              <w:rPr>
                <w:sz w:val="20"/>
                <w:szCs w:val="20"/>
                <w:color w:val="auto"/>
              </w:rPr>
            </w:pPr>
            <w:r>
              <w:rPr>
                <w:rFonts w:ascii="Arial" w:cs="Arial" w:eastAsia="Arial" w:hAnsi="Arial"/>
                <w:sz w:val="22"/>
                <w:szCs w:val="22"/>
                <w:b w:val="1"/>
                <w:bCs w:val="1"/>
                <w:color w:val="auto"/>
              </w:rPr>
              <w:t>6</w:t>
            </w:r>
          </w:p>
        </w:tc>
        <w:tc>
          <w:tcPr>
            <w:tcW w:w="928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00"/>
        </w:trPr>
        <w:tc>
          <w:tcPr>
            <w:tcW w:w="1620" w:type="dxa"/>
            <w:vAlign w:val="bottom"/>
            <w:tcBorders>
              <w:right w:val="single" w:sz="8" w:color="auto"/>
            </w:tcBorders>
            <w:gridSpan w:val="3"/>
          </w:tcPr>
          <w:p>
            <w:pPr>
              <w:jc w:val="center"/>
              <w:spacing w:after="0" w:line="200" w:lineRule="exact"/>
              <w:rPr>
                <w:sz w:val="20"/>
                <w:szCs w:val="20"/>
                <w:color w:val="auto"/>
              </w:rPr>
            </w:pPr>
            <w:r>
              <w:rPr>
                <w:rFonts w:ascii="Arial" w:cs="Arial" w:eastAsia="Arial" w:hAnsi="Arial"/>
                <w:sz w:val="18"/>
                <w:szCs w:val="18"/>
                <w:color w:val="auto"/>
              </w:rPr>
              <w:t>BENEFICIALLY</w:t>
            </w:r>
          </w:p>
        </w:tc>
        <w:tc>
          <w:tcPr>
            <w:tcW w:w="340" w:type="dxa"/>
            <w:vAlign w:val="bottom"/>
            <w:tcBorders>
              <w:right w:val="single" w:sz="8" w:color="auto"/>
            </w:tcBorders>
          </w:tcPr>
          <w:p>
            <w:pPr>
              <w:spacing w:after="0"/>
              <w:rPr>
                <w:sz w:val="17"/>
                <w:szCs w:val="17"/>
                <w:color w:val="auto"/>
              </w:rPr>
            </w:pPr>
          </w:p>
        </w:tc>
        <w:tc>
          <w:tcPr>
            <w:tcW w:w="928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63"/>
        </w:trPr>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right w:val="single" w:sz="8" w:color="auto"/>
            </w:tcBorders>
            <w:vMerge w:val="restart"/>
          </w:tcPr>
          <w:p>
            <w:pPr>
              <w:jc w:val="center"/>
              <w:ind w:right="390"/>
              <w:spacing w:after="0"/>
              <w:rPr>
                <w:sz w:val="20"/>
                <w:szCs w:val="20"/>
                <w:color w:val="auto"/>
              </w:rPr>
            </w:pPr>
            <w:r>
              <w:rPr>
                <w:rFonts w:ascii="Arial" w:cs="Arial" w:eastAsia="Arial" w:hAnsi="Arial"/>
                <w:sz w:val="18"/>
                <w:szCs w:val="18"/>
                <w:color w:val="auto"/>
                <w:w w:val="95"/>
              </w:rPr>
              <w:t>OWNED</w:t>
            </w:r>
          </w:p>
        </w:tc>
        <w:tc>
          <w:tcPr>
            <w:tcW w:w="340" w:type="dxa"/>
            <w:vAlign w:val="bottom"/>
            <w:tcBorders>
              <w:right w:val="single" w:sz="8" w:color="auto"/>
            </w:tcBorders>
          </w:tcPr>
          <w:p>
            <w:pPr>
              <w:spacing w:after="0"/>
              <w:rPr>
                <w:sz w:val="14"/>
                <w:szCs w:val="14"/>
                <w:color w:val="auto"/>
              </w:rPr>
            </w:pPr>
          </w:p>
        </w:tc>
        <w:tc>
          <w:tcPr>
            <w:tcW w:w="9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Borders>
              <w:right w:val="single" w:sz="8" w:color="auto"/>
            </w:tcBorders>
            <w:vMerge w:val="continue"/>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9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240" w:type="dxa"/>
            <w:vAlign w:val="bottom"/>
            <w:tcBorders>
              <w:right w:val="single" w:sz="8" w:color="auto"/>
            </w:tcBorders>
            <w:gridSpan w:val="2"/>
          </w:tcPr>
          <w:p>
            <w:pPr>
              <w:jc w:val="center"/>
              <w:ind w:right="270"/>
              <w:spacing w:after="0" w:line="203" w:lineRule="exact"/>
              <w:rPr>
                <w:sz w:val="20"/>
                <w:szCs w:val="20"/>
                <w:color w:val="auto"/>
              </w:rPr>
            </w:pPr>
            <w:r>
              <w:rPr>
                <w:rFonts w:ascii="Arial" w:cs="Arial" w:eastAsia="Arial" w:hAnsi="Arial"/>
                <w:sz w:val="18"/>
                <w:szCs w:val="18"/>
                <w:color w:val="auto"/>
              </w:rPr>
              <w:t>BY EACH</w:t>
            </w:r>
          </w:p>
        </w:tc>
        <w:tc>
          <w:tcPr>
            <w:tcW w:w="340" w:type="dxa"/>
            <w:vAlign w:val="bottom"/>
            <w:tcBorders>
              <w:right w:val="single" w:sz="8" w:color="auto"/>
            </w:tcBorders>
          </w:tcPr>
          <w:p>
            <w:pPr>
              <w:jc w:val="right"/>
              <w:ind w:right="12"/>
              <w:spacing w:after="0" w:line="216" w:lineRule="exact"/>
              <w:rPr>
                <w:sz w:val="20"/>
                <w:szCs w:val="20"/>
                <w:color w:val="auto"/>
              </w:rPr>
            </w:pPr>
            <w:r>
              <w:rPr>
                <w:rFonts w:ascii="Arial" w:cs="Arial" w:eastAsia="Arial" w:hAnsi="Arial"/>
                <w:sz w:val="22"/>
                <w:szCs w:val="22"/>
                <w:b w:val="1"/>
                <w:bCs w:val="1"/>
                <w:color w:val="auto"/>
              </w:rPr>
              <w:t>7</w:t>
            </w:r>
          </w:p>
        </w:tc>
        <w:tc>
          <w:tcPr>
            <w:tcW w:w="928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88"/>
        </w:trPr>
        <w:tc>
          <w:tcPr>
            <w:tcW w:w="1620" w:type="dxa"/>
            <w:vAlign w:val="bottom"/>
            <w:tcBorders>
              <w:right w:val="single" w:sz="8" w:color="auto"/>
            </w:tcBorders>
            <w:gridSpan w:val="3"/>
          </w:tcPr>
          <w:p>
            <w:pPr>
              <w:jc w:val="center"/>
              <w:spacing w:after="0" w:line="189" w:lineRule="exact"/>
              <w:rPr>
                <w:sz w:val="20"/>
                <w:szCs w:val="20"/>
                <w:color w:val="auto"/>
              </w:rPr>
            </w:pPr>
            <w:r>
              <w:rPr>
                <w:rFonts w:ascii="Arial" w:cs="Arial" w:eastAsia="Arial" w:hAnsi="Arial"/>
                <w:sz w:val="18"/>
                <w:szCs w:val="18"/>
                <w:color w:val="auto"/>
                <w:w w:val="93"/>
              </w:rPr>
              <w:t>REPORTING</w:t>
            </w:r>
          </w:p>
        </w:tc>
        <w:tc>
          <w:tcPr>
            <w:tcW w:w="340" w:type="dxa"/>
            <w:vAlign w:val="bottom"/>
            <w:tcBorders>
              <w:right w:val="single" w:sz="8" w:color="auto"/>
            </w:tcBorders>
          </w:tcPr>
          <w:p>
            <w:pPr>
              <w:spacing w:after="0"/>
              <w:rPr>
                <w:sz w:val="16"/>
                <w:szCs w:val="16"/>
                <w:color w:val="auto"/>
              </w:rPr>
            </w:pPr>
          </w:p>
        </w:tc>
        <w:tc>
          <w:tcPr>
            <w:tcW w:w="928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 xml:space="preserve">2,987,331 </w:t>
            </w:r>
            <w:r>
              <w:rPr>
                <w:rFonts w:ascii="Arial" w:cs="Arial" w:eastAsia="Arial" w:hAnsi="Arial"/>
                <w:sz w:val="29"/>
                <w:szCs w:val="29"/>
                <w:b w:val="1"/>
                <w:bCs w:val="1"/>
                <w:color w:val="auto"/>
                <w:vertAlign w:val="superscript"/>
              </w:rPr>
              <w:t>(1)</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right w:val="single" w:sz="8" w:color="auto"/>
            </w:tcBorders>
          </w:tcPr>
          <w:p>
            <w:pPr>
              <w:jc w:val="center"/>
              <w:ind w:right="370"/>
              <w:spacing w:after="0"/>
              <w:rPr>
                <w:sz w:val="20"/>
                <w:szCs w:val="20"/>
                <w:color w:val="auto"/>
              </w:rPr>
            </w:pPr>
            <w:r>
              <w:rPr>
                <w:rFonts w:ascii="Arial" w:cs="Arial" w:eastAsia="Arial" w:hAnsi="Arial"/>
                <w:sz w:val="18"/>
                <w:szCs w:val="18"/>
                <w:color w:val="auto"/>
                <w:w w:val="89"/>
              </w:rPr>
              <w:t>PERSON</w:t>
            </w:r>
          </w:p>
        </w:tc>
        <w:tc>
          <w:tcPr>
            <w:tcW w:w="340" w:type="dxa"/>
            <w:vAlign w:val="bottom"/>
            <w:tcBorders>
              <w:right w:val="single" w:sz="8" w:color="auto"/>
            </w:tcBorders>
          </w:tcPr>
          <w:p>
            <w:pPr>
              <w:spacing w:after="0"/>
              <w:rPr>
                <w:sz w:val="18"/>
                <w:szCs w:val="18"/>
                <w:color w:val="auto"/>
              </w:rPr>
            </w:pPr>
          </w:p>
        </w:tc>
        <w:tc>
          <w:tcPr>
            <w:tcW w:w="9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WITH</w:t>
            </w:r>
          </w:p>
        </w:tc>
        <w:tc>
          <w:tcPr>
            <w:tcW w:w="340" w:type="dxa"/>
            <w:vAlign w:val="bottom"/>
            <w:tcBorders>
              <w:bottom w:val="single" w:sz="8" w:color="auto"/>
              <w:right w:val="single" w:sz="8" w:color="auto"/>
            </w:tcBorders>
          </w:tcPr>
          <w:p>
            <w:pPr>
              <w:spacing w:after="0"/>
              <w:rPr>
                <w:sz w:val="6"/>
                <w:szCs w:val="6"/>
                <w:color w:val="auto"/>
              </w:rPr>
            </w:pPr>
          </w:p>
        </w:tc>
        <w:tc>
          <w:tcPr>
            <w:tcW w:w="92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Borders>
              <w:right w:val="single" w:sz="8" w:color="auto"/>
            </w:tcBorders>
            <w:vMerge w:val="continue"/>
          </w:tcPr>
          <w:p>
            <w:pPr>
              <w:spacing w:after="0"/>
              <w:rPr>
                <w:sz w:val="11"/>
                <w:szCs w:val="11"/>
                <w:color w:val="auto"/>
              </w:rPr>
            </w:pPr>
          </w:p>
        </w:tc>
        <w:tc>
          <w:tcPr>
            <w:tcW w:w="34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22"/>
                <w:szCs w:val="22"/>
                <w:b w:val="1"/>
                <w:bCs w:val="1"/>
                <w:color w:val="auto"/>
              </w:rPr>
              <w:t>8</w:t>
            </w:r>
          </w:p>
        </w:tc>
        <w:tc>
          <w:tcPr>
            <w:tcW w:w="928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72"/>
        </w:trPr>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340" w:type="dxa"/>
            <w:vAlign w:val="bottom"/>
            <w:tcBorders>
              <w:right w:val="single" w:sz="8" w:color="auto"/>
            </w:tcBorders>
            <w:vMerge w:val="continue"/>
          </w:tcPr>
          <w:p>
            <w:pPr>
              <w:spacing w:after="0"/>
              <w:rPr>
                <w:sz w:val="14"/>
                <w:szCs w:val="14"/>
                <w:color w:val="auto"/>
              </w:rPr>
            </w:pPr>
          </w:p>
        </w:tc>
        <w:tc>
          <w:tcPr>
            <w:tcW w:w="9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7"/>
        </w:trPr>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9280" w:type="dxa"/>
            <w:vAlign w:val="bottom"/>
          </w:tcPr>
          <w:p>
            <w:pPr>
              <w:ind w:left="1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61"/>
        </w:trPr>
        <w:tc>
          <w:tcPr>
            <w:tcW w:w="3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9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380" w:type="dxa"/>
            <w:vAlign w:val="bottom"/>
          </w:tcPr>
          <w:p>
            <w:pPr>
              <w:jc w:val="center"/>
              <w:ind w:left="17"/>
              <w:spacing w:after="0"/>
              <w:rPr>
                <w:sz w:val="20"/>
                <w:szCs w:val="20"/>
                <w:color w:val="auto"/>
              </w:rPr>
            </w:pPr>
            <w:r>
              <w:rPr>
                <w:rFonts w:ascii="Arial" w:cs="Arial" w:eastAsia="Arial" w:hAnsi="Arial"/>
                <w:sz w:val="22"/>
                <w:szCs w:val="22"/>
                <w:b w:val="1"/>
                <w:bCs w:val="1"/>
                <w:color w:val="auto"/>
                <w:w w:val="81"/>
              </w:rPr>
              <w:t>9</w:t>
            </w:r>
          </w:p>
        </w:tc>
        <w:tc>
          <w:tcPr>
            <w:tcW w:w="100" w:type="dxa"/>
            <w:vAlign w:val="bottom"/>
            <w:tcBorders>
              <w:right w:val="single" w:sz="8" w:color="auto"/>
            </w:tcBorders>
          </w:tcPr>
          <w:p>
            <w:pPr>
              <w:spacing w:after="0"/>
              <w:rPr>
                <w:sz w:val="24"/>
                <w:szCs w:val="24"/>
                <w:color w:val="auto"/>
              </w:rPr>
            </w:pPr>
          </w:p>
        </w:tc>
        <w:tc>
          <w:tcPr>
            <w:tcW w:w="1076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388"/>
        </w:trPr>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1"/>
              </w:rPr>
              <w:t xml:space="preserve">2,987,331 </w:t>
            </w:r>
            <w:r>
              <w:rPr>
                <w:rFonts w:ascii="Arial" w:cs="Arial" w:eastAsia="Arial" w:hAnsi="Arial"/>
                <w:sz w:val="29"/>
                <w:szCs w:val="29"/>
                <w:b w:val="1"/>
                <w:bCs w:val="1"/>
                <w:color w:val="auto"/>
                <w:w w:val="91"/>
                <w:vertAlign w:val="superscript"/>
              </w:rPr>
              <w:t>(1)</w:t>
            </w:r>
          </w:p>
        </w:tc>
        <w:tc>
          <w:tcPr>
            <w:tcW w:w="340" w:type="dxa"/>
            <w:vAlign w:val="bottom"/>
            <w:tcBorders>
              <w:bottom w:val="single" w:sz="8" w:color="auto"/>
            </w:tcBorders>
          </w:tcPr>
          <w:p>
            <w:pPr>
              <w:spacing w:after="0"/>
              <w:rPr>
                <w:sz w:val="24"/>
                <w:szCs w:val="24"/>
                <w:color w:val="auto"/>
              </w:rPr>
            </w:pPr>
          </w:p>
        </w:tc>
        <w:tc>
          <w:tcPr>
            <w:tcW w:w="9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380" w:type="dxa"/>
            <w:vAlign w:val="bottom"/>
          </w:tcPr>
          <w:p>
            <w:pPr>
              <w:jc w:val="center"/>
              <w:ind w:left="17"/>
              <w:spacing w:after="0"/>
              <w:rPr>
                <w:sz w:val="20"/>
                <w:szCs w:val="20"/>
                <w:color w:val="auto"/>
              </w:rPr>
            </w:pPr>
            <w:r>
              <w:rPr>
                <w:rFonts w:ascii="Arial" w:cs="Arial" w:eastAsia="Arial" w:hAnsi="Arial"/>
                <w:sz w:val="22"/>
                <w:szCs w:val="22"/>
                <w:b w:val="1"/>
                <w:bCs w:val="1"/>
                <w:color w:val="auto"/>
                <w:w w:val="89"/>
              </w:rPr>
              <w:t>10</w:t>
            </w:r>
          </w:p>
        </w:tc>
        <w:tc>
          <w:tcPr>
            <w:tcW w:w="100" w:type="dxa"/>
            <w:vAlign w:val="bottom"/>
            <w:tcBorders>
              <w:right w:val="single" w:sz="8" w:color="auto"/>
            </w:tcBorders>
          </w:tcPr>
          <w:p>
            <w:pPr>
              <w:spacing w:after="0"/>
              <w:rPr>
                <w:sz w:val="24"/>
                <w:szCs w:val="24"/>
                <w:color w:val="auto"/>
              </w:rPr>
            </w:pPr>
          </w:p>
        </w:tc>
        <w:tc>
          <w:tcPr>
            <w:tcW w:w="1076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307"/>
        </w:trPr>
        <w:tc>
          <w:tcPr>
            <w:tcW w:w="38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14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340" w:type="dxa"/>
            <w:vAlign w:val="bottom"/>
          </w:tcPr>
          <w:p>
            <w:pPr>
              <w:spacing w:after="0"/>
              <w:rPr>
                <w:sz w:val="24"/>
                <w:szCs w:val="24"/>
                <w:color w:val="auto"/>
              </w:rPr>
            </w:pPr>
          </w:p>
        </w:tc>
        <w:tc>
          <w:tcPr>
            <w:tcW w:w="9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380" w:type="dxa"/>
            <w:vAlign w:val="bottom"/>
          </w:tcPr>
          <w:p>
            <w:pPr>
              <w:jc w:val="center"/>
              <w:spacing w:after="0"/>
              <w:rPr>
                <w:sz w:val="20"/>
                <w:szCs w:val="20"/>
                <w:color w:val="auto"/>
              </w:rPr>
            </w:pPr>
            <w:r>
              <w:rPr>
                <w:rFonts w:ascii="Arial" w:cs="Arial" w:eastAsia="Arial" w:hAnsi="Arial"/>
                <w:sz w:val="22"/>
                <w:szCs w:val="22"/>
                <w:b w:val="1"/>
                <w:bCs w:val="1"/>
                <w:color w:val="auto"/>
                <w:w w:val="81"/>
              </w:rPr>
              <w:t>11</w:t>
            </w:r>
          </w:p>
        </w:tc>
        <w:tc>
          <w:tcPr>
            <w:tcW w:w="100" w:type="dxa"/>
            <w:vAlign w:val="bottom"/>
            <w:tcBorders>
              <w:right w:val="single" w:sz="8" w:color="auto"/>
            </w:tcBorders>
          </w:tcPr>
          <w:p>
            <w:pPr>
              <w:spacing w:after="0"/>
              <w:rPr>
                <w:sz w:val="24"/>
                <w:szCs w:val="24"/>
                <w:color w:val="auto"/>
              </w:rPr>
            </w:pPr>
          </w:p>
        </w:tc>
        <w:tc>
          <w:tcPr>
            <w:tcW w:w="1076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388"/>
        </w:trPr>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 xml:space="preserve">14.4% </w:t>
            </w:r>
            <w:r>
              <w:rPr>
                <w:rFonts w:ascii="Arial" w:cs="Arial" w:eastAsia="Arial" w:hAnsi="Arial"/>
                <w:sz w:val="29"/>
                <w:szCs w:val="29"/>
                <w:b w:val="1"/>
                <w:bCs w:val="1"/>
                <w:color w:val="auto"/>
                <w:vertAlign w:val="superscript"/>
              </w:rPr>
              <w:t>(2)</w:t>
            </w:r>
          </w:p>
        </w:tc>
        <w:tc>
          <w:tcPr>
            <w:tcW w:w="340" w:type="dxa"/>
            <w:vAlign w:val="bottom"/>
            <w:tcBorders>
              <w:bottom w:val="single" w:sz="8" w:color="auto"/>
            </w:tcBorders>
          </w:tcPr>
          <w:p>
            <w:pPr>
              <w:spacing w:after="0"/>
              <w:rPr>
                <w:sz w:val="24"/>
                <w:szCs w:val="24"/>
                <w:color w:val="auto"/>
              </w:rPr>
            </w:pPr>
          </w:p>
        </w:tc>
        <w:tc>
          <w:tcPr>
            <w:tcW w:w="9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380" w:type="dxa"/>
            <w:vAlign w:val="bottom"/>
          </w:tcPr>
          <w:p>
            <w:pPr>
              <w:jc w:val="center"/>
              <w:ind w:left="17"/>
              <w:spacing w:after="0"/>
              <w:rPr>
                <w:sz w:val="20"/>
                <w:szCs w:val="20"/>
                <w:color w:val="auto"/>
              </w:rPr>
            </w:pPr>
            <w:r>
              <w:rPr>
                <w:rFonts w:ascii="Arial" w:cs="Arial" w:eastAsia="Arial" w:hAnsi="Arial"/>
                <w:sz w:val="22"/>
                <w:szCs w:val="22"/>
                <w:b w:val="1"/>
                <w:bCs w:val="1"/>
                <w:color w:val="auto"/>
                <w:w w:val="89"/>
              </w:rPr>
              <w:t>12</w:t>
            </w:r>
          </w:p>
        </w:tc>
        <w:tc>
          <w:tcPr>
            <w:tcW w:w="100" w:type="dxa"/>
            <w:vAlign w:val="bottom"/>
            <w:tcBorders>
              <w:right w:val="single" w:sz="8" w:color="auto"/>
            </w:tcBorders>
          </w:tcPr>
          <w:p>
            <w:pPr>
              <w:spacing w:after="0"/>
              <w:rPr>
                <w:sz w:val="24"/>
                <w:szCs w:val="24"/>
                <w:color w:val="auto"/>
              </w:rPr>
            </w:pPr>
          </w:p>
        </w:tc>
        <w:tc>
          <w:tcPr>
            <w:tcW w:w="1076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87"/>
        </w:trPr>
        <w:tc>
          <w:tcPr>
            <w:tcW w:w="38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140" w:type="dxa"/>
            <w:vAlign w:val="bottom"/>
          </w:tcPr>
          <w:p>
            <w:pPr>
              <w:ind w:left="100"/>
              <w:spacing w:after="0"/>
              <w:rPr>
                <w:sz w:val="20"/>
                <w:szCs w:val="20"/>
                <w:color w:val="auto"/>
              </w:rPr>
            </w:pPr>
            <w:r>
              <w:rPr>
                <w:rFonts w:ascii="Arial" w:cs="Arial" w:eastAsia="Arial" w:hAnsi="Arial"/>
                <w:sz w:val="18"/>
                <w:szCs w:val="18"/>
                <w:b w:val="1"/>
                <w:bCs w:val="1"/>
                <w:color w:val="auto"/>
              </w:rPr>
              <w:t>OO</w:t>
            </w:r>
          </w:p>
        </w:tc>
        <w:tc>
          <w:tcPr>
            <w:tcW w:w="340" w:type="dxa"/>
            <w:vAlign w:val="bottom"/>
          </w:tcPr>
          <w:p>
            <w:pPr>
              <w:spacing w:after="0"/>
              <w:rPr>
                <w:sz w:val="24"/>
                <w:szCs w:val="24"/>
                <w:color w:val="auto"/>
              </w:rPr>
            </w:pPr>
          </w:p>
        </w:tc>
        <w:tc>
          <w:tcPr>
            <w:tcW w:w="9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38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340" w:right="180" w:hanging="332"/>
        <w:spacing w:after="0" w:line="194" w:lineRule="auto"/>
        <w:tabs>
          <w:tab w:leader="none" w:pos="340" w:val="left"/>
        </w:tabs>
        <w:numPr>
          <w:ilvl w:val="0"/>
          <w:numId w:val="5"/>
        </w:numPr>
        <w:rPr>
          <w:rFonts w:ascii="Arial" w:cs="Arial" w:eastAsia="Arial" w:hAnsi="Arial"/>
          <w:sz w:val="30"/>
          <w:szCs w:val="30"/>
          <w:color w:val="auto"/>
          <w:vertAlign w:val="superscript"/>
        </w:rPr>
      </w:pPr>
      <w:r>
        <w:rPr>
          <w:rFonts w:ascii="Arial" w:cs="Arial" w:eastAsia="Arial" w:hAnsi="Arial"/>
          <w:sz w:val="18"/>
          <w:szCs w:val="18"/>
          <w:color w:val="auto"/>
        </w:rPr>
        <w:t>The shares of common stock, par value $0.0001 per share (the “Common Stock”) of Tarsus Pharmaceuticals, Inc. (the “Issuer”) are held of record by Vivo Capital Fund IX, L.P. Vivo Capital IX, LLC is the general partner of Vivo Capital Fund IX, L.P.</w:t>
      </w:r>
    </w:p>
    <w:p>
      <w:pPr>
        <w:ind w:left="340" w:right="200" w:hanging="332"/>
        <w:spacing w:after="0" w:line="187" w:lineRule="auto"/>
        <w:tabs>
          <w:tab w:leader="none" w:pos="340" w:val="left"/>
        </w:tabs>
        <w:numPr>
          <w:ilvl w:val="0"/>
          <w:numId w:val="5"/>
        </w:numPr>
        <w:rPr>
          <w:rFonts w:ascii="Arial" w:cs="Arial" w:eastAsia="Arial" w:hAnsi="Arial"/>
          <w:sz w:val="30"/>
          <w:szCs w:val="30"/>
          <w:color w:val="auto"/>
          <w:vertAlign w:val="superscript"/>
        </w:rPr>
      </w:pPr>
      <w:r>
        <w:rPr>
          <w:rFonts w:ascii="Arial" w:cs="Arial" w:eastAsia="Arial" w:hAnsi="Arial"/>
          <w:sz w:val="18"/>
          <w:szCs w:val="18"/>
          <w:color w:val="auto"/>
        </w:rPr>
        <w:t>Based on 20,676,922 shares of Common Stock of the Issuer as of November 4, 2021, as disclosed on the Issuer’s Form 10-Q for the quarterly period ended September 30, 2021, filed with the Securities and Exchange Commission on November 10, 2021.</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p>
      <w:pPr>
        <w:spacing w:after="0"/>
        <w:tabs>
          <w:tab w:leader="none" w:pos="96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1. (a)</w:t>
        <w:tab/>
        <w:t>N</w:t>
      </w:r>
      <w:r>
        <w:rPr>
          <w:rFonts w:ascii="Arial" w:cs="Arial" w:eastAsia="Arial" w:hAnsi="Arial"/>
          <w:sz w:val="12"/>
          <w:szCs w:val="12"/>
          <w:b w:val="1"/>
          <w:bCs w:val="1"/>
          <w:color w:val="auto"/>
        </w:rPr>
        <w:t>AME OF</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SSUER</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Tarsus Pharmaceuticals, Inc.</w:t>
      </w:r>
    </w:p>
    <w:p>
      <w:pPr>
        <w:spacing w:after="0" w:line="221"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DDRESS OF</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SSUER</w:t>
      </w:r>
      <w:r>
        <w:rPr>
          <w:rFonts w:ascii="Arial" w:cs="Arial" w:eastAsia="Arial" w:hAnsi="Arial"/>
          <w:sz w:val="18"/>
          <w:szCs w:val="18"/>
          <w:b w:val="1"/>
          <w:bCs w:val="1"/>
          <w:color w:val="auto"/>
        </w:rPr>
        <w:t>'</w:t>
      </w:r>
      <w:r>
        <w:rPr>
          <w:rFonts w:ascii="Arial" w:cs="Arial" w:eastAsia="Arial" w:hAnsi="Arial"/>
          <w:sz w:val="12"/>
          <w:szCs w:val="12"/>
          <w:b w:val="1"/>
          <w:bCs w:val="1"/>
          <w:color w:val="auto"/>
        </w:rPr>
        <w:t>S</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RINCIPAL</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XECUTIVE</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FFICES</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15440 Laguna Canyon Road, Suite 160</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Irvine, California 92618</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2. (a)</w:t>
        <w:tab/>
        <w:t>N</w:t>
      </w:r>
      <w:r>
        <w:rPr>
          <w:rFonts w:ascii="Arial" w:cs="Arial" w:eastAsia="Arial" w:hAnsi="Arial"/>
          <w:sz w:val="12"/>
          <w:szCs w:val="12"/>
          <w:b w:val="1"/>
          <w:bCs w:val="1"/>
          <w:color w:val="auto"/>
        </w:rPr>
        <w:t>AME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ERSON</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ILING</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Vivo Capital IX, LLC</w:t>
      </w:r>
    </w:p>
    <w:p>
      <w:pPr>
        <w:spacing w:after="0" w:line="221"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DDRESS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RINCIPAL</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USINESS</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FFICE OR</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IF</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ONE</w:t>
      </w:r>
      <w:r>
        <w:rPr>
          <w:rFonts w:ascii="Arial" w:cs="Arial" w:eastAsia="Arial" w:hAnsi="Arial"/>
          <w:sz w:val="18"/>
          <w:szCs w:val="18"/>
          <w:b w:val="1"/>
          <w:bCs w:val="1"/>
          <w:color w:val="auto"/>
        </w:rPr>
        <w:t>, R</w:t>
      </w:r>
      <w:r>
        <w:rPr>
          <w:rFonts w:ascii="Arial" w:cs="Arial" w:eastAsia="Arial" w:hAnsi="Arial"/>
          <w:sz w:val="12"/>
          <w:szCs w:val="12"/>
          <w:b w:val="1"/>
          <w:bCs w:val="1"/>
          <w:color w:val="auto"/>
        </w:rPr>
        <w:t>ESIDENCE</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192 Lytton Avenue, Palo Alto, CA 94301</w:t>
      </w:r>
    </w:p>
    <w:p>
      <w:pPr>
        <w:spacing w:after="0" w:line="221"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ITIZENSHIP</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Vivo Capital IX, LLC is a Delaware limited liability company.</w:t>
      </w:r>
    </w:p>
    <w:p>
      <w:pPr>
        <w:spacing w:after="0" w:line="221"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ITLE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LASS OF</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ECURITIES</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Common stock, par value $0.0001 per share</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  CUSIP N</w:t>
      </w:r>
      <w:r>
        <w:rPr>
          <w:rFonts w:ascii="Arial" w:cs="Arial" w:eastAsia="Arial" w:hAnsi="Arial"/>
          <w:sz w:val="12"/>
          <w:szCs w:val="12"/>
          <w:b w:val="1"/>
          <w:bCs w:val="1"/>
          <w:color w:val="auto"/>
        </w:rPr>
        <w:t>UMBER</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87650L103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3. I</w:t>
      </w:r>
      <w:r>
        <w:rPr>
          <w:rFonts w:ascii="Arial" w:cs="Arial" w:eastAsia="Arial" w:hAnsi="Arial"/>
          <w:sz w:val="12"/>
          <w:szCs w:val="12"/>
          <w:b w:val="1"/>
          <w:bCs w:val="1"/>
          <w:color w:val="auto"/>
        </w:rPr>
        <w:t>F</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HIS</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TATEMENT IS</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ILED</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URSUANT TO</w:t>
      </w:r>
      <w:r>
        <w:rPr>
          <w:rFonts w:ascii="Arial" w:cs="Arial" w:eastAsia="Arial" w:hAnsi="Arial"/>
          <w:sz w:val="18"/>
          <w:szCs w:val="18"/>
          <w:b w:val="1"/>
          <w:bCs w:val="1"/>
          <w:color w:val="auto"/>
        </w:rPr>
        <w:t xml:space="preserve"> §§ 240.13d-1(b), </w:t>
      </w:r>
      <w:r>
        <w:rPr>
          <w:rFonts w:ascii="Arial" w:cs="Arial" w:eastAsia="Arial" w:hAnsi="Arial"/>
          <w:sz w:val="12"/>
          <w:szCs w:val="12"/>
          <w:b w:val="1"/>
          <w:bCs w:val="1"/>
          <w:color w:val="auto"/>
        </w:rPr>
        <w:t>OR</w:t>
      </w:r>
      <w:r>
        <w:rPr>
          <w:rFonts w:ascii="Arial" w:cs="Arial" w:eastAsia="Arial" w:hAnsi="Arial"/>
          <w:sz w:val="18"/>
          <w:szCs w:val="18"/>
          <w:b w:val="1"/>
          <w:bCs w:val="1"/>
          <w:color w:val="auto"/>
        </w:rPr>
        <w:t xml:space="preserve"> 240.13d-2(b) </w:t>
      </w:r>
      <w:r>
        <w:rPr>
          <w:rFonts w:ascii="Arial" w:cs="Arial" w:eastAsia="Arial" w:hAnsi="Arial"/>
          <w:sz w:val="12"/>
          <w:szCs w:val="12"/>
          <w:b w:val="1"/>
          <w:bCs w:val="1"/>
          <w:color w:val="auto"/>
        </w:rPr>
        <w:t>OR</w:t>
      </w:r>
      <w:r>
        <w:rPr>
          <w:rFonts w:ascii="Arial" w:cs="Arial" w:eastAsia="Arial" w:hAnsi="Arial"/>
          <w:sz w:val="18"/>
          <w:szCs w:val="18"/>
          <w:b w:val="1"/>
          <w:bCs w:val="1"/>
          <w:color w:val="auto"/>
        </w:rPr>
        <w:t xml:space="preserve"> (c), C</w:t>
      </w:r>
      <w:r>
        <w:rPr>
          <w:rFonts w:ascii="Arial" w:cs="Arial" w:eastAsia="Arial" w:hAnsi="Arial"/>
          <w:sz w:val="12"/>
          <w:szCs w:val="12"/>
          <w:b w:val="1"/>
          <w:bCs w:val="1"/>
          <w:color w:val="auto"/>
        </w:rPr>
        <w:t>HECK</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HETHER THE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ERSON</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ILING IS A</w:t>
      </w:r>
      <w:r>
        <w:rPr>
          <w:rFonts w:ascii="Arial" w:cs="Arial" w:eastAsia="Arial" w:hAnsi="Arial"/>
          <w:sz w:val="18"/>
          <w:szCs w:val="18"/>
          <w:b w:val="1"/>
          <w:bCs w:val="1"/>
          <w:color w:val="auto"/>
        </w:rPr>
        <w:t>:</w:t>
      </w:r>
    </w:p>
    <w:p>
      <w:pPr>
        <w:spacing w:after="0" w:line="196" w:lineRule="exact"/>
        <w:rPr>
          <w:sz w:val="20"/>
          <w:szCs w:val="20"/>
          <w:color w:val="auto"/>
        </w:rPr>
      </w:pPr>
    </w:p>
    <w:p>
      <w:pPr>
        <w:ind w:left="1180" w:hanging="524"/>
        <w:spacing w:after="0" w:line="207" w:lineRule="exact"/>
        <w:tabs>
          <w:tab w:leader="none" w:pos="118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Broker or dealer registered under Section 15 of the Act.</w:t>
      </w:r>
    </w:p>
    <w:p>
      <w:pPr>
        <w:spacing w:after="0" w:line="225" w:lineRule="exact"/>
        <w:rPr>
          <w:rFonts w:ascii="Arial" w:cs="Arial" w:eastAsia="Arial" w:hAnsi="Arial"/>
          <w:sz w:val="18"/>
          <w:szCs w:val="18"/>
          <w:color w:val="auto"/>
        </w:rPr>
      </w:pPr>
    </w:p>
    <w:p>
      <w:pPr>
        <w:ind w:left="1180" w:hanging="524"/>
        <w:spacing w:after="0" w:line="207" w:lineRule="exact"/>
        <w:tabs>
          <w:tab w:leader="none" w:pos="118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Bank as defined in Section 3(a)(6) of the Act.</w:t>
      </w:r>
    </w:p>
    <w:p>
      <w:pPr>
        <w:spacing w:after="0" w:line="225" w:lineRule="exact"/>
        <w:rPr>
          <w:rFonts w:ascii="Arial" w:cs="Arial" w:eastAsia="Arial" w:hAnsi="Arial"/>
          <w:sz w:val="18"/>
          <w:szCs w:val="18"/>
          <w:color w:val="auto"/>
        </w:rPr>
      </w:pPr>
    </w:p>
    <w:p>
      <w:pPr>
        <w:ind w:left="1180" w:hanging="524"/>
        <w:spacing w:after="0" w:line="207" w:lineRule="exact"/>
        <w:tabs>
          <w:tab w:leader="none" w:pos="118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Insurance company as defined in Section 3(a)(19) of the Act.</w:t>
      </w:r>
    </w:p>
    <w:p>
      <w:pPr>
        <w:spacing w:after="0" w:line="225" w:lineRule="exact"/>
        <w:rPr>
          <w:rFonts w:ascii="Arial" w:cs="Arial" w:eastAsia="Arial" w:hAnsi="Arial"/>
          <w:sz w:val="18"/>
          <w:szCs w:val="18"/>
          <w:color w:val="auto"/>
        </w:rPr>
      </w:pPr>
    </w:p>
    <w:p>
      <w:pPr>
        <w:ind w:left="1180" w:hanging="524"/>
        <w:spacing w:after="0" w:line="207" w:lineRule="exact"/>
        <w:tabs>
          <w:tab w:leader="none" w:pos="118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Investment company registered under Section 8 of the Investment Company Act of 1940.</w:t>
      </w:r>
    </w:p>
    <w:p>
      <w:pPr>
        <w:spacing w:after="0" w:line="225" w:lineRule="exact"/>
        <w:rPr>
          <w:rFonts w:ascii="Arial" w:cs="Arial" w:eastAsia="Arial" w:hAnsi="Arial"/>
          <w:sz w:val="18"/>
          <w:szCs w:val="18"/>
          <w:color w:val="auto"/>
        </w:rPr>
      </w:pPr>
    </w:p>
    <w:p>
      <w:pPr>
        <w:ind w:left="1180" w:hanging="524"/>
        <w:spacing w:after="0" w:line="207" w:lineRule="exact"/>
        <w:tabs>
          <w:tab w:leader="none" w:pos="118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investment adviser in accordance with § 240.13d-1(b)(1)(ii)(E);</w:t>
      </w:r>
    </w:p>
    <w:p>
      <w:pPr>
        <w:spacing w:after="0" w:line="225" w:lineRule="exact"/>
        <w:rPr>
          <w:rFonts w:ascii="Arial" w:cs="Arial" w:eastAsia="Arial" w:hAnsi="Arial"/>
          <w:sz w:val="18"/>
          <w:szCs w:val="18"/>
          <w:color w:val="auto"/>
        </w:rPr>
      </w:pPr>
    </w:p>
    <w:p>
      <w:pPr>
        <w:ind w:left="1180" w:hanging="524"/>
        <w:spacing w:after="0" w:line="207" w:lineRule="exact"/>
        <w:tabs>
          <w:tab w:leader="none" w:pos="118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employee benefit plan or endowment fund in accordance with § 240.13d-1(b)(1)(ii)(F);</w:t>
      </w:r>
    </w:p>
    <w:p>
      <w:pPr>
        <w:spacing w:after="0" w:line="225" w:lineRule="exact"/>
        <w:rPr>
          <w:rFonts w:ascii="Arial" w:cs="Arial" w:eastAsia="Arial" w:hAnsi="Arial"/>
          <w:sz w:val="18"/>
          <w:szCs w:val="18"/>
          <w:color w:val="auto"/>
        </w:rPr>
      </w:pPr>
    </w:p>
    <w:p>
      <w:pPr>
        <w:ind w:left="1180" w:hanging="524"/>
        <w:spacing w:after="0" w:line="207" w:lineRule="exact"/>
        <w:tabs>
          <w:tab w:leader="none" w:pos="118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parent holding company or control person in accordance with § 240.13d-1(b)(l)(ii)(G);</w:t>
      </w:r>
    </w:p>
    <w:p>
      <w:pPr>
        <w:spacing w:after="0" w:line="225" w:lineRule="exact"/>
        <w:rPr>
          <w:rFonts w:ascii="Arial" w:cs="Arial" w:eastAsia="Arial" w:hAnsi="Arial"/>
          <w:sz w:val="18"/>
          <w:szCs w:val="18"/>
          <w:color w:val="auto"/>
        </w:rPr>
      </w:pPr>
    </w:p>
    <w:p>
      <w:pPr>
        <w:ind w:left="1180" w:hanging="524"/>
        <w:spacing w:after="0" w:line="207" w:lineRule="exact"/>
        <w:tabs>
          <w:tab w:leader="none" w:pos="118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savings association as defined in Section 3(b) of the Federal Deposit Insurance Act;</w:t>
      </w:r>
    </w:p>
    <w:p>
      <w:pPr>
        <w:spacing w:after="0" w:line="225" w:lineRule="exact"/>
        <w:rPr>
          <w:rFonts w:ascii="Arial" w:cs="Arial" w:eastAsia="Arial" w:hAnsi="Arial"/>
          <w:sz w:val="18"/>
          <w:szCs w:val="18"/>
          <w:color w:val="auto"/>
        </w:rPr>
      </w:pPr>
    </w:p>
    <w:p>
      <w:pPr>
        <w:ind w:left="1700" w:hanging="1044"/>
        <w:spacing w:after="0" w:line="223" w:lineRule="exact"/>
        <w:tabs>
          <w:tab w:leader="none" w:pos="1173"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A church plan that is excluded from the definition of an investment company under Section 3(c)(14) of the Investment Company Act;</w:t>
      </w:r>
    </w:p>
    <w:p>
      <w:pPr>
        <w:spacing w:after="0" w:line="202" w:lineRule="exact"/>
        <w:rPr>
          <w:rFonts w:ascii="Arial" w:cs="Arial" w:eastAsia="Arial" w:hAnsi="Arial"/>
          <w:sz w:val="18"/>
          <w:szCs w:val="18"/>
          <w:color w:val="auto"/>
        </w:rPr>
      </w:pPr>
    </w:p>
    <w:p>
      <w:pPr>
        <w:ind w:left="1180" w:hanging="524"/>
        <w:spacing w:after="0" w:line="207" w:lineRule="exact"/>
        <w:tabs>
          <w:tab w:leader="none" w:pos="118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non-U.S. institution in accordance with § 240.13d-1(b)(1)(ii)(J);</w:t>
      </w:r>
    </w:p>
    <w:p>
      <w:pPr>
        <w:spacing w:after="0" w:line="225" w:lineRule="exact"/>
        <w:rPr>
          <w:rFonts w:ascii="Arial" w:cs="Arial" w:eastAsia="Arial" w:hAnsi="Arial"/>
          <w:sz w:val="18"/>
          <w:szCs w:val="18"/>
          <w:color w:val="auto"/>
        </w:rPr>
      </w:pPr>
    </w:p>
    <w:p>
      <w:pPr>
        <w:ind w:left="1180" w:hanging="524"/>
        <w:spacing w:after="0" w:line="207" w:lineRule="exact"/>
        <w:tabs>
          <w:tab w:leader="none" w:pos="118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Group, in accordance with § 240.13d-1(b)(l)(ii)(K).</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filing as a non-U.S. institution in accordance with § 240.13d-1(b)(1(ii)(j), please specify the type of institution: ________________</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4" w:lineRule="exact"/>
        <w:rPr>
          <w:sz w:val="20"/>
          <w:szCs w:val="20"/>
          <w:color w:val="auto"/>
        </w:rPr>
      </w:pPr>
    </w:p>
    <w:p>
      <w:pPr>
        <w:jc w:val="center"/>
        <w:ind w:right="-27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904" w:right="599" w:bottom="1440" w:gutter="0" w:footer="0" w:header="0"/>
        </w:sectPr>
      </w:pPr>
    </w:p>
    <w:bookmarkStart w:id="3" w:name="page4"/>
    <w:bookmarkEnd w:id="3"/>
    <w:p>
      <w:pPr>
        <w:spacing w:after="0"/>
        <w:tabs>
          <w:tab w:leader="none" w:pos="80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4.</w:t>
        <w:tab/>
        <w:t>O</w:t>
      </w:r>
      <w:r>
        <w:rPr>
          <w:rFonts w:ascii="Arial" w:cs="Arial" w:eastAsia="Arial" w:hAnsi="Arial"/>
          <w:sz w:val="12"/>
          <w:szCs w:val="12"/>
          <w:b w:val="1"/>
          <w:bCs w:val="1"/>
          <w:color w:val="auto"/>
        </w:rPr>
        <w:t>WNERSHIP</w:t>
      </w:r>
      <w:r>
        <w:rPr>
          <w:rFonts w:ascii="Arial" w:cs="Arial" w:eastAsia="Arial" w:hAnsi="Arial"/>
          <w:sz w:val="18"/>
          <w:szCs w:val="18"/>
          <w:b w:val="1"/>
          <w:bCs w:val="1"/>
          <w:color w:val="auto"/>
        </w:rPr>
        <w:t>.</w:t>
      </w:r>
    </w:p>
    <w:p>
      <w:pPr>
        <w:spacing w:after="0" w:line="225" w:lineRule="exact"/>
        <w:rPr>
          <w:sz w:val="20"/>
          <w:szCs w:val="20"/>
          <w:color w:val="auto"/>
        </w:rPr>
      </w:pPr>
    </w:p>
    <w:p>
      <w:pPr>
        <w:ind w:left="1260" w:hanging="442"/>
        <w:spacing w:after="0"/>
        <w:tabs>
          <w:tab w:leader="none" w:pos="12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MOUNT BENEFICIALLY OWNED</w:t>
      </w:r>
      <w:r>
        <w:rPr>
          <w:rFonts w:ascii="Arial" w:cs="Arial" w:eastAsia="Arial" w:hAnsi="Arial"/>
          <w:sz w:val="18"/>
          <w:szCs w:val="18"/>
          <w:b w:val="1"/>
          <w:bCs w:val="1"/>
          <w:color w:val="auto"/>
        </w:rPr>
        <w:t>:</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2,987,331 shares of Common Stock are held of record by Vivo Capital Fund IX, L.P. Vivo Capital IX, LLC is the general partner of Vivo Capital Fund IX, L.P. The voting members of Vivo Capital IX, LLC are Frank Kung, Edgar Engleman, Shan Fu, Hongbo Lu, Mahendra Shah, Jack Nielsen and Michael Chang, none of whom has individual voting or investment power with respect to these shares and each of whom disclaims beneficial ownership of such shares.</w:t>
      </w:r>
    </w:p>
    <w:p>
      <w:pPr>
        <w:spacing w:after="0" w:line="183" w:lineRule="exact"/>
        <w:rPr>
          <w:sz w:val="20"/>
          <w:szCs w:val="20"/>
          <w:color w:val="auto"/>
        </w:rPr>
      </w:pPr>
    </w:p>
    <w:p>
      <w:pPr>
        <w:ind w:left="1260" w:hanging="442"/>
        <w:spacing w:after="0"/>
        <w:tabs>
          <w:tab w:leader="none" w:pos="12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ERCENT OF CLASS</w:t>
      </w:r>
      <w:r>
        <w:rPr>
          <w:rFonts w:ascii="Arial" w:cs="Arial" w:eastAsia="Arial" w:hAnsi="Arial"/>
          <w:sz w:val="18"/>
          <w:szCs w:val="18"/>
          <w:b w:val="1"/>
          <w:bCs w:val="1"/>
          <w:color w:val="auto"/>
        </w:rPr>
        <w:t>: 14.4%</w:t>
      </w:r>
    </w:p>
    <w:p>
      <w:pPr>
        <w:spacing w:after="0" w:line="225" w:lineRule="exact"/>
        <w:rPr>
          <w:rFonts w:ascii="Arial" w:cs="Arial" w:eastAsia="Arial" w:hAnsi="Arial"/>
          <w:sz w:val="18"/>
          <w:szCs w:val="18"/>
          <w:b w:val="1"/>
          <w:bCs w:val="1"/>
          <w:color w:val="auto"/>
        </w:rPr>
      </w:pPr>
    </w:p>
    <w:p>
      <w:pPr>
        <w:ind w:left="1260" w:hanging="442"/>
        <w:spacing w:after="0"/>
        <w:tabs>
          <w:tab w:leader="none" w:pos="12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UMBER OF SHARES AS TO WHICH SUCH PERSON HAS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1700" w:hanging="437"/>
        <w:spacing w:after="0"/>
        <w:tabs>
          <w:tab w:leader="none" w:pos="17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Sole power to vote or to direct the vote: 2,987,331</w:t>
      </w:r>
    </w:p>
    <w:p>
      <w:pPr>
        <w:spacing w:after="0" w:line="225" w:lineRule="exact"/>
        <w:rPr>
          <w:rFonts w:ascii="Arial" w:cs="Arial" w:eastAsia="Arial" w:hAnsi="Arial"/>
          <w:sz w:val="18"/>
          <w:szCs w:val="18"/>
          <w:color w:val="auto"/>
        </w:rPr>
      </w:pPr>
    </w:p>
    <w:p>
      <w:pPr>
        <w:ind w:left="1700" w:hanging="437"/>
        <w:spacing w:after="0"/>
        <w:tabs>
          <w:tab w:leader="none" w:pos="17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25" w:lineRule="exact"/>
        <w:rPr>
          <w:rFonts w:ascii="Arial" w:cs="Arial" w:eastAsia="Arial" w:hAnsi="Arial"/>
          <w:sz w:val="18"/>
          <w:szCs w:val="18"/>
          <w:color w:val="auto"/>
        </w:rPr>
      </w:pPr>
    </w:p>
    <w:p>
      <w:pPr>
        <w:ind w:left="1700" w:hanging="437"/>
        <w:spacing w:after="0"/>
        <w:tabs>
          <w:tab w:leader="none" w:pos="17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2,987,331</w:t>
      </w:r>
    </w:p>
    <w:p>
      <w:pPr>
        <w:spacing w:after="0" w:line="225" w:lineRule="exact"/>
        <w:rPr>
          <w:rFonts w:ascii="Arial" w:cs="Arial" w:eastAsia="Arial" w:hAnsi="Arial"/>
          <w:sz w:val="18"/>
          <w:szCs w:val="18"/>
          <w:color w:val="auto"/>
        </w:rPr>
      </w:pPr>
    </w:p>
    <w:p>
      <w:pPr>
        <w:ind w:left="1700" w:hanging="437"/>
        <w:spacing w:after="0"/>
        <w:tabs>
          <w:tab w:leader="none" w:pos="17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Shared power to dispose of or to direct the disposition of: 0</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5.</w:t>
        <w:tab/>
        <w:t>O</w:t>
      </w:r>
      <w:r>
        <w:rPr>
          <w:rFonts w:ascii="Arial" w:cs="Arial" w:eastAsia="Arial" w:hAnsi="Arial"/>
          <w:sz w:val="12"/>
          <w:szCs w:val="12"/>
          <w:b w:val="1"/>
          <w:bCs w:val="1"/>
          <w:color w:val="auto"/>
        </w:rPr>
        <w:t>WNERSHIP OF</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ERCENT OR</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ESS OF A</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LASS</w:t>
      </w:r>
      <w:r>
        <w:rPr>
          <w:rFonts w:ascii="Arial" w:cs="Arial" w:eastAsia="Arial" w:hAnsi="Arial"/>
          <w:sz w:val="18"/>
          <w:szCs w:val="18"/>
          <w:b w:val="1"/>
          <w:bCs w:val="1"/>
          <w:color w:val="auto"/>
        </w:rPr>
        <w:t>.</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6.</w:t>
        <w:tab/>
        <w:t>O</w:t>
      </w:r>
      <w:r>
        <w:rPr>
          <w:rFonts w:ascii="Arial" w:cs="Arial" w:eastAsia="Arial" w:hAnsi="Arial"/>
          <w:sz w:val="12"/>
          <w:szCs w:val="12"/>
          <w:b w:val="1"/>
          <w:bCs w:val="1"/>
          <w:color w:val="auto"/>
        </w:rPr>
        <w:t>WNERSHIP OF</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ORE THAN</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ERCENT ON</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EHALF OF</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NOTHER</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ERSON</w:t>
      </w:r>
      <w:r>
        <w:rPr>
          <w:rFonts w:ascii="Arial" w:cs="Arial" w:eastAsia="Arial" w:hAnsi="Arial"/>
          <w:sz w:val="18"/>
          <w:szCs w:val="18"/>
          <w:b w:val="1"/>
          <w:bCs w:val="1"/>
          <w:color w:val="auto"/>
        </w:rPr>
        <w:t>.</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820" w:right="1000" w:hanging="809"/>
        <w:spacing w:after="0" w:line="282" w:lineRule="auto"/>
        <w:tabs>
          <w:tab w:leader="none" w:pos="80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7.</w:t>
        <w:tab/>
        <w:t>I</w:t>
      </w:r>
      <w:r>
        <w:rPr>
          <w:rFonts w:ascii="Arial" w:cs="Arial" w:eastAsia="Arial" w:hAnsi="Arial"/>
          <w:sz w:val="12"/>
          <w:szCs w:val="12"/>
          <w:b w:val="1"/>
          <w:bCs w:val="1"/>
          <w:color w:val="auto"/>
        </w:rPr>
        <w:t>DENTIFICATION AND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LASSIFICATION OF THE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UBSIDIARY</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HICH</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CQUIRED THE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ECURITY</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EING</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EPORTED ON BY THE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ARENT</w:t>
      </w:r>
      <w:r>
        <w:rPr>
          <w:rFonts w:ascii="Arial" w:cs="Arial" w:eastAsia="Arial" w:hAnsi="Arial"/>
          <w:sz w:val="18"/>
          <w:szCs w:val="18"/>
          <w:b w:val="1"/>
          <w:bCs w:val="1"/>
          <w:color w:val="auto"/>
        </w:rPr>
        <w:t xml:space="preserve"> H</w:t>
      </w:r>
      <w:r>
        <w:rPr>
          <w:rFonts w:ascii="Arial" w:cs="Arial" w:eastAsia="Arial" w:hAnsi="Arial"/>
          <w:sz w:val="12"/>
          <w:szCs w:val="12"/>
          <w:b w:val="1"/>
          <w:bCs w:val="1"/>
          <w:color w:val="auto"/>
        </w:rPr>
        <w:t>OLDING</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 OR</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ONTROL</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ERSON</w:t>
      </w:r>
      <w:r>
        <w:rPr>
          <w:rFonts w:ascii="Arial" w:cs="Arial" w:eastAsia="Arial" w:hAnsi="Arial"/>
          <w:sz w:val="18"/>
          <w:szCs w:val="18"/>
          <w:b w:val="1"/>
          <w:bCs w:val="1"/>
          <w:color w:val="auto"/>
        </w:rPr>
        <w:t>.</w:t>
      </w:r>
    </w:p>
    <w:p>
      <w:pPr>
        <w:spacing w:after="0" w:line="16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8.</w:t>
        <w:tab/>
        <w:t>I</w:t>
      </w:r>
      <w:r>
        <w:rPr>
          <w:rFonts w:ascii="Arial" w:cs="Arial" w:eastAsia="Arial" w:hAnsi="Arial"/>
          <w:sz w:val="12"/>
          <w:szCs w:val="12"/>
          <w:b w:val="1"/>
          <w:bCs w:val="1"/>
          <w:color w:val="auto"/>
        </w:rPr>
        <w:t>DENTIFICATION AND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LASSIFICATION OF</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EMBERS OF THE</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ROUP</w:t>
      </w:r>
      <w:r>
        <w:rPr>
          <w:rFonts w:ascii="Arial" w:cs="Arial" w:eastAsia="Arial" w:hAnsi="Arial"/>
          <w:sz w:val="18"/>
          <w:szCs w:val="18"/>
          <w:b w:val="1"/>
          <w:bCs w:val="1"/>
          <w:color w:val="auto"/>
        </w:rPr>
        <w:t>.</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9.</w:t>
        <w:tab/>
        <w:t>N</w:t>
      </w:r>
      <w:r>
        <w:rPr>
          <w:rFonts w:ascii="Arial" w:cs="Arial" w:eastAsia="Arial" w:hAnsi="Arial"/>
          <w:sz w:val="12"/>
          <w:szCs w:val="12"/>
          <w:b w:val="1"/>
          <w:bCs w:val="1"/>
          <w:color w:val="auto"/>
        </w:rPr>
        <w:t>OTICE OF</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ISSOLUTION OF</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ROUP</w:t>
      </w:r>
      <w:r>
        <w:rPr>
          <w:rFonts w:ascii="Arial" w:cs="Arial" w:eastAsia="Arial" w:hAnsi="Arial"/>
          <w:sz w:val="18"/>
          <w:szCs w:val="18"/>
          <w:b w:val="1"/>
          <w:bCs w:val="1"/>
          <w:color w:val="auto"/>
        </w:rPr>
        <w:t>.</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10.</w:t>
        <w:tab/>
        <w:t>C</w:t>
      </w:r>
      <w:r>
        <w:rPr>
          <w:rFonts w:ascii="Arial" w:cs="Arial" w:eastAsia="Arial" w:hAnsi="Arial"/>
          <w:sz w:val="12"/>
          <w:szCs w:val="12"/>
          <w:b w:val="1"/>
          <w:bCs w:val="1"/>
          <w:color w:val="auto"/>
        </w:rPr>
        <w:t>ERTIFICATIONS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right="120" w:firstLine="810"/>
        <w:spacing w:after="0" w:line="311"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4" w:name="page5"/>
    <w:bookmarkEnd w:id="4"/>
    <w:p>
      <w:pPr>
        <w:jc w:val="center"/>
        <w:ind w:right="-27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81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Vivo Capital IX, LLC</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February 11,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Frank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980"/>
      </w:cols>
      <w:pgMar w:left="320" w:top="904"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lowerLetter"/>
      <w:start w:val="2"/>
    </w:lvl>
  </w:abstractNum>
  <w:abstractNum w:abstractNumId="6">
    <w:nsid w:val="12200854"/>
    <w:multiLevelType w:val="hybridMultilevel"/>
    <w:lvl w:ilvl="0">
      <w:lvlJc w:val="left"/>
      <w:lvlText w:val="(%1)"/>
      <w:numFmt w:val="lowerLetter"/>
      <w:start w:val="2"/>
    </w:lvl>
  </w:abstractNum>
  <w:abstractNum w:abstractNumId="7">
    <w:nsid w:val="4DB127F8"/>
    <w:multiLevelType w:val="hybridMultilevel"/>
    <w:lvl w:ilvl="0">
      <w:lvlJc w:val="left"/>
      <w:lvlText w:val="(%1)"/>
      <w:numFmt w:val="lowerLetter"/>
      <w:start w:val="3"/>
    </w:lvl>
  </w:abstractNum>
  <w:abstractNum w:abstractNumId="8">
    <w:nsid w:val="216231B"/>
    <w:multiLevelType w:val="hybridMultilevel"/>
    <w:lvl w:ilvl="0">
      <w:lvlJc w:val="left"/>
      <w:lvlText w:val="(%1)"/>
      <w:numFmt w:val="lowerLetter"/>
      <w:start w:val="4"/>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2022-02-12T03:27:35Z</dcterms:created>
  <dcterms:modified xsi:type="dcterms:W3CDTF">2022-02-12T03:27:35Z</dcterms:modified>
</cp:coreProperties>
</file>