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739"/>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ind w:left="1160" w:right="164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215265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739"/>
        <w:spacing w:after="0"/>
        <w:rPr>
          <w:sz w:val="20"/>
          <w:szCs w:val="20"/>
          <w:color w:val="auto"/>
        </w:rPr>
      </w:pPr>
      <w:r>
        <w:rPr>
          <w:rFonts w:ascii="Arial" w:cs="Arial" w:eastAsia="Arial" w:hAnsi="Arial"/>
          <w:sz w:val="43"/>
          <w:szCs w:val="43"/>
          <w:b w:val="1"/>
          <w:bCs w:val="1"/>
          <w:color w:val="auto"/>
        </w:rPr>
        <w:t>Tarsus Pharmaceuticals, Inc.</w:t>
      </w:r>
    </w:p>
    <w:p>
      <w:pPr>
        <w:spacing w:after="0" w:line="50"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840" w:type="dxa"/>
        <w:tblCellMar>
          <w:top w:w="0" w:type="dxa"/>
          <w:left w:w="0" w:type="dxa"/>
          <w:bottom w:w="0" w:type="dxa"/>
          <w:right w:w="0" w:type="dxa"/>
        </w:tblCellMar>
      </w:tblPr>
      <w:tr>
        <w:trPr>
          <w:trHeight w:val="212"/>
        </w:trPr>
        <w:tc>
          <w:tcPr>
            <w:tcW w:w="5140" w:type="dxa"/>
            <w:vAlign w:val="bottom"/>
          </w:tcPr>
          <w:p>
            <w:pPr>
              <w:jc w:val="center"/>
              <w:ind w:right="1179"/>
              <w:spacing w:after="0"/>
              <w:rPr>
                <w:sz w:val="20"/>
                <w:szCs w:val="20"/>
                <w:color w:val="auto"/>
              </w:rPr>
            </w:pPr>
            <w:r>
              <w:rPr>
                <w:rFonts w:ascii="Arial" w:cs="Arial" w:eastAsia="Arial" w:hAnsi="Arial"/>
                <w:sz w:val="18"/>
                <w:szCs w:val="18"/>
                <w:b w:val="1"/>
                <w:bCs w:val="1"/>
                <w:color w:val="auto"/>
                <w:w w:val="91"/>
              </w:rPr>
              <w:t>Delaware</w:t>
            </w:r>
          </w:p>
        </w:tc>
        <w:tc>
          <w:tcPr>
            <w:tcW w:w="3460" w:type="dxa"/>
            <w:vAlign w:val="bottom"/>
          </w:tcPr>
          <w:p>
            <w:pPr>
              <w:jc w:val="right"/>
              <w:ind w:right="579"/>
              <w:spacing w:after="0"/>
              <w:rPr>
                <w:sz w:val="20"/>
                <w:szCs w:val="20"/>
                <w:color w:val="auto"/>
              </w:rPr>
            </w:pPr>
            <w:r>
              <w:rPr>
                <w:rFonts w:ascii="Arial" w:cs="Arial" w:eastAsia="Arial" w:hAnsi="Arial"/>
                <w:sz w:val="18"/>
                <w:szCs w:val="18"/>
                <w:b w:val="1"/>
                <w:bCs w:val="1"/>
                <w:color w:val="auto"/>
              </w:rPr>
              <w:t>81-4717861</w:t>
            </w:r>
          </w:p>
        </w:tc>
      </w:tr>
      <w:tr>
        <w:trPr>
          <w:trHeight w:val="186"/>
        </w:trPr>
        <w:tc>
          <w:tcPr>
            <w:tcW w:w="5140" w:type="dxa"/>
            <w:vAlign w:val="bottom"/>
          </w:tcPr>
          <w:p>
            <w:pPr>
              <w:jc w:val="center"/>
              <w:ind w:right="1179"/>
              <w:spacing w:after="0"/>
              <w:rPr>
                <w:sz w:val="20"/>
                <w:szCs w:val="20"/>
                <w:color w:val="auto"/>
              </w:rPr>
            </w:pPr>
            <w:r>
              <w:rPr>
                <w:rFonts w:ascii="Arial" w:cs="Arial" w:eastAsia="Arial" w:hAnsi="Arial"/>
                <w:sz w:val="14"/>
                <w:szCs w:val="14"/>
                <w:b w:val="1"/>
                <w:bCs w:val="1"/>
                <w:color w:val="auto"/>
                <w:w w:val="93"/>
              </w:rPr>
              <w:t>(State of incorporation or organization)</w:t>
            </w:r>
          </w:p>
        </w:tc>
        <w:tc>
          <w:tcPr>
            <w:tcW w:w="3460" w:type="dxa"/>
            <w:vAlign w:val="bottom"/>
          </w:tcPr>
          <w:p>
            <w:pPr>
              <w:jc w:val="center"/>
              <w:ind w:left="117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94"/>
        </w:trPr>
        <w:tc>
          <w:tcPr>
            <w:tcW w:w="5140" w:type="dxa"/>
            <w:vAlign w:val="bottom"/>
          </w:tcPr>
          <w:p>
            <w:pPr>
              <w:jc w:val="center"/>
              <w:ind w:right="1179"/>
              <w:spacing w:after="0"/>
              <w:rPr>
                <w:sz w:val="20"/>
                <w:szCs w:val="20"/>
                <w:color w:val="auto"/>
              </w:rPr>
            </w:pPr>
            <w:r>
              <w:rPr>
                <w:rFonts w:ascii="Arial" w:cs="Arial" w:eastAsia="Arial" w:hAnsi="Arial"/>
                <w:sz w:val="18"/>
                <w:szCs w:val="18"/>
                <w:b w:val="1"/>
                <w:bCs w:val="1"/>
                <w:color w:val="auto"/>
                <w:w w:val="91"/>
              </w:rPr>
              <w:t>15440 Laguna Canyon Road, Suite 160, Irvine, CA</w:t>
            </w:r>
          </w:p>
        </w:tc>
        <w:tc>
          <w:tcPr>
            <w:tcW w:w="3460" w:type="dxa"/>
            <w:vAlign w:val="bottom"/>
          </w:tcPr>
          <w:p>
            <w:pPr>
              <w:jc w:val="right"/>
              <w:ind w:right="799"/>
              <w:spacing w:after="0"/>
              <w:rPr>
                <w:sz w:val="20"/>
                <w:szCs w:val="20"/>
                <w:color w:val="auto"/>
              </w:rPr>
            </w:pPr>
            <w:r>
              <w:rPr>
                <w:rFonts w:ascii="Arial" w:cs="Arial" w:eastAsia="Arial" w:hAnsi="Arial"/>
                <w:sz w:val="18"/>
                <w:szCs w:val="18"/>
                <w:b w:val="1"/>
                <w:bCs w:val="1"/>
                <w:color w:val="auto"/>
              </w:rPr>
              <w:t>92618</w:t>
            </w:r>
          </w:p>
        </w:tc>
      </w:tr>
      <w:tr>
        <w:trPr>
          <w:trHeight w:val="186"/>
        </w:trPr>
        <w:tc>
          <w:tcPr>
            <w:tcW w:w="5140" w:type="dxa"/>
            <w:vAlign w:val="bottom"/>
          </w:tcPr>
          <w:p>
            <w:pPr>
              <w:jc w:val="center"/>
              <w:ind w:right="11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460" w:type="dxa"/>
            <w:vAlign w:val="bottom"/>
          </w:tcPr>
          <w:p>
            <w:pPr>
              <w:jc w:val="center"/>
              <w:ind w:left="1179"/>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235" w:lineRule="exact"/>
        <w:rPr>
          <w:sz w:val="24"/>
          <w:szCs w:val="24"/>
          <w:color w:val="auto"/>
        </w:rPr>
      </w:pPr>
    </w:p>
    <w:tbl>
      <w:tblPr>
        <w:tblLayout w:type="fixed"/>
        <w:tblInd w:w="112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580" w:type="dxa"/>
            <w:vAlign w:val="bottom"/>
            <w:gridSpan w:val="2"/>
          </w:tcPr>
          <w:p>
            <w:pPr>
              <w:jc w:val="center"/>
              <w:ind w:right="2370"/>
              <w:spacing w:after="0"/>
              <w:rPr>
                <w:sz w:val="20"/>
                <w:szCs w:val="20"/>
                <w:color w:val="auto"/>
              </w:rPr>
            </w:pPr>
            <w:r>
              <w:rPr>
                <w:rFonts w:ascii="Arial" w:cs="Arial" w:eastAsia="Arial" w:hAnsi="Arial"/>
                <w:sz w:val="14"/>
                <w:szCs w:val="14"/>
                <w:b w:val="1"/>
                <w:bCs w:val="1"/>
                <w:color w:val="auto"/>
                <w:w w:val="89"/>
              </w:rPr>
              <w:t>Title of each class</w:t>
            </w:r>
          </w:p>
        </w:tc>
        <w:tc>
          <w:tcPr>
            <w:tcW w:w="3760" w:type="dxa"/>
            <w:vAlign w:val="bottom"/>
            <w:gridSpan w:val="3"/>
          </w:tcPr>
          <w:p>
            <w:pPr>
              <w:jc w:val="center"/>
              <w:ind w:left="1222"/>
              <w:spacing w:after="0"/>
              <w:rPr>
                <w:sz w:val="20"/>
                <w:szCs w:val="20"/>
                <w:color w:val="auto"/>
              </w:rPr>
            </w:pPr>
            <w:r>
              <w:rPr>
                <w:rFonts w:ascii="Arial" w:cs="Arial" w:eastAsia="Arial" w:hAnsi="Arial"/>
                <w:sz w:val="14"/>
                <w:szCs w:val="14"/>
                <w:b w:val="1"/>
                <w:bCs w:val="1"/>
                <w:color w:val="auto"/>
                <w:w w:val="90"/>
              </w:rPr>
              <w:t>Name of each exchange on which</w:t>
            </w:r>
          </w:p>
        </w:tc>
      </w:tr>
      <w:tr>
        <w:trPr>
          <w:trHeight w:val="171"/>
        </w:trPr>
        <w:tc>
          <w:tcPr>
            <w:tcW w:w="1140" w:type="dxa"/>
            <w:vAlign w:val="bottom"/>
          </w:tcPr>
          <w:p>
            <w:pPr>
              <w:spacing w:after="0"/>
              <w:rPr>
                <w:sz w:val="14"/>
                <w:szCs w:val="14"/>
                <w:color w:val="auto"/>
              </w:rPr>
            </w:pPr>
          </w:p>
        </w:tc>
        <w:tc>
          <w:tcPr>
            <w:tcW w:w="3580" w:type="dxa"/>
            <w:vAlign w:val="bottom"/>
            <w:gridSpan w:val="2"/>
          </w:tcPr>
          <w:p>
            <w:pPr>
              <w:jc w:val="center"/>
              <w:ind w:right="2390"/>
              <w:spacing w:after="0"/>
              <w:rPr>
                <w:sz w:val="20"/>
                <w:szCs w:val="20"/>
                <w:color w:val="auto"/>
              </w:rPr>
            </w:pPr>
            <w:r>
              <w:rPr>
                <w:rFonts w:ascii="Arial" w:cs="Arial" w:eastAsia="Arial" w:hAnsi="Arial"/>
                <w:sz w:val="14"/>
                <w:szCs w:val="14"/>
                <w:b w:val="1"/>
                <w:bCs w:val="1"/>
                <w:color w:val="auto"/>
                <w:w w:val="87"/>
              </w:rPr>
              <w:t>to be so registered</w:t>
            </w:r>
          </w:p>
        </w:tc>
        <w:tc>
          <w:tcPr>
            <w:tcW w:w="3760" w:type="dxa"/>
            <w:vAlign w:val="bottom"/>
            <w:gridSpan w:val="3"/>
          </w:tcPr>
          <w:p>
            <w:pPr>
              <w:jc w:val="center"/>
              <w:ind w:left="1242"/>
              <w:spacing w:after="0"/>
              <w:rPr>
                <w:sz w:val="20"/>
                <w:szCs w:val="20"/>
                <w:color w:val="auto"/>
              </w:rPr>
            </w:pPr>
            <w:r>
              <w:rPr>
                <w:rFonts w:ascii="Arial" w:cs="Arial" w:eastAsia="Arial" w:hAnsi="Arial"/>
                <w:sz w:val="14"/>
                <w:szCs w:val="14"/>
                <w:b w:val="1"/>
                <w:bCs w:val="1"/>
                <w:color w:val="auto"/>
                <w:w w:val="88"/>
              </w:rPr>
              <w:t>each class is to be registered</w:t>
            </w:r>
          </w:p>
        </w:tc>
      </w:tr>
      <w:tr>
        <w:trPr>
          <w:trHeight w:val="228"/>
        </w:trPr>
        <w:tc>
          <w:tcPr>
            <w:tcW w:w="1140" w:type="dxa"/>
            <w:vAlign w:val="bottom"/>
          </w:tcPr>
          <w:p>
            <w:pPr>
              <w:spacing w:after="0"/>
              <w:rPr>
                <w:sz w:val="20"/>
                <w:szCs w:val="20"/>
                <w:color w:val="auto"/>
              </w:rPr>
            </w:pPr>
            <w:r>
              <w:rPr>
                <w:rFonts w:ascii="Arial" w:cs="Arial" w:eastAsia="Arial" w:hAnsi="Arial"/>
                <w:sz w:val="18"/>
                <w:szCs w:val="18"/>
                <w:b w:val="1"/>
                <w:bCs w:val="1"/>
                <w:color w:val="auto"/>
                <w:w w:val="81"/>
              </w:rPr>
              <w:t>Common Stock,</w:t>
            </w: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par value $</w:t>
            </w:r>
          </w:p>
        </w:tc>
        <w:tc>
          <w:tcPr>
            <w:tcW w:w="2460" w:type="dxa"/>
            <w:vAlign w:val="bottom"/>
          </w:tcPr>
          <w:p>
            <w:pPr>
              <w:spacing w:after="0"/>
              <w:rPr>
                <w:sz w:val="20"/>
                <w:szCs w:val="20"/>
                <w:color w:val="auto"/>
              </w:rPr>
            </w:pPr>
            <w:r>
              <w:rPr>
                <w:rFonts w:ascii="Arial" w:cs="Arial" w:eastAsia="Arial" w:hAnsi="Arial"/>
                <w:sz w:val="18"/>
                <w:szCs w:val="18"/>
                <w:b w:val="1"/>
                <w:bCs w:val="1"/>
                <w:color w:val="auto"/>
              </w:rPr>
              <w:t>0.0001 per share</w:t>
            </w:r>
          </w:p>
        </w:tc>
        <w:tc>
          <w:tcPr>
            <w:tcW w:w="1680" w:type="dxa"/>
            <w:vAlign w:val="bottom"/>
          </w:tcPr>
          <w:p>
            <w:pPr>
              <w:ind w:left="1320"/>
              <w:spacing w:after="0"/>
              <w:rPr>
                <w:sz w:val="20"/>
                <w:szCs w:val="20"/>
                <w:color w:val="auto"/>
              </w:rPr>
            </w:pPr>
            <w:r>
              <w:rPr>
                <w:rFonts w:ascii="Arial" w:cs="Arial" w:eastAsia="Arial" w:hAnsi="Arial"/>
                <w:sz w:val="18"/>
                <w:szCs w:val="18"/>
                <w:b w:val="1"/>
                <w:bCs w:val="1"/>
                <w:color w:val="auto"/>
              </w:rPr>
              <w:t>The</w:t>
            </w: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Stock Market</w:t>
            </w:r>
          </w:p>
        </w:tc>
        <w:tc>
          <w:tcPr>
            <w:tcW w:w="360" w:type="dxa"/>
            <w:vAlign w:val="bottom"/>
          </w:tcPr>
          <w:p>
            <w:pPr>
              <w:spacing w:after="0"/>
              <w:rPr>
                <w:sz w:val="20"/>
                <w:szCs w:val="20"/>
                <w:color w:val="auto"/>
              </w:rPr>
            </w:pPr>
            <w:r>
              <w:rPr>
                <w:rFonts w:ascii="Arial" w:cs="Arial" w:eastAsia="Arial" w:hAnsi="Arial"/>
                <w:sz w:val="18"/>
                <w:szCs w:val="18"/>
                <w:b w:val="1"/>
                <w:bCs w:val="1"/>
                <w:color w:val="auto"/>
                <w:w w:val="97"/>
              </w:rPr>
              <w:t>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219710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Act registration statement or Regulation A offering statement file number to which this form relates: </w:t>
      </w:r>
      <w:r>
        <w:rPr>
          <w:rFonts w:ascii="Arial" w:cs="Arial" w:eastAsia="Arial" w:hAnsi="Arial"/>
          <w:sz w:val="18"/>
          <w:szCs w:val="18"/>
          <w:b w:val="1"/>
          <w:bCs w:val="1"/>
          <w:color w:val="auto"/>
        </w:rPr>
        <w:t>333-249076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to be registered pursuant to Section 12(g) of the Act: </w:t>
      </w: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280"/>
          </w:cols>
          <w:pgMar w:left="440" w:top="368" w:right="117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For a description of Tarsus Pharmaceuticals, Inc. (the “Registrant”) common stock, par value $0.0001 per share (the “Common Stock”), to be registered hereunder, reference is made to the information set forth under the heading “Description of Capital Stock” in the Registrant’s prospectus that constitutes a part of the Registrant’s Registration Statement on Form S-1 (File No. 333-249076) as originally filed with the Securities and Exchange Commission (the “Commission”) on September 25, 2020, under the Securities Act of 1933, as amended (the “Securities Act”), including exhibits and any subsequent amendments thereto (the “Registration Statement”), which information is hereby incorporated by reference. The description of the Common Stock included in any form of prospectus that constitutes part of the Registration Statement subsequently filed by the Registrant with the Commission pursuant to Rule 424(b) under the Securities Act shall be deemed to be incorporated by reference herein.</w:t>
      </w:r>
    </w:p>
    <w:p>
      <w:pPr>
        <w:spacing w:after="0" w:line="31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 accordance with the “Instructions as to Exhibits” with respect to Form 8-A, no exhibits are required to be filed as part of this registration statement because no other securities of the Registrant are registered on The Nasdaq Stock Market LLC and the securities registered hereby are not being registered pursuant to Section 12(g) of the Securities Exchange Act of 1934, as amended.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as amended, the Registrant has duly caused this registration statement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9,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TARSUS PHARMACEUTICALS,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Bobak Azamian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Bobak Azamian, M.D., Ph.D.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Principal Executive Officer</w:t>
      </w:r>
    </w:p>
    <w:sectPr>
      <w:pgSz w:w="11900" w:h="16838" w:orient="portrait"/>
      <w:cols w:equalWidth="0" w:num="1">
        <w:col w:w="10320"/>
      </w:cols>
      <w:pgMar w:left="440" w:top="270"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2020-10-13T05:09:21Z</dcterms:created>
  <dcterms:modified xsi:type="dcterms:W3CDTF">2020-10-13T05:09:21Z</dcterms:modified>
</cp:coreProperties>
</file>