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8, 2024</w:t>
      </w:r>
    </w:p>
    <w:p>
      <w:pPr>
        <w:spacing w:after="0" w:line="2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20" w:type="dxa"/>
            <w:vAlign w:val="bottom"/>
            <w:vMerge w:val="restart"/>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272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w:t>
            </w:r>
          </w:p>
        </w:tc>
        <w:tc>
          <w:tcPr>
            <w:tcW w:w="29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720" w:type="dxa"/>
            <w:vAlign w:val="bottom"/>
          </w:tcPr>
          <w:p>
            <w:pPr>
              <w:jc w:val="center"/>
              <w:ind w:left="7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15440 Laguna Canyon Road, Suite 160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418-1801</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5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235"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8"/>
        </w:trPr>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TARS</w:t>
            </w: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7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97"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6"/>
          <w:szCs w:val="16"/>
          <w:color w:val="231F20"/>
        </w:rPr>
        <w:t>Emerging growth company</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231F20"/>
        </w:rPr>
        <w:t>☒</w:t>
      </w:r>
    </w:p>
    <w:p>
      <w:pPr>
        <w:spacing w:after="0" w:line="16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May 8, 2024, Tarsus Pharmaceuticals, Inc. (the “Company”) issued a press release, which, among other matters, sets forth the Company’s results of operations for the three months ended March 31, 2024. A copy of the press release is attached hereto as Exhibit 99.1 and is incorporated herein by reference.</w:t>
      </w:r>
    </w:p>
    <w:p>
      <w:pPr>
        <w:spacing w:after="0" w:line="19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33"/>
        </w:trPr>
        <w:tc>
          <w:tcPr>
            <w:tcW w:w="254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Exhibit No.</w:t>
            </w:r>
          </w:p>
        </w:tc>
        <w:tc>
          <w:tcPr>
            <w:tcW w:w="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40" w:type="dxa"/>
            <w:vAlign w:val="bottom"/>
          </w:tcPr>
          <w:p>
            <w:pPr>
              <w:spacing w:after="0"/>
              <w:rPr>
                <w:sz w:val="24"/>
                <w:szCs w:val="24"/>
                <w:color w:val="auto"/>
              </w:rPr>
            </w:pPr>
          </w:p>
        </w:tc>
      </w:tr>
      <w:tr>
        <w:trPr>
          <w:trHeight w:val="203"/>
        </w:trPr>
        <w:tc>
          <w:tcPr>
            <w:tcW w:w="2540" w:type="dxa"/>
            <w:vAlign w:val="bottom"/>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Press Release dated May 8, 2024.</w:t>
            </w:r>
          </w:p>
        </w:tc>
      </w:tr>
      <w:tr>
        <w:trPr>
          <w:trHeight w:val="20"/>
        </w:trPr>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r>
      <w:tr>
        <w:trPr>
          <w:trHeight w:val="291"/>
        </w:trPr>
        <w:tc>
          <w:tcPr>
            <w:tcW w:w="2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XBRL document)</w:t>
            </w:r>
          </w:p>
        </w:tc>
      </w:tr>
      <w:tr>
        <w:trPr>
          <w:trHeight w:val="1019"/>
        </w:trPr>
        <w:tc>
          <w:tcPr>
            <w:tcW w:w="2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0" w:lineRule="exact"/>
        <w:rPr>
          <w:sz w:val="20"/>
          <w:szCs w:val="20"/>
          <w:color w:val="auto"/>
        </w:rPr>
      </w:pPr>
    </w:p>
    <w:p>
      <w:pPr>
        <w:ind w:left="40"/>
        <w:spacing w:after="0"/>
        <w:tabs>
          <w:tab w:leader="none" w:pos="660" w:val="left"/>
          <w:tab w:leader="none" w:pos="3560" w:val="left"/>
        </w:tabs>
        <w:rPr>
          <w:sz w:val="20"/>
          <w:szCs w:val="20"/>
          <w:color w:val="auto"/>
        </w:rPr>
      </w:pPr>
      <w:r>
        <w:rPr>
          <w:rFonts w:ascii="Times New Roman" w:cs="Times New Roman" w:eastAsia="Times New Roman" w:hAnsi="Times New Roman"/>
          <w:sz w:val="18"/>
          <w:szCs w:val="18"/>
          <w:color w:val="auto"/>
        </w:rPr>
        <w:t>Date:</w:t>
        <w:tab/>
        <w:t>May 8, 2024</w:t>
      </w:r>
      <w:r>
        <w:rPr>
          <w:sz w:val="20"/>
          <w:szCs w:val="20"/>
          <w:color w:val="auto"/>
        </w:rPr>
        <w:tab/>
      </w:r>
      <w:r>
        <w:rPr>
          <w:rFonts w:ascii="Times New Roman" w:cs="Times New Roman" w:eastAsia="Times New Roman" w:hAnsi="Times New Roman"/>
          <w:sz w:val="17"/>
          <w:szCs w:val="17"/>
          <w:color w:val="auto"/>
        </w:rPr>
        <w:t>/s/ Jeffrey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720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4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Jeffrey Farrow</w:t>
      </w:r>
    </w:p>
    <w:p>
      <w:pPr>
        <w:spacing w:after="0" w:line="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p>
      <w:pPr>
        <w:spacing w:after="0" w:line="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117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911860</wp:posOffset>
            </wp:positionV>
            <wp:extent cx="1440180"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Reports First Quarter 2024 Financial Results and Recent Business Achievements</w:t>
      </w:r>
    </w:p>
    <w:p>
      <w:pPr>
        <w:spacing w:after="0" w:line="251" w:lineRule="exact"/>
        <w:rPr>
          <w:sz w:val="20"/>
          <w:szCs w:val="20"/>
          <w:color w:val="auto"/>
        </w:rPr>
      </w:pPr>
    </w:p>
    <w:p>
      <w:pPr>
        <w:jc w:val="center"/>
        <w:ind w:left="380" w:right="120"/>
        <w:spacing w:after="0" w:line="225" w:lineRule="auto"/>
        <w:rPr>
          <w:sz w:val="20"/>
          <w:szCs w:val="20"/>
          <w:color w:val="auto"/>
        </w:rPr>
      </w:pPr>
      <w:r>
        <w:rPr>
          <w:rFonts w:ascii="Times New Roman" w:cs="Times New Roman" w:eastAsia="Times New Roman" w:hAnsi="Times New Roman"/>
          <w:sz w:val="18"/>
          <w:szCs w:val="18"/>
          <w:i w:val="1"/>
          <w:iCs w:val="1"/>
          <w:color w:val="auto"/>
        </w:rPr>
        <w:t>Generated $24.7 million in net product sales of XDEMVY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an 89% increase over Q4 2023, and delivered approximately 26,000 bottles of XDEMVY to patients</w:t>
      </w:r>
    </w:p>
    <w:p>
      <w:pPr>
        <w:spacing w:after="0" w:line="196" w:lineRule="exact"/>
        <w:rPr>
          <w:sz w:val="20"/>
          <w:szCs w:val="20"/>
          <w:color w:val="auto"/>
        </w:rPr>
      </w:pPr>
    </w:p>
    <w:p>
      <w:pPr>
        <w:jc w:val="center"/>
        <w:ind w:left="360"/>
        <w:spacing w:after="0" w:line="268" w:lineRule="auto"/>
        <w:rPr>
          <w:sz w:val="20"/>
          <w:szCs w:val="20"/>
          <w:color w:val="auto"/>
        </w:rPr>
      </w:pPr>
      <w:r>
        <w:rPr>
          <w:rFonts w:ascii="Times New Roman" w:cs="Times New Roman" w:eastAsia="Times New Roman" w:hAnsi="Times New Roman"/>
          <w:sz w:val="18"/>
          <w:szCs w:val="18"/>
          <w:i w:val="1"/>
          <w:iCs w:val="1"/>
          <w:color w:val="auto"/>
        </w:rPr>
        <w:t>Secured multiple commercial payer contracts and remain on-track for broad commercial coverage by the end of 2024 and Medicare coverage beginning in 2025</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Expanded sales force on-track to be in the field by the end of the third quarter 2024</w:t>
      </w:r>
    </w:p>
    <w:p>
      <w:pPr>
        <w:spacing w:after="0" w:line="239" w:lineRule="exact"/>
        <w:rPr>
          <w:sz w:val="20"/>
          <w:szCs w:val="20"/>
          <w:color w:val="auto"/>
        </w:rPr>
      </w:pPr>
    </w:p>
    <w:p>
      <w:pPr>
        <w:jc w:val="center"/>
        <w:ind w:left="380" w:right="880"/>
        <w:spacing w:after="0" w:line="268" w:lineRule="auto"/>
        <w:rPr>
          <w:sz w:val="20"/>
          <w:szCs w:val="20"/>
          <w:color w:val="auto"/>
        </w:rPr>
      </w:pPr>
      <w:r>
        <w:rPr>
          <w:rFonts w:ascii="Times New Roman" w:cs="Times New Roman" w:eastAsia="Times New Roman" w:hAnsi="Times New Roman"/>
          <w:sz w:val="18"/>
          <w:szCs w:val="18"/>
          <w:i w:val="1"/>
          <w:iCs w:val="1"/>
          <w:color w:val="auto"/>
        </w:rPr>
        <w:t>Strengthened financial position with an approximately $108 million public equity offering and $200 million financing commitment Management to host conference call today, May 8, 2024, at 1:30 p.m. P.T. / 4:30 p.m. E.T.</w:t>
      </w:r>
    </w:p>
    <w:p>
      <w:pPr>
        <w:spacing w:after="0" w:line="200" w:lineRule="exact"/>
        <w:rPr>
          <w:sz w:val="20"/>
          <w:szCs w:val="20"/>
          <w:color w:val="auto"/>
        </w:rPr>
      </w:pP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IRVINE, Calif., May 8, 2024 (GLOBE NEWSWIRE) </w:t>
      </w:r>
      <w:r>
        <w:rPr>
          <w:rFonts w:ascii="Times New Roman" w:cs="Times New Roman" w:eastAsia="Times New Roman" w:hAnsi="Times New Roman"/>
          <w:sz w:val="18"/>
          <w:szCs w:val="18"/>
          <w:color w:val="auto"/>
        </w:rPr>
        <w:t>-- Tarsus Pharmaceuticals, Inc. (NASDAQ: TARS), whose mission is to focus on unmet needs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apply proven science and new technology to revolutionize treatment for patients, starting with eye care, today announced financial results for the first quarter ended March 31, 2024.</w:t>
      </w:r>
    </w:p>
    <w:p>
      <w:pPr>
        <w:spacing w:after="0" w:line="20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 xml:space="preserve">“This was another tremendous quarter for Tarsus as we continued building a new category in eye care to serve millions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patients with XDEMVY,” said Bobak Azamian, M.D., Ph.D., Chief Executive Officer and Chairman of Tarsus. “Our team continues to grow eye care provider adoption at an encouraging rate and enable patient access through payer contracting, and our strong balance sheet enables us to expand our sales force and continue accelerating our launch trajectory. We look forward to continuing to demonstrate our executional strength as we deliver on our mission of creating new categories in eye care and beyond.”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24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to execute on the commercial launch of XDEMVY in the first quarter</w:t>
      </w:r>
    </w:p>
    <w:p>
      <w:pPr>
        <w:spacing w:after="0" w:line="15" w:lineRule="exact"/>
        <w:rPr>
          <w:rFonts w:ascii="Times New Roman" w:cs="Times New Roman" w:eastAsia="Times New Roman" w:hAnsi="Times New Roman"/>
          <w:sz w:val="18"/>
          <w:szCs w:val="18"/>
          <w:color w:val="auto"/>
        </w:rPr>
      </w:pPr>
    </w:p>
    <w:p>
      <w:pPr>
        <w:ind w:left="1300" w:hanging="320"/>
        <w:spacing w:after="0" w:line="219" w:lineRule="auto"/>
        <w:tabs>
          <w:tab w:leader="none" w:pos="130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Generated $24.7 million in XDEMVY net product sales, an 89% increase over Q4 2023</w:t>
      </w:r>
    </w:p>
    <w:p>
      <w:pPr>
        <w:ind w:left="1300" w:hanging="320"/>
        <w:spacing w:after="0" w:line="234"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approximately 26,000 bottles of XDEMVY to patients, an increase of 65% over Q4 2023</w:t>
      </w:r>
    </w:p>
    <w:p>
      <w:pPr>
        <w:ind w:left="1300" w:right="300" w:hanging="320"/>
        <w:spacing w:after="0" w:line="234"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8,000 ECPs, as of May 3, 2024, have started patients on XDEMVY since launch with more than 50% of ECPs prescribing XDEMVY to multiple patients</w:t>
      </w:r>
    </w:p>
    <w:p>
      <w:pPr>
        <w:spacing w:after="0" w:line="1" w:lineRule="exact"/>
        <w:rPr>
          <w:rFonts w:ascii="Times New Roman" w:cs="Times New Roman" w:eastAsia="Times New Roman" w:hAnsi="Times New Roman"/>
          <w:sz w:val="18"/>
          <w:szCs w:val="18"/>
          <w:color w:val="auto"/>
        </w:rPr>
      </w:pPr>
    </w:p>
    <w:p>
      <w:pPr>
        <w:ind w:left="1300" w:right="140" w:hanging="320"/>
        <w:spacing w:after="0" w:line="243"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expected, gross-to-net discounts remained consistent at approximately 55% given the impact of typical first quarter dynamics on net sales</w:t>
      </w:r>
    </w:p>
    <w:p>
      <w:pPr>
        <w:spacing w:after="0" w:line="208" w:lineRule="exact"/>
        <w:rPr>
          <w:rFonts w:ascii="Times New Roman" w:cs="Times New Roman" w:eastAsia="Times New Roman" w:hAnsi="Times New Roman"/>
          <w:sz w:val="18"/>
          <w:szCs w:val="18"/>
          <w:color w:val="auto"/>
        </w:rPr>
      </w:pPr>
    </w:p>
    <w:p>
      <w:pPr>
        <w:ind w:left="660" w:right="420" w:hanging="328"/>
        <w:spacing w:after="0" w:line="265"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Launched the "Mite Party" campaign, a dynamic, multi-channel consumer marketing campaign for XDEMVY designed to elevate consumer awareness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through relatable messaging and compelling visuals</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expand payer coverage of XDEMVY</w:t>
      </w:r>
    </w:p>
    <w:p>
      <w:pPr>
        <w:spacing w:after="0" w:line="15" w:lineRule="exact"/>
        <w:rPr>
          <w:rFonts w:ascii="Times New Roman" w:cs="Times New Roman" w:eastAsia="Times New Roman" w:hAnsi="Times New Roman"/>
          <w:sz w:val="18"/>
          <w:szCs w:val="18"/>
          <w:color w:val="auto"/>
        </w:rPr>
      </w:pPr>
    </w:p>
    <w:p>
      <w:pPr>
        <w:ind w:left="1300" w:right="80" w:hanging="320"/>
        <w:spacing w:after="0" w:line="243"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several contracts, including two major commercial plans with approximately 18 million covered lives that placed XDEMVY on preferred status, and expect to begin recognizing the benefits of these contracts in Q2 2024</w:t>
      </w:r>
    </w:p>
    <w:p>
      <w:pPr>
        <w:sectPr>
          <w:pgSz w:w="11900" w:h="16838" w:orient="portrait"/>
          <w:cols w:equalWidth="0" w:num="1">
            <w:col w:w="11200"/>
          </w:cols>
          <w:pgMar w:left="320" w:top="1440" w:right="379" w:bottom="1440" w:gutter="0" w:footer="0" w:header="0"/>
        </w:sectPr>
      </w:pPr>
    </w:p>
    <w:bookmarkStart w:id="4" w:name="page5"/>
    <w:bookmarkEnd w:id="4"/>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on-track for expected broad commercial coverage by the end of 2024 and Medicare coverage beginning in 2025</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On-track with plans to deploy approximately 50 additional sales force representatives and leaders by the end of Q3 2024</w:t>
      </w:r>
    </w:p>
    <w:p>
      <w:pPr>
        <w:spacing w:after="0" w:line="238"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independent meta-analyses of randomized controlled trials (Akhtar et al. and Talha et al.), now four in total, demonstrating the efficacy of XDEMVY were published in peer-reviewed journals</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advance the pipeline and on-track with plans to engage with the FDA on TP-03 (Meibomian Gland Disease), TP-04 (Papulopustular Rosacea) and TP-05 (Lyme disease prevention) by year end 2024</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$200 million non-dilutive credit facility in April 2024</w:t>
      </w:r>
    </w:p>
    <w:p>
      <w:pPr>
        <w:spacing w:after="0" w:line="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to draw $75 million at the close, providing approximately $40 million net after the repayment of the previous facility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Results</w:t>
      </w:r>
    </w:p>
    <w:p>
      <w:pPr>
        <w:spacing w:after="0" w:line="20" w:lineRule="exact"/>
        <w:rPr>
          <w:sz w:val="20"/>
          <w:szCs w:val="20"/>
          <w:color w:val="auto"/>
        </w:rPr>
      </w:pPr>
    </w:p>
    <w:p>
      <w:pPr>
        <w:ind w:left="660" w:right="100" w:hanging="328"/>
        <w:spacing w:after="0" w:line="243"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revenues were $27.6 million, driven primarily by $24.7 million in net product sales, and $2.9 million in license fees and collaboration revenue.</w:t>
      </w:r>
    </w:p>
    <w:p>
      <w:pPr>
        <w:spacing w:after="0" w:line="208"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were $1.7 million, due to manufacturing costs incurred after the approval of XDEMVY, the royalty we pay on net product sales and the amortization of the $4.0 million approval milestone we paid to our licensor and are amortizing over a 10-year period.</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(R&amp;D) expenses were $12.1 million for the first quarter of 2024 compared to $12.4 million for the same period in 2023.</w:t>
      </w:r>
    </w:p>
    <w:p>
      <w:pPr>
        <w:spacing w:after="0" w:line="36" w:lineRule="exact"/>
        <w:rPr>
          <w:sz w:val="20"/>
          <w:szCs w:val="20"/>
          <w:color w:val="auto"/>
        </w:rPr>
      </w:pPr>
    </w:p>
    <w:p>
      <w:pPr>
        <w:ind w:left="660" w:right="100"/>
        <w:spacing w:after="0" w:line="250" w:lineRule="auto"/>
        <w:rPr>
          <w:sz w:val="20"/>
          <w:szCs w:val="20"/>
          <w:color w:val="auto"/>
        </w:rPr>
      </w:pPr>
      <w:r>
        <w:rPr>
          <w:rFonts w:ascii="Times New Roman" w:cs="Times New Roman" w:eastAsia="Times New Roman" w:hAnsi="Times New Roman"/>
          <w:sz w:val="18"/>
          <w:szCs w:val="18"/>
          <w:color w:val="auto"/>
        </w:rPr>
        <w:t>The decrease was due to $1.6 million less program spend for TP-05 and $1.0 million less in Elanco milestone expenses, partially offset by $1.5 million of payroll expense (including non-cash stock-based compensation). Total R&amp;D non-cash stock compensation expense incurred in the first quarter of 2024, was $1.5 million, compared with $1.2 million in the same period in 2023.</w:t>
      </w:r>
    </w:p>
    <w:p>
      <w:pPr>
        <w:spacing w:after="0" w:line="204" w:lineRule="exact"/>
        <w:rPr>
          <w:sz w:val="20"/>
          <w:szCs w:val="20"/>
          <w:color w:val="auto"/>
        </w:rPr>
      </w:pPr>
    </w:p>
    <w:p>
      <w:pPr>
        <w:ind w:left="660" w:hanging="328"/>
        <w:spacing w:after="0" w:line="239" w:lineRule="auto"/>
        <w:tabs>
          <w:tab w:leader="none" w:pos="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(SG&amp;A) expenses were $51.6 million for the first quarter of 2024 compared to $15.1 million for the same period in 2023. The increase was due primarily to $11.3 million of payroll and personnel-related expense (including non-cash stock-based compensation) and $12.2 million of commercial and market research costs related to our commercial launch of XDEMVY, $12.7 million of increased IT applications, legal, professional and other corporate expenses. Total SG&amp;A non-cash stock compensation expense incurred in the first quarter of 2024, was $3.9 million, compared with $2.7 million in the same period in 2023.</w:t>
      </w:r>
    </w:p>
    <w:p>
      <w:pPr>
        <w:spacing w:after="0" w:line="25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first quarter of 2024 was $35.7 million, compared to a net loss of $23.4 million for the same period in 2023. Basic and diluted net loss per share for the quarter ended March 31, 2024 was $(1.01), compared with $(0.88) for the same period in 2023.</w:t>
      </w:r>
    </w:p>
    <w:p>
      <w:pPr>
        <w:spacing w:after="0" w:line="18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5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cash, cash equivalents and marketable securities were $298.5 million, which includes the receipt of approximately $108 million of net proceeds received from our follow-on offering completed in March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Tarsus will host a conference call and webcast to discuss its first quarter 2024 financial results and business highlights today, May 8, 2024, at 1:30 p.m. P.T.</w:t>
      </w:r>
    </w:p>
    <w:p>
      <w:pPr>
        <w:spacing w:after="0" w:line="7" w:lineRule="exact"/>
        <w:rPr>
          <w:sz w:val="20"/>
          <w:szCs w:val="20"/>
          <w:color w:val="auto"/>
        </w:rPr>
      </w:pPr>
    </w:p>
    <w:p>
      <w:pPr>
        <w:ind w:right="140" w:firstLine="8"/>
        <w:spacing w:after="0" w:line="243" w:lineRule="auto"/>
        <w:tabs>
          <w:tab w:leader="none" w:pos="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4:30 p.m. ET. A live webcast will be available on the events section of the Tarsus website. A recorded version of the call will be available on the website shortly after the completion of the call and will be archived there for at least 90 days.</w:t>
      </w:r>
    </w:p>
    <w:p>
      <w:pPr>
        <w:sectPr>
          <w:pgSz w:w="11900" w:h="16838" w:orient="portrait"/>
          <w:cols w:equalWidth="0" w:num="1">
            <w:col w:w="11240"/>
          </w:cols>
          <w:pgMar w:left="320" w:top="14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XDEMVY</w:t>
      </w:r>
      <w:r>
        <w:rPr>
          <w:rFonts w:ascii="Times New Roman" w:cs="Times New Roman" w:eastAsia="Times New Roman" w:hAnsi="Times New Roman"/>
          <w:sz w:val="23"/>
          <w:szCs w:val="23"/>
          <w:b w:val="1"/>
          <w:bCs w:val="1"/>
          <w:color w:val="auto"/>
          <w:vertAlign w:val="superscript"/>
        </w:rPr>
        <w:t>®</w:t>
      </w: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XDEMVY (lotilaner ophthalmic solution) 0.25%, formerly known as TP-03, is a novel prescription eye drop designed to treat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by targeting and eradicating the root cause of the disease –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 infestation. XDEMVY was evaluated in two pivotal trials collectively involving more than 800 patients. Both trials met the primary endpoint and all secondary endpoints, with statistical significance and no serious treatment-related adverse events. Most patients found the XDEMVY eye drop to be neutral to very comfortable. The most common ocular adverse reactions observed in the studies were instillation site stinging and burning which was reported in 10% of patients. Other ocular adverse reactions reported by less than 2% of patients were chalazion/hordeolum (stye) and punctate keratitis.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XDEMVY Indication and Important Safety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INDICATIONS AND USAGE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XDEMVY is indicated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w:t>
      </w:r>
    </w:p>
    <w:p>
      <w:pPr>
        <w:spacing w:after="0" w:line="23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Most common side effects</w:t>
      </w:r>
      <w:r>
        <w:rPr>
          <w:rFonts w:ascii="Times New Roman" w:cs="Times New Roman" w:eastAsia="Times New Roman" w:hAnsi="Times New Roman"/>
          <w:sz w:val="18"/>
          <w:szCs w:val="18"/>
          <w:color w:val="auto"/>
        </w:rPr>
        <w:t>: The most common side effect in clinical trials was stinging and burning in 10% of patients. Other side effects in less than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patients were chalazion/hordeolum and punctate keratitis.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full prescribing information available at: https://xdemvy.com/.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TP-03</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TP-03 (lotilaner ophthalmic solution) 0.25% is a novel therapeutic designed to treat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by targeting and eradicating the root cause of disease –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 infestation. It was approved by the FDA in 2023 under the brand name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is being evaluated as an investigational therapy for the treatment of Meibomian Gland Disease (MGD) in patients with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mites. Lotilaner is a well-characterized anti-parasitic agent that paralyzes and eradicates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mites by selectively inhibiting parasite-specific gamma-aminobutyric acid-gated chloride (GABA-Cl) channels. It is a highly lipophilic molecule, which may promote its uptake in the oily sebum of the eye lash follicles where the mites reside.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TP-04</w:t>
      </w:r>
    </w:p>
    <w:p>
      <w:pPr>
        <w:spacing w:after="0" w:line="3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TP-04 is an aqueous gel formulation of lotilaner, a well-characterized anti-parasitic agent that paralyzes and kills ticks by selectively inhibiting parasite-specific GABA-Cl channels. Tarsus is studying TP-04 for the treatment of papulopustular rosacea (PPR).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TP-05</w:t>
      </w:r>
    </w:p>
    <w:p>
      <w:pPr>
        <w:spacing w:after="0" w:line="3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TP-05 is an oral systemic formulation of lotilaner, a well-characterized anti-parasitic agent that selectively inhibits parasite-specific GABA-Cl channels. TP-05 is believed to be the only non-vaccine, drug-based, preventative therapeutic in development designed to kill ticks to potentially prevent Lyme disease transmission.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Tarsus Pharmaceuticals, Inc.</w:t>
      </w:r>
    </w:p>
    <w:p>
      <w:pPr>
        <w:spacing w:after="0" w:line="2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 (lotilaner ophthalmic solution) 0.25% is FDA approved in the United States for the treatment of </w:t>
      </w:r>
      <w:r>
        <w:rPr>
          <w:rFonts w:ascii="Times New Roman" w:cs="Times New Roman" w:eastAsia="Times New Roman" w:hAnsi="Times New Roman"/>
          <w:sz w:val="18"/>
          <w:szCs w:val="18"/>
          <w:i w:val="1"/>
          <w:iCs w:val="1"/>
          <w:color w:val="auto"/>
        </w:rPr>
        <w:t>Demodex</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blepharitis. Tarsus is also developing TP-03 as an investigational therapy for the treatment of Meibomian Gland Disease, TP-04 for the treatment of rosacea and TP-05 as an oral tablet for the prevention of Lyme disease, all of which are in Phase 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Statements in this press release about future expectations, plans and prospects, as well as any other statements regarding matters that are not historical facts, may constitute “forward-looking statements.” These statements include statements regarding the potential commercial success and growth of XDEMVY in </w:t>
      </w:r>
      <w:r>
        <w:rPr>
          <w:rFonts w:ascii="Times New Roman" w:cs="Times New Roman" w:eastAsia="Times New Roman" w:hAnsi="Times New Roman"/>
          <w:sz w:val="18"/>
          <w:szCs w:val="18"/>
          <w:i w:val="1"/>
          <w:iCs w:val="1"/>
          <w:color w:val="auto"/>
        </w:rPr>
        <w:t xml:space="preserve">Demodex </w:t>
      </w:r>
      <w:r>
        <w:rPr>
          <w:rFonts w:ascii="Times New Roman" w:cs="Times New Roman" w:eastAsia="Times New Roman" w:hAnsi="Times New Roman"/>
          <w:sz w:val="18"/>
          <w:szCs w:val="18"/>
          <w:color w:val="auto"/>
        </w:rPr>
        <w:t>blepharitis, including market size, acceptance, demand, prescription fill rate and adoption rate for XDEMVY;</w:t>
      </w:r>
    </w:p>
    <w:p>
      <w:pPr>
        <w:sectPr>
          <w:pgSz w:w="11900" w:h="16838" w:orient="portrait"/>
          <w:cols w:equalWidth="0" w:num="1">
            <w:col w:w="11240"/>
          </w:cols>
          <w:pgMar w:left="320" w:top="1389" w:right="339" w:bottom="1440" w:gutter="0" w:footer="0" w:header="0"/>
        </w:sectPr>
      </w:pPr>
    </w:p>
    <w:bookmarkStart w:id="6" w:name="page7"/>
    <w:bookmarkEnd w:id="6"/>
    <w:p>
      <w:pPr>
        <w:spacing w:after="0" w:line="234" w:lineRule="auto"/>
        <w:rPr>
          <w:sz w:val="20"/>
          <w:szCs w:val="20"/>
          <w:color w:val="auto"/>
        </w:rPr>
      </w:pPr>
      <w:r>
        <w:rPr>
          <w:rFonts w:ascii="Times New Roman" w:cs="Times New Roman" w:eastAsia="Times New Roman" w:hAnsi="Times New Roman"/>
          <w:sz w:val="18"/>
          <w:szCs w:val="18"/>
          <w:color w:val="auto"/>
        </w:rPr>
        <w:t xml:space="preserve">our ability to successfully implement our sales force expansion; our ability to achieve distribution and patient access for XDEMVY and timing and breadth of payer coverage; our ability to continue to educate the market about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the timing, objectives, and results of the clinical trials including the complete clinical results of the Ersa, Carpo, and Galatea trials, anticipated regulatory and development milestones, our ability to continue investing in our business,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is heavily dependent on the successful commercialization of its lead product,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the development and regulatory approval and commercialization of its current and future product candidates; Tarsus’ ability to obtain and maintain regulatory approval for and successfully commercialize its products, including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its product candidates to meet existing and future regulatory standards; Tarsus has incurred significant losses and negative cash flows from operations since inception and anticipates that it will continue to incur significant expenses and losses for the foreseeable future; Tarsus’ capital requirements are difficult to predict and may change; Tarsus may need to obtain additional funding to achieve its goals and a failure to obtain this necessary capital when needed on acceptable terms, or at all, could force Tarsus to delay, reduce, or eliminate its product development programs, commercialization efforts or other operations; Tarsus may not be successful in educating healthcare professionals and the market about the need for treatments specifically for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other diseases targeted by XDEMVY or our product candidates; the development and commercialization of Tarsus products is dependent on intellectual property it licenses from Elanco Tiergesundheit AG; Tarsus expects to expand its development, regulatory, operational and sales and marketing capabilities and Tarsus may encounter difficulties in managing its growth, which could disrupt its operations; the sizes of the market opportunity for XDEMVY and Tarsus’ product candidates, particularly TP-03 for the treatment of MGD, TP-04 for the treatment of Rosacea, as well as TP-05 for the prevention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and if Tarsus is unable to access capital (including but not limited to cash, cash equivalents, and credit facilities) and/or loses capital, as a result of potential failure of any financial institutions that Tarsus does business with directly or indirectly. Further, there are other risks and uncertainties that could cause actual results to differ from those set forth in the forward-looking statements and they are detailed from time to time in the reports Tarsus files with the Securities and Exchange Commission, including Tarsus’ Form 10-K for the year ended December 31, 2023 filed on February 27, 2024 and the most recent Form 10-Q quarterly filing filed with the SEC,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earnings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ectPr>
          <w:pgSz w:w="11900" w:h="16838" w:orient="portrait"/>
          <w:cols w:equalWidth="0" w:num="1">
            <w:col w:w="11240"/>
          </w:cols>
          <w:pgMar w:left="320" w:top="1404" w:right="339" w:bottom="1440" w:gutter="0" w:footer="0" w:header="0"/>
        </w:sectPr>
      </w:pPr>
    </w:p>
    <w:bookmarkStart w:id="7" w:name="page8"/>
    <w:bookmarkEnd w:id="7"/>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Adrienne Kemp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Sr. Director, Corporate Communications</w:t>
      </w:r>
    </w:p>
    <w:p>
      <w:pPr>
        <w:spacing w:after="0" w:line="75" w:lineRule="exact"/>
        <w:rPr>
          <w:sz w:val="20"/>
          <w:szCs w:val="20"/>
          <w:color w:val="auto"/>
        </w:rPr>
      </w:pPr>
    </w:p>
    <w:p>
      <w:pPr>
        <w:ind w:left="440" w:hanging="43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922-0801</w:t>
      </w:r>
    </w:p>
    <w:p>
      <w:pPr>
        <w:spacing w:after="0" w:line="6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akemp@tarsusrx.com</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Nakasone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63" w:lineRule="exact"/>
        <w:rPr>
          <w:sz w:val="20"/>
          <w:szCs w:val="20"/>
          <w:color w:val="auto"/>
        </w:rPr>
      </w:pPr>
    </w:p>
    <w:p>
      <w:pPr>
        <w:ind w:right="8179" w:firstLine="6"/>
        <w:spacing w:after="0" w:line="297"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620-3223 DNakasone@tarsusrx.com</w:t>
      </w:r>
    </w:p>
    <w:p>
      <w:pPr>
        <w:sectPr>
          <w:pgSz w:w="11900" w:h="16838" w:orient="portrait"/>
          <w:cols w:equalWidth="0" w:num="1">
            <w:col w:w="10119"/>
          </w:cols>
          <w:pgMar w:left="340" w:top="1440" w:right="1440" w:bottom="1440" w:gutter="0" w:footer="0" w:header="0"/>
        </w:sectPr>
      </w:pPr>
    </w:p>
    <w:bookmarkStart w:id="8" w:name="page9"/>
    <w:bookmarkEnd w:id="8"/>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CONDENSED STATEMENTS OF OPERATIONS AND COMPREHENSIVE LOSS </w:t>
      </w:r>
      <w:r>
        <w:rPr>
          <w:rFonts w:ascii="Times New Roman" w:cs="Times New Roman" w:eastAsia="Times New Roman" w:hAnsi="Times New Roman"/>
          <w:sz w:val="18"/>
          <w:szCs w:val="18"/>
          <w:color w:val="auto"/>
        </w:rPr>
        <w:t>(In thousands, except share and per share amounts) (unaudited)</w:t>
      </w:r>
    </w:p>
    <w:p>
      <w:pPr>
        <w:spacing w:after="0" w:line="200" w:lineRule="exact"/>
        <w:rPr>
          <w:sz w:val="20"/>
          <w:szCs w:val="20"/>
          <w:color w:val="auto"/>
        </w:rPr>
      </w:pPr>
    </w:p>
    <w:p>
      <w:pPr>
        <w:spacing w:after="0" w:line="250"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0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 sales, net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24,720</w:t>
            </w:r>
          </w:p>
        </w:tc>
        <w:tc>
          <w:tcPr>
            <w:tcW w:w="56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License fees and collaboration revenue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5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27,614</w:t>
            </w:r>
          </w:p>
        </w:tc>
        <w:tc>
          <w:tcPr>
            <w:tcW w:w="5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53"/>
        </w:trPr>
        <w:tc>
          <w:tcPr>
            <w:tcW w:w="70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sales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12,356</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51,578</w:t>
            </w:r>
          </w:p>
        </w:tc>
        <w:tc>
          <w:tcPr>
            <w:tcW w:w="5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15,096</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65,298</w:t>
            </w:r>
          </w:p>
        </w:tc>
        <w:tc>
          <w:tcPr>
            <w:tcW w:w="5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27,452</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 before other income (expense)</w:t>
            </w: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(37,684)</w:t>
            </w:r>
          </w:p>
        </w:tc>
        <w:tc>
          <w:tcPr>
            <w:tcW w:w="5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(24,952)</w:t>
            </w:r>
          </w:p>
        </w:tc>
        <w:tc>
          <w:tcPr>
            <w:tcW w:w="0" w:type="dxa"/>
            <w:vAlign w:val="bottom"/>
          </w:tcPr>
          <w:p>
            <w:pPr>
              <w:spacing w:after="0"/>
              <w:rPr>
                <w:sz w:val="1"/>
                <w:szCs w:val="1"/>
                <w:color w:val="auto"/>
              </w:rPr>
            </w:pP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0" w:type="dxa"/>
            <w:vAlign w:val="bottom"/>
          </w:tcPr>
          <w:p>
            <w:pPr>
              <w:spacing w:after="0"/>
              <w:rPr>
                <w:sz w:val="1"/>
                <w:szCs w:val="1"/>
                <w:color w:val="auto"/>
              </w:rPr>
            </w:pP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net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loss on equity investments</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equity warrants issued by licensee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5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other income, net</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5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0" w:type="dxa"/>
            <w:vAlign w:val="bottom"/>
          </w:tcPr>
          <w:p>
            <w:pPr>
              <w:spacing w:after="0"/>
              <w:rPr>
                <w:sz w:val="1"/>
                <w:szCs w:val="1"/>
                <w:color w:val="auto"/>
              </w:rPr>
            </w:pPr>
          </w:p>
        </w:tc>
      </w:tr>
      <w:tr>
        <w:trPr>
          <w:trHeight w:val="23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(35,731)</w:t>
            </w:r>
          </w:p>
        </w:tc>
        <w:tc>
          <w:tcPr>
            <w:tcW w:w="5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(loss) gain on marketable securities and cash equivalents</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5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(35,792)</w:t>
            </w:r>
          </w:p>
        </w:tc>
        <w:tc>
          <w:tcPr>
            <w:tcW w:w="5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5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basic and diluted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0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35,300,655</w:t>
            </w:r>
          </w:p>
        </w:tc>
        <w:tc>
          <w:tcPr>
            <w:tcW w:w="5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26,742,023</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9" w:name="page10"/>
    <w:bookmarkEnd w:id="9"/>
    <w:p>
      <w:pPr>
        <w:spacing w:after="0" w:line="6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18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par value amounts)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224,947</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16,621</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7,868</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256,131</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0" w:type="dxa"/>
            <w:vAlign w:val="bottom"/>
          </w:tcPr>
          <w:p>
            <w:pPr>
              <w:spacing w:after="0"/>
              <w:rPr>
                <w:sz w:val="1"/>
                <w:szCs w:val="1"/>
                <w:color w:val="auto"/>
              </w:rPr>
            </w:pPr>
          </w:p>
        </w:tc>
      </w:tr>
      <w:tr>
        <w:trPr>
          <w:trHeight w:val="235"/>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349,278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265,491</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3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36,570</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23,691</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13,245</w:t>
            </w:r>
          </w:p>
        </w:tc>
        <w:tc>
          <w:tcPr>
            <w:tcW w:w="0" w:type="dxa"/>
            <w:vAlign w:val="bottom"/>
          </w:tcPr>
          <w:p>
            <w:pPr>
              <w:spacing w:after="0"/>
              <w:rPr>
                <w:sz w:val="1"/>
                <w:szCs w:val="1"/>
                <w:color w:val="auto"/>
              </w:rPr>
            </w:pPr>
          </w:p>
        </w:tc>
      </w:tr>
      <w:tr>
        <w:trPr>
          <w:trHeight w:val="207"/>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36,936</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net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29,819</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68,503</w:t>
            </w:r>
          </w:p>
        </w:tc>
        <w:tc>
          <w:tcPr>
            <w:tcW w:w="0" w:type="dxa"/>
            <w:vAlign w:val="bottom"/>
          </w:tcPr>
          <w:p>
            <w:pPr>
              <w:spacing w:after="0"/>
              <w:rPr>
                <w:sz w:val="1"/>
                <w:szCs w:val="1"/>
                <w:color w:val="auto"/>
              </w:rPr>
            </w:pPr>
          </w:p>
        </w:tc>
      </w:tr>
      <w:tr>
        <w:trPr>
          <w:trHeight w:val="21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$0.0001 par value; 10,000,000 authorized; no shares issued and outstanding</w:t>
            </w:r>
          </w:p>
        </w:tc>
        <w:tc>
          <w:tcPr>
            <w:tcW w:w="28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3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$0.0001 par value; 200,000,000 shares authorized; 37,749,468 shares issued and outstanding at</w:t>
            </w:r>
          </w:p>
        </w:tc>
        <w:tc>
          <w:tcPr>
            <w:tcW w:w="2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2024 (unaudited); 34,211,190 shares issued and outstanding at December 31, 2023</w:t>
            </w:r>
          </w:p>
        </w:tc>
        <w:tc>
          <w:tcPr>
            <w:tcW w:w="2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555,655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441,641</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(280,387)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(244,656)</w:t>
            </w:r>
          </w:p>
        </w:tc>
        <w:tc>
          <w:tcPr>
            <w:tcW w:w="0" w:type="dxa"/>
            <w:vAlign w:val="bottom"/>
          </w:tcPr>
          <w:p>
            <w:pPr>
              <w:spacing w:after="0"/>
              <w:rPr>
                <w:sz w:val="1"/>
                <w:szCs w:val="1"/>
                <w:color w:val="auto"/>
              </w:rPr>
            </w:pPr>
          </w:p>
        </w:tc>
      </w:tr>
      <w:tr>
        <w:trPr>
          <w:trHeight w:val="235"/>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275,211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196,988</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0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349,278</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265,491</w:t>
            </w:r>
          </w:p>
        </w:tc>
        <w:tc>
          <w:tcPr>
            <w:tcW w:w="0" w:type="dxa"/>
            <w:vAlign w:val="bottom"/>
          </w:tcPr>
          <w:p>
            <w:pPr>
              <w:spacing w:after="0"/>
              <w:rPr>
                <w:sz w:val="1"/>
                <w:szCs w:val="1"/>
                <w:color w:val="auto"/>
              </w:rPr>
            </w:pPr>
          </w:p>
        </w:tc>
      </w:tr>
      <w:tr>
        <w:trPr>
          <w:trHeight w:val="23"/>
        </w:trPr>
        <w:tc>
          <w:tcPr>
            <w:tcW w:w="7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80"/>
      </w:cols>
      <w:pgMar w:left="36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949"/>
    </w:lvl>
  </w:abstractNum>
  <w:abstractNum w:abstractNumId="7">
    <w:nsid w:val="7545E146"/>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2024-05-08T15:33:04Z</dcterms:created>
  <dcterms:modified xsi:type="dcterms:W3CDTF">2024-05-08T15:33:04Z</dcterms:modified>
</cp:coreProperties>
</file>