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5132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5132070"/>
                    </a:xfrm>
                    <a:prstGeom prst="rect">
                      <a:avLst/>
                    </a:prstGeom>
                    <a:noFill/>
                  </pic:spPr>
                </pic:pic>
              </a:graphicData>
            </a:graphic>
          </wp:anchor>
        </w:drawing>
      </w:r>
    </w:p>
    <w:p>
      <w:pPr>
        <w:spacing w:after="0" w:line="1063"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w w:val="99"/>
              </w:rPr>
              <w:t xml:space="preserve">1. Name and Address of Reporting Person </w:t>
            </w:r>
            <w:r>
              <w:rPr>
                <w:rFonts w:ascii="Arial" w:cs="Arial" w:eastAsia="Arial" w:hAnsi="Arial"/>
                <w:sz w:val="19"/>
                <w:szCs w:val="19"/>
                <w:color w:val="auto"/>
                <w:w w:val="99"/>
                <w:vertAlign w:val="superscript"/>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5"/>
                <w:szCs w:val="15"/>
                <w:color w:val="0000EE"/>
              </w:rPr>
              <w:t>Azamian Bobak 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5"/>
          </w:tcPr>
          <w:p>
            <w:pPr>
              <w:ind w:left="60"/>
              <w:spacing w:after="0" w:line="132"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Tarsus Pharmaceuticals,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TARS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vMerge w:val="restart"/>
          </w:tcPr>
          <w:p>
            <w:pPr>
              <w:ind w:left="220"/>
              <w:spacing w:after="0"/>
              <w:rPr>
                <w:sz w:val="20"/>
                <w:szCs w:val="20"/>
                <w:color w:val="auto"/>
              </w:rPr>
            </w:pPr>
            <w:r>
              <w:rPr>
                <w:rFonts w:ascii="Arial" w:cs="Arial" w:eastAsia="Arial" w:hAnsi="Arial"/>
                <w:sz w:val="12"/>
                <w:szCs w:val="12"/>
                <w:color w:val="auto"/>
              </w:rPr>
              <w:t>Director</w:t>
            </w:r>
          </w:p>
        </w:tc>
        <w:tc>
          <w:tcPr>
            <w:tcW w:w="1700" w:type="dxa"/>
            <w:vAlign w:val="bottom"/>
            <w:gridSpan w:val="2"/>
            <w:vMerge w:val="restart"/>
          </w:tcPr>
          <w:p>
            <w:pPr>
              <w:ind w:left="6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42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EEEEEE"/>
            </w:tcBorders>
          </w:tcPr>
          <w:p>
            <w:pPr>
              <w:spacing w:after="0"/>
              <w:rPr>
                <w:sz w:val="6"/>
                <w:szCs w:val="6"/>
                <w:color w:val="auto"/>
              </w:rPr>
            </w:pPr>
          </w:p>
        </w:tc>
        <w:tc>
          <w:tcPr>
            <w:tcW w:w="1060" w:type="dxa"/>
            <w:vAlign w:val="bottom"/>
            <w:tcBorders>
              <w:bottom w:val="single" w:sz="8" w:color="EEEEEE"/>
            </w:tcBorders>
          </w:tcPr>
          <w:p>
            <w:pPr>
              <w:spacing w:after="0"/>
              <w:rPr>
                <w:sz w:val="6"/>
                <w:szCs w:val="6"/>
                <w:color w:val="auto"/>
              </w:rPr>
            </w:pPr>
          </w:p>
        </w:tc>
        <w:tc>
          <w:tcPr>
            <w:tcW w:w="420" w:type="dxa"/>
            <w:vAlign w:val="bottom"/>
            <w:tcBorders>
              <w:bottom w:val="single" w:sz="8" w:color="EEEEEE"/>
            </w:tcBorders>
          </w:tcPr>
          <w:p>
            <w:pPr>
              <w:spacing w:after="0"/>
              <w:rPr>
                <w:sz w:val="6"/>
                <w:szCs w:val="6"/>
                <w:color w:val="auto"/>
              </w:rPr>
            </w:pPr>
          </w:p>
        </w:tc>
        <w:tc>
          <w:tcPr>
            <w:tcW w:w="840" w:type="dxa"/>
            <w:vAlign w:val="bottom"/>
            <w:tcBorders>
              <w:bottom w:val="single" w:sz="8" w:color="EEEEEE"/>
            </w:tcBorders>
          </w:tcPr>
          <w:p>
            <w:pPr>
              <w:spacing w:after="0"/>
              <w:rPr>
                <w:sz w:val="6"/>
                <w:szCs w:val="6"/>
                <w:color w:val="auto"/>
              </w:rPr>
            </w:pPr>
          </w:p>
        </w:tc>
        <w:tc>
          <w:tcPr>
            <w:tcW w:w="740" w:type="dxa"/>
            <w:vAlign w:val="bottom"/>
            <w:tcBorders>
              <w:bottom w:val="single" w:sz="8" w:color="EEEEEE"/>
            </w:tcBorders>
          </w:tcPr>
          <w:p>
            <w:pPr>
              <w:spacing w:after="0"/>
              <w:rPr>
                <w:sz w:val="6"/>
                <w:szCs w:val="6"/>
                <w:color w:val="auto"/>
              </w:rPr>
            </w:pPr>
          </w:p>
        </w:tc>
        <w:tc>
          <w:tcPr>
            <w:tcW w:w="440" w:type="dxa"/>
            <w:vAlign w:val="bottom"/>
            <w:tcBorders>
              <w:bottom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5"/>
            <w:vMerge w:val="continue"/>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ind w:left="220"/>
              <w:spacing w:after="0"/>
              <w:rPr>
                <w:sz w:val="20"/>
                <w:szCs w:val="20"/>
                <w:color w:val="auto"/>
              </w:rPr>
            </w:pPr>
            <w:r>
              <w:rPr>
                <w:rFonts w:ascii="Arial" w:cs="Arial" w:eastAsia="Arial" w:hAnsi="Arial"/>
                <w:sz w:val="12"/>
                <w:szCs w:val="12"/>
                <w:color w:val="auto"/>
              </w:rPr>
              <w:t>Officer (give title</w:t>
            </w:r>
          </w:p>
        </w:tc>
        <w:tc>
          <w:tcPr>
            <w:tcW w:w="1700" w:type="dxa"/>
            <w:vAlign w:val="bottom"/>
            <w:gridSpan w:val="2"/>
            <w:vMerge w:val="restart"/>
          </w:tcPr>
          <w:p>
            <w:pPr>
              <w:ind w:left="6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5"/>
            <w:vMerge w:val="continue"/>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9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color w:val="0000FF"/>
              </w:rPr>
              <w:t>12/04/2025</w:t>
            </w: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260" w:type="dxa"/>
            <w:vAlign w:val="bottom"/>
            <w:gridSpan w:val="2"/>
            <w:vMerge w:val="restart"/>
          </w:tcPr>
          <w:p>
            <w:pPr>
              <w:ind w:left="120"/>
              <w:spacing w:after="0"/>
              <w:rPr>
                <w:sz w:val="20"/>
                <w:szCs w:val="20"/>
                <w:color w:val="auto"/>
              </w:rPr>
            </w:pPr>
            <w:r>
              <w:rPr>
                <w:rFonts w:ascii="Arial" w:cs="Arial" w:eastAsia="Arial" w:hAnsi="Arial"/>
                <w:sz w:val="12"/>
                <w:szCs w:val="12"/>
                <w:color w:val="auto"/>
              </w:rPr>
              <w:t>(First)</w:t>
            </w:r>
          </w:p>
        </w:tc>
        <w:tc>
          <w:tcPr>
            <w:tcW w:w="740" w:type="dxa"/>
            <w:vAlign w:val="bottom"/>
            <w:vMerge w:val="restart"/>
          </w:tcPr>
          <w:p>
            <w:pPr>
              <w:ind w:left="20"/>
              <w:spacing w:after="0"/>
              <w:rPr>
                <w:sz w:val="20"/>
                <w:szCs w:val="20"/>
                <w:color w:val="auto"/>
              </w:rPr>
            </w:pPr>
            <w:r>
              <w:rPr>
                <w:rFonts w:ascii="Arial" w:cs="Arial" w:eastAsia="Arial" w:hAnsi="Arial"/>
                <w:sz w:val="12"/>
                <w:szCs w:val="12"/>
                <w:color w:val="auto"/>
              </w:rPr>
              <w:t>(Middle)</w:t>
            </w:r>
          </w:p>
        </w:tc>
        <w:tc>
          <w:tcPr>
            <w:tcW w:w="1960" w:type="dxa"/>
            <w:vAlign w:val="bottom"/>
            <w:gridSpan w:val="5"/>
            <w:vMerge w:val="continue"/>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1700" w:type="dxa"/>
            <w:vAlign w:val="bottom"/>
            <w:gridSpan w:val="2"/>
            <w:vMerge w:val="restart"/>
          </w:tcPr>
          <w:p>
            <w:pPr>
              <w:ind w:left="6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TARSUS PHARMACEUTICALS, INC.</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President/CEO and Board Chair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w w:val="96"/>
              </w:rPr>
              <w:t>15440 LAGUNA CANYON ROAD, SUITE 160</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13"/>
                <w:szCs w:val="13"/>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4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31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42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440" w:type="dxa"/>
            <w:vAlign w:val="bottom"/>
            <w:tcBorders>
              <w:bottom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20" w:type="dxa"/>
            <w:vAlign w:val="bottom"/>
            <w:gridSpan w:val="3"/>
            <w:vMerge w:val="restart"/>
          </w:tcPr>
          <w:p>
            <w:pPr>
              <w:ind w:left="2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gridSpan w:val="3"/>
            <w:vMerge w:val="restart"/>
          </w:tcPr>
          <w:p>
            <w:pPr>
              <w:ind w:left="2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CA</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92618</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420" w:type="dxa"/>
            <w:vAlign w:val="bottom"/>
            <w:tcBorders>
              <w:bottom w:val="single" w:sz="8" w:color="EEEEEE"/>
            </w:tcBorders>
          </w:tcPr>
          <w:p>
            <w:pPr>
              <w:spacing w:after="0"/>
              <w:rPr>
                <w:sz w:val="11"/>
                <w:szCs w:val="11"/>
                <w:color w:val="auto"/>
              </w:rPr>
            </w:pPr>
          </w:p>
        </w:tc>
        <w:tc>
          <w:tcPr>
            <w:tcW w:w="840" w:type="dxa"/>
            <w:vAlign w:val="bottom"/>
            <w:tcBorders>
              <w:bottom w:val="single" w:sz="8" w:color="EEEEEE"/>
            </w:tcBorders>
          </w:tcPr>
          <w:p>
            <w:pPr>
              <w:spacing w:after="0"/>
              <w:rPr>
                <w:sz w:val="11"/>
                <w:szCs w:val="11"/>
                <w:color w:val="auto"/>
              </w:rPr>
            </w:pPr>
          </w:p>
        </w:tc>
        <w:tc>
          <w:tcPr>
            <w:tcW w:w="740" w:type="dxa"/>
            <w:vAlign w:val="bottom"/>
            <w:tcBorders>
              <w:bottom w:val="single" w:sz="8" w:color="EEEEEE"/>
            </w:tcBorders>
          </w:tcPr>
          <w:p>
            <w:pPr>
              <w:spacing w:after="0"/>
              <w:rPr>
                <w:sz w:val="11"/>
                <w:szCs w:val="11"/>
                <w:color w:val="auto"/>
              </w:rPr>
            </w:pPr>
          </w:p>
        </w:tc>
        <w:tc>
          <w:tcPr>
            <w:tcW w:w="440" w:type="dxa"/>
            <w:vAlign w:val="bottom"/>
            <w:tcBorders>
              <w:bottom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60" w:type="dxa"/>
            <w:vAlign w:val="bottom"/>
            <w:gridSpan w:val="2"/>
          </w:tcPr>
          <w:p>
            <w:pPr>
              <w:ind w:left="120"/>
              <w:spacing w:after="0"/>
              <w:rPr>
                <w:sz w:val="20"/>
                <w:szCs w:val="20"/>
                <w:color w:val="auto"/>
              </w:rPr>
            </w:pPr>
            <w:r>
              <w:rPr>
                <w:rFonts w:ascii="Arial" w:cs="Arial" w:eastAsia="Arial" w:hAnsi="Arial"/>
                <w:sz w:val="12"/>
                <w:szCs w:val="12"/>
                <w:color w:val="auto"/>
              </w:rPr>
              <w:t>(State)</w:t>
            </w:r>
          </w:p>
        </w:tc>
        <w:tc>
          <w:tcPr>
            <w:tcW w:w="740" w:type="dxa"/>
            <w:vAlign w:val="bottom"/>
          </w:tcPr>
          <w:p>
            <w:pPr>
              <w:ind w:left="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gridSpan w:val="6"/>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60" w:type="dxa"/>
            <w:vAlign w:val="bottom"/>
            <w:gridSpan w:val="13"/>
          </w:tcPr>
          <w:p>
            <w:pPr>
              <w:ind w:left="7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480" w:type="dxa"/>
            <w:vAlign w:val="bottom"/>
            <w:tcBorders>
              <w:bottom w:val="single" w:sz="8" w:color="808080"/>
            </w:tcBorders>
            <w:gridSpan w:val="2"/>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gridSpan w:val="3"/>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1760" w:type="dxa"/>
            <w:vAlign w:val="bottom"/>
            <w:tcBorders>
              <w:bottom w:val="single" w:sz="8" w:color="808080"/>
            </w:tcBorders>
            <w:gridSpan w:val="4"/>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4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4"/>
                <w:szCs w:val="4"/>
                <w:color w:val="auto"/>
              </w:rPr>
            </w:pP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40" w:type="dxa"/>
            <w:vAlign w:val="bottom"/>
            <w:vMerge w:val="continue"/>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gridSpan w:val="3"/>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gridSpan w:val="2"/>
          </w:tcPr>
          <w:p>
            <w:pPr>
              <w:spacing w:after="0"/>
              <w:rPr>
                <w:sz w:val="2"/>
                <w:szCs w:val="2"/>
                <w:color w:val="auto"/>
              </w:rPr>
            </w:pPr>
          </w:p>
        </w:tc>
        <w:tc>
          <w:tcPr>
            <w:tcW w:w="11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0000FF"/>
              </w:rPr>
              <w:t>12/04/2025</w:t>
            </w:r>
          </w:p>
        </w:tc>
        <w:tc>
          <w:tcPr>
            <w:tcW w:w="100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G</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0000FF"/>
              </w:rPr>
              <w:t>51,885</w:t>
            </w:r>
          </w:p>
        </w:tc>
        <w:tc>
          <w:tcPr>
            <w:tcW w:w="4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1,750</w:t>
            </w:r>
          </w:p>
        </w:tc>
        <w:tc>
          <w:tcPr>
            <w:tcW w:w="840" w:type="dxa"/>
            <w:vAlign w:val="bottom"/>
          </w:tcPr>
          <w:p>
            <w:pPr>
              <w:ind w:left="320"/>
              <w:spacing w:after="0"/>
              <w:rPr>
                <w:sz w:val="20"/>
                <w:szCs w:val="20"/>
                <w:color w:val="auto"/>
              </w:rPr>
            </w:pPr>
            <w:r>
              <w:rPr>
                <w:rFonts w:ascii="Times New Roman" w:cs="Times New Roman" w:eastAsia="Times New Roman" w:hAnsi="Times New Roman"/>
                <w:sz w:val="31"/>
                <w:szCs w:val="31"/>
                <w:color w:val="0000FF"/>
                <w:vertAlign w:val="subscript"/>
              </w:rPr>
              <w:t>D</w:t>
            </w:r>
            <w:r>
              <w:rPr>
                <w:rFonts w:ascii="Times New Roman" w:cs="Times New Roman" w:eastAsia="Times New Roman" w:hAnsi="Times New Roman"/>
                <w:sz w:val="10"/>
                <w:szCs w:val="10"/>
                <w:color w:val="008000"/>
              </w:rPr>
              <w:t>(1)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0"/>
        <w:spacing w:after="0" w:line="234" w:lineRule="auto"/>
        <w:rPr>
          <w:sz w:val="20"/>
          <w:szCs w:val="20"/>
          <w:color w:val="auto"/>
        </w:rPr>
      </w:pPr>
      <w:r>
        <w:rPr>
          <w:rFonts w:ascii="Times New Roman" w:cs="Times New Roman" w:eastAsia="Times New Roman" w:hAnsi="Times New Roman"/>
          <w:sz w:val="16"/>
          <w:szCs w:val="16"/>
          <w:color w:val="0000FF"/>
        </w:rPr>
        <w:t>By the</w:t>
      </w:r>
    </w:p>
    <w:p>
      <w:pPr>
        <w:ind w:left="9800"/>
        <w:spacing w:after="0" w:line="235" w:lineRule="auto"/>
        <w:rPr>
          <w:sz w:val="20"/>
          <w:szCs w:val="20"/>
          <w:color w:val="auto"/>
        </w:rPr>
      </w:pPr>
      <w:r>
        <w:rPr>
          <w:rFonts w:ascii="Times New Roman" w:cs="Times New Roman" w:eastAsia="Times New Roman" w:hAnsi="Times New Roman"/>
          <w:sz w:val="16"/>
          <w:szCs w:val="16"/>
          <w:color w:val="0000FF"/>
        </w:rPr>
        <w:t>Bobak</w:t>
      </w:r>
    </w:p>
    <w:p>
      <w:pPr>
        <w:ind w:left="9800"/>
        <w:spacing w:after="0" w:line="235" w:lineRule="auto"/>
        <w:rPr>
          <w:sz w:val="20"/>
          <w:szCs w:val="20"/>
          <w:color w:val="auto"/>
        </w:rPr>
      </w:pPr>
      <w:r>
        <w:rPr>
          <w:rFonts w:ascii="Times New Roman" w:cs="Times New Roman" w:eastAsia="Times New Roman" w:hAnsi="Times New Roman"/>
          <w:sz w:val="16"/>
          <w:szCs w:val="16"/>
          <w:color w:val="0000FF"/>
        </w:rPr>
        <w:t>Azamian</w:t>
      </w:r>
    </w:p>
    <w:p>
      <w:pPr>
        <w:ind w:left="8040" w:right="340" w:hanging="9722"/>
        <w:spacing w:after="0"/>
        <w:tabs>
          <w:tab w:leader="none" w:pos="8020" w:val="left"/>
        </w:tabs>
        <w:rPr>
          <w:sz w:val="20"/>
          <w:szCs w:val="20"/>
          <w:color w:val="auto"/>
        </w:rPr>
      </w:pPr>
      <w:r>
        <w:rPr>
          <w:rFonts w:ascii="Times New Roman" w:cs="Times New Roman" w:eastAsia="Times New Roman" w:hAnsi="Times New Roman"/>
          <w:sz w:val="16"/>
          <w:szCs w:val="16"/>
          <w:color w:val="0000FF"/>
        </w:rPr>
        <w:t>Common Stock</w:t>
      </w:r>
      <w:r>
        <w:rPr>
          <w:sz w:val="20"/>
          <w:szCs w:val="20"/>
          <w:color w:val="auto"/>
        </w:rPr>
        <w:tab/>
      </w:r>
      <w:r>
        <w:rPr>
          <w:rFonts w:ascii="Times New Roman" w:cs="Times New Roman" w:eastAsia="Times New Roman" w:hAnsi="Times New Roman"/>
          <w:sz w:val="16"/>
          <w:szCs w:val="16"/>
          <w:color w:val="0000FF"/>
        </w:rPr>
        <w:t>863,991 I</w:t>
      </w:r>
      <w:r>
        <w:rPr>
          <w:rFonts w:ascii="Times New Roman" w:cs="Times New Roman" w:eastAsia="Times New Roman" w:hAnsi="Times New Roman"/>
          <w:sz w:val="9"/>
          <w:szCs w:val="9"/>
          <w:color w:val="008000"/>
        </w:rPr>
        <w:t>(1)</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31"/>
          <w:szCs w:val="31"/>
          <w:color w:val="0000FF"/>
          <w:vertAlign w:val="superscript"/>
        </w:rPr>
        <w:t>Living</w:t>
      </w:r>
      <w:r>
        <w:rPr>
          <w:rFonts w:ascii="Times New Roman" w:cs="Times New Roman" w:eastAsia="Times New Roman" w:hAnsi="Times New Roman"/>
          <w:sz w:val="16"/>
          <w:szCs w:val="16"/>
          <w:color w:val="0000FF"/>
        </w:rPr>
        <w:t xml:space="preserve"> Trust</w:t>
      </w:r>
    </w:p>
    <w:p>
      <w:pPr>
        <w:ind w:left="9800"/>
        <w:spacing w:after="0"/>
        <w:rPr>
          <w:sz w:val="20"/>
          <w:szCs w:val="20"/>
          <w:color w:val="auto"/>
        </w:rPr>
      </w:pPr>
      <w:r>
        <w:rPr>
          <w:rFonts w:ascii="Times New Roman" w:cs="Times New Roman" w:eastAsia="Times New Roman" w:hAnsi="Times New Roman"/>
          <w:sz w:val="16"/>
          <w:szCs w:val="16"/>
          <w:color w:val="0000FF"/>
        </w:rPr>
        <w:t>established</w:t>
      </w:r>
    </w:p>
    <w:p>
      <w:pPr>
        <w:ind w:left="9800"/>
        <w:spacing w:after="0" w:line="234" w:lineRule="auto"/>
        <w:rPr>
          <w:sz w:val="20"/>
          <w:szCs w:val="20"/>
          <w:color w:val="auto"/>
        </w:rPr>
      </w:pPr>
      <w:r>
        <w:rPr>
          <w:rFonts w:ascii="Times New Roman" w:cs="Times New Roman" w:eastAsia="Times New Roman" w:hAnsi="Times New Roman"/>
          <w:sz w:val="16"/>
          <w:szCs w:val="16"/>
          <w:color w:val="0000FF"/>
        </w:rPr>
        <w:t>April 16,</w:t>
      </w:r>
    </w:p>
    <w:p>
      <w:pPr>
        <w:spacing w:after="0" w:line="1" w:lineRule="exact"/>
        <w:rPr>
          <w:sz w:val="24"/>
          <w:szCs w:val="24"/>
          <w:color w:val="auto"/>
        </w:rPr>
      </w:pPr>
    </w:p>
    <w:p>
      <w:pPr>
        <w:ind w:left="9800"/>
        <w:spacing w:after="0"/>
        <w:rPr>
          <w:sz w:val="20"/>
          <w:szCs w:val="20"/>
          <w:color w:val="auto"/>
        </w:rPr>
      </w:pPr>
      <w:r>
        <w:rPr>
          <w:rFonts w:ascii="Times New Roman" w:cs="Times New Roman" w:eastAsia="Times New Roman" w:hAnsi="Times New Roman"/>
          <w:sz w:val="16"/>
          <w:szCs w:val="16"/>
          <w:color w:val="0000FF"/>
        </w:rPr>
        <w:t>2018</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2"/>
        </w:trPr>
        <w:tc>
          <w:tcPr>
            <w:tcW w:w="680" w:type="dxa"/>
            <w:vAlign w:val="bottom"/>
          </w:tcPr>
          <w:p>
            <w:pPr>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Derivative</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w w:val="93"/>
              </w:rPr>
              <w:t>Underlying</w:t>
            </w:r>
          </w:p>
        </w:tc>
        <w:tc>
          <w:tcPr>
            <w:tcW w:w="5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w w:val="94"/>
              </w:rPr>
              <w:t>Ownership</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0" w:type="dxa"/>
            <w:vAlign w:val="bottom"/>
          </w:tcPr>
          <w:p>
            <w:pPr>
              <w:ind w:left="1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00"/>
              <w:spacing w:after="0"/>
              <w:rPr>
                <w:sz w:val="20"/>
                <w:szCs w:val="20"/>
                <w:color w:val="auto"/>
              </w:rPr>
            </w:pPr>
            <w:r>
              <w:rPr>
                <w:rFonts w:ascii="Arial" w:cs="Arial" w:eastAsia="Arial" w:hAnsi="Arial"/>
                <w:sz w:val="11"/>
                <w:szCs w:val="11"/>
                <w:b w:val="1"/>
                <w:bCs w:val="1"/>
                <w:color w:val="auto"/>
              </w:rPr>
              <w:t>V</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4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transferred 51,885 shares of common stock to the Bobak Azamian Living Trust for no consideration. The Reporting Person is the trustee of the Bobak Azamian Living Trust, established April 16, 2018 and has voting and dispositive power with respect to these shares.</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81" w:lineRule="exact"/>
        <w:rPr>
          <w:sz w:val="24"/>
          <w:szCs w:val="24"/>
          <w:color w:val="auto"/>
        </w:rPr>
      </w:pPr>
    </w:p>
    <w:tbl>
      <w:tblPr>
        <w:tblLayout w:type="fixed"/>
        <w:tblInd w:w="6360" w:type="dxa"/>
        <w:tblCellMar>
          <w:top w:w="0" w:type="dxa"/>
          <w:left w:w="0" w:type="dxa"/>
          <w:bottom w:w="0" w:type="dxa"/>
          <w:right w:w="0" w:type="dxa"/>
        </w:tblCellMar>
      </w:tblPr>
      <w:tr>
        <w:trPr>
          <w:trHeight w:val="204"/>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Jeffrey Farrow, Attorney-in-</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6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Fact</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2025-12-08T16:10:42Z</dcterms:created>
  <dcterms:modified xsi:type="dcterms:W3CDTF">2025-12-08T16:10:42Z</dcterms:modified>
</cp:coreProperties>
</file>