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450215</wp:posOffset>
            </wp:positionV>
            <wp:extent cx="16706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068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780" w:type="dxa"/>
            <w:vAlign w:val="bottom"/>
            <w:gridSpan w:val="4"/>
          </w:tcPr>
          <w:p>
            <w:pPr>
              <w:jc w:val="center"/>
              <w:ind w:right="180"/>
              <w:spacing w:after="0"/>
              <w:rPr>
                <w:sz w:val="20"/>
                <w:szCs w:val="20"/>
                <w:color w:val="auto"/>
              </w:rPr>
            </w:pPr>
            <w:r>
              <w:rPr>
                <w:rFonts w:ascii="Arial" w:cs="Arial" w:eastAsia="Arial" w:hAnsi="Arial"/>
                <w:sz w:val="20"/>
                <w:szCs w:val="20"/>
                <w:b w:val="1"/>
                <w:bCs w:val="1"/>
                <w:color w:val="auto"/>
                <w:w w:val="98"/>
              </w:rPr>
              <w:t>UNITED STATES</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19"/>
                <w:szCs w:val="19"/>
                <w:color w:val="auto"/>
              </w:rPr>
            </w:pPr>
          </w:p>
        </w:tc>
        <w:tc>
          <w:tcPr>
            <w:tcW w:w="8820" w:type="dxa"/>
            <w:vAlign w:val="bottom"/>
            <w:gridSpan w:val="6"/>
          </w:tcPr>
          <w:p>
            <w:pPr>
              <w:jc w:val="center"/>
              <w:spacing w:after="0" w:line="226" w:lineRule="exact"/>
              <w:rPr>
                <w:sz w:val="20"/>
                <w:szCs w:val="20"/>
                <w:color w:val="auto"/>
              </w:rPr>
            </w:pPr>
            <w:r>
              <w:rPr>
                <w:rFonts w:ascii="Arial" w:cs="Arial" w:eastAsia="Arial" w:hAnsi="Arial"/>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Washington, D.C. 20549</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gridSpan w:val="3"/>
          </w:tcPr>
          <w:p>
            <w:pPr>
              <w:jc w:val="center"/>
              <w:ind w:right="700"/>
              <w:spacing w:after="0"/>
              <w:rPr>
                <w:sz w:val="20"/>
                <w:szCs w:val="20"/>
                <w:color w:val="auto"/>
              </w:rPr>
            </w:pPr>
            <w:r>
              <w:rPr>
                <w:rFonts w:ascii="Arial" w:cs="Arial" w:eastAsia="Arial" w:hAnsi="Arial"/>
                <w:sz w:val="28"/>
                <w:szCs w:val="28"/>
                <w:b w:val="1"/>
                <w:bCs w:val="1"/>
                <w:color w:val="auto"/>
                <w:w w:val="99"/>
              </w:rPr>
              <w:t>FORM 10-Q</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26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473"/>
        </w:trPr>
        <w:tc>
          <w:tcPr>
            <w:tcW w:w="1260" w:type="dxa"/>
            <w:vAlign w:val="bottom"/>
            <w:vMerge w:val="continue"/>
          </w:tcPr>
          <w:p>
            <w:pPr>
              <w:spacing w:after="0"/>
              <w:rPr>
                <w:sz w:val="24"/>
                <w:szCs w:val="24"/>
                <w:color w:val="auto"/>
              </w:rPr>
            </w:pPr>
          </w:p>
        </w:tc>
        <w:tc>
          <w:tcPr>
            <w:tcW w:w="8820" w:type="dxa"/>
            <w:vAlign w:val="bottom"/>
            <w:gridSpan w:val="6"/>
          </w:tcPr>
          <w:p>
            <w:pPr>
              <w:jc w:val="center"/>
              <w:ind w:left="248"/>
              <w:spacing w:after="0"/>
              <w:rPr>
                <w:sz w:val="20"/>
                <w:szCs w:val="20"/>
                <w:color w:val="auto"/>
              </w:rPr>
            </w:pPr>
            <w:r>
              <w:rPr>
                <w:rFonts w:ascii="Arial" w:cs="Arial" w:eastAsia="Arial" w:hAnsi="Arial"/>
                <w:sz w:val="14"/>
                <w:szCs w:val="14"/>
                <w:color w:val="auto"/>
                <w:w w:val="95"/>
              </w:rPr>
              <w:t>QUARTERLY REPORT PURSUANT TO SECTION 13 OR 15(d) OF THE SECURITIES EXCHANGE ACT OF 1934</w:t>
            </w:r>
          </w:p>
        </w:tc>
        <w:tc>
          <w:tcPr>
            <w:tcW w:w="0" w:type="dxa"/>
            <w:vAlign w:val="bottom"/>
          </w:tcPr>
          <w:p>
            <w:pPr>
              <w:spacing w:after="0"/>
              <w:rPr>
                <w:sz w:val="1"/>
                <w:szCs w:val="1"/>
                <w:color w:val="auto"/>
              </w:rPr>
            </w:pPr>
          </w:p>
        </w:tc>
      </w:tr>
      <w:tr>
        <w:trPr>
          <w:trHeight w:val="415"/>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80" w:type="dxa"/>
            <w:vAlign w:val="bottom"/>
            <w:gridSpan w:val="4"/>
          </w:tcPr>
          <w:p>
            <w:pPr>
              <w:jc w:val="center"/>
              <w:ind w:left="134"/>
              <w:spacing w:after="0"/>
              <w:rPr>
                <w:sz w:val="20"/>
                <w:szCs w:val="20"/>
                <w:color w:val="auto"/>
              </w:rPr>
            </w:pPr>
            <w:r>
              <w:rPr>
                <w:rFonts w:ascii="Arial" w:cs="Arial" w:eastAsia="Arial" w:hAnsi="Arial"/>
                <w:sz w:val="13"/>
                <w:szCs w:val="13"/>
                <w:b w:val="1"/>
                <w:bCs w:val="1"/>
                <w:color w:val="auto"/>
                <w:w w:val="88"/>
              </w:rPr>
              <w:t>For the quarterly period ended June 30, 2022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26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8820" w:type="dxa"/>
            <w:vAlign w:val="bottom"/>
            <w:gridSpan w:val="6"/>
          </w:tcPr>
          <w:p>
            <w:pPr>
              <w:ind w:left="112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313"/>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80" w:type="dxa"/>
            <w:vAlign w:val="bottom"/>
            <w:gridSpan w:val="4"/>
          </w:tcPr>
          <w:p>
            <w:pPr>
              <w:jc w:val="center"/>
              <w:ind w:left="114"/>
              <w:spacing w:after="0"/>
              <w:rPr>
                <w:sz w:val="20"/>
                <w:szCs w:val="20"/>
                <w:color w:val="auto"/>
              </w:rPr>
            </w:pPr>
            <w:r>
              <w:rPr>
                <w:rFonts w:ascii="Arial" w:cs="Arial" w:eastAsia="Arial" w:hAnsi="Arial"/>
                <w:sz w:val="13"/>
                <w:szCs w:val="13"/>
                <w:b w:val="1"/>
                <w:bCs w:val="1"/>
                <w:color w:val="auto"/>
                <w:w w:val="89"/>
              </w:rPr>
              <w:t>For the transition period from _____ to ____ .</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Commission File Number: 001-39614</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820" w:type="dxa"/>
            <w:vAlign w:val="bottom"/>
            <w:gridSpan w:val="6"/>
          </w:tcPr>
          <w:p>
            <w:pPr>
              <w:jc w:val="center"/>
              <w:spacing w:after="0"/>
              <w:rPr>
                <w:sz w:val="20"/>
                <w:szCs w:val="20"/>
                <w:color w:val="auto"/>
              </w:rPr>
            </w:pPr>
            <w:r>
              <w:rPr>
                <w:rFonts w:ascii="Arial" w:cs="Arial" w:eastAsia="Arial" w:hAnsi="Arial"/>
                <w:sz w:val="25"/>
                <w:szCs w:val="25"/>
                <w:b w:val="1"/>
                <w:bCs w:val="1"/>
                <w:color w:val="auto"/>
              </w:rPr>
              <w:t>TARSUS PHARMACEUTICALS, INC.</w:t>
            </w: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1"/>
              </w:rPr>
              <w:t>(Exact name of Registrant as specified in its charter)</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1"/>
                <w:szCs w:val="21"/>
                <w:color w:val="auto"/>
              </w:rPr>
            </w:pPr>
          </w:p>
        </w:tc>
        <w:tc>
          <w:tcPr>
            <w:tcW w:w="3080" w:type="dxa"/>
            <w:vAlign w:val="bottom"/>
            <w:vMerge w:val="restart"/>
          </w:tcPr>
          <w:p>
            <w:pPr>
              <w:jc w:val="center"/>
              <w:ind w:left="328"/>
              <w:spacing w:after="0"/>
              <w:rPr>
                <w:sz w:val="20"/>
                <w:szCs w:val="20"/>
                <w:color w:val="auto"/>
              </w:rPr>
            </w:pPr>
            <w:r>
              <w:rPr>
                <w:rFonts w:ascii="Arial" w:cs="Arial" w:eastAsia="Arial" w:hAnsi="Arial"/>
                <w:sz w:val="13"/>
                <w:szCs w:val="13"/>
                <w:b w:val="1"/>
                <w:bCs w:val="1"/>
                <w:color w:val="auto"/>
                <w:w w:val="91"/>
              </w:rPr>
              <w:t>Delaware</w:t>
            </w:r>
          </w:p>
        </w:tc>
        <w:tc>
          <w:tcPr>
            <w:tcW w:w="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vMerge w:val="restart"/>
          </w:tcPr>
          <w:p>
            <w:pPr>
              <w:jc w:val="right"/>
              <w:ind w:right="1439"/>
              <w:spacing w:after="0"/>
              <w:rPr>
                <w:sz w:val="20"/>
                <w:szCs w:val="20"/>
                <w:color w:val="auto"/>
              </w:rPr>
            </w:pPr>
            <w:r>
              <w:rPr>
                <w:rFonts w:ascii="Arial" w:cs="Arial" w:eastAsia="Arial" w:hAnsi="Arial"/>
                <w:sz w:val="13"/>
                <w:szCs w:val="13"/>
                <w:b w:val="1"/>
                <w:bCs w:val="1"/>
                <w:color w:val="auto"/>
              </w:rPr>
              <w:t>81-4717861</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0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3080" w:type="dxa"/>
            <w:vAlign w:val="bottom"/>
          </w:tcPr>
          <w:p>
            <w:pPr>
              <w:jc w:val="center"/>
              <w:ind w:left="328"/>
              <w:spacing w:after="0" w:line="132" w:lineRule="exact"/>
              <w:rPr>
                <w:sz w:val="20"/>
                <w:szCs w:val="20"/>
                <w:color w:val="auto"/>
              </w:rPr>
            </w:pPr>
            <w:r>
              <w:rPr>
                <w:rFonts w:ascii="Arial" w:cs="Arial" w:eastAsia="Arial" w:hAnsi="Arial"/>
                <w:sz w:val="13"/>
                <w:szCs w:val="13"/>
                <w:b w:val="1"/>
                <w:bCs w:val="1"/>
                <w:color w:val="auto"/>
                <w:w w:val="89"/>
              </w:rPr>
              <w:t>(State or other jurisdiction of</w:t>
            </w: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60" w:type="dxa"/>
            <w:vAlign w:val="bottom"/>
          </w:tcPr>
          <w:p>
            <w:pPr>
              <w:jc w:val="center"/>
              <w:ind w:right="579"/>
              <w:spacing w:after="0" w:line="132"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3080" w:type="dxa"/>
            <w:vAlign w:val="bottom"/>
          </w:tcPr>
          <w:p>
            <w:pPr>
              <w:jc w:val="center"/>
              <w:ind w:left="348"/>
              <w:spacing w:after="0"/>
              <w:rPr>
                <w:sz w:val="20"/>
                <w:szCs w:val="20"/>
                <w:color w:val="auto"/>
              </w:rPr>
            </w:pPr>
            <w:r>
              <w:rPr>
                <w:rFonts w:ascii="Arial" w:cs="Arial" w:eastAsia="Arial" w:hAnsi="Arial"/>
                <w:sz w:val="13"/>
                <w:szCs w:val="13"/>
                <w:b w:val="1"/>
                <w:bCs w:val="1"/>
                <w:color w:val="auto"/>
                <w:w w:val="89"/>
              </w:rPr>
              <w:t>incorporation or organization)</w:t>
            </w: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tcPr>
          <w:p>
            <w:pPr>
              <w:jc w:val="center"/>
              <w:ind w:right="579"/>
              <w:spacing w:after="0"/>
              <w:rPr>
                <w:sz w:val="20"/>
                <w:szCs w:val="20"/>
                <w:color w:val="auto"/>
              </w:rPr>
            </w:pPr>
            <w:r>
              <w:rPr>
                <w:rFonts w:ascii="Arial" w:cs="Arial" w:eastAsia="Arial" w:hAnsi="Arial"/>
                <w:sz w:val="13"/>
                <w:szCs w:val="13"/>
                <w:b w:val="1"/>
                <w:bCs w:val="1"/>
                <w:color w:val="auto"/>
                <w:w w:val="92"/>
              </w:rPr>
              <w:t>Identification Number)</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80" w:type="dxa"/>
            <w:vAlign w:val="bottom"/>
            <w:vMerge w:val="restart"/>
          </w:tcPr>
          <w:p>
            <w:pPr>
              <w:jc w:val="center"/>
              <w:ind w:left="328"/>
              <w:spacing w:after="0"/>
              <w:rPr>
                <w:sz w:val="20"/>
                <w:szCs w:val="20"/>
                <w:color w:val="auto"/>
              </w:rPr>
            </w:pPr>
            <w:r>
              <w:rPr>
                <w:rFonts w:ascii="Arial" w:cs="Arial" w:eastAsia="Arial" w:hAnsi="Arial"/>
                <w:sz w:val="13"/>
                <w:szCs w:val="13"/>
                <w:b w:val="1"/>
                <w:bCs w:val="1"/>
                <w:color w:val="auto"/>
                <w:w w:val="89"/>
              </w:rPr>
              <w:t>15440 Laguna Canyon Road, Suite 160</w:t>
            </w:r>
          </w:p>
        </w:tc>
        <w:tc>
          <w:tcPr>
            <w:tcW w:w="5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3080" w:type="dxa"/>
            <w:vAlign w:val="bottom"/>
          </w:tcPr>
          <w:p>
            <w:pPr>
              <w:jc w:val="center"/>
              <w:ind w:left="328"/>
              <w:spacing w:after="0"/>
              <w:rPr>
                <w:sz w:val="20"/>
                <w:szCs w:val="20"/>
                <w:color w:val="auto"/>
              </w:rPr>
            </w:pPr>
            <w:r>
              <w:rPr>
                <w:rFonts w:ascii="Arial" w:cs="Arial" w:eastAsia="Arial" w:hAnsi="Arial"/>
                <w:sz w:val="13"/>
                <w:szCs w:val="13"/>
                <w:b w:val="1"/>
                <w:bCs w:val="1"/>
                <w:color w:val="auto"/>
                <w:w w:val="94"/>
              </w:rPr>
              <w:t>Irvine, California</w:t>
            </w: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tcPr>
          <w:p>
            <w:pPr>
              <w:jc w:val="right"/>
              <w:ind w:right="1579"/>
              <w:spacing w:after="0"/>
              <w:rPr>
                <w:sz w:val="20"/>
                <w:szCs w:val="20"/>
                <w:color w:val="auto"/>
              </w:rPr>
            </w:pPr>
            <w:r>
              <w:rPr>
                <w:rFonts w:ascii="Arial" w:cs="Arial" w:eastAsia="Arial" w:hAnsi="Arial"/>
                <w:sz w:val="13"/>
                <w:szCs w:val="13"/>
                <w:b w:val="1"/>
                <w:bCs w:val="1"/>
                <w:color w:val="auto"/>
              </w:rPr>
              <w:t>92618</w:t>
            </w: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3080" w:type="dxa"/>
            <w:vAlign w:val="bottom"/>
          </w:tcPr>
          <w:p>
            <w:pPr>
              <w:jc w:val="center"/>
              <w:ind w:left="32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tcPr>
          <w:p>
            <w:pPr>
              <w:jc w:val="center"/>
              <w:ind w:right="579"/>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80" w:type="dxa"/>
            <w:vAlign w:val="bottom"/>
            <w:gridSpan w:val="2"/>
          </w:tcPr>
          <w:p>
            <w:pPr>
              <w:jc w:val="center"/>
              <w:ind w:left="574"/>
              <w:spacing w:after="0"/>
              <w:rPr>
                <w:sz w:val="20"/>
                <w:szCs w:val="20"/>
                <w:color w:val="auto"/>
              </w:rPr>
            </w:pPr>
            <w:r>
              <w:rPr>
                <w:rFonts w:ascii="Arial" w:cs="Arial" w:eastAsia="Arial" w:hAnsi="Arial"/>
                <w:sz w:val="11"/>
                <w:szCs w:val="11"/>
                <w:b w:val="1"/>
                <w:bCs w:val="1"/>
                <w:color w:val="auto"/>
                <w:w w:val="93"/>
              </w:rPr>
              <w:t>(949) 409-9820</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4340" w:type="dxa"/>
            <w:vAlign w:val="bottom"/>
            <w:gridSpan w:val="2"/>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5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8"/>
        </w:trPr>
        <w:tc>
          <w:tcPr>
            <w:tcW w:w="43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2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2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tcBorders>
              <w:right w:val="single" w:sz="8" w:color="auto"/>
            </w:tcBorders>
          </w:tcPr>
          <w:p>
            <w:pPr>
              <w:spacing w:after="0"/>
              <w:rPr>
                <w:sz w:val="12"/>
                <w:szCs w:val="12"/>
                <w:color w:val="auto"/>
              </w:rPr>
            </w:pPr>
          </w:p>
        </w:tc>
        <w:tc>
          <w:tcPr>
            <w:tcW w:w="3080" w:type="dxa"/>
            <w:vAlign w:val="bottom"/>
            <w:tcBorders>
              <w:bottom w:val="single" w:sz="8" w:color="auto"/>
            </w:tcBorders>
          </w:tcPr>
          <w:p>
            <w:pPr>
              <w:jc w:val="center"/>
              <w:ind w:left="448"/>
              <w:spacing w:after="0"/>
              <w:rPr>
                <w:sz w:val="20"/>
                <w:szCs w:val="20"/>
                <w:color w:val="auto"/>
              </w:rPr>
            </w:pPr>
            <w:r>
              <w:rPr>
                <w:rFonts w:ascii="Arial" w:cs="Arial" w:eastAsia="Arial" w:hAnsi="Arial"/>
                <w:sz w:val="11"/>
                <w:szCs w:val="11"/>
                <w:color w:val="auto"/>
                <w:w w:val="90"/>
              </w:rPr>
              <w:t>Title of each class</w:t>
            </w:r>
          </w:p>
        </w:tc>
        <w:tc>
          <w:tcPr>
            <w:tcW w:w="56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Trading Symbol</w:t>
            </w: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jc w:val="center"/>
              <w:ind w:right="779"/>
              <w:spacing w:after="0"/>
              <w:rPr>
                <w:sz w:val="20"/>
                <w:szCs w:val="20"/>
                <w:color w:val="auto"/>
              </w:rPr>
            </w:pPr>
            <w:r>
              <w:rPr>
                <w:rFonts w:ascii="Arial" w:cs="Arial" w:eastAsia="Arial" w:hAnsi="Arial"/>
                <w:sz w:val="11"/>
                <w:szCs w:val="11"/>
                <w:color w:val="auto"/>
                <w:w w:val="91"/>
              </w:rPr>
              <w:t>Name of each exchange on which registered</w:t>
            </w:r>
          </w:p>
        </w:tc>
        <w:tc>
          <w:tcPr>
            <w:tcW w:w="0" w:type="dxa"/>
            <w:vAlign w:val="bottom"/>
          </w:tcPr>
          <w:p>
            <w:pPr>
              <w:spacing w:after="0"/>
              <w:rPr>
                <w:sz w:val="1"/>
                <w:szCs w:val="1"/>
                <w:color w:val="auto"/>
              </w:rPr>
            </w:pPr>
          </w:p>
        </w:tc>
      </w:tr>
      <w:tr>
        <w:trPr>
          <w:trHeight w:val="104"/>
        </w:trPr>
        <w:tc>
          <w:tcPr>
            <w:tcW w:w="1260" w:type="dxa"/>
            <w:vAlign w:val="bottom"/>
            <w:tcBorders>
              <w:right w:val="single" w:sz="8" w:color="auto"/>
            </w:tcBorders>
          </w:tcPr>
          <w:p>
            <w:pPr>
              <w:spacing w:after="0"/>
              <w:rPr>
                <w:sz w:val="9"/>
                <w:szCs w:val="9"/>
                <w:color w:val="auto"/>
              </w:rPr>
            </w:pPr>
          </w:p>
        </w:tc>
        <w:tc>
          <w:tcPr>
            <w:tcW w:w="3080" w:type="dxa"/>
            <w:vAlign w:val="bottom"/>
            <w:vMerge w:val="restart"/>
          </w:tcPr>
          <w:p>
            <w:pPr>
              <w:jc w:val="center"/>
              <w:ind w:left="448"/>
              <w:spacing w:after="0"/>
              <w:rPr>
                <w:sz w:val="20"/>
                <w:szCs w:val="20"/>
                <w:color w:val="auto"/>
              </w:rPr>
            </w:pPr>
            <w:r>
              <w:rPr>
                <w:rFonts w:ascii="Arial" w:cs="Arial" w:eastAsia="Arial" w:hAnsi="Arial"/>
                <w:sz w:val="11"/>
                <w:szCs w:val="11"/>
                <w:color w:val="auto"/>
                <w:w w:val="91"/>
              </w:rPr>
              <w:t>Common Stock, $0.0001 par value per share</w:t>
            </w:r>
          </w:p>
        </w:tc>
        <w:tc>
          <w:tcPr>
            <w:tcW w:w="56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5"/>
              </w:rPr>
              <w:t>TARS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tcBorders>
              <w:right w:val="single" w:sz="8" w:color="auto"/>
            </w:tcBorders>
          </w:tcPr>
          <w:p>
            <w:pPr>
              <w:jc w:val="center"/>
              <w:ind w:right="779"/>
              <w:spacing w:after="0" w:line="104" w:lineRule="exact"/>
              <w:rPr>
                <w:sz w:val="20"/>
                <w:szCs w:val="20"/>
                <w:color w:val="auto"/>
              </w:rPr>
            </w:pPr>
            <w:r>
              <w:rPr>
                <w:rFonts w:ascii="Arial" w:cs="Arial" w:eastAsia="Arial" w:hAnsi="Arial"/>
                <w:sz w:val="11"/>
                <w:szCs w:val="11"/>
                <w:color w:val="auto"/>
                <w:w w:val="95"/>
              </w:rPr>
              <w:t>The Nasdaq Global Market LLC</w:t>
            </w:r>
          </w:p>
        </w:tc>
        <w:tc>
          <w:tcPr>
            <w:tcW w:w="0" w:type="dxa"/>
            <w:vAlign w:val="bottom"/>
          </w:tcPr>
          <w:p>
            <w:pPr>
              <w:spacing w:after="0"/>
              <w:rPr>
                <w:sz w:val="1"/>
                <w:szCs w:val="1"/>
                <w:color w:val="auto"/>
              </w:rPr>
            </w:pPr>
          </w:p>
        </w:tc>
      </w:tr>
      <w:tr>
        <w:trPr>
          <w:trHeight w:val="152"/>
        </w:trPr>
        <w:tc>
          <w:tcPr>
            <w:tcW w:w="1260" w:type="dxa"/>
            <w:vAlign w:val="bottom"/>
            <w:tcBorders>
              <w:right w:val="single" w:sz="8" w:color="auto"/>
            </w:tcBorders>
          </w:tcPr>
          <w:p>
            <w:pPr>
              <w:spacing w:after="0"/>
              <w:rPr>
                <w:sz w:val="13"/>
                <w:szCs w:val="13"/>
                <w:color w:val="auto"/>
              </w:rPr>
            </w:pPr>
          </w:p>
        </w:tc>
        <w:tc>
          <w:tcPr>
            <w:tcW w:w="30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vMerge w:val="continue"/>
          </w:tcPr>
          <w:p>
            <w:pPr>
              <w:spacing w:after="0"/>
              <w:rPr>
                <w:sz w:val="13"/>
                <w:szCs w:val="13"/>
                <w:color w:val="auto"/>
              </w:rPr>
            </w:pPr>
          </w:p>
        </w:tc>
        <w:tc>
          <w:tcPr>
            <w:tcW w:w="800" w:type="dxa"/>
            <w:vAlign w:val="bottom"/>
            <w:tcBorders>
              <w:bottom w:val="single" w:sz="8" w:color="auto"/>
            </w:tcBorders>
            <w:gridSpan w:val="2"/>
          </w:tcPr>
          <w:p>
            <w:pPr>
              <w:spacing w:after="0"/>
              <w:rPr>
                <w:sz w:val="13"/>
                <w:szCs w:val="13"/>
                <w:color w:val="auto"/>
              </w:rPr>
            </w:pPr>
          </w:p>
        </w:tc>
        <w:tc>
          <w:tcPr>
            <w:tcW w:w="2960" w:type="dxa"/>
            <w:vAlign w:val="bottom"/>
            <w:tcBorders>
              <w:bottom w:val="single" w:sz="8" w:color="auto"/>
              <w:right w:val="single" w:sz="8" w:color="auto"/>
            </w:tcBorders>
          </w:tcPr>
          <w:p>
            <w:pPr>
              <w:jc w:val="center"/>
              <w:ind w:right="779"/>
              <w:spacing w:after="0"/>
              <w:rPr>
                <w:sz w:val="20"/>
                <w:szCs w:val="20"/>
                <w:color w:val="auto"/>
              </w:rPr>
            </w:pPr>
            <w:r>
              <w:rPr>
                <w:rFonts w:ascii="Arial" w:cs="Arial" w:eastAsia="Arial" w:hAnsi="Arial"/>
                <w:sz w:val="11"/>
                <w:szCs w:val="11"/>
                <w:color w:val="auto"/>
                <w:w w:val="93"/>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-2384425</wp:posOffset>
            </wp:positionV>
            <wp:extent cx="203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-2384425</wp:posOffset>
            </wp:positionV>
            <wp:extent cx="203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 cy="6985"/>
                    </a:xfrm>
                    <a:prstGeom prst="rect">
                      <a:avLst/>
                    </a:prstGeom>
                    <a:noFill/>
                  </pic:spPr>
                </pic:pic>
              </a:graphicData>
            </a:graphic>
          </wp:anchor>
        </w:drawing>
      </w:r>
    </w:p>
    <w:p>
      <w:pPr>
        <w:spacing w:after="0" w:line="262"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97" w:lineRule="exact"/>
        <w:rPr>
          <w:sz w:val="24"/>
          <w:szCs w:val="24"/>
          <w:color w:val="auto"/>
        </w:rPr>
      </w:pPr>
    </w:p>
    <w:p>
      <w:pPr>
        <w:ind w:right="220"/>
        <w:spacing w:after="0" w:line="27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13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98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5180" w:type="dxa"/>
            <w:vAlign w:val="bottom"/>
          </w:tcPr>
          <w:p>
            <w:pPr>
              <w:ind w:left="3540"/>
              <w:spacing w:after="0"/>
              <w:rPr>
                <w:sz w:val="20"/>
                <w:szCs w:val="20"/>
                <w:color w:val="auto"/>
              </w:rPr>
            </w:pPr>
            <w:r>
              <w:rPr>
                <w:rFonts w:ascii="Arial" w:cs="Arial" w:eastAsia="Arial" w:hAnsi="Arial"/>
                <w:sz w:val="11"/>
                <w:szCs w:val="11"/>
                <w:color w:val="auto"/>
              </w:rPr>
              <w:t>Accelerated filer</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360" w:type="dxa"/>
            <w:vAlign w:val="bottom"/>
          </w:tcPr>
          <w:p>
            <w:pPr>
              <w:spacing w:after="0"/>
              <w:rPr>
                <w:sz w:val="20"/>
                <w:szCs w:val="20"/>
                <w:color w:val="auto"/>
              </w:rPr>
            </w:pPr>
            <w:r>
              <w:rPr>
                <w:rFonts w:ascii="Arial" w:cs="Arial" w:eastAsia="Arial" w:hAnsi="Arial"/>
                <w:sz w:val="11"/>
                <w:szCs w:val="11"/>
                <w:color w:val="auto"/>
              </w:rPr>
              <w:t>Non-accelerated filer</w:t>
            </w:r>
          </w:p>
        </w:tc>
        <w:tc>
          <w:tcPr>
            <w:tcW w:w="398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5180" w:type="dxa"/>
            <w:vAlign w:val="bottom"/>
          </w:tcPr>
          <w:p>
            <w:pPr>
              <w:ind w:left="3540"/>
              <w:spacing w:after="0"/>
              <w:rPr>
                <w:sz w:val="20"/>
                <w:szCs w:val="20"/>
                <w:color w:val="auto"/>
              </w:rPr>
            </w:pPr>
            <w:r>
              <w:rPr>
                <w:rFonts w:ascii="Arial" w:cs="Arial" w:eastAsia="Arial" w:hAnsi="Arial"/>
                <w:sz w:val="11"/>
                <w:szCs w:val="11"/>
                <w:color w:val="auto"/>
              </w:rPr>
              <w:t>Smaller reporting company</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180" w:type="dxa"/>
            <w:vAlign w:val="bottom"/>
          </w:tcPr>
          <w:p>
            <w:pPr>
              <w:ind w:left="3540"/>
              <w:spacing w:after="0"/>
              <w:rPr>
                <w:sz w:val="20"/>
                <w:szCs w:val="20"/>
                <w:color w:val="auto"/>
              </w:rPr>
            </w:pPr>
            <w:r>
              <w:rPr>
                <w:rFonts w:ascii="Arial" w:cs="Arial" w:eastAsia="Arial" w:hAnsi="Arial"/>
                <w:sz w:val="11"/>
                <w:szCs w:val="11"/>
                <w:color w:val="auto"/>
              </w:rPr>
              <w:t>Emerging growth company</w:t>
            </w:r>
          </w:p>
        </w:tc>
        <w:tc>
          <w:tcPr>
            <w:tcW w:w="520" w:type="dxa"/>
            <w:vAlign w:val="bottom"/>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6" w:lineRule="exact"/>
        <w:rPr>
          <w:sz w:val="24"/>
          <w:szCs w:val="24"/>
          <w:color w:val="auto"/>
        </w:rPr>
      </w:pPr>
    </w:p>
    <w:p>
      <w:pPr>
        <w:ind w:right="80"/>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5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3" w:lineRule="exact"/>
        <w:rPr>
          <w:sz w:val="24"/>
          <w:szCs w:val="24"/>
          <w:color w:val="auto"/>
        </w:rPr>
      </w:pPr>
    </w:p>
    <w:p>
      <w:pPr>
        <w:spacing w:after="0"/>
        <w:rPr>
          <w:sz w:val="20"/>
          <w:szCs w:val="20"/>
          <w:color w:val="auto"/>
        </w:rPr>
      </w:pPr>
      <w:r>
        <w:rPr>
          <w:rFonts w:ascii="Arial" w:cs="Arial" w:eastAsia="Arial" w:hAnsi="Arial"/>
          <w:sz w:val="11"/>
          <w:szCs w:val="11"/>
          <w:color w:val="auto"/>
        </w:rPr>
        <w:t>26,658,468 shares of common stock, $0.0001 par value, outstanding as of August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560" w:type="dxa"/>
            <w:vAlign w:val="bottom"/>
            <w:gridSpan w:val="18"/>
          </w:tcPr>
          <w:p>
            <w:pPr>
              <w:spacing w:after="0"/>
              <w:rPr>
                <w:sz w:val="20"/>
                <w:szCs w:val="20"/>
                <w:color w:val="auto"/>
              </w:rPr>
            </w:pPr>
            <w:r>
              <w:rPr>
                <w:rFonts w:ascii="Arial" w:cs="Arial" w:eastAsia="Arial" w:hAnsi="Arial"/>
                <w:sz w:val="14"/>
                <w:szCs w:val="14"/>
                <w:color w:val="0000FF"/>
              </w:rPr>
              <w:t>Table of Contents</w:t>
            </w:r>
          </w:p>
        </w:tc>
        <w:tc>
          <w:tcPr>
            <w:tcW w:w="2720" w:type="dxa"/>
            <w:vAlign w:val="bottom"/>
          </w:tcPr>
          <w:p>
            <w:pPr>
              <w:spacing w:after="0"/>
              <w:rPr>
                <w:sz w:val="14"/>
                <w:szCs w:val="14"/>
                <w:color w:val="auto"/>
              </w:rPr>
            </w:pPr>
          </w:p>
        </w:tc>
      </w:tr>
      <w:tr>
        <w:trPr>
          <w:trHeight w:val="616"/>
        </w:trPr>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
          </w:tcPr>
          <w:p>
            <w:pPr>
              <w:ind w:left="800"/>
              <w:spacing w:after="0"/>
              <w:rPr>
                <w:sz w:val="20"/>
                <w:szCs w:val="20"/>
                <w:color w:val="auto"/>
              </w:rPr>
            </w:pPr>
            <w:r>
              <w:rPr>
                <w:rFonts w:ascii="Arial" w:cs="Arial" w:eastAsia="Arial" w:hAnsi="Arial"/>
                <w:sz w:val="14"/>
                <w:szCs w:val="14"/>
                <w:b w:val="1"/>
                <w:bCs w:val="1"/>
                <w:color w:val="auto"/>
              </w:rPr>
              <w:t>TABLE OF CONTENTS</w:t>
            </w:r>
          </w:p>
        </w:tc>
        <w:tc>
          <w:tcPr>
            <w:tcW w:w="27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8520" w:type="dxa"/>
            <w:vAlign w:val="bottom"/>
            <w:gridSpan w:val="17"/>
          </w:tcPr>
          <w:p>
            <w:pPr>
              <w:spacing w:after="0"/>
              <w:rPr>
                <w:sz w:val="20"/>
                <w:szCs w:val="20"/>
                <w:color w:val="auto"/>
              </w:rPr>
            </w:pPr>
            <w:r>
              <w:rPr>
                <w:rFonts w:ascii="Arial" w:cs="Arial" w:eastAsia="Arial" w:hAnsi="Arial"/>
                <w:sz w:val="14"/>
                <w:szCs w:val="14"/>
                <w:color w:val="0000FF"/>
              </w:rPr>
              <w:t>Part I - Financial Information</w:t>
            </w:r>
          </w:p>
        </w:tc>
        <w:tc>
          <w:tcPr>
            <w:tcW w:w="2720" w:type="dxa"/>
            <w:vAlign w:val="bottom"/>
          </w:tcPr>
          <w:p>
            <w:pPr>
              <w:ind w:left="2180"/>
              <w:spacing w:after="0"/>
              <w:rPr>
                <w:sz w:val="20"/>
                <w:szCs w:val="20"/>
                <w:color w:val="auto"/>
              </w:rPr>
            </w:pPr>
            <w:r>
              <w:rPr>
                <w:rFonts w:ascii="Arial" w:cs="Arial" w:eastAsia="Arial" w:hAnsi="Arial"/>
                <w:sz w:val="14"/>
                <w:szCs w:val="14"/>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1"/>
              </w:rPr>
              <w:t>Item 1. Financial Statements (Unaudited)</w:t>
            </w:r>
          </w:p>
        </w:tc>
        <w:tc>
          <w:tcPr>
            <w:tcW w:w="6020" w:type="dxa"/>
            <w:vAlign w:val="bottom"/>
            <w:gridSpan w:val="4"/>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1</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5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w w:val="91"/>
              </w:rPr>
              <w:t>Item 2. Management's Discussion and Analysis of Financial Condition and Results of Operations</w:t>
            </w:r>
          </w:p>
        </w:tc>
        <w:tc>
          <w:tcPr>
            <w:tcW w:w="2860" w:type="dxa"/>
            <w:vAlign w:val="bottom"/>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21</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3"/>
              </w:rPr>
              <w:t>Item 3. Quantitative and Qualitative Disclosures About Market Risk</w:t>
            </w:r>
          </w:p>
        </w:tc>
        <w:tc>
          <w:tcPr>
            <w:tcW w:w="4480" w:type="dxa"/>
            <w:vAlign w:val="bottom"/>
            <w:gridSpan w:val="2"/>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33</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360" w:type="dxa"/>
            <w:vAlign w:val="bottom"/>
            <w:gridSpan w:val="16"/>
          </w:tcPr>
          <w:p>
            <w:pPr>
              <w:spacing w:after="0"/>
              <w:rPr>
                <w:sz w:val="20"/>
                <w:szCs w:val="20"/>
                <w:color w:val="auto"/>
              </w:rPr>
            </w:pPr>
            <w:r>
              <w:rPr>
                <w:rFonts w:ascii="Arial" w:cs="Arial" w:eastAsia="Arial" w:hAnsi="Arial"/>
                <w:sz w:val="14"/>
                <w:szCs w:val="14"/>
                <w:color w:val="0000FF"/>
              </w:rPr>
              <w:t>Item 4. Controls and Procedures</w:t>
            </w:r>
          </w:p>
        </w:tc>
        <w:tc>
          <w:tcPr>
            <w:tcW w:w="2720" w:type="dxa"/>
            <w:vAlign w:val="bottom"/>
          </w:tcPr>
          <w:p>
            <w:pPr>
              <w:ind w:left="2180"/>
              <w:spacing w:after="0"/>
              <w:rPr>
                <w:sz w:val="20"/>
                <w:szCs w:val="20"/>
                <w:color w:val="auto"/>
              </w:rPr>
            </w:pPr>
            <w:r>
              <w:rPr>
                <w:rFonts w:ascii="Arial" w:cs="Arial" w:eastAsia="Arial" w:hAnsi="Arial"/>
                <w:sz w:val="14"/>
                <w:szCs w:val="14"/>
                <w:color w:val="auto"/>
              </w:rPr>
              <w:t>33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8520" w:type="dxa"/>
            <w:vAlign w:val="bottom"/>
            <w:gridSpan w:val="17"/>
          </w:tcPr>
          <w:p>
            <w:pPr>
              <w:spacing w:after="0"/>
              <w:rPr>
                <w:sz w:val="20"/>
                <w:szCs w:val="20"/>
                <w:color w:val="auto"/>
              </w:rPr>
            </w:pPr>
            <w:r>
              <w:rPr>
                <w:rFonts w:ascii="Arial" w:cs="Arial" w:eastAsia="Arial" w:hAnsi="Arial"/>
                <w:sz w:val="14"/>
                <w:szCs w:val="14"/>
                <w:color w:val="0000FF"/>
              </w:rPr>
              <w:t>Part II - Other Information</w:t>
            </w: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360" w:type="dxa"/>
            <w:vAlign w:val="bottom"/>
            <w:gridSpan w:val="16"/>
          </w:tcPr>
          <w:p>
            <w:pPr>
              <w:spacing w:after="0"/>
              <w:rPr>
                <w:sz w:val="20"/>
                <w:szCs w:val="20"/>
                <w:color w:val="auto"/>
              </w:rPr>
            </w:pPr>
            <w:r>
              <w:rPr>
                <w:rFonts w:ascii="Arial" w:cs="Arial" w:eastAsia="Arial" w:hAnsi="Arial"/>
                <w:sz w:val="14"/>
                <w:szCs w:val="14"/>
                <w:color w:val="0000FF"/>
              </w:rPr>
              <w:t>Item 1. Legal Proceedings</w:t>
            </w: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4"/>
                <w:szCs w:val="14"/>
                <w:color w:val="0000FF"/>
                <w:w w:val="91"/>
              </w:rPr>
              <w:t>Item 1A. Risk Factors</w:t>
            </w:r>
          </w:p>
        </w:tc>
        <w:tc>
          <w:tcPr>
            <w:tcW w:w="60" w:type="dxa"/>
            <w:vAlign w:val="bottom"/>
            <w:tcBorders>
              <w:top w:val="single" w:sz="8" w:color="0000FF"/>
            </w:tcBorders>
            <w:gridSpan w:val="2"/>
          </w:tcPr>
          <w:p>
            <w:pPr>
              <w:spacing w:after="0"/>
              <w:rPr>
                <w:sz w:val="13"/>
                <w:szCs w:val="13"/>
                <w:color w:val="auto"/>
              </w:rPr>
            </w:pPr>
          </w:p>
        </w:tc>
        <w:tc>
          <w:tcPr>
            <w:tcW w:w="6860" w:type="dxa"/>
            <w:vAlign w:val="bottom"/>
            <w:gridSpan w:val="7"/>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0"/>
              </w:rPr>
              <w:t>Item 2. Unregistered Sales of Equity Securities and Use of Proceeds</w:t>
            </w:r>
          </w:p>
        </w:tc>
        <w:tc>
          <w:tcPr>
            <w:tcW w:w="4500" w:type="dxa"/>
            <w:vAlign w:val="bottom"/>
            <w:gridSpan w:val="3"/>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0000FF"/>
                <w:w w:val="93"/>
              </w:rPr>
              <w:t>Item 3.</w:t>
            </w:r>
          </w:p>
        </w:tc>
        <w:tc>
          <w:tcPr>
            <w:tcW w:w="7940" w:type="dxa"/>
            <w:vAlign w:val="bottom"/>
            <w:gridSpan w:val="14"/>
          </w:tcPr>
          <w:p>
            <w:pPr>
              <w:ind w:left="20"/>
              <w:spacing w:after="0"/>
              <w:rPr>
                <w:sz w:val="20"/>
                <w:szCs w:val="20"/>
                <w:color w:val="auto"/>
              </w:rPr>
            </w:pPr>
            <w:r>
              <w:rPr>
                <w:rFonts w:ascii="Arial" w:cs="Arial" w:eastAsia="Arial" w:hAnsi="Arial"/>
                <w:sz w:val="14"/>
                <w:szCs w:val="14"/>
                <w:color w:val="0000FF"/>
              </w:rPr>
              <w:t>Defaults Upon Senior Securities</w:t>
            </w: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93"/>
              </w:rPr>
              <w:t>Item 4.</w:t>
            </w:r>
          </w:p>
        </w:tc>
        <w:tc>
          <w:tcPr>
            <w:tcW w:w="1840" w:type="dxa"/>
            <w:vAlign w:val="bottom"/>
            <w:tcBorders>
              <w:top w:val="single" w:sz="8" w:color="0000FF"/>
            </w:tcBorders>
            <w:gridSpan w:val="9"/>
          </w:tcPr>
          <w:p>
            <w:pPr>
              <w:ind w:left="20"/>
              <w:spacing w:after="0"/>
              <w:rPr>
                <w:sz w:val="20"/>
                <w:szCs w:val="20"/>
                <w:color w:val="auto"/>
              </w:rPr>
            </w:pPr>
            <w:r>
              <w:rPr>
                <w:rFonts w:ascii="Arial" w:cs="Arial" w:eastAsia="Arial" w:hAnsi="Arial"/>
                <w:sz w:val="14"/>
                <w:szCs w:val="14"/>
                <w:color w:val="0000FF"/>
              </w:rPr>
              <w:t>Mine Safety Disclosures</w:t>
            </w:r>
          </w:p>
        </w:tc>
        <w:tc>
          <w:tcPr>
            <w:tcW w:w="6100" w:type="dxa"/>
            <w:vAlign w:val="bottom"/>
            <w:gridSpan w:val="5"/>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93"/>
              </w:rPr>
              <w:t>Item 5.</w:t>
            </w:r>
          </w:p>
        </w:tc>
        <w:tc>
          <w:tcPr>
            <w:tcW w:w="1400" w:type="dxa"/>
            <w:vAlign w:val="bottom"/>
            <w:tcBorders>
              <w:top w:val="single" w:sz="8" w:color="0000FF"/>
            </w:tcBorders>
            <w:gridSpan w:val="8"/>
          </w:tcPr>
          <w:p>
            <w:pPr>
              <w:ind w:left="20"/>
              <w:spacing w:after="0"/>
              <w:rPr>
                <w:sz w:val="20"/>
                <w:szCs w:val="20"/>
                <w:color w:val="auto"/>
              </w:rPr>
            </w:pPr>
            <w:r>
              <w:rPr>
                <w:rFonts w:ascii="Arial" w:cs="Arial" w:eastAsia="Arial" w:hAnsi="Arial"/>
                <w:sz w:val="14"/>
                <w:szCs w:val="14"/>
                <w:color w:val="0000FF"/>
              </w:rPr>
              <w:t>Other Information</w:t>
            </w:r>
          </w:p>
        </w:tc>
        <w:tc>
          <w:tcPr>
            <w:tcW w:w="6540" w:type="dxa"/>
            <w:vAlign w:val="bottom"/>
            <w:gridSpan w:val="6"/>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34</w:t>
            </w:r>
          </w:p>
        </w:tc>
      </w:tr>
      <w:tr>
        <w:trPr>
          <w:trHeight w:val="160"/>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93"/>
              </w:rPr>
              <w:t>Item 6.</w:t>
            </w:r>
          </w:p>
        </w:tc>
        <w:tc>
          <w:tcPr>
            <w:tcW w:w="1040" w:type="dxa"/>
            <w:vAlign w:val="bottom"/>
            <w:tcBorders>
              <w:top w:val="single" w:sz="8" w:color="0000FF"/>
            </w:tcBorders>
            <w:gridSpan w:val="6"/>
          </w:tcPr>
          <w:p>
            <w:pPr>
              <w:ind w:left="20"/>
              <w:spacing w:after="0"/>
              <w:rPr>
                <w:sz w:val="20"/>
                <w:szCs w:val="20"/>
                <w:color w:val="auto"/>
              </w:rPr>
            </w:pPr>
            <w:r>
              <w:rPr>
                <w:rFonts w:ascii="Arial" w:cs="Arial" w:eastAsia="Arial" w:hAnsi="Arial"/>
                <w:sz w:val="14"/>
                <w:szCs w:val="14"/>
                <w:color w:val="0000FF"/>
              </w:rPr>
              <w:t>Exhibits</w:t>
            </w:r>
          </w:p>
        </w:tc>
        <w:tc>
          <w:tcPr>
            <w:tcW w:w="6900" w:type="dxa"/>
            <w:vAlign w:val="bottom"/>
            <w:gridSpan w:val="8"/>
          </w:tcPr>
          <w:p>
            <w:pPr>
              <w:spacing w:after="0"/>
              <w:rPr>
                <w:sz w:val="13"/>
                <w:szCs w:val="13"/>
                <w:color w:val="auto"/>
              </w:rPr>
            </w:pPr>
          </w:p>
        </w:tc>
        <w:tc>
          <w:tcPr>
            <w:tcW w:w="2720" w:type="dxa"/>
            <w:vAlign w:val="bottom"/>
          </w:tcPr>
          <w:p>
            <w:pPr>
              <w:ind w:left="2180"/>
              <w:spacing w:after="0"/>
              <w:rPr>
                <w:sz w:val="20"/>
                <w:szCs w:val="20"/>
                <w:color w:val="auto"/>
              </w:rPr>
            </w:pPr>
            <w:r>
              <w:rPr>
                <w:rFonts w:ascii="Arial" w:cs="Arial" w:eastAsia="Arial" w:hAnsi="Arial"/>
                <w:sz w:val="14"/>
                <w:szCs w:val="14"/>
                <w:color w:val="auto"/>
              </w:rPr>
              <w:t>35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8520" w:type="dxa"/>
            <w:vAlign w:val="bottom"/>
            <w:gridSpan w:val="17"/>
          </w:tcPr>
          <w:p>
            <w:pPr>
              <w:spacing w:after="0"/>
              <w:rPr>
                <w:sz w:val="20"/>
                <w:szCs w:val="20"/>
                <w:color w:val="auto"/>
              </w:rPr>
            </w:pPr>
            <w:r>
              <w:rPr>
                <w:rFonts w:ascii="Arial" w:cs="Arial" w:eastAsia="Arial" w:hAnsi="Arial"/>
                <w:sz w:val="14"/>
                <w:szCs w:val="14"/>
                <w:color w:val="0000FF"/>
              </w:rPr>
              <w:t>Signatures</w:t>
            </w:r>
          </w:p>
        </w:tc>
        <w:tc>
          <w:tcPr>
            <w:tcW w:w="2720" w:type="dxa"/>
            <w:vAlign w:val="bottom"/>
          </w:tcPr>
          <w:p>
            <w:pPr>
              <w:ind w:left="2180"/>
              <w:spacing w:after="0"/>
              <w:rPr>
                <w:sz w:val="20"/>
                <w:szCs w:val="20"/>
                <w:color w:val="auto"/>
              </w:rPr>
            </w:pPr>
            <w:r>
              <w:rPr>
                <w:rFonts w:ascii="Arial" w:cs="Arial" w:eastAsia="Arial" w:hAnsi="Arial"/>
                <w:sz w:val="14"/>
                <w:szCs w:val="14"/>
                <w:color w:val="auto"/>
              </w:rPr>
              <w:t>36</w:t>
            </w:r>
          </w:p>
        </w:tc>
      </w:tr>
      <w:tr>
        <w:trPr>
          <w:trHeight w:val="1127"/>
        </w:trPr>
        <w:tc>
          <w:tcPr>
            <w:tcW w:w="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rPr>
              <w:t>PART I—FINANCIAL INFORMATION</w:t>
            </w:r>
          </w:p>
        </w:tc>
      </w:tr>
      <w:tr>
        <w:trPr>
          <w:trHeight w:val="34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93"/>
              </w:rPr>
              <w:t>Item I. Financial Statements (Unaudited)</w:t>
            </w:r>
          </w:p>
        </w:tc>
      </w:tr>
      <w:tr>
        <w:trPr>
          <w:trHeight w:val="325"/>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rPr>
              <w:t>TARSUS PHARMACEUTICALS, INC.</w:t>
            </w: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rPr>
              <w:t>INDEX TO THE FINANCIAL STATEMENTS</w:t>
            </w:r>
          </w:p>
        </w:tc>
      </w:tr>
      <w:tr>
        <w:trPr>
          <w:trHeight w:val="34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Pages</w:t>
            </w:r>
          </w:p>
        </w:tc>
      </w:tr>
      <w:tr>
        <w:trPr>
          <w:trHeight w:val="138"/>
        </w:trPr>
        <w:tc>
          <w:tcPr>
            <w:tcW w:w="20" w:type="dxa"/>
            <w:vAlign w:val="bottom"/>
          </w:tcPr>
          <w:p>
            <w:pPr>
              <w:spacing w:after="0"/>
              <w:rPr>
                <w:sz w:val="11"/>
                <w:szCs w:val="11"/>
                <w:color w:val="auto"/>
              </w:rPr>
            </w:pPr>
          </w:p>
        </w:tc>
        <w:tc>
          <w:tcPr>
            <w:tcW w:w="1540" w:type="dxa"/>
            <w:vAlign w:val="bottom"/>
            <w:tcBorders>
              <w:bottom w:val="single" w:sz="8" w:color="0000FF"/>
            </w:tcBorders>
          </w:tcPr>
          <w:p>
            <w:pPr>
              <w:spacing w:after="0" w:line="118" w:lineRule="exact"/>
              <w:rPr>
                <w:sz w:val="20"/>
                <w:szCs w:val="20"/>
                <w:color w:val="auto"/>
              </w:rPr>
            </w:pPr>
            <w:r>
              <w:rPr>
                <w:rFonts w:ascii="Arial" w:cs="Arial" w:eastAsia="Arial" w:hAnsi="Arial"/>
                <w:sz w:val="13"/>
                <w:szCs w:val="13"/>
                <w:color w:val="0000FF"/>
                <w:w w:val="94"/>
              </w:rPr>
              <w:t>Condensed Balance Sheets</w:t>
            </w:r>
          </w:p>
        </w:tc>
        <w:tc>
          <w:tcPr>
            <w:tcW w:w="2620" w:type="dxa"/>
            <w:vAlign w:val="bottom"/>
            <w:gridSpan w:val="5"/>
          </w:tcPr>
          <w:p>
            <w:pPr>
              <w:spacing w:after="0"/>
              <w:rPr>
                <w:sz w:val="11"/>
                <w:szCs w:val="11"/>
                <w:color w:val="auto"/>
              </w:rPr>
            </w:pPr>
          </w:p>
        </w:tc>
        <w:tc>
          <w:tcPr>
            <w:tcW w:w="6520" w:type="dxa"/>
            <w:vAlign w:val="bottom"/>
          </w:tcPr>
          <w:p>
            <w:pPr>
              <w:spacing w:after="0"/>
              <w:rPr>
                <w:sz w:val="11"/>
                <w:szCs w:val="11"/>
                <w:color w:val="auto"/>
              </w:rPr>
            </w:pPr>
          </w:p>
        </w:tc>
        <w:tc>
          <w:tcPr>
            <w:tcW w:w="580" w:type="dxa"/>
            <w:vAlign w:val="bottom"/>
            <w:tcBorders>
              <w:top w:val="single" w:sz="8" w:color="auto"/>
            </w:tcBorders>
          </w:tcPr>
          <w:p>
            <w:pPr>
              <w:ind w:left="360"/>
              <w:spacing w:after="0" w:line="118" w:lineRule="exact"/>
              <w:rPr>
                <w:sz w:val="20"/>
                <w:szCs w:val="20"/>
                <w:color w:val="auto"/>
              </w:rPr>
            </w:pPr>
            <w:r>
              <w:rPr>
                <w:rFonts w:ascii="Arial" w:cs="Arial" w:eastAsia="Arial" w:hAnsi="Arial"/>
                <w:sz w:val="13"/>
                <w:szCs w:val="13"/>
                <w:color w:val="auto"/>
              </w:rPr>
              <w:t>F-2</w:t>
            </w:r>
          </w:p>
        </w:tc>
        <w:tc>
          <w:tcPr>
            <w:tcW w:w="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160" w:type="dxa"/>
            <w:vAlign w:val="bottom"/>
            <w:gridSpan w:val="6"/>
          </w:tcPr>
          <w:p>
            <w:pPr>
              <w:spacing w:after="0"/>
              <w:rPr>
                <w:sz w:val="20"/>
                <w:szCs w:val="20"/>
                <w:color w:val="auto"/>
              </w:rPr>
            </w:pPr>
            <w:r>
              <w:rPr>
                <w:rFonts w:ascii="Arial" w:cs="Arial" w:eastAsia="Arial" w:hAnsi="Arial"/>
                <w:sz w:val="14"/>
                <w:szCs w:val="14"/>
                <w:color w:val="0000FF"/>
                <w:w w:val="90"/>
              </w:rPr>
              <w:t>Condensed Statements of Operations and Comprehensive (Loss) Income</w:t>
            </w:r>
          </w:p>
        </w:tc>
        <w:tc>
          <w:tcPr>
            <w:tcW w:w="6520" w:type="dxa"/>
            <w:vAlign w:val="bottom"/>
          </w:tcPr>
          <w:p>
            <w:pPr>
              <w:spacing w:after="0"/>
              <w:rPr>
                <w:sz w:val="14"/>
                <w:szCs w:val="14"/>
                <w:color w:val="auto"/>
              </w:rPr>
            </w:pP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F-3</w:t>
            </w:r>
          </w:p>
        </w:tc>
      </w:tr>
      <w:tr>
        <w:trPr>
          <w:trHeight w:val="160"/>
        </w:trPr>
        <w:tc>
          <w:tcPr>
            <w:tcW w:w="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w w:val="90"/>
              </w:rPr>
              <w:t>Condensed Statements of Preferred Stock and Stockholders’ Equity</w:t>
            </w:r>
          </w:p>
        </w:tc>
        <w:tc>
          <w:tcPr>
            <w:tcW w:w="2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F-4</w:t>
            </w:r>
          </w:p>
        </w:tc>
      </w:tr>
      <w:tr>
        <w:trPr>
          <w:trHeight w:val="160"/>
        </w:trPr>
        <w:tc>
          <w:tcPr>
            <w:tcW w:w="20" w:type="dxa"/>
            <w:vAlign w:val="bottom"/>
          </w:tcPr>
          <w:p>
            <w:pPr>
              <w:spacing w:after="0"/>
              <w:rPr>
                <w:sz w:val="13"/>
                <w:szCs w:val="13"/>
                <w:color w:val="auto"/>
              </w:rPr>
            </w:pPr>
          </w:p>
        </w:tc>
        <w:tc>
          <w:tcPr>
            <w:tcW w:w="4160" w:type="dxa"/>
            <w:vAlign w:val="bottom"/>
            <w:gridSpan w:val="6"/>
          </w:tcPr>
          <w:p>
            <w:pPr>
              <w:spacing w:after="0"/>
              <w:rPr>
                <w:sz w:val="20"/>
                <w:szCs w:val="20"/>
                <w:color w:val="auto"/>
              </w:rPr>
            </w:pPr>
            <w:r>
              <w:rPr>
                <w:rFonts w:ascii="Arial" w:cs="Arial" w:eastAsia="Arial" w:hAnsi="Arial"/>
                <w:sz w:val="14"/>
                <w:szCs w:val="14"/>
                <w:color w:val="0000FF"/>
              </w:rPr>
              <w:t>Condensed Statements of Cash Flows</w:t>
            </w:r>
          </w:p>
        </w:tc>
        <w:tc>
          <w:tcPr>
            <w:tcW w:w="652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F-5</w:t>
            </w:r>
          </w:p>
        </w:tc>
      </w:tr>
      <w:tr>
        <w:trPr>
          <w:trHeight w:val="20"/>
        </w:trPr>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160" w:type="dxa"/>
            <w:vAlign w:val="bottom"/>
            <w:gridSpan w:val="6"/>
          </w:tcPr>
          <w:p>
            <w:pPr>
              <w:spacing w:after="0"/>
              <w:rPr>
                <w:sz w:val="20"/>
                <w:szCs w:val="20"/>
                <w:color w:val="auto"/>
              </w:rPr>
            </w:pPr>
            <w:r>
              <w:rPr>
                <w:rFonts w:ascii="Arial" w:cs="Arial" w:eastAsia="Arial" w:hAnsi="Arial"/>
                <w:sz w:val="14"/>
                <w:szCs w:val="14"/>
                <w:color w:val="0000FF"/>
              </w:rPr>
              <w:t>Notes to Condensed Financial Statements</w:t>
            </w:r>
          </w:p>
        </w:tc>
        <w:tc>
          <w:tcPr>
            <w:tcW w:w="652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F-6</w:t>
            </w:r>
          </w:p>
        </w:tc>
      </w:tr>
      <w:tr>
        <w:trPr>
          <w:trHeight w:val="881"/>
        </w:trPr>
        <w:tc>
          <w:tcPr>
            <w:tcW w:w="20" w:type="dxa"/>
            <w:vAlign w:val="bottom"/>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gridSpan w:val="3"/>
          </w:tcPr>
          <w:p>
            <w:pPr>
              <w:jc w:val="center"/>
              <w:ind w:right="4200"/>
              <w:spacing w:after="0"/>
              <w:rPr>
                <w:sz w:val="20"/>
                <w:szCs w:val="20"/>
                <w:color w:val="auto"/>
              </w:rPr>
            </w:pPr>
            <w:r>
              <w:rPr>
                <w:rFonts w:ascii="Arial" w:cs="Arial" w:eastAsia="Arial" w:hAnsi="Arial"/>
                <w:sz w:val="14"/>
                <w:szCs w:val="14"/>
                <w:color w:val="auto"/>
                <w:w w:val="95"/>
              </w:rPr>
              <w:t>F-1</w:t>
            </w:r>
          </w:p>
        </w:tc>
      </w:tr>
      <w:tr>
        <w:trPr>
          <w:trHeight w:val="87"/>
        </w:trPr>
        <w:tc>
          <w:tcPr>
            <w:tcW w:w="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5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TARSUS PHARMACEUTICALS, INC.</w:t>
      </w:r>
    </w:p>
    <w:p>
      <w:pPr>
        <w:spacing w:after="0" w:line="14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par value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5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June 30, 2022</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37"/>
              <w:spacing w:after="0"/>
              <w:rPr>
                <w:sz w:val="20"/>
                <w:szCs w:val="20"/>
                <w:color w:val="auto"/>
              </w:rPr>
            </w:pPr>
            <w:r>
              <w:rPr>
                <w:rFonts w:ascii="Arial" w:cs="Arial" w:eastAsia="Arial" w:hAnsi="Arial"/>
                <w:sz w:val="11"/>
                <w:szCs w:val="11"/>
                <w:b w:val="1"/>
                <w:bCs w:val="1"/>
                <w:color w:val="auto"/>
                <w:w w:val="96"/>
              </w:rPr>
              <w:t>December 31, 2021</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171,332</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Other receivables</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4,045</w:t>
            </w:r>
          </w:p>
        </w:tc>
        <w:tc>
          <w:tcPr>
            <w:tcW w:w="0" w:type="dxa"/>
            <w:vAlign w:val="bottom"/>
          </w:tcPr>
          <w:p>
            <w:pPr>
              <w:spacing w:after="0"/>
              <w:rPr>
                <w:sz w:val="1"/>
                <w:szCs w:val="1"/>
                <w:color w:val="auto"/>
              </w:rPr>
            </w:pPr>
          </w:p>
        </w:tc>
      </w:tr>
      <w:tr>
        <w:trPr>
          <w:trHeight w:val="158"/>
        </w:trPr>
        <w:tc>
          <w:tcPr>
            <w:tcW w:w="8560" w:type="dxa"/>
            <w:vAlign w:val="bottom"/>
          </w:tcPr>
          <w:p>
            <w:pPr>
              <w:ind w:left="180"/>
              <w:spacing w:after="0"/>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250,283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175,952</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1,074</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investments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85"/>
        </w:trPr>
        <w:tc>
          <w:tcPr>
            <w:tcW w:w="856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252,828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178,907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Accounts payable and other accrued liabilities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8,938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8,680</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payroll and benefits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58"/>
        </w:trPr>
        <w:tc>
          <w:tcPr>
            <w:tcW w:w="8560" w:type="dxa"/>
            <w:vAlign w:val="bottom"/>
          </w:tcPr>
          <w:p>
            <w:pPr>
              <w:ind w:left="180"/>
              <w:spacing w:after="0"/>
              <w:rPr>
                <w:sz w:val="20"/>
                <w:szCs w:val="20"/>
                <w:color w:val="auto"/>
              </w:rPr>
            </w:pPr>
            <w:r>
              <w:rPr>
                <w:rFonts w:ascii="Arial" w:cs="Arial" w:eastAsia="Arial" w:hAnsi="Arial"/>
                <w:sz w:val="13"/>
                <w:szCs w:val="13"/>
                <w:color w:val="auto"/>
              </w:rPr>
              <w:t>Total current liabilities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11,718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11,478</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net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63"/>
        </w:trPr>
        <w:tc>
          <w:tcPr>
            <w:tcW w:w="8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Total liabilities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12,177</w:t>
            </w: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Commitments and contingencies (</w:t>
            </w:r>
            <w:r>
              <w:rPr>
                <w:rFonts w:ascii="Arial" w:cs="Arial" w:eastAsia="Arial" w:hAnsi="Arial"/>
                <w:sz w:val="13"/>
                <w:szCs w:val="13"/>
                <w:b w:val="1"/>
                <w:bCs w:val="1"/>
                <w:i w:val="1"/>
                <w:iCs w:val="1"/>
                <w:color w:val="auto"/>
              </w:rPr>
              <w:t>Note 8</w:t>
            </w: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Preferred stock, $0.0001 par value; 10,000,000 authorized; no shares issued and outstanding</w:t>
            </w: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85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0"/>
              </w:rPr>
              <w:t>Common stock, $0.0001 par value; 200,000,000 shares authorized; 26,650,078 shares issued and 26,644,252 outstanding, which excludes 5,826 shares subject to</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5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88"/>
              </w:rPr>
              <w:t>repurchase at June 30, 2022 (unaudited); 20,726,580 shares issued and 20,698,737 outstanding, which excludes 27,840 shares subject to repurchase at December 31,</w:t>
            </w:r>
          </w:p>
        </w:tc>
        <w:tc>
          <w:tcPr>
            <w:tcW w:w="2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2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294,153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213,398</w:t>
            </w:r>
          </w:p>
        </w:tc>
        <w:tc>
          <w:tcPr>
            <w:tcW w:w="0" w:type="dxa"/>
            <w:vAlign w:val="bottom"/>
          </w:tcPr>
          <w:p>
            <w:pPr>
              <w:spacing w:after="0"/>
              <w:rPr>
                <w:sz w:val="1"/>
                <w:szCs w:val="1"/>
                <w:color w:val="auto"/>
              </w:rPr>
            </w:pPr>
          </w:p>
        </w:tc>
      </w:tr>
      <w:tr>
        <w:trPr>
          <w:trHeight w:val="172"/>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(72,653)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(46,672)</w:t>
            </w:r>
          </w:p>
        </w:tc>
        <w:tc>
          <w:tcPr>
            <w:tcW w:w="0" w:type="dxa"/>
            <w:vAlign w:val="bottom"/>
          </w:tcPr>
          <w:p>
            <w:pPr>
              <w:spacing w:after="0"/>
              <w:rPr>
                <w:sz w:val="1"/>
                <w:szCs w:val="1"/>
                <w:color w:val="auto"/>
              </w:rPr>
            </w:pPr>
          </w:p>
        </w:tc>
      </w:tr>
      <w:tr>
        <w:trPr>
          <w:trHeight w:val="158"/>
        </w:trPr>
        <w:tc>
          <w:tcPr>
            <w:tcW w:w="85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Total stockholders’ equity</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221,505</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166,730</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252,828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178,907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unaudited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OPERATIONS AND COMPREHENSIVE (LOSS)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right"/>
              <w:ind w:right="16"/>
              <w:spacing w:after="0"/>
              <w:rPr>
                <w:sz w:val="20"/>
                <w:szCs w:val="20"/>
                <w:color w:val="auto"/>
              </w:rPr>
            </w:pPr>
            <w:r>
              <w:rPr>
                <w:rFonts w:ascii="Arial" w:cs="Arial" w:eastAsia="Arial" w:hAnsi="Arial"/>
                <w:sz w:val="11"/>
                <w:szCs w:val="11"/>
                <w:b w:val="1"/>
                <w:bCs w:val="1"/>
                <w:color w:val="auto"/>
              </w:rPr>
              <w:t>Six Months Ended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6"/>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280"/>
              <w:spacing w:after="0"/>
              <w:rPr>
                <w:sz w:val="20"/>
                <w:szCs w:val="20"/>
                <w:color w:val="auto"/>
              </w:rPr>
            </w:pPr>
            <w:r>
              <w:rPr>
                <w:rFonts w:ascii="Arial" w:cs="Arial" w:eastAsia="Arial" w:hAnsi="Arial"/>
                <w:sz w:val="13"/>
                <w:szCs w:val="13"/>
                <w:color w:val="auto"/>
              </w:rPr>
              <w:t>License fees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13,893</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19,048</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13,893</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52,359</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Collaboration revenue</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tcPr>
          <w:p>
            <w:pPr>
              <w:ind w:left="440"/>
              <w:spacing w:after="0" w:line="146" w:lineRule="exact"/>
              <w:rPr>
                <w:sz w:val="20"/>
                <w:szCs w:val="20"/>
                <w:color w:val="auto"/>
              </w:rPr>
            </w:pPr>
            <w:r>
              <w:rPr>
                <w:rFonts w:ascii="Arial" w:cs="Arial" w:eastAsia="Arial" w:hAnsi="Arial"/>
                <w:sz w:val="13"/>
                <w:szCs w:val="13"/>
                <w:color w:val="auto"/>
              </w:rPr>
              <w:t>Total revenues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15,277</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22,017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55,449</w:t>
            </w: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expenses: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280"/>
              <w:spacing w:after="0"/>
              <w:rPr>
                <w:sz w:val="20"/>
                <w:szCs w:val="20"/>
                <w:color w:val="auto"/>
              </w:rPr>
            </w:pPr>
            <w:r>
              <w:rPr>
                <w:rFonts w:ascii="Arial" w:cs="Arial" w:eastAsia="Arial" w:hAnsi="Arial"/>
                <w:sz w:val="13"/>
                <w:szCs w:val="13"/>
                <w:color w:val="auto"/>
              </w:rPr>
              <w:t>Cost of license fees and collaboration revenue</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23,465</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General and administrative</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18,322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11,954</w:t>
            </w:r>
          </w:p>
        </w:tc>
        <w:tc>
          <w:tcPr>
            <w:tcW w:w="0" w:type="dxa"/>
            <w:vAlign w:val="bottom"/>
          </w:tcPr>
          <w:p>
            <w:pPr>
              <w:spacing w:after="0"/>
              <w:rPr>
                <w:sz w:val="1"/>
                <w:szCs w:val="1"/>
                <w:color w:val="auto"/>
              </w:rPr>
            </w:pPr>
          </w:p>
        </w:tc>
      </w:tr>
      <w:tr>
        <w:trPr>
          <w:trHeight w:val="163"/>
        </w:trPr>
        <w:tc>
          <w:tcPr>
            <w:tcW w:w="5740" w:type="dxa"/>
            <w:vAlign w:val="bottom"/>
            <w:shd w:val="clear" w:color="auto" w:fill="CCEEFF"/>
          </w:tcPr>
          <w:p>
            <w:pPr>
              <w:ind w:left="440"/>
              <w:spacing w:after="0" w:line="148" w:lineRule="exact"/>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20,501</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40,561</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37,453</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(Loss) income from operations before other (expense) income and income taxes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(5,224)</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(24,745)</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17,996</w:t>
            </w:r>
          </w:p>
        </w:tc>
        <w:tc>
          <w:tcPr>
            <w:tcW w:w="0" w:type="dxa"/>
            <w:vAlign w:val="bottom"/>
          </w:tcPr>
          <w:p>
            <w:pPr>
              <w:spacing w:after="0"/>
              <w:rPr>
                <w:sz w:val="1"/>
                <w:szCs w:val="1"/>
                <w:color w:val="auto"/>
              </w:rPr>
            </w:pPr>
          </w:p>
        </w:tc>
      </w:tr>
      <w:tr>
        <w:trPr>
          <w:trHeight w:val="152"/>
        </w:trPr>
        <w:tc>
          <w:tcPr>
            <w:tcW w:w="5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(expense) income: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280"/>
              <w:spacing w:after="0"/>
              <w:rPr>
                <w:sz w:val="20"/>
                <w:szCs w:val="20"/>
                <w:color w:val="auto"/>
              </w:rPr>
            </w:pPr>
            <w:r>
              <w:rPr>
                <w:rFonts w:ascii="Arial" w:cs="Arial" w:eastAsia="Arial" w:hAnsi="Arial"/>
                <w:sz w:val="13"/>
                <w:szCs w:val="13"/>
                <w:color w:val="auto"/>
              </w:rPr>
              <w:t>Interest (expense) income, net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 net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8"/>
        </w:trPr>
        <w:tc>
          <w:tcPr>
            <w:tcW w:w="5740" w:type="dxa"/>
            <w:vAlign w:val="bottom"/>
          </w:tcPr>
          <w:p>
            <w:pPr>
              <w:ind w:left="280"/>
              <w:spacing w:after="0"/>
              <w:rPr>
                <w:sz w:val="20"/>
                <w:szCs w:val="20"/>
                <w:color w:val="auto"/>
              </w:rPr>
            </w:pPr>
            <w:r>
              <w:rPr>
                <w:rFonts w:ascii="Arial" w:cs="Arial" w:eastAsia="Arial" w:hAnsi="Arial"/>
                <w:sz w:val="13"/>
                <w:szCs w:val="13"/>
                <w:color w:val="auto"/>
              </w:rPr>
              <w:t>Unrealized loss on equity investments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fair value of equity warrants issued by licensee</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tcPr>
          <w:p>
            <w:pPr>
              <w:ind w:left="440"/>
              <w:spacing w:after="0" w:line="146" w:lineRule="exact"/>
              <w:rPr>
                <w:sz w:val="20"/>
                <w:szCs w:val="20"/>
                <w:color w:val="auto"/>
              </w:rPr>
            </w:pPr>
            <w:r>
              <w:rPr>
                <w:rFonts w:ascii="Arial" w:cs="Arial" w:eastAsia="Arial" w:hAnsi="Arial"/>
                <w:sz w:val="13"/>
                <w:szCs w:val="13"/>
                <w:color w:val="auto"/>
              </w:rPr>
              <w:t>Total other expense, net</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63"/>
        </w:trPr>
        <w:tc>
          <w:tcPr>
            <w:tcW w:w="5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Provision for income taxes</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8"/>
        </w:trPr>
        <w:tc>
          <w:tcPr>
            <w:tcW w:w="5740" w:type="dxa"/>
            <w:vAlign w:val="bottom"/>
          </w:tcPr>
          <w:p>
            <w:pPr>
              <w:ind w:left="20"/>
              <w:spacing w:after="0" w:line="146" w:lineRule="exact"/>
              <w:rPr>
                <w:sz w:val="20"/>
                <w:szCs w:val="20"/>
                <w:color w:val="auto"/>
              </w:rPr>
            </w:pPr>
            <w:r>
              <w:rPr>
                <w:rFonts w:ascii="Arial" w:cs="Arial" w:eastAsia="Arial" w:hAnsi="Arial"/>
                <w:sz w:val="13"/>
                <w:szCs w:val="13"/>
                <w:color w:val="auto"/>
              </w:rPr>
              <w:t>Net (loss) income and comprehensive (loss) income</w:t>
            </w: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(5,743)</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6,345</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(25,981)</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16,721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Arial" w:cs="Arial" w:eastAsia="Arial" w:hAnsi="Arial"/>
                <w:sz w:val="13"/>
                <w:szCs w:val="13"/>
                <w:color w:val="auto"/>
              </w:rPr>
              <w:t>Net (loss) income per share, basic</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 income per share, diluted</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shares outstanding, basic</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24,332,531</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20,555,258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22,531,384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20,446,246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Weighted-average shares outstanding,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74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24,332,531</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21,966,599</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22,531,384</w:t>
            </w: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21,895,304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unaudited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PREFERRED STOCK AND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6"/>
          </w:tcPr>
          <w:p>
            <w:pPr>
              <w:jc w:val="right"/>
              <w:ind w:right="347"/>
              <w:spacing w:after="0"/>
              <w:rPr>
                <w:sz w:val="20"/>
                <w:szCs w:val="20"/>
                <w:color w:val="auto"/>
              </w:rPr>
            </w:pPr>
            <w:r>
              <w:rPr>
                <w:rFonts w:ascii="Arial" w:cs="Arial" w:eastAsia="Arial" w:hAnsi="Arial"/>
                <w:sz w:val="11"/>
                <w:szCs w:val="11"/>
                <w:b w:val="1"/>
                <w:bCs w:val="1"/>
                <w:color w:val="auto"/>
              </w:rPr>
              <w:t>Preferred Stock</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20" w:type="dxa"/>
            <w:vAlign w:val="bottom"/>
            <w:gridSpan w:val="7"/>
          </w:tcPr>
          <w:p>
            <w:pPr>
              <w:ind w:left="50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3"/>
        </w:trPr>
        <w:tc>
          <w:tcPr>
            <w:tcW w:w="3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3"/>
            <w:vMerge w:val="restart"/>
          </w:tcPr>
          <w:p>
            <w:pPr>
              <w:ind w:left="40"/>
              <w:spacing w:after="0" w:line="106" w:lineRule="exact"/>
              <w:rPr>
                <w:sz w:val="20"/>
                <w:szCs w:val="20"/>
                <w:color w:val="auto"/>
              </w:rPr>
            </w:pPr>
            <w:r>
              <w:rPr>
                <w:rFonts w:ascii="Arial" w:cs="Arial" w:eastAsia="Arial" w:hAnsi="Arial"/>
                <w:sz w:val="11"/>
                <w:szCs w:val="11"/>
                <w:b w:val="1"/>
                <w:bCs w:val="1"/>
                <w:color w:val="auto"/>
              </w:rPr>
              <w:t>Additional Paid-In</w:t>
            </w:r>
          </w:p>
        </w:tc>
        <w:tc>
          <w:tcPr>
            <w:tcW w:w="160" w:type="dxa"/>
            <w:vAlign w:val="bottom"/>
          </w:tcPr>
          <w:p>
            <w:pPr>
              <w:spacing w:after="0"/>
              <w:rPr>
                <w:sz w:val="4"/>
                <w:szCs w:val="4"/>
                <w:color w:val="auto"/>
              </w:rPr>
            </w:pPr>
          </w:p>
        </w:tc>
        <w:tc>
          <w:tcPr>
            <w:tcW w:w="108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2"/>
              </w:rPr>
              <w:t>Accumulated</w:t>
            </w:r>
          </w:p>
        </w:tc>
        <w:tc>
          <w:tcPr>
            <w:tcW w:w="160" w:type="dxa"/>
            <w:vAlign w:val="bottom"/>
          </w:tcPr>
          <w:p>
            <w:pPr>
              <w:spacing w:after="0"/>
              <w:rPr>
                <w:sz w:val="4"/>
                <w:szCs w:val="4"/>
                <w:color w:val="auto"/>
              </w:rPr>
            </w:pPr>
          </w:p>
        </w:tc>
        <w:tc>
          <w:tcPr>
            <w:tcW w:w="1000" w:type="dxa"/>
            <w:vAlign w:val="bottom"/>
            <w:vMerge w:val="restart"/>
          </w:tcPr>
          <w:p>
            <w:pPr>
              <w:jc w:val="center"/>
              <w:ind w:right="104"/>
              <w:spacing w:after="0" w:line="106" w:lineRule="exact"/>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60" w:type="dxa"/>
            <w:vAlign w:val="bottom"/>
          </w:tcPr>
          <w:p>
            <w:pPr>
              <w:spacing w:after="0"/>
              <w:rPr>
                <w:sz w:val="13"/>
                <w:szCs w:val="13"/>
                <w:color w:val="auto"/>
              </w:rPr>
            </w:pPr>
          </w:p>
        </w:tc>
        <w:tc>
          <w:tcPr>
            <w:tcW w:w="1000" w:type="dxa"/>
            <w:vAlign w:val="bottom"/>
          </w:tcPr>
          <w:p>
            <w:pPr>
              <w:jc w:val="center"/>
              <w:ind w:right="10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56"/>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2021</w:t>
            </w:r>
          </w:p>
        </w:tc>
        <w:tc>
          <w:tcPr>
            <w:tcW w:w="74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20,698,737</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213,398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(46,672)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166,730</w:t>
            </w:r>
          </w:p>
        </w:tc>
        <w:tc>
          <w:tcPr>
            <w:tcW w:w="0" w:type="dxa"/>
            <w:vAlign w:val="bottom"/>
          </w:tcPr>
          <w:p>
            <w:pPr>
              <w:spacing w:after="0"/>
              <w:rPr>
                <w:sz w:val="1"/>
                <w:szCs w:val="1"/>
                <w:color w:val="auto"/>
              </w:rPr>
            </w:pPr>
          </w:p>
        </w:tc>
      </w:tr>
      <w:tr>
        <w:trPr>
          <w:trHeight w:val="143"/>
        </w:trPr>
        <w:tc>
          <w:tcPr>
            <w:tcW w:w="392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Net loss</w:t>
            </w:r>
          </w:p>
        </w:tc>
        <w:tc>
          <w:tcPr>
            <w:tcW w:w="740" w:type="dxa"/>
            <w:vAlign w:val="bottom"/>
          </w:tcPr>
          <w:p>
            <w:pPr>
              <w:spacing w:after="0"/>
              <w:rPr>
                <w:sz w:val="12"/>
                <w:szCs w:val="12"/>
                <w:color w:val="auto"/>
              </w:rPr>
            </w:pPr>
          </w:p>
        </w:tc>
        <w:tc>
          <w:tcPr>
            <w:tcW w:w="3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(20,238)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(20,238)</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Recognition of stock-based compensation expense</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2,674</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Exercise of vested stock options</w:t>
            </w:r>
          </w:p>
        </w:tc>
        <w:tc>
          <w:tcPr>
            <w:tcW w:w="3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Issuance of common stock upon the vesting of restricted stock units</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Lapse of repurchase obligation for stock option exercises, prior to vesting</w:t>
            </w:r>
          </w:p>
        </w:tc>
        <w:tc>
          <w:tcPr>
            <w:tcW w:w="3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15,309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75"/>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March 31, 2022</w:t>
            </w: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20,718,528</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216,103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149,197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1"/>
                <w:szCs w:val="11"/>
                <w:color w:val="auto"/>
              </w:rPr>
              <w:t>Net loss</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920" w:type="dxa"/>
            <w:vAlign w:val="bottom"/>
            <w:tcBorders>
              <w:top w:val="single" w:sz="8" w:color="CCEEFF"/>
            </w:tcBorders>
            <w:gridSpan w:val="2"/>
            <w:vMerge w:val="continue"/>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ind w:lef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color w:val="auto"/>
              </w:rPr>
              <w:t>(5,743)</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color w:val="auto"/>
              </w:rPr>
              <w:t>(5,743)</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Recognition of stock-based compensation expense</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3,532</w:t>
            </w:r>
          </w:p>
        </w:tc>
        <w:tc>
          <w:tcPr>
            <w:tcW w:w="0" w:type="dxa"/>
            <w:vAlign w:val="bottom"/>
          </w:tcPr>
          <w:p>
            <w:pPr>
              <w:spacing w:after="0"/>
              <w:rPr>
                <w:sz w:val="1"/>
                <w:szCs w:val="1"/>
                <w:color w:val="auto"/>
              </w:rPr>
            </w:pPr>
          </w:p>
        </w:tc>
      </w:tr>
      <w:tr>
        <w:trPr>
          <w:trHeight w:val="106"/>
        </w:trPr>
        <w:tc>
          <w:tcPr>
            <w:tcW w:w="4660" w:type="dxa"/>
            <w:vAlign w:val="bottom"/>
            <w:gridSpan w:val="3"/>
          </w:tcPr>
          <w:p>
            <w:pPr>
              <w:ind w:left="20"/>
              <w:spacing w:after="0" w:line="106" w:lineRule="exact"/>
              <w:rPr>
                <w:sz w:val="20"/>
                <w:szCs w:val="20"/>
                <w:color w:val="auto"/>
              </w:rPr>
            </w:pPr>
            <w:r>
              <w:rPr>
                <w:rFonts w:ascii="Arial" w:cs="Arial" w:eastAsia="Arial" w:hAnsi="Arial"/>
                <w:sz w:val="11"/>
                <w:szCs w:val="11"/>
                <w:color w:val="auto"/>
              </w:rPr>
              <w:t>Issuance of common stock upon follow-on public offering, net of issuance costs of</w:t>
            </w:r>
          </w:p>
        </w:tc>
        <w:tc>
          <w:tcPr>
            <w:tcW w:w="30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5,889,832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74,266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74,267</w:t>
            </w:r>
          </w:p>
        </w:tc>
        <w:tc>
          <w:tcPr>
            <w:tcW w:w="0" w:type="dxa"/>
            <w:vAlign w:val="bottom"/>
          </w:tcPr>
          <w:p>
            <w:pPr>
              <w:spacing w:after="0"/>
              <w:rPr>
                <w:sz w:val="1"/>
                <w:szCs w:val="1"/>
                <w:color w:val="auto"/>
              </w:rPr>
            </w:pPr>
          </w:p>
        </w:tc>
      </w:tr>
      <w:tr>
        <w:trPr>
          <w:trHeight w:val="152"/>
        </w:trPr>
        <w:tc>
          <w:tcPr>
            <w:tcW w:w="3880" w:type="dxa"/>
            <w:vAlign w:val="bottom"/>
          </w:tcPr>
          <w:p>
            <w:pPr>
              <w:ind w:left="20"/>
              <w:spacing w:after="0"/>
              <w:rPr>
                <w:sz w:val="20"/>
                <w:szCs w:val="20"/>
                <w:color w:val="auto"/>
              </w:rPr>
            </w:pPr>
            <w:r>
              <w:rPr>
                <w:rFonts w:ascii="Arial" w:cs="Arial" w:eastAsia="Arial" w:hAnsi="Arial"/>
                <w:sz w:val="11"/>
                <w:szCs w:val="11"/>
                <w:color w:val="auto"/>
              </w:rPr>
              <w:t>$5,246</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issued in connection with the employee stock purchase plan</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17,874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Exercise of vested stock options</w:t>
            </w:r>
          </w:p>
        </w:tc>
        <w:tc>
          <w:tcPr>
            <w:tcW w:w="3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7,056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Issuance of common stock upon the vesting of restricted stock units</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Lapse of repurchase obligation for stock option exercises, prior to vesting</w:t>
            </w:r>
          </w:p>
        </w:tc>
        <w:tc>
          <w:tcPr>
            <w:tcW w:w="30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6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6,705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5"/>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June 30, 2022</w:t>
            </w: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50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26,644,252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294,153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(72,653)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221,505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6"/>
            <w:vMerge w:val="restart"/>
          </w:tcPr>
          <w:p>
            <w:pPr>
              <w:jc w:val="right"/>
              <w:ind w:right="367"/>
              <w:spacing w:after="0"/>
              <w:rPr>
                <w:sz w:val="20"/>
                <w:szCs w:val="20"/>
                <w:color w:val="auto"/>
              </w:rPr>
            </w:pPr>
            <w:r>
              <w:rPr>
                <w:rFonts w:ascii="Arial" w:cs="Arial" w:eastAsia="Arial" w:hAnsi="Arial"/>
                <w:sz w:val="11"/>
                <w:szCs w:val="11"/>
                <w:b w:val="1"/>
                <w:bCs w:val="1"/>
                <w:color w:val="auto"/>
              </w:rPr>
              <w:t>Preferred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vMerge w:val="restart"/>
          </w:tcPr>
          <w:p>
            <w:pPr>
              <w:jc w:val="right"/>
              <w:ind w:right="443"/>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227"/>
        </w:trPr>
        <w:tc>
          <w:tcPr>
            <w:tcW w:w="3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6"/>
            <w:vMerge w:val="continue"/>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720" w:type="dxa"/>
            <w:vAlign w:val="bottom"/>
            <w:gridSpan w:val="6"/>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8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6"/>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720" w:type="dxa"/>
            <w:vAlign w:val="bottom"/>
            <w:tcBorders>
              <w:bottom w:val="single" w:sz="8" w:color="auto"/>
            </w:tcBorders>
            <w:gridSpan w:val="6"/>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gridSpan w:val="3"/>
          </w:tcPr>
          <w:p>
            <w:pPr>
              <w:ind w:left="40"/>
              <w:spacing w:after="0" w:line="93" w:lineRule="exact"/>
              <w:rPr>
                <w:sz w:val="20"/>
                <w:szCs w:val="20"/>
                <w:color w:val="auto"/>
              </w:rPr>
            </w:pPr>
            <w:r>
              <w:rPr>
                <w:rFonts w:ascii="Arial" w:cs="Arial" w:eastAsia="Arial" w:hAnsi="Arial"/>
                <w:sz w:val="10"/>
                <w:szCs w:val="10"/>
                <w:b w:val="1"/>
                <w:bCs w:val="1"/>
                <w:color w:val="auto"/>
              </w:rPr>
              <w:t>Additional Paid-In</w:t>
            </w:r>
          </w:p>
        </w:tc>
        <w:tc>
          <w:tcPr>
            <w:tcW w:w="160" w:type="dxa"/>
            <w:vAlign w:val="bottom"/>
          </w:tcPr>
          <w:p>
            <w:pPr>
              <w:spacing w:after="0"/>
              <w:rPr>
                <w:sz w:val="8"/>
                <w:szCs w:val="8"/>
                <w:color w:val="auto"/>
              </w:rPr>
            </w:pPr>
          </w:p>
        </w:tc>
        <w:tc>
          <w:tcPr>
            <w:tcW w:w="1080" w:type="dxa"/>
            <w:vAlign w:val="bottom"/>
            <w:gridSpan w:val="2"/>
          </w:tcPr>
          <w:p>
            <w:pPr>
              <w:jc w:val="center"/>
              <w:ind w:right="24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000" w:type="dxa"/>
            <w:vAlign w:val="bottom"/>
          </w:tcPr>
          <w:p>
            <w:pPr>
              <w:jc w:val="center"/>
              <w:ind w:right="104"/>
              <w:spacing w:after="0" w:line="93"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320"/>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0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60" w:type="dxa"/>
            <w:vAlign w:val="bottom"/>
          </w:tcPr>
          <w:p>
            <w:pPr>
              <w:spacing w:after="0"/>
              <w:rPr>
                <w:sz w:val="13"/>
                <w:szCs w:val="13"/>
                <w:color w:val="auto"/>
              </w:rPr>
            </w:pPr>
          </w:p>
        </w:tc>
        <w:tc>
          <w:tcPr>
            <w:tcW w:w="1000" w:type="dxa"/>
            <w:vAlign w:val="bottom"/>
          </w:tcPr>
          <w:p>
            <w:pPr>
              <w:jc w:val="center"/>
              <w:ind w:right="10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5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2020</w:t>
            </w:r>
          </w:p>
        </w:tc>
        <w:tc>
          <w:tcPr>
            <w:tcW w:w="780" w:type="dxa"/>
            <w:vAlign w:val="bottom"/>
            <w:tcBorders>
              <w:top w:val="single" w:sz="8" w:color="auto"/>
              <w:bottom w:val="single" w:sz="8" w:color="auto"/>
            </w:tcBorders>
            <w:gridSpan w:val="2"/>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gridSpan w:val="2"/>
            <w:shd w:val="clear" w:color="auto" w:fill="CCEEFF"/>
          </w:tcPr>
          <w:p>
            <w:pPr>
              <w:jc w:val="right"/>
              <w:ind w:right="527"/>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CEEFF"/>
              <w:right w:val="single" w:sz="8" w:color="auto"/>
            </w:tcBorders>
            <w:gridSpan w:val="2"/>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20,323,201</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198,821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(32,845)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165,980</w:t>
            </w:r>
          </w:p>
        </w:tc>
        <w:tc>
          <w:tcPr>
            <w:tcW w:w="0" w:type="dxa"/>
            <w:vAlign w:val="bottom"/>
          </w:tcPr>
          <w:p>
            <w:pPr>
              <w:spacing w:after="0"/>
              <w:rPr>
                <w:sz w:val="1"/>
                <w:szCs w:val="1"/>
                <w:color w:val="auto"/>
              </w:rPr>
            </w:pPr>
          </w:p>
        </w:tc>
      </w:tr>
      <w:tr>
        <w:trPr>
          <w:trHeight w:val="143"/>
        </w:trPr>
        <w:tc>
          <w:tcPr>
            <w:tcW w:w="3880" w:type="dxa"/>
            <w:vAlign w:val="bottom"/>
          </w:tcPr>
          <w:p>
            <w:pPr>
              <w:ind w:left="20"/>
              <w:spacing w:after="0" w:line="125" w:lineRule="exact"/>
              <w:rPr>
                <w:sz w:val="20"/>
                <w:szCs w:val="20"/>
                <w:color w:val="auto"/>
              </w:rPr>
            </w:pPr>
            <w:r>
              <w:rPr>
                <w:rFonts w:ascii="Arial" w:cs="Arial" w:eastAsia="Arial" w:hAnsi="Arial"/>
                <w:sz w:val="11"/>
                <w:szCs w:val="11"/>
                <w:color w:val="auto"/>
              </w:rPr>
              <w:t>Net income</w:t>
            </w:r>
          </w:p>
        </w:tc>
        <w:tc>
          <w:tcPr>
            <w:tcW w:w="780" w:type="dxa"/>
            <w:vAlign w:val="bottom"/>
            <w:gridSpan w:val="2"/>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gridSpan w:val="2"/>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10,376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10,376</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Recognition of stock-based compensation expense</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1,363</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Exercise of vested stock options</w:t>
            </w: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13,773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issued as consideration for in-license rights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187,500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5,494</w:t>
            </w:r>
          </w:p>
        </w:tc>
        <w:tc>
          <w:tcPr>
            <w:tcW w:w="0" w:type="dxa"/>
            <w:vAlign w:val="bottom"/>
          </w:tcPr>
          <w:p>
            <w:pPr>
              <w:spacing w:after="0"/>
              <w:rPr>
                <w:sz w:val="1"/>
                <w:szCs w:val="1"/>
                <w:color w:val="auto"/>
              </w:rPr>
            </w:pPr>
          </w:p>
        </w:tc>
      </w:tr>
      <w:tr>
        <w:trPr>
          <w:trHeight w:val="143"/>
        </w:trPr>
        <w:tc>
          <w:tcPr>
            <w:tcW w:w="3880" w:type="dxa"/>
            <w:vAlign w:val="bottom"/>
          </w:tcPr>
          <w:p>
            <w:pPr>
              <w:ind w:left="20"/>
              <w:spacing w:after="0"/>
              <w:rPr>
                <w:sz w:val="20"/>
                <w:szCs w:val="20"/>
                <w:color w:val="auto"/>
              </w:rPr>
            </w:pPr>
            <w:r>
              <w:rPr>
                <w:rFonts w:ascii="Arial" w:cs="Arial" w:eastAsia="Arial" w:hAnsi="Arial"/>
                <w:sz w:val="11"/>
                <w:szCs w:val="11"/>
                <w:b w:val="1"/>
                <w:bCs w:val="1"/>
                <w:color w:val="auto"/>
              </w:rPr>
              <w:t>Balance as of March 31, 2021</w:t>
            </w:r>
          </w:p>
        </w:tc>
        <w:tc>
          <w:tcPr>
            <w:tcW w:w="780" w:type="dxa"/>
            <w:vAlign w:val="bottom"/>
            <w:tcBorders>
              <w:top w:val="single" w:sz="8" w:color="auto"/>
              <w:bottom w:val="single" w:sz="8" w:color="auto"/>
            </w:tcBorders>
            <w:gridSpan w:val="2"/>
          </w:tcPr>
          <w:p>
            <w:pPr>
              <w:spacing w:after="0"/>
              <w:rPr>
                <w:sz w:val="12"/>
                <w:szCs w:val="12"/>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527"/>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gridSpan w:val="2"/>
          </w:tcPr>
          <w:p>
            <w:pPr>
              <w:spacing w:after="0"/>
              <w:rPr>
                <w:sz w:val="12"/>
                <w:szCs w:val="12"/>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20,524,474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205,697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(22,469)</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183,232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Net income</w:t>
            </w:r>
          </w:p>
        </w:tc>
        <w:tc>
          <w:tcPr>
            <w:tcW w:w="780" w:type="dxa"/>
            <w:vAlign w:val="bottom"/>
            <w:gridSpan w:val="2"/>
            <w:shd w:val="clear" w:color="auto" w:fill="CCEEFF"/>
          </w:tcPr>
          <w:p>
            <w:pPr>
              <w:spacing w:after="0"/>
              <w:rPr>
                <w:sz w:val="12"/>
                <w:szCs w:val="12"/>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gridSpan w:val="2"/>
            <w:shd w:val="clear" w:color="auto" w:fill="CCEEFF"/>
          </w:tcPr>
          <w:p>
            <w:pPr>
              <w:spacing w:after="0"/>
              <w:rPr>
                <w:sz w:val="12"/>
                <w:szCs w:val="12"/>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6,345</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Recognition of stock-based compensation expense</w:t>
            </w: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2,794</w:t>
            </w:r>
          </w:p>
        </w:tc>
        <w:tc>
          <w:tcPr>
            <w:tcW w:w="0" w:type="dxa"/>
            <w:vAlign w:val="bottom"/>
          </w:tcPr>
          <w:p>
            <w:pPr>
              <w:spacing w:after="0"/>
              <w:rPr>
                <w:sz w:val="1"/>
                <w:szCs w:val="1"/>
                <w:color w:val="auto"/>
              </w:rPr>
            </w:pPr>
          </w:p>
        </w:tc>
      </w:tr>
      <w:tr>
        <w:trPr>
          <w:trHeight w:val="166"/>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Lapse of repurchase obligation for stock option exercises, prior to vesting</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tcBorders>
              <w:right w:val="single" w:sz="8" w:color="auto"/>
            </w:tcBorders>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49,222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52"/>
        </w:trPr>
        <w:tc>
          <w:tcPr>
            <w:tcW w:w="4660" w:type="dxa"/>
            <w:vAlign w:val="bottom"/>
            <w:gridSpan w:val="3"/>
          </w:tcPr>
          <w:p>
            <w:pPr>
              <w:ind w:left="20"/>
              <w:spacing w:after="0"/>
              <w:rPr>
                <w:sz w:val="20"/>
                <w:szCs w:val="20"/>
                <w:color w:val="auto"/>
              </w:rPr>
            </w:pPr>
            <w:r>
              <w:rPr>
                <w:rFonts w:ascii="Arial" w:cs="Arial" w:eastAsia="Arial" w:hAnsi="Arial"/>
                <w:sz w:val="11"/>
                <w:szCs w:val="11"/>
                <w:color w:val="auto"/>
              </w:rPr>
              <w:t>Exercise of vested stock options</w:t>
            </w: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5"/>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June 30, 2021</w:t>
            </w:r>
          </w:p>
        </w:tc>
        <w:tc>
          <w:tcPr>
            <w:tcW w:w="780" w:type="dxa"/>
            <w:vAlign w:val="bottom"/>
            <w:tcBorders>
              <w:top w:val="single" w:sz="8" w:color="auto"/>
              <w:bottom w:val="single" w:sz="8" w:color="auto"/>
            </w:tcBorders>
            <w:gridSpan w:val="2"/>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gridSpan w:val="2"/>
            <w:shd w:val="clear" w:color="auto" w:fill="CCEEFF"/>
          </w:tcPr>
          <w:p>
            <w:pPr>
              <w:jc w:val="right"/>
              <w:ind w:right="527"/>
              <w:spacing w:after="0"/>
              <w:rPr>
                <w:sz w:val="20"/>
                <w:szCs w:val="20"/>
                <w:color w:val="auto"/>
              </w:rPr>
            </w:pPr>
            <w:r>
              <w:rPr>
                <w:rFonts w:ascii="Arial" w:cs="Arial" w:eastAsia="Arial" w:hAnsi="Arial"/>
                <w:sz w:val="11"/>
                <w:szCs w:val="11"/>
                <w:color w:val="auto"/>
                <w:w w:val="97"/>
              </w:rPr>
              <w:t>$</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CCEEFF"/>
              <w:bottom w:val="single" w:sz="8" w:color="CCEEFF"/>
              <w:right w:val="single" w:sz="8" w:color="auto"/>
            </w:tcBorders>
            <w:gridSpan w:val="2"/>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20,573,951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208,591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192,471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unaudited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0" w:lineRule="exact"/>
        <w:rPr>
          <w:sz w:val="20"/>
          <w:szCs w:val="20"/>
          <w:color w:val="auto"/>
        </w:rPr>
      </w:pPr>
    </w:p>
    <w:p>
      <w:pPr>
        <w:jc w:val="center"/>
        <w:ind w:left="8420"/>
        <w:spacing w:after="0"/>
        <w:rPr>
          <w:sz w:val="20"/>
          <w:szCs w:val="20"/>
          <w:color w:val="auto"/>
        </w:rPr>
      </w:pPr>
      <w:r>
        <w:rPr>
          <w:rFonts w:ascii="Arial" w:cs="Arial" w:eastAsia="Arial" w:hAnsi="Arial"/>
          <w:sz w:val="11"/>
          <w:szCs w:val="11"/>
          <w:b w:val="1"/>
          <w:bCs w:val="1"/>
          <w:color w:val="auto"/>
        </w:rPr>
        <w:t>Six Months Ended</w:t>
      </w:r>
    </w:p>
    <w:p>
      <w:pPr>
        <w:jc w:val="center"/>
        <w:ind w:left="842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4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2021</w:t>
            </w:r>
          </w:p>
        </w:tc>
      </w:tr>
      <w:tr>
        <w:trPr>
          <w:trHeight w:val="145"/>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2"/>
        </w:trPr>
        <w:tc>
          <w:tcPr>
            <w:tcW w:w="8420" w:type="dxa"/>
            <w:vAlign w:val="bottom"/>
          </w:tcPr>
          <w:p>
            <w:pPr>
              <w:ind w:left="100"/>
              <w:spacing w:after="0"/>
              <w:rPr>
                <w:sz w:val="20"/>
                <w:szCs w:val="20"/>
                <w:color w:val="auto"/>
              </w:rPr>
            </w:pPr>
            <w:r>
              <w:rPr>
                <w:rFonts w:ascii="Arial" w:cs="Arial" w:eastAsia="Arial" w:hAnsi="Arial"/>
                <w:sz w:val="11"/>
                <w:szCs w:val="11"/>
                <w:color w:val="auto"/>
              </w:rPr>
              <w:t>Net (loss) income</w:t>
            </w:r>
          </w:p>
        </w:tc>
        <w:tc>
          <w:tcPr>
            <w:tcW w:w="900" w:type="dxa"/>
            <w:vAlign w:val="bottom"/>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(25,981)</w:t>
            </w:r>
          </w:p>
        </w:tc>
        <w:tc>
          <w:tcPr>
            <w:tcW w:w="10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16,721</w:t>
            </w:r>
          </w:p>
        </w:tc>
      </w:tr>
      <w:tr>
        <w:trPr>
          <w:trHeight w:val="166"/>
        </w:trPr>
        <w:tc>
          <w:tcPr>
            <w:tcW w:w="8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(loss) income to net cash used in operating activities: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Depreciation and amortization</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189</w:t>
            </w:r>
          </w:p>
        </w:tc>
      </w:tr>
      <w:tr>
        <w:trPr>
          <w:trHeight w:val="177"/>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Amortization and accretion of term loan-related costs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Stock-based compensation</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4,157</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Non-cash lease expense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Loss on disposal of property and equipment</w:t>
            </w:r>
          </w:p>
        </w:tc>
        <w:tc>
          <w:tcPr>
            <w:tcW w:w="9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Loss on lease termination</w:t>
            </w:r>
          </w:p>
        </w:tc>
        <w:tc>
          <w:tcPr>
            <w:tcW w:w="9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Unrealized loss on equity investments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Change in fair value of equity warrants issued by licensee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Unrealized gain from transactions denominated in a foreign currency</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66"/>
        </w:trPr>
        <w:tc>
          <w:tcPr>
            <w:tcW w:w="84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Issuance of common stock upon in-license agreement milestone achievement</w:t>
            </w:r>
          </w:p>
        </w:tc>
        <w:tc>
          <w:tcPr>
            <w:tcW w:w="9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5,494</w:t>
            </w:r>
          </w:p>
        </w:tc>
      </w:tr>
      <w:tr>
        <w:trPr>
          <w:trHeight w:val="152"/>
        </w:trPr>
        <w:tc>
          <w:tcPr>
            <w:tcW w:w="8420" w:type="dxa"/>
            <w:vAlign w:val="bottom"/>
          </w:tcPr>
          <w:p>
            <w:pPr>
              <w:ind w:left="280"/>
              <w:spacing w:after="0"/>
              <w:rPr>
                <w:sz w:val="20"/>
                <w:szCs w:val="20"/>
                <w:color w:val="auto"/>
              </w:rPr>
            </w:pPr>
            <w:r>
              <w:rPr>
                <w:rFonts w:ascii="Arial" w:cs="Arial" w:eastAsia="Arial" w:hAnsi="Arial"/>
                <w:sz w:val="11"/>
                <w:szCs w:val="11"/>
                <w:color w:val="auto"/>
              </w:rPr>
              <w:t>Changes in operating assets and liabilities:</w:t>
            </w: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6"/>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receivable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w:t>
            </w:r>
          </w:p>
        </w:tc>
      </w:tr>
      <w:tr>
        <w:trPr>
          <w:trHeight w:val="152"/>
        </w:trPr>
        <w:tc>
          <w:tcPr>
            <w:tcW w:w="8420" w:type="dxa"/>
            <w:vAlign w:val="bottom"/>
          </w:tcPr>
          <w:p>
            <w:pPr>
              <w:ind w:left="360"/>
              <w:spacing w:after="0"/>
              <w:rPr>
                <w:sz w:val="20"/>
                <w:szCs w:val="20"/>
                <w:color w:val="auto"/>
              </w:rPr>
            </w:pPr>
            <w:r>
              <w:rPr>
                <w:rFonts w:ascii="Arial" w:cs="Arial" w:eastAsia="Arial" w:hAnsi="Arial"/>
                <w:sz w:val="11"/>
                <w:szCs w:val="11"/>
                <w:color w:val="auto"/>
              </w:rPr>
              <w:t>Other receivables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(510)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(137)</w:t>
            </w:r>
          </w:p>
        </w:tc>
      </w:tr>
      <w:tr>
        <w:trPr>
          <w:trHeight w:val="166"/>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(1,527)</w:t>
            </w:r>
          </w:p>
        </w:tc>
      </w:tr>
      <w:tr>
        <w:trPr>
          <w:trHeight w:val="152"/>
        </w:trPr>
        <w:tc>
          <w:tcPr>
            <w:tcW w:w="8420" w:type="dxa"/>
            <w:vAlign w:val="bottom"/>
          </w:tcPr>
          <w:p>
            <w:pPr>
              <w:ind w:left="360"/>
              <w:spacing w:after="0"/>
              <w:rPr>
                <w:sz w:val="20"/>
                <w:szCs w:val="20"/>
                <w:color w:val="auto"/>
              </w:rPr>
            </w:pPr>
            <w:r>
              <w:rPr>
                <w:rFonts w:ascii="Arial" w:cs="Arial" w:eastAsia="Arial" w:hAnsi="Arial"/>
                <w:sz w:val="11"/>
                <w:szCs w:val="11"/>
                <w:color w:val="auto"/>
              </w:rPr>
              <w:t>Other non-current assets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(2,326)</w:t>
            </w:r>
          </w:p>
        </w:tc>
      </w:tr>
      <w:tr>
        <w:trPr>
          <w:trHeight w:val="166"/>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 and other accrued liabilities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4,622</w:t>
            </w:r>
          </w:p>
        </w:tc>
      </w:tr>
      <w:tr>
        <w:trPr>
          <w:trHeight w:val="152"/>
        </w:trPr>
        <w:tc>
          <w:tcPr>
            <w:tcW w:w="8420" w:type="dxa"/>
            <w:vAlign w:val="bottom"/>
          </w:tcPr>
          <w:p>
            <w:pPr>
              <w:ind w:left="360"/>
              <w:spacing w:after="0"/>
              <w:rPr>
                <w:sz w:val="20"/>
                <w:szCs w:val="20"/>
                <w:color w:val="auto"/>
              </w:rPr>
            </w:pPr>
            <w:r>
              <w:rPr>
                <w:rFonts w:ascii="Arial" w:cs="Arial" w:eastAsia="Arial" w:hAnsi="Arial"/>
                <w:sz w:val="11"/>
                <w:szCs w:val="11"/>
                <w:color w:val="auto"/>
              </w:rPr>
              <w:t>Accrued payroll and benefits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430</w:t>
            </w:r>
          </w:p>
        </w:tc>
      </w:tr>
      <w:tr>
        <w:trPr>
          <w:trHeight w:val="166"/>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long-term liabilities</w:t>
            </w: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w:t>
            </w:r>
          </w:p>
        </w:tc>
      </w:tr>
      <w:tr>
        <w:trPr>
          <w:trHeight w:val="143"/>
        </w:trPr>
        <w:tc>
          <w:tcPr>
            <w:tcW w:w="8420" w:type="dxa"/>
            <w:vAlign w:val="bottom"/>
            <w:tcBorders>
              <w:bottom w:val="single" w:sz="8" w:color="CCEEFF"/>
            </w:tcBorders>
          </w:tcPr>
          <w:p>
            <w:pPr>
              <w:ind w:left="520"/>
              <w:spacing w:after="0" w:line="125" w:lineRule="exact"/>
              <w:rPr>
                <w:sz w:val="20"/>
                <w:szCs w:val="20"/>
                <w:color w:val="auto"/>
              </w:rPr>
            </w:pPr>
            <w:r>
              <w:rPr>
                <w:rFonts w:ascii="Arial" w:cs="Arial" w:eastAsia="Arial" w:hAnsi="Arial"/>
                <w:sz w:val="11"/>
                <w:szCs w:val="11"/>
                <w:color w:val="auto"/>
              </w:rPr>
              <w:t>Net cash used in operating activities</w:t>
            </w: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8,757</w:t>
            </w:r>
          </w:p>
        </w:tc>
      </w:tr>
      <w:tr>
        <w:trPr>
          <w:trHeight w:val="146"/>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2"/>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Purchases of property and equipment</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w:t>
            </w:r>
          </w:p>
        </w:tc>
      </w:tr>
      <w:tr>
        <w:trPr>
          <w:trHeight w:val="157"/>
        </w:trPr>
        <w:tc>
          <w:tcPr>
            <w:tcW w:w="84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Cash used in investing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w:t>
            </w:r>
          </w:p>
        </w:tc>
      </w:tr>
      <w:tr>
        <w:trPr>
          <w:trHeight w:val="133"/>
        </w:trPr>
        <w:tc>
          <w:tcPr>
            <w:tcW w:w="84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5"/>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Proceeds from issuance of common stock upon follow-on public offering, net of paid issuance costs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74,570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8420" w:type="dxa"/>
            <w:vAlign w:val="bottom"/>
          </w:tcPr>
          <w:p>
            <w:pPr>
              <w:ind w:left="360"/>
              <w:spacing w:after="0"/>
              <w:rPr>
                <w:sz w:val="20"/>
                <w:szCs w:val="20"/>
                <w:color w:val="auto"/>
              </w:rPr>
            </w:pPr>
            <w:r>
              <w:rPr>
                <w:rFonts w:ascii="Arial" w:cs="Arial" w:eastAsia="Arial" w:hAnsi="Arial"/>
                <w:sz w:val="11"/>
                <w:szCs w:val="11"/>
                <w:color w:val="auto"/>
              </w:rPr>
              <w:t>Proceeds from sale of common stock under employee stock purchase plan</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Proceeds from exercise of vested stock options</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52"/>
        </w:trPr>
        <w:tc>
          <w:tcPr>
            <w:tcW w:w="8420" w:type="dxa"/>
            <w:vAlign w:val="bottom"/>
          </w:tcPr>
          <w:p>
            <w:pPr>
              <w:ind w:left="360"/>
              <w:spacing w:after="0"/>
              <w:rPr>
                <w:sz w:val="20"/>
                <w:szCs w:val="20"/>
                <w:color w:val="auto"/>
              </w:rPr>
            </w:pPr>
            <w:r>
              <w:rPr>
                <w:rFonts w:ascii="Arial" w:cs="Arial" w:eastAsia="Arial" w:hAnsi="Arial"/>
                <w:sz w:val="11"/>
                <w:szCs w:val="11"/>
                <w:color w:val="auto"/>
              </w:rPr>
              <w:t>Payment of deferred offering costs</w:t>
            </w:r>
          </w:p>
        </w:tc>
        <w:tc>
          <w:tcPr>
            <w:tcW w:w="9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7"/>
        </w:trPr>
        <w:tc>
          <w:tcPr>
            <w:tcW w:w="8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Proceeds from term loan</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Payment of term loan issuance costs</w:t>
            </w: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8420" w:type="dxa"/>
            <w:vAlign w:val="bottom"/>
            <w:shd w:val="clear" w:color="auto" w:fill="CCEEFF"/>
          </w:tcPr>
          <w:p>
            <w:pPr>
              <w:ind w:left="620"/>
              <w:spacing w:after="0"/>
              <w:rPr>
                <w:sz w:val="20"/>
                <w:szCs w:val="20"/>
                <w:color w:val="auto"/>
              </w:rPr>
            </w:pPr>
            <w:r>
              <w:rPr>
                <w:rFonts w:ascii="Arial" w:cs="Arial" w:eastAsia="Arial" w:hAnsi="Arial"/>
                <w:sz w:val="11"/>
                <w:szCs w:val="11"/>
                <w:color w:val="auto"/>
              </w:rPr>
              <w:t>Net cash provided by financing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93,859</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4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increase in cash and cash equivalents</w:t>
            </w: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74,031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8,586</w:t>
            </w:r>
          </w:p>
        </w:tc>
      </w:tr>
      <w:tr>
        <w:trPr>
          <w:trHeight w:val="157"/>
        </w:trPr>
        <w:tc>
          <w:tcPr>
            <w:tcW w:w="8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 beginning of period</w:t>
            </w: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171,332</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168,149</w:t>
            </w:r>
          </w:p>
        </w:tc>
      </w:tr>
      <w:tr>
        <w:trPr>
          <w:trHeight w:val="129"/>
        </w:trPr>
        <w:tc>
          <w:tcPr>
            <w:tcW w:w="842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end of period</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245,363</w:t>
            </w:r>
          </w:p>
        </w:tc>
        <w:tc>
          <w:tcPr>
            <w:tcW w:w="100" w:type="dxa"/>
            <w:vAlign w:val="bottom"/>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176,735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4"/>
        </w:trPr>
        <w:tc>
          <w:tcPr>
            <w:tcW w:w="8420" w:type="dxa"/>
            <w:vAlign w:val="bottom"/>
            <w:tcBorders>
              <w:bottom w:val="single" w:sz="8" w:color="CCEEFF"/>
            </w:tcBorders>
            <w:shd w:val="clear" w:color="auto" w:fill="CCEEFF"/>
          </w:tcPr>
          <w:p>
            <w:pPr>
              <w:ind w:left="20"/>
              <w:spacing w:after="0" w:line="100" w:lineRule="exact"/>
              <w:rPr>
                <w:sz w:val="20"/>
                <w:szCs w:val="20"/>
                <w:color w:val="auto"/>
              </w:rPr>
            </w:pPr>
            <w:r>
              <w:rPr>
                <w:rFonts w:ascii="Arial" w:cs="Arial" w:eastAsia="Arial" w:hAnsi="Arial"/>
                <w:sz w:val="11"/>
                <w:szCs w:val="11"/>
                <w:b w:val="1"/>
                <w:bCs w:val="1"/>
                <w:color w:val="auto"/>
              </w:rPr>
              <w:t>Supplemental Disclosures Noncash Investing and Financing Activities:</w:t>
            </w:r>
          </w:p>
        </w:tc>
        <w:tc>
          <w:tcPr>
            <w:tcW w:w="9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8420" w:type="dxa"/>
            <w:vAlign w:val="bottom"/>
          </w:tcPr>
          <w:p>
            <w:pPr>
              <w:ind w:left="360"/>
              <w:spacing w:after="0"/>
              <w:rPr>
                <w:sz w:val="20"/>
                <w:szCs w:val="20"/>
                <w:color w:val="auto"/>
              </w:rPr>
            </w:pPr>
            <w:r>
              <w:rPr>
                <w:rFonts w:ascii="Arial" w:cs="Arial" w:eastAsia="Arial" w:hAnsi="Arial"/>
                <w:sz w:val="11"/>
                <w:szCs w:val="11"/>
                <w:color w:val="auto"/>
              </w:rPr>
              <w:t>"Interest expense" paid in cash</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Pr>
          <w:p>
            <w:pPr>
              <w:spacing w:after="0"/>
              <w:rPr>
                <w:sz w:val="11"/>
                <w:szCs w:val="11"/>
                <w:color w:val="auto"/>
              </w:rPr>
            </w:pPr>
          </w:p>
        </w:tc>
        <w:tc>
          <w:tcPr>
            <w:tcW w:w="34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Additions of "property and equipment, net" included within "accounts payable and other accrued liabilities"</w:t>
            </w: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122"/>
        </w:trPr>
        <w:tc>
          <w:tcPr>
            <w:tcW w:w="8420" w:type="dxa"/>
            <w:vAlign w:val="bottom"/>
          </w:tcPr>
          <w:p>
            <w:pPr>
              <w:ind w:left="360"/>
              <w:spacing w:after="0" w:line="122" w:lineRule="exact"/>
              <w:rPr>
                <w:sz w:val="20"/>
                <w:szCs w:val="20"/>
                <w:color w:val="auto"/>
              </w:rPr>
            </w:pPr>
            <w:r>
              <w:rPr>
                <w:rFonts w:ascii="Arial" w:cs="Arial" w:eastAsia="Arial" w:hAnsi="Arial"/>
                <w:sz w:val="11"/>
                <w:szCs w:val="11"/>
                <w:color w:val="auto"/>
              </w:rPr>
              <w:t>Expensing of "operating lease right-of-use assets" upon lease termination</w:t>
            </w:r>
          </w:p>
        </w:tc>
        <w:tc>
          <w:tcPr>
            <w:tcW w:w="900" w:type="dxa"/>
            <w:vAlign w:val="bottom"/>
            <w:tcBorders>
              <w:top w:val="single" w:sz="8" w:color="auto"/>
              <w:bottom w:val="single" w:sz="8" w:color="auto"/>
            </w:tcBorders>
          </w:tcPr>
          <w:p>
            <w:pPr>
              <w:jc w:val="right"/>
              <w:ind w:right="763"/>
              <w:spacing w:after="0" w:line="122"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40" w:type="dxa"/>
            <w:vAlign w:val="bottom"/>
            <w:tcBorders>
              <w:top w:val="single" w:sz="8" w:color="auto"/>
              <w:bottom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5"/>
        </w:trPr>
        <w:tc>
          <w:tcPr>
            <w:tcW w:w="8420" w:type="dxa"/>
            <w:vAlign w:val="bottom"/>
            <w:tcBorders>
              <w:bottom w:val="single" w:sz="8" w:color="CCEEFF"/>
            </w:tcBorders>
            <w:shd w:val="clear" w:color="auto" w:fill="CCEEFF"/>
          </w:tcPr>
          <w:p>
            <w:pPr>
              <w:ind w:left="360"/>
              <w:spacing w:after="0" w:line="121" w:lineRule="exact"/>
              <w:rPr>
                <w:sz w:val="20"/>
                <w:szCs w:val="20"/>
                <w:color w:val="auto"/>
              </w:rPr>
            </w:pPr>
            <w:r>
              <w:rPr>
                <w:rFonts w:ascii="Arial" w:cs="Arial" w:eastAsia="Arial" w:hAnsi="Arial"/>
                <w:sz w:val="11"/>
                <w:szCs w:val="11"/>
                <w:color w:val="auto"/>
              </w:rPr>
              <w:t>Stock issued for in-license agreements included within "research and development" expense</w:t>
            </w:r>
          </w:p>
        </w:tc>
        <w:tc>
          <w:tcPr>
            <w:tcW w:w="900" w:type="dxa"/>
            <w:vAlign w:val="bottom"/>
            <w:tcBorders>
              <w:bottom w:val="single" w:sz="8" w:color="auto"/>
            </w:tcBorders>
            <w:shd w:val="clear" w:color="auto" w:fill="CCEEFF"/>
          </w:tcPr>
          <w:p>
            <w:pPr>
              <w:jc w:val="right"/>
              <w:ind w:right="763"/>
              <w:spacing w:after="0" w:line="121" w:lineRule="exact"/>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ind w:left="20"/>
              <w:spacing w:after="0" w:line="121"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5,494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420" w:type="dxa"/>
            <w:vAlign w:val="bottom"/>
          </w:tcPr>
          <w:p>
            <w:pPr>
              <w:ind w:left="360"/>
              <w:spacing w:after="0" w:line="122" w:lineRule="exact"/>
              <w:rPr>
                <w:sz w:val="20"/>
                <w:szCs w:val="20"/>
                <w:color w:val="auto"/>
              </w:rPr>
            </w:pPr>
            <w:r>
              <w:rPr>
                <w:rFonts w:ascii="Arial" w:cs="Arial" w:eastAsia="Arial" w:hAnsi="Arial"/>
                <w:sz w:val="11"/>
                <w:szCs w:val="11"/>
                <w:color w:val="auto"/>
              </w:rPr>
              <w:t>Deferred offering costs included within "additional-paid in capital"</w:t>
            </w:r>
          </w:p>
        </w:tc>
        <w:tc>
          <w:tcPr>
            <w:tcW w:w="900" w:type="dxa"/>
            <w:vAlign w:val="bottom"/>
            <w:tcBorders>
              <w:bottom w:val="single" w:sz="8" w:color="auto"/>
            </w:tcBorders>
          </w:tcPr>
          <w:p>
            <w:pPr>
              <w:jc w:val="right"/>
              <w:ind w:right="763"/>
              <w:spacing w:after="0" w:line="122" w:lineRule="exact"/>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184</w:t>
            </w:r>
          </w:p>
        </w:tc>
        <w:tc>
          <w:tcPr>
            <w:tcW w:w="100" w:type="dxa"/>
            <w:vAlign w:val="bottom"/>
          </w:tcPr>
          <w:p>
            <w:pPr>
              <w:spacing w:after="0"/>
              <w:rPr>
                <w:sz w:val="10"/>
                <w:szCs w:val="10"/>
                <w:color w:val="auto"/>
              </w:rPr>
            </w:pPr>
          </w:p>
        </w:tc>
        <w:tc>
          <w:tcPr>
            <w:tcW w:w="340" w:type="dxa"/>
            <w:vAlign w:val="bottom"/>
            <w:tcBorders>
              <w:bottom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Deferred offering costs included within "accounts payable and accrued liabilities"</w:t>
            </w: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unaudited condensed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 AND PRESENTATION OF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Description of Business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Tarsus Pharmaceuticals, Inc. (“Tarsus” or the “Company”) is a biopharmaceutical company focused on the development and commercialization of therapeutics, starting with eye care.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Liquidity Overview</w:t>
      </w:r>
    </w:p>
    <w:p>
      <w:pPr>
        <w:spacing w:after="0" w:line="168" w:lineRule="exact"/>
        <w:rPr>
          <w:sz w:val="20"/>
          <w:szCs w:val="20"/>
          <w:color w:val="auto"/>
        </w:rPr>
      </w:pPr>
    </w:p>
    <w:p>
      <w:pPr>
        <w:ind w:right="260" w:firstLine="700"/>
        <w:spacing w:after="0" w:line="322" w:lineRule="auto"/>
        <w:rPr>
          <w:sz w:val="20"/>
          <w:szCs w:val="20"/>
          <w:color w:val="auto"/>
        </w:rPr>
      </w:pPr>
      <w:r>
        <w:rPr>
          <w:rFonts w:ascii="Arial" w:cs="Arial" w:eastAsia="Arial" w:hAnsi="Arial"/>
          <w:sz w:val="12"/>
          <w:szCs w:val="12"/>
          <w:color w:val="auto"/>
        </w:rPr>
        <w:t xml:space="preserve">The Company has no product sales and has accumulated losses and negative cash flows from operations since inception (other than consideration received from an out-licensing agreement, as discussed in </w:t>
      </w:r>
      <w:r>
        <w:rPr>
          <w:rFonts w:ascii="Arial" w:cs="Arial" w:eastAsia="Arial" w:hAnsi="Arial"/>
          <w:sz w:val="12"/>
          <w:szCs w:val="12"/>
          <w:i w:val="1"/>
          <w:iCs w:val="1"/>
          <w:color w:val="auto"/>
        </w:rPr>
        <w:t>Note 9</w:t>
      </w:r>
      <w:r>
        <w:rPr>
          <w:rFonts w:ascii="Arial" w:cs="Arial" w:eastAsia="Arial" w:hAnsi="Arial"/>
          <w:sz w:val="12"/>
          <w:szCs w:val="12"/>
          <w:color w:val="auto"/>
        </w:rPr>
        <w:t>), resulting in an accumulated deficit of $72.7 million as of June 30, 2022 and $46.7 million as of December 31, 2021. The Company’s cash and cash equivalents were $245.4 million and $171.3 million as of June 30, 2022 and December 31, 2021, respectively. The Company expects to continue to incur operating losses and negative cash flows.</w:t>
      </w:r>
    </w:p>
    <w:p>
      <w:pPr>
        <w:spacing w:after="0" w:line="102" w:lineRule="exact"/>
        <w:rPr>
          <w:sz w:val="20"/>
          <w:szCs w:val="20"/>
          <w:color w:val="auto"/>
        </w:rPr>
      </w:pPr>
    </w:p>
    <w:p>
      <w:pPr>
        <w:jc w:val="both"/>
        <w:ind w:right="380" w:firstLine="700"/>
        <w:spacing w:after="0" w:line="259" w:lineRule="auto"/>
        <w:rPr>
          <w:sz w:val="20"/>
          <w:szCs w:val="20"/>
          <w:color w:val="auto"/>
        </w:rPr>
      </w:pPr>
      <w:r>
        <w:rPr>
          <w:rFonts w:ascii="Arial" w:cs="Arial" w:eastAsia="Arial" w:hAnsi="Arial"/>
          <w:sz w:val="14"/>
          <w:szCs w:val="14"/>
          <w:color w:val="auto"/>
        </w:rPr>
        <w:t>The Company has funded its inception-to-date operations primarily through equity capital raises, proceeds from its out-license agreement, and draw downs on its credit facility. The Company estimates its existing capital resources will be sufficient to meet projected operating expense requirements for at least 12 months from the filing date of the accompanying Condensed Financial Statements in this Form 10-Q; accordingly, these financial statements have been prepared on a "going-concern" basis.</w:t>
      </w:r>
    </w:p>
    <w:p>
      <w:pPr>
        <w:spacing w:after="0" w:line="137" w:lineRule="exact"/>
        <w:rPr>
          <w:sz w:val="20"/>
          <w:szCs w:val="20"/>
          <w:color w:val="auto"/>
        </w:rPr>
      </w:pPr>
    </w:p>
    <w:p>
      <w:pPr>
        <w:ind w:firstLine="700"/>
        <w:spacing w:after="0" w:line="297" w:lineRule="auto"/>
        <w:rPr>
          <w:sz w:val="20"/>
          <w:szCs w:val="20"/>
          <w:color w:val="auto"/>
        </w:rPr>
      </w:pPr>
      <w:r>
        <w:rPr>
          <w:rFonts w:ascii="Arial" w:cs="Arial" w:eastAsia="Arial" w:hAnsi="Arial"/>
          <w:sz w:val="13"/>
          <w:szCs w:val="13"/>
          <w:color w:val="auto"/>
        </w:rPr>
        <w:t>The Company’s operations currently consist of its corporate organization build-out, intellectual property licensing activities, and preclinical and clinical study progression. The Company faces the clinical, business, and liquidity risks that are typically associated with biopharma companies; it must significantly invest in and conduct research and development activities, achieve research and development outcomes that are inherently uncertain, recruit and retain skilled personnel (including executive management), and expand and defend its intellectual property rights.</w:t>
      </w:r>
    </w:p>
    <w:p>
      <w:pPr>
        <w:spacing w:after="0" w:line="124" w:lineRule="exact"/>
        <w:rPr>
          <w:sz w:val="20"/>
          <w:szCs w:val="20"/>
          <w:color w:val="auto"/>
        </w:rPr>
      </w:pPr>
    </w:p>
    <w:p>
      <w:pPr>
        <w:ind w:firstLine="700"/>
        <w:spacing w:after="0" w:line="277" w:lineRule="auto"/>
        <w:rPr>
          <w:sz w:val="20"/>
          <w:szCs w:val="20"/>
          <w:color w:val="auto"/>
        </w:rPr>
      </w:pPr>
      <w:r>
        <w:rPr>
          <w:rFonts w:ascii="Arial" w:cs="Arial" w:eastAsia="Arial" w:hAnsi="Arial"/>
          <w:sz w:val="13"/>
          <w:szCs w:val="13"/>
          <w:color w:val="auto"/>
        </w:rPr>
        <w:t>Management expects the Company to continue to incur losses in the foreseeable future as a result of research and development activities and other operating expenses. The Company may be required to raise additional capital to fund its future operations. However, no assurance can be given as to whether financing will be available on terms acceptable to the Company, if at all. If the Company raises additional funds by issuing equity securities, its stockholders may experience dilution. The Company's Credit Facility imposes additional covenants that restrict operations, including limitations on its ability to incur liens or additional debt, pay dividends, repurchase common stock, make certain investments, or engage in certain merger or asset sale transactions. Any debt financing or additional equity raise may contain terms that are not favorable to the Company or its stockholders.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These factors may adversely impact the Company's ability to achieve its business objectives and would likely have an adverse effect on its future business prospects, or even its ability to remain a going concern.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Operating Segment</w:t>
      </w:r>
    </w:p>
    <w:p>
      <w:pPr>
        <w:spacing w:after="0" w:line="179" w:lineRule="exact"/>
        <w:rPr>
          <w:sz w:val="20"/>
          <w:szCs w:val="20"/>
          <w:color w:val="auto"/>
        </w:rPr>
      </w:pPr>
    </w:p>
    <w:p>
      <w:pPr>
        <w:jc w:val="both"/>
        <w:ind w:right="20" w:firstLine="700"/>
        <w:spacing w:after="0" w:line="297" w:lineRule="auto"/>
        <w:rPr>
          <w:sz w:val="20"/>
          <w:szCs w:val="20"/>
          <w:color w:val="auto"/>
        </w:rPr>
      </w:pPr>
      <w:r>
        <w:rPr>
          <w:rFonts w:ascii="Arial" w:cs="Arial" w:eastAsia="Arial" w:hAnsi="Arial"/>
          <w:sz w:val="13"/>
          <w:szCs w:val="13"/>
          <w:color w:val="auto"/>
        </w:rPr>
        <w:t>To date, the Company has operated and managed its business and financial information on an aggregate basis based on its organizational structure, for the purposes of evaluating financial performance and the allocation of capital and personnel resources, consistent with the way operations and investments are centrally managed and evaluated. Accordingly, the Company’s management determined that it operates one reportable operating segment. This single segment is focused exclusively on developing pharmaceutical products for eventual commercialization.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Emerging Growth Company Status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firstLine="700"/>
        <w:spacing w:after="0" w:line="262" w:lineRule="auto"/>
        <w:rPr>
          <w:sz w:val="20"/>
          <w:szCs w:val="20"/>
          <w:color w:val="auto"/>
        </w:rPr>
      </w:pPr>
      <w:r>
        <w:rPr>
          <w:rFonts w:ascii="Arial" w:cs="Arial" w:eastAsia="Arial" w:hAnsi="Arial"/>
          <w:sz w:val="14"/>
          <w:szCs w:val="14"/>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 AND USE OF ESTIMATES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 Basis of Presentation</w:t>
      </w:r>
    </w:p>
    <w:p>
      <w:pPr>
        <w:spacing w:after="0" w:line="179" w:lineRule="exact"/>
        <w:rPr>
          <w:sz w:val="20"/>
          <w:szCs w:val="20"/>
          <w:color w:val="auto"/>
        </w:rPr>
      </w:pPr>
    </w:p>
    <w:p>
      <w:pPr>
        <w:ind w:right="260" w:firstLine="700"/>
        <w:spacing w:after="0" w:line="267" w:lineRule="auto"/>
        <w:rPr>
          <w:sz w:val="20"/>
          <w:szCs w:val="20"/>
          <w:color w:val="auto"/>
        </w:rPr>
      </w:pPr>
      <w:r>
        <w:rPr>
          <w:rFonts w:ascii="Arial" w:cs="Arial" w:eastAsia="Arial" w:hAnsi="Arial"/>
          <w:sz w:val="14"/>
          <w:szCs w:val="14"/>
          <w:color w:val="auto"/>
        </w:rPr>
        <w:t>The Company’s Condensed Financial Statements have been prepared in conformity with generally accepted accounting principles ("GAAP") in the United States ("U.S.") for interim financial information and pursuant to Form 10-Q and with the rules and regulations of the Securities and Exchange Commission ("SEC"). Accordingly, the accompanying Condensed Financial Statements do not include all of the information and footnotes required by GAAP for complete financial statements.</w:t>
      </w:r>
    </w:p>
    <w:p>
      <w:pPr>
        <w:spacing w:after="0" w:line="142" w:lineRule="exact"/>
        <w:rPr>
          <w:sz w:val="20"/>
          <w:szCs w:val="20"/>
          <w:color w:val="auto"/>
        </w:rPr>
      </w:pPr>
    </w:p>
    <w:p>
      <w:pPr>
        <w:ind w:right="100" w:firstLine="700"/>
        <w:spacing w:after="0" w:line="262" w:lineRule="auto"/>
        <w:rPr>
          <w:sz w:val="20"/>
          <w:szCs w:val="20"/>
          <w:color w:val="auto"/>
        </w:rPr>
      </w:pPr>
      <w:r>
        <w:rPr>
          <w:rFonts w:ascii="Arial" w:cs="Arial" w:eastAsia="Arial" w:hAnsi="Arial"/>
          <w:sz w:val="14"/>
          <w:szCs w:val="14"/>
          <w:color w:val="auto"/>
        </w:rPr>
        <w:t>The interim Condensed Balance Sheet as of June 30, 2022, the interim Condensed Statements of Operations and Comprehensive (Loss) Income, and Stockholders’ Equity for the three and six months ended June 30, 2022 and 2021, and the interim Condensed Cash Flows for the six months ended June 30, 2022 and 2021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spacing w:after="0" w:line="146" w:lineRule="exact"/>
        <w:rPr>
          <w:sz w:val="20"/>
          <w:szCs w:val="20"/>
          <w:color w:val="auto"/>
        </w:rPr>
      </w:pPr>
    </w:p>
    <w:p>
      <w:pPr>
        <w:ind w:right="180" w:firstLine="700"/>
        <w:spacing w:after="0" w:line="331" w:lineRule="auto"/>
        <w:rPr>
          <w:sz w:val="20"/>
          <w:szCs w:val="20"/>
          <w:color w:val="auto"/>
        </w:rPr>
      </w:pPr>
      <w:r>
        <w:rPr>
          <w:rFonts w:ascii="Arial" w:cs="Arial" w:eastAsia="Arial" w:hAnsi="Arial"/>
          <w:sz w:val="12"/>
          <w:szCs w:val="12"/>
          <w:color w:val="auto"/>
        </w:rPr>
        <w:t>The financial data and other information disclosed in these notes related to the three and six-month periods are also unaudited. The Condensed Balance Sheet as of December 31, 2021 has been derived from the audited financial statements at that date but does not include all information and footnotes required by GAAP for annual financial statements. The condensed interim operating results for three and six months ended June 30, 2022 are not necessarily indicative of results to be expected for the year ending December 31, 2022 or any other interim or annual period.</w:t>
      </w:r>
    </w:p>
    <w:p>
      <w:pPr>
        <w:spacing w:after="0" w:line="108" w:lineRule="exact"/>
        <w:rPr>
          <w:sz w:val="20"/>
          <w:szCs w:val="20"/>
          <w:color w:val="auto"/>
        </w:rPr>
      </w:pPr>
    </w:p>
    <w:p>
      <w:pPr>
        <w:ind w:right="60" w:firstLine="700"/>
        <w:spacing w:after="0" w:line="281" w:lineRule="auto"/>
        <w:rPr>
          <w:sz w:val="20"/>
          <w:szCs w:val="20"/>
          <w:color w:val="auto"/>
        </w:rPr>
      </w:pPr>
      <w:r>
        <w:rPr>
          <w:rFonts w:ascii="Arial" w:cs="Arial" w:eastAsia="Arial" w:hAnsi="Arial"/>
          <w:sz w:val="14"/>
          <w:szCs w:val="14"/>
          <w:color w:val="auto"/>
        </w:rPr>
        <w:t>The accompanying interim unaudited Condensed Financial Statements should be read in conjunction with the audited financial statements and the related notes thereto in the Company’s Annual Report on Form 10-K for the year ended December 31, 2021, as filed with the SEC on March 14, 2022.</w:t>
      </w:r>
    </w:p>
    <w:p>
      <w:pPr>
        <w:spacing w:after="0" w:line="132" w:lineRule="exact"/>
        <w:rPr>
          <w:sz w:val="20"/>
          <w:szCs w:val="20"/>
          <w:color w:val="auto"/>
        </w:rPr>
      </w:pPr>
    </w:p>
    <w:p>
      <w:pPr>
        <w:jc w:val="both"/>
        <w:ind w:right="120" w:firstLine="700"/>
        <w:spacing w:after="0" w:line="297" w:lineRule="auto"/>
        <w:rPr>
          <w:sz w:val="20"/>
          <w:szCs w:val="20"/>
          <w:color w:val="auto"/>
        </w:rPr>
      </w:pPr>
      <w:r>
        <w:rPr>
          <w:rFonts w:ascii="Arial" w:cs="Arial" w:eastAsia="Arial" w:hAnsi="Arial"/>
          <w:sz w:val="13"/>
          <w:szCs w:val="13"/>
          <w:color w:val="auto"/>
        </w:rPr>
        <w:t>The preparation of financial statements in conformity with GAAP and with the rules and regulations of the SEC requires management to make informed estimates and assumptions that affect the amounts reported in these financial statements and accompanying notes. These estimates and assumptions involve judgments with respect to numerous factors that are difficult to forecast and may materially differ from the amounts ultimately realized and reported due to the inherent uncertainty of any estimate or assumption.</w:t>
      </w:r>
    </w:p>
    <w:p>
      <w:pPr>
        <w:spacing w:after="0" w:line="135" w:lineRule="exact"/>
        <w:rPr>
          <w:sz w:val="20"/>
          <w:szCs w:val="20"/>
          <w:color w:val="auto"/>
        </w:rPr>
      </w:pPr>
    </w:p>
    <w:p>
      <w:pPr>
        <w:ind w:right="200" w:firstLine="700"/>
        <w:spacing w:after="0" w:line="251" w:lineRule="auto"/>
        <w:rPr>
          <w:sz w:val="20"/>
          <w:szCs w:val="20"/>
          <w:color w:val="auto"/>
        </w:rPr>
      </w:pPr>
      <w:r>
        <w:rPr>
          <w:rFonts w:ascii="Arial" w:cs="Arial" w:eastAsia="Arial" w:hAnsi="Arial"/>
          <w:sz w:val="14"/>
          <w:szCs w:val="14"/>
          <w:color w:val="auto"/>
        </w:rPr>
        <w:t>There have been no significant changes in the Company’s significant accounting policies during the three and six months ended June 30, 2022, as compared with those disclosed in its Annual Report on Form 10-K for the year ended December 31, 2021, filed with the SEC on March 14, 2022. The accounting policies and estimates that most significantly impact the presented amounts within the accompanying Condensed Financial Statements are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(ii) Cash and Cash Equivalents</w:t>
      </w:r>
    </w:p>
    <w:p>
      <w:pPr>
        <w:spacing w:after="0" w:line="179" w:lineRule="exact"/>
        <w:rPr>
          <w:sz w:val="20"/>
          <w:szCs w:val="20"/>
          <w:color w:val="auto"/>
        </w:rPr>
      </w:pPr>
    </w:p>
    <w:p>
      <w:pPr>
        <w:ind w:right="300" w:firstLine="700"/>
        <w:spacing w:after="0" w:line="281" w:lineRule="auto"/>
        <w:rPr>
          <w:sz w:val="20"/>
          <w:szCs w:val="20"/>
          <w:color w:val="auto"/>
        </w:rPr>
      </w:pPr>
      <w:r>
        <w:rPr>
          <w:rFonts w:ascii="Arial" w:cs="Arial" w:eastAsia="Arial" w:hAnsi="Arial"/>
          <w:sz w:val="14"/>
          <w:szCs w:val="14"/>
          <w:color w:val="auto"/>
        </w:rPr>
        <w:t>Cash and cash equivalents consist of bank deposits and highly liquid investments, including money market fund accounts, that are readily convertible into cash without penalty, with original maturities of three months or less from the purchase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(iii) Marketable Securities and Long-Term Investments</w:t>
      </w:r>
    </w:p>
    <w:p>
      <w:pPr>
        <w:spacing w:after="0" w:line="179" w:lineRule="exact"/>
        <w:rPr>
          <w:sz w:val="20"/>
          <w:szCs w:val="20"/>
          <w:color w:val="auto"/>
        </w:rPr>
      </w:pPr>
    </w:p>
    <w:p>
      <w:pPr>
        <w:ind w:right="140" w:firstLine="700"/>
        <w:spacing w:after="0" w:line="368" w:lineRule="auto"/>
        <w:rPr>
          <w:sz w:val="20"/>
          <w:szCs w:val="20"/>
          <w:color w:val="auto"/>
        </w:rPr>
      </w:pPr>
      <w:r>
        <w:rPr>
          <w:rFonts w:ascii="Arial" w:cs="Arial" w:eastAsia="Arial" w:hAnsi="Arial"/>
          <w:sz w:val="12"/>
          <w:szCs w:val="12"/>
          <w:color w:val="auto"/>
        </w:rPr>
        <w:t xml:space="preserve">As of December 31, 2021, "marketable securities" represents LianBio common stock (see </w:t>
      </w:r>
      <w:r>
        <w:rPr>
          <w:rFonts w:ascii="Arial" w:cs="Arial" w:eastAsia="Arial" w:hAnsi="Arial"/>
          <w:sz w:val="12"/>
          <w:szCs w:val="12"/>
          <w:i w:val="1"/>
          <w:iCs w:val="1"/>
          <w:color w:val="auto"/>
        </w:rPr>
        <w:t>Note 7</w:t>
      </w:r>
      <w:r>
        <w:rPr>
          <w:rFonts w:ascii="Arial" w:cs="Arial" w:eastAsia="Arial" w:hAnsi="Arial"/>
          <w:sz w:val="12"/>
          <w:szCs w:val="12"/>
          <w:color w:val="auto"/>
        </w:rPr>
        <w:t>). These shares are reported within "long-term investments" on the Condensed Balance Sheet as of June 30, 2022, reflecting the intent to hold these shares for at least one year from the balance sheet date. These securities are designated as "available-for-sale" with associated</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gains or losses reported in "other expense, net" within the Condensed Statements of Operations and Comprehensive (Loss) Income for each reported period.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(iv) Concentration of Credit Risk and Other Risks and Uncertainties</w:t>
      </w:r>
    </w:p>
    <w:p>
      <w:pPr>
        <w:spacing w:after="0" w:line="179" w:lineRule="exact"/>
        <w:rPr>
          <w:sz w:val="20"/>
          <w:szCs w:val="20"/>
          <w:color w:val="auto"/>
        </w:rPr>
      </w:pPr>
    </w:p>
    <w:p>
      <w:pPr>
        <w:ind w:right="240" w:firstLine="700"/>
        <w:spacing w:after="0" w:line="281" w:lineRule="auto"/>
        <w:rPr>
          <w:sz w:val="20"/>
          <w:szCs w:val="20"/>
          <w:color w:val="auto"/>
        </w:rPr>
      </w:pPr>
      <w:r>
        <w:rPr>
          <w:rFonts w:ascii="Arial" w:cs="Arial" w:eastAsia="Arial" w:hAnsi="Arial"/>
          <w:sz w:val="14"/>
          <w:szCs w:val="14"/>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22" w:lineRule="exact"/>
        <w:rPr>
          <w:sz w:val="20"/>
          <w:szCs w:val="20"/>
          <w:color w:val="auto"/>
        </w:rPr>
      </w:pPr>
    </w:p>
    <w:p>
      <w:pPr>
        <w:ind w:right="60" w:firstLine="700"/>
        <w:spacing w:after="0" w:line="244" w:lineRule="auto"/>
        <w:rPr>
          <w:sz w:val="20"/>
          <w:szCs w:val="20"/>
          <w:color w:val="auto"/>
        </w:rPr>
      </w:pPr>
      <w:r>
        <w:rPr>
          <w:rFonts w:ascii="Arial" w:cs="Arial" w:eastAsia="Arial" w:hAnsi="Arial"/>
          <w:sz w:val="14"/>
          <w:szCs w:val="14"/>
          <w:color w:val="auto"/>
        </w:rPr>
        <w:t>In March 2020, the World Health Organization declared a pandemic related to the global novel coronavirus disease 2019 (“COVID-19”) outbreak. The COVID-19 pandemic continues to evolve and its impact on the Company’s business will depend on several factors that are highly uncertain and unpredictable, including the efficacy and adoption of vaccines, future resurgences of the virus and its variants, and the speed at which government restrictions are lifted. To date, the Company’s operations have not been significantly impacted by the COVID-19 pandemic, though the Company continues to monitor the potential impact COVID-19 may have on its ongoing and planned clinical trials. However, the Company cannot at this time predict the specific extent, duration, or full impact that the COVID-19 outbreak may have on these activities or its financial condition.</w:t>
      </w:r>
    </w:p>
    <w:p>
      <w:pPr>
        <w:spacing w:after="0" w:line="158" w:lineRule="exact"/>
        <w:rPr>
          <w:sz w:val="20"/>
          <w:szCs w:val="20"/>
          <w:color w:val="auto"/>
        </w:rPr>
      </w:pPr>
    </w:p>
    <w:p>
      <w:pPr>
        <w:ind w:right="100" w:firstLine="700"/>
        <w:spacing w:after="0" w:line="262" w:lineRule="auto"/>
        <w:rPr>
          <w:sz w:val="20"/>
          <w:szCs w:val="20"/>
          <w:color w:val="auto"/>
        </w:rPr>
      </w:pPr>
      <w:r>
        <w:rPr>
          <w:rFonts w:ascii="Arial" w:cs="Arial" w:eastAsia="Arial" w:hAnsi="Arial"/>
          <w:sz w:val="14"/>
          <w:szCs w:val="14"/>
          <w:color w:val="auto"/>
        </w:rPr>
        <w:t>The Company’s results of operations involve numerous risks and uncertainties. Factors that could adversely impact the Company’s operating results and business objectives include, but are not limited to, (1) uncertainty of results of clinical trials, (2) uncertainty of regulatory approval of the Company’s potential product candidates, (3) uncertainty of market acceptance of its product candidates, (4) competition from substitute products and other companies, (5) securing and protecting proprietary technology and strategic relationships, and (6) dependence on key individuals and sole source suppliers.</w:t>
      </w:r>
    </w:p>
    <w:p>
      <w:pPr>
        <w:spacing w:after="0" w:line="146" w:lineRule="exact"/>
        <w:rPr>
          <w:sz w:val="20"/>
          <w:szCs w:val="20"/>
          <w:color w:val="auto"/>
        </w:rPr>
      </w:pPr>
    </w:p>
    <w:p>
      <w:pPr>
        <w:jc w:val="both"/>
        <w:ind w:firstLine="700"/>
        <w:spacing w:after="0" w:line="267" w:lineRule="auto"/>
        <w:rPr>
          <w:sz w:val="20"/>
          <w:szCs w:val="20"/>
          <w:color w:val="auto"/>
        </w:rPr>
      </w:pPr>
      <w:r>
        <w:rPr>
          <w:rFonts w:ascii="Arial" w:cs="Arial" w:eastAsia="Arial" w:hAnsi="Arial"/>
          <w:sz w:val="14"/>
          <w:szCs w:val="14"/>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its business.</w:t>
      </w:r>
    </w:p>
    <w:p>
      <w:pPr>
        <w:spacing w:after="0" w:line="142" w:lineRule="exact"/>
        <w:rPr>
          <w:sz w:val="20"/>
          <w:szCs w:val="20"/>
          <w:color w:val="auto"/>
        </w:rPr>
      </w:pPr>
    </w:p>
    <w:p>
      <w:pPr>
        <w:ind w:left="520" w:right="8020" w:hanging="515"/>
        <w:spacing w:after="0" w:line="521" w:lineRule="auto"/>
        <w:tabs>
          <w:tab w:leader="none" w:pos="203" w:val="left"/>
        </w:tabs>
        <w:numPr>
          <w:ilvl w:val="0"/>
          <w:numId w:val="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Revenue Recognition for Out-License Arrangements Overview</w:t>
      </w:r>
    </w:p>
    <w:p>
      <w:pPr>
        <w:spacing w:after="0" w:line="1"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 xml:space="preserve">The Company currently has one out-license arrangement that allows the third-party licensee to market the TP-03 product candidate (representing "functional intellectual property") in certain territories for a certain field of use and for a stated term - see </w:t>
      </w:r>
      <w:r>
        <w:rPr>
          <w:rFonts w:ascii="Arial" w:cs="Arial" w:eastAsia="Arial" w:hAnsi="Arial"/>
          <w:sz w:val="14"/>
          <w:szCs w:val="14"/>
          <w:i w:val="1"/>
          <w:iCs w:val="1"/>
          <w:color w:val="auto"/>
        </w:rPr>
        <w:t>Note 9</w:t>
      </w:r>
      <w:r>
        <w:rPr>
          <w:rFonts w:ascii="Arial" w:cs="Arial" w:eastAsia="Arial" w:hAnsi="Arial"/>
          <w:sz w:val="14"/>
          <w:szCs w:val="14"/>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167" w:lineRule="exact"/>
        <w:rPr>
          <w:sz w:val="20"/>
          <w:szCs w:val="20"/>
          <w:color w:val="auto"/>
        </w:rPr>
      </w:pPr>
    </w:p>
    <w:p>
      <w:pPr>
        <w:ind w:right="80" w:firstLine="700"/>
        <w:spacing w:after="0" w:line="275" w:lineRule="auto"/>
        <w:rPr>
          <w:sz w:val="20"/>
          <w:szCs w:val="20"/>
          <w:color w:val="auto"/>
        </w:rPr>
      </w:pPr>
      <w:r>
        <w:rPr>
          <w:rFonts w:ascii="Arial" w:cs="Arial" w:eastAsia="Arial" w:hAnsi="Arial"/>
          <w:sz w:val="13"/>
          <w:szCs w:val="13"/>
          <w:color w:val="auto"/>
        </w:rPr>
        <w:t xml:space="preserve">The Company's out-license arrangement, as described in </w:t>
      </w:r>
      <w:r>
        <w:rPr>
          <w:rFonts w:ascii="Arial" w:cs="Arial" w:eastAsia="Arial" w:hAnsi="Arial"/>
          <w:sz w:val="13"/>
          <w:szCs w:val="13"/>
          <w:i w:val="1"/>
          <w:iCs w:val="1"/>
          <w:color w:val="auto"/>
        </w:rPr>
        <w:t>Note 9</w:t>
      </w:r>
      <w:r>
        <w:rPr>
          <w:rFonts w:ascii="Arial" w:cs="Arial" w:eastAsia="Arial" w:hAnsi="Arial"/>
          <w:sz w:val="13"/>
          <w:szCs w:val="13"/>
          <w:color w:val="auto"/>
        </w:rPr>
        <w:t>, was analyzed under GAAP to determine whether the promised goods or services (which include the license, and know-how, data, and information necessary or reasonably useful for the research, development, manufacture, or commercialization of any licensed product, and governance committee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considered to not be distinct, the license is combined with other promised goods or services as a combined performance obligation for revenue recognition.</w:t>
      </w:r>
    </w:p>
    <w:p>
      <w:pPr>
        <w:spacing w:after="0" w:line="3" w:lineRule="exact"/>
        <w:rPr>
          <w:sz w:val="20"/>
          <w:szCs w:val="20"/>
          <w:color w:val="auto"/>
        </w:rPr>
      </w:pPr>
    </w:p>
    <w:p>
      <w:pPr>
        <w:ind w:firstLine="509"/>
        <w:spacing w:after="0" w:line="256" w:lineRule="auto"/>
        <w:rPr>
          <w:sz w:val="20"/>
          <w:szCs w:val="20"/>
          <w:color w:val="auto"/>
        </w:rPr>
      </w:pPr>
      <w:r>
        <w:rPr>
          <w:rFonts w:ascii="Arial" w:cs="Arial" w:eastAsia="Arial" w:hAnsi="Arial"/>
          <w:sz w:val="14"/>
          <w:szCs w:val="14"/>
          <w:color w:val="auto"/>
        </w:rPr>
        <w:t>The Company's out-license arrangement includes the following forms of consideration: (i) non-refundable upfront license payments, (ii) equity-based consideration, (iii) sales-based royalties, (iv) sales threshold milestones, (v) development milestone payments, and (vi) regulatory milestone payments. Revenue is recognized in proportion to the allocated transaction price when (or as) the respective performance obligation is satisfied. The Company evaluates the progress related to each milestone at each reporting period and, if necessary, also adjusts the probability of achievement and related revenue recognition. The measure of progress, and thereby periods over which revenue is recognized, is subject to estimates by management and may change over the course of the respective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Contractual Terms for Receipt of Payments</w:t>
      </w:r>
    </w:p>
    <w:p>
      <w:pPr>
        <w:spacing w:after="0" w:line="200"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43" w:lineRule="exact"/>
        <w:rPr>
          <w:sz w:val="20"/>
          <w:szCs w:val="20"/>
          <w:color w:val="auto"/>
        </w:rPr>
      </w:pPr>
    </w:p>
    <w:p>
      <w:pPr>
        <w:ind w:right="100" w:firstLine="514"/>
        <w:spacing w:after="0" w:line="301" w:lineRule="auto"/>
        <w:tabs>
          <w:tab w:leader="none" w:pos="709" w:val="left"/>
        </w:tabs>
        <w:numPr>
          <w:ilvl w:val="1"/>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Upfront License Fees: </w:t>
      </w:r>
      <w:r>
        <w:rPr>
          <w:rFonts w:ascii="Arial" w:cs="Arial" w:eastAsia="Arial" w:hAnsi="Arial"/>
          <w:sz w:val="12"/>
          <w:szCs w:val="12"/>
          <w:color w:val="auto"/>
        </w:rPr>
        <w:t>The Company determines whether non-refundable license fee consideration is recognized at the time of contract execution (i.e., when the license is transferred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customer and the customer is able to use and benefit from the license) or over the actual (or implied) contractual period of the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135" w:lineRule="exact"/>
        <w:rPr>
          <w:rFonts w:ascii="Arial" w:cs="Arial" w:eastAsia="Arial" w:hAnsi="Arial"/>
          <w:sz w:val="12"/>
          <w:szCs w:val="12"/>
          <w:color w:val="auto"/>
        </w:rPr>
      </w:pPr>
    </w:p>
    <w:p>
      <w:pPr>
        <w:ind w:right="20" w:firstLine="514"/>
        <w:spacing w:after="0" w:line="239" w:lineRule="auto"/>
        <w:tabs>
          <w:tab w:leader="none" w:pos="709" w:val="left"/>
        </w:tabs>
        <w:numPr>
          <w:ilvl w:val="1"/>
          <w:numId w:val="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Development Milestones: </w:t>
      </w:r>
      <w:r>
        <w:rPr>
          <w:rFonts w:ascii="Arial" w:cs="Arial" w:eastAsia="Arial" w:hAnsi="Arial"/>
          <w:sz w:val="14"/>
          <w:szCs w:val="14"/>
          <w:color w:val="auto"/>
        </w:rPr>
        <w:t>The Company utilizes the “most likely amount” method to estimate the amount of consideration to which it will be entitled for achievement of development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183" w:lineRule="exact"/>
        <w:rPr>
          <w:rFonts w:ascii="Arial" w:cs="Arial" w:eastAsia="Arial" w:hAnsi="Arial"/>
          <w:sz w:val="14"/>
          <w:szCs w:val="14"/>
          <w:color w:val="auto"/>
        </w:rPr>
      </w:pPr>
    </w:p>
    <w:p>
      <w:pPr>
        <w:ind w:firstLine="514"/>
        <w:spacing w:after="0" w:line="260" w:lineRule="auto"/>
        <w:tabs>
          <w:tab w:leader="none" w:pos="709" w:val="left"/>
        </w:tabs>
        <w:numPr>
          <w:ilvl w:val="1"/>
          <w:numId w:val="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Regulatory Milestones: </w:t>
      </w:r>
      <w:r>
        <w:rPr>
          <w:rFonts w:ascii="Arial" w:cs="Arial" w:eastAsia="Arial" w:hAnsi="Arial"/>
          <w:sz w:val="14"/>
          <w:szCs w:val="14"/>
          <w:color w:val="auto"/>
        </w:rPr>
        <w:t>The Company utilizes the “most likely amount” method to estimate the consideration to which it will be entitled and recognizes revenue in the period regulatory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spacing w:after="0" w:line="167" w:lineRule="exact"/>
        <w:rPr>
          <w:rFonts w:ascii="Arial" w:cs="Arial" w:eastAsia="Arial" w:hAnsi="Arial"/>
          <w:sz w:val="14"/>
          <w:szCs w:val="14"/>
          <w:color w:val="auto"/>
        </w:rPr>
      </w:pPr>
    </w:p>
    <w:p>
      <w:pPr>
        <w:ind w:right="140" w:firstLine="514"/>
        <w:spacing w:after="0" w:line="267" w:lineRule="auto"/>
        <w:tabs>
          <w:tab w:leader="none" w:pos="709" w:val="left"/>
        </w:tabs>
        <w:numPr>
          <w:ilvl w:val="1"/>
          <w:numId w:val="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Royalties: </w:t>
      </w:r>
      <w:r>
        <w:rPr>
          <w:rFonts w:ascii="Arial" w:cs="Arial" w:eastAsia="Arial" w:hAnsi="Arial"/>
          <w:sz w:val="14"/>
          <w:szCs w:val="14"/>
          <w:color w:val="auto"/>
        </w:rPr>
        <w:t>Under the "sales-or-usage-based royalty exception" the Company recognizes revenue based on the contractual percentage of the licensee’s sale of products to its customers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later of (i) the occurrence of the related product sales or (ii) the date upon which the performance obligation to which some or all of the royalty has been allocated has been satisfied or partially satisfied. To date, the Company has not recognized any royalty revenue from its out-licensing arrangements.</w:t>
      </w:r>
    </w:p>
    <w:p>
      <w:pPr>
        <w:spacing w:after="0" w:line="162" w:lineRule="exact"/>
        <w:rPr>
          <w:rFonts w:ascii="Arial" w:cs="Arial" w:eastAsia="Arial" w:hAnsi="Arial"/>
          <w:sz w:val="14"/>
          <w:szCs w:val="14"/>
          <w:color w:val="auto"/>
        </w:rPr>
      </w:pPr>
    </w:p>
    <w:p>
      <w:pPr>
        <w:ind w:left="720" w:hanging="206"/>
        <w:spacing w:after="0"/>
        <w:tabs>
          <w:tab w:leader="none" w:pos="720" w:val="left"/>
        </w:tabs>
        <w:numPr>
          <w:ilvl w:val="1"/>
          <w:numId w:val="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Sales Threshold Milestones: </w:t>
      </w:r>
      <w:r>
        <w:rPr>
          <w:rFonts w:ascii="Arial" w:cs="Arial" w:eastAsia="Arial" w:hAnsi="Arial"/>
          <w:sz w:val="12"/>
          <w:szCs w:val="12"/>
          <w:color w:val="auto"/>
        </w:rPr>
        <w:t>Similar to royalties, applying the "sales-or-usage-based royalty exception", the Company recognizes revenue from sales threshold milestones at the later of</w:t>
      </w:r>
    </w:p>
    <w:p>
      <w:pPr>
        <w:spacing w:after="0" w:line="42" w:lineRule="exact"/>
        <w:rPr>
          <w:rFonts w:ascii="Arial" w:cs="Arial" w:eastAsia="Arial" w:hAnsi="Arial"/>
          <w:sz w:val="12"/>
          <w:szCs w:val="12"/>
          <w:color w:val="auto"/>
        </w:rPr>
      </w:pPr>
    </w:p>
    <w:p>
      <w:pPr>
        <w:ind w:right="240" w:firstLine="5"/>
        <w:spacing w:after="0" w:line="259" w:lineRule="auto"/>
        <w:tabs>
          <w:tab w:leader="none" w:pos="16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169" w:lineRule="exact"/>
        <w:rPr>
          <w:sz w:val="20"/>
          <w:szCs w:val="20"/>
          <w:color w:val="auto"/>
        </w:rPr>
      </w:pPr>
    </w:p>
    <w:p>
      <w:pPr>
        <w:jc w:val="both"/>
        <w:ind w:right="240" w:firstLine="509"/>
        <w:spacing w:after="0" w:line="267" w:lineRule="auto"/>
        <w:rPr>
          <w:sz w:val="20"/>
          <w:szCs w:val="20"/>
          <w:color w:val="auto"/>
        </w:rPr>
      </w:pPr>
      <w:r>
        <w:rPr>
          <w:rFonts w:ascii="Arial" w:cs="Arial" w:eastAsia="Arial" w:hAnsi="Arial"/>
          <w:sz w:val="14"/>
          <w:szCs w:val="14"/>
          <w:color w:val="auto"/>
        </w:rPr>
        <w:t>The Company re-evaluates the measure of progress to each performance obligation in each reporting period as uncertain events are resolved and other changes in circumstances occur. 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 Research and Development Costs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firstLine="700"/>
        <w:spacing w:after="0" w:line="258" w:lineRule="auto"/>
        <w:rPr>
          <w:sz w:val="20"/>
          <w:szCs w:val="20"/>
          <w:color w:val="auto"/>
        </w:rPr>
      </w:pPr>
      <w:r>
        <w:rPr>
          <w:rFonts w:ascii="Arial" w:cs="Arial" w:eastAsia="Arial" w:hAnsi="Arial"/>
          <w:sz w:val="14"/>
          <w:szCs w:val="14"/>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clinical manufacturing costs, and the cost of services provided by outside contractors. The Company recognizes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50" w:lineRule="exact"/>
        <w:rPr>
          <w:sz w:val="20"/>
          <w:szCs w:val="20"/>
          <w:color w:val="auto"/>
        </w:rPr>
      </w:pPr>
    </w:p>
    <w:p>
      <w:pPr>
        <w:ind w:right="40" w:firstLine="700"/>
        <w:spacing w:after="0" w:line="258" w:lineRule="auto"/>
        <w:rPr>
          <w:sz w:val="20"/>
          <w:szCs w:val="20"/>
          <w:color w:val="auto"/>
        </w:rPr>
      </w:pPr>
      <w:r>
        <w:rPr>
          <w:rFonts w:ascii="Arial" w:cs="Arial" w:eastAsia="Arial" w:hAnsi="Arial"/>
          <w:sz w:val="14"/>
          <w:szCs w:val="14"/>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executed in-license agreements (see </w:t>
      </w:r>
      <w:r>
        <w:rPr>
          <w:rFonts w:ascii="Arial" w:cs="Arial" w:eastAsia="Arial" w:hAnsi="Arial"/>
          <w:sz w:val="14"/>
          <w:szCs w:val="14"/>
          <w:i w:val="1"/>
          <w:iCs w:val="1"/>
          <w:color w:val="auto"/>
        </w:rPr>
        <w:t>Note 8(b)</w:t>
      </w:r>
      <w:r>
        <w:rPr>
          <w:rFonts w:ascii="Arial" w:cs="Arial" w:eastAsia="Arial" w:hAnsi="Arial"/>
          <w:sz w:val="14"/>
          <w:szCs w:val="14"/>
          <w:color w:val="auto"/>
        </w:rPr>
        <w:t>) were evaluated and determined to represent asset acquisitions. Because these assets have not yet received regulatory approval and have no alternative future use, the purchase price for each was immediately recognized as research and development expense. In addition, any future milestone payments (whether in the form of cash or stock) made before product regulatory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(vii) Stock-Based Compensation</w:t>
      </w:r>
    </w:p>
    <w:p>
      <w:pPr>
        <w:spacing w:after="0" w:line="179" w:lineRule="exact"/>
        <w:rPr>
          <w:sz w:val="20"/>
          <w:szCs w:val="20"/>
          <w:color w:val="auto"/>
        </w:rPr>
      </w:pPr>
    </w:p>
    <w:p>
      <w:pPr>
        <w:ind w:right="240" w:firstLine="700"/>
        <w:spacing w:after="0" w:line="368" w:lineRule="auto"/>
        <w:rPr>
          <w:sz w:val="20"/>
          <w:szCs w:val="20"/>
          <w:color w:val="auto"/>
        </w:rPr>
      </w:pPr>
      <w:r>
        <w:rPr>
          <w:rFonts w:ascii="Arial" w:cs="Arial" w:eastAsia="Arial" w:hAnsi="Arial"/>
          <w:sz w:val="12"/>
          <w:szCs w:val="12"/>
          <w:color w:val="auto"/>
        </w:rPr>
        <w:t>The Company recognizes stock-based compensation expense for equity awards granted to employees, consultants, and members of its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86" w:lineRule="exact"/>
        <w:rPr>
          <w:sz w:val="20"/>
          <w:szCs w:val="20"/>
          <w:color w:val="auto"/>
        </w:rPr>
      </w:pPr>
    </w:p>
    <w:p>
      <w:pPr>
        <w:jc w:val="both"/>
        <w:ind w:right="100" w:firstLine="700"/>
        <w:spacing w:after="0" w:line="297" w:lineRule="auto"/>
        <w:rPr>
          <w:sz w:val="20"/>
          <w:szCs w:val="20"/>
          <w:color w:val="auto"/>
        </w:rPr>
      </w:pPr>
      <w:r>
        <w:rPr>
          <w:rFonts w:ascii="Arial" w:cs="Arial" w:eastAsia="Arial" w:hAnsi="Arial"/>
          <w:sz w:val="13"/>
          <w:szCs w:val="13"/>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As applicable, the Company reverses previously recognized expense for unvested awards in the same period of forfeiture.</w:t>
      </w:r>
    </w:p>
    <w:p>
      <w:pPr>
        <w:spacing w:after="0" w:line="124" w:lineRule="exact"/>
        <w:rPr>
          <w:sz w:val="20"/>
          <w:szCs w:val="20"/>
          <w:color w:val="auto"/>
        </w:rPr>
      </w:pPr>
    </w:p>
    <w:p>
      <w:pPr>
        <w:ind w:right="160" w:firstLine="700"/>
        <w:spacing w:after="0" w:line="262" w:lineRule="auto"/>
        <w:rPr>
          <w:sz w:val="20"/>
          <w:szCs w:val="20"/>
          <w:color w:val="auto"/>
        </w:rPr>
      </w:pPr>
      <w:r>
        <w:rPr>
          <w:rFonts w:ascii="Arial" w:cs="Arial" w:eastAsia="Arial" w:hAnsi="Arial"/>
          <w:sz w:val="14"/>
          <w:szCs w:val="14"/>
          <w:color w:val="auto"/>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its October 2020 Initial Public Offering ("IPO"),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46" w:lineRule="exact"/>
        <w:rPr>
          <w:sz w:val="20"/>
          <w:szCs w:val="20"/>
          <w:color w:val="auto"/>
        </w:rPr>
      </w:pPr>
    </w:p>
    <w:p>
      <w:pPr>
        <w:ind w:right="80" w:firstLine="700"/>
        <w:spacing w:after="0" w:line="284" w:lineRule="auto"/>
        <w:rPr>
          <w:sz w:val="20"/>
          <w:szCs w:val="20"/>
          <w:color w:val="auto"/>
        </w:rPr>
      </w:pPr>
      <w:r>
        <w:rPr>
          <w:rFonts w:ascii="Arial" w:cs="Arial" w:eastAsia="Arial" w:hAnsi="Arial"/>
          <w:sz w:val="13"/>
          <w:szCs w:val="13"/>
          <w:color w:val="auto"/>
        </w:rPr>
        <w:t>Management estimates the expected term of awarded stock options utilizing the “simplified method” for awards as the Company does not yet have sufficient exercise history since its November 2016 corporate formation. Additionally, the Company lacks company-specific historical and implied volatility information of its stock since its IPO. Accordingly, management estimated this expected volatility based on a designated peer-group of publicly-traded companies for a look-back period, as of the date of grant, that corresponded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fair value of the Company’s common stock is based on the closing quoted market price of its common stock as reported by the Nasdaq Global Select Market on the date of grant.</w:t>
      </w:r>
    </w:p>
    <w:p>
      <w:pPr>
        <w:spacing w:after="0" w:line="190" w:lineRule="exact"/>
        <w:rPr>
          <w:sz w:val="20"/>
          <w:szCs w:val="20"/>
          <w:color w:val="auto"/>
        </w:rPr>
      </w:pPr>
    </w:p>
    <w:p>
      <w:pPr>
        <w:ind w:right="480" w:firstLine="700"/>
        <w:spacing w:after="0" w:line="281" w:lineRule="auto"/>
        <w:rPr>
          <w:sz w:val="20"/>
          <w:szCs w:val="20"/>
          <w:color w:val="auto"/>
        </w:rPr>
      </w:pPr>
      <w:r>
        <w:rPr>
          <w:rFonts w:ascii="Arial" w:cs="Arial" w:eastAsia="Arial" w:hAnsi="Arial"/>
          <w:sz w:val="14"/>
          <w:szCs w:val="14"/>
          <w:color w:val="auto"/>
        </w:rPr>
        <w:t>All stock-based compensation expense is reported in the Statements of Operations and Comprehensive (Loss) Income within "research and development" expense or "general and administrative" expense, based upon the assigned department of the award recipient.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(viii) Net (Loss) Income per Share</w:t>
      </w:r>
    </w:p>
    <w:p>
      <w:pPr>
        <w:spacing w:after="0" w:line="179" w:lineRule="exact"/>
        <w:rPr>
          <w:sz w:val="20"/>
          <w:szCs w:val="20"/>
          <w:color w:val="auto"/>
        </w:rPr>
      </w:pPr>
    </w:p>
    <w:p>
      <w:pPr>
        <w:ind w:right="320" w:firstLine="700"/>
        <w:spacing w:after="0" w:line="267" w:lineRule="auto"/>
        <w:rPr>
          <w:sz w:val="20"/>
          <w:szCs w:val="20"/>
          <w:color w:val="auto"/>
        </w:rPr>
      </w:pPr>
      <w:r>
        <w:rPr>
          <w:rFonts w:ascii="Arial" w:cs="Arial" w:eastAsia="Arial" w:hAnsi="Arial"/>
          <w:sz w:val="14"/>
          <w:szCs w:val="14"/>
          <w:color w:val="auto"/>
        </w:rPr>
        <w:t>Basic net (loss) income per share is calculated by dividing the net (loss) income by the weighted-average number of shares of common stock outstanding for the period, without consideration for potential dilutive shares of common stock. Diluted net (loss) income per share is computed by dividing the net (loss) income by the weighted-average number of common stock equivalents outstanding for the period determined using the "treasury-stock method" and "if-converted method" as applicable.</w:t>
      </w:r>
    </w:p>
    <w:p>
      <w:pPr>
        <w:spacing w:after="0" w:line="142" w:lineRule="exact"/>
        <w:rPr>
          <w:sz w:val="20"/>
          <w:szCs w:val="20"/>
          <w:color w:val="auto"/>
        </w:rPr>
      </w:pPr>
    </w:p>
    <w:p>
      <w:pPr>
        <w:ind w:right="80" w:firstLine="700"/>
        <w:spacing w:after="0" w:line="258" w:lineRule="auto"/>
        <w:rPr>
          <w:sz w:val="20"/>
          <w:szCs w:val="20"/>
          <w:color w:val="auto"/>
        </w:rPr>
      </w:pPr>
      <w:r>
        <w:rPr>
          <w:rFonts w:ascii="Arial" w:cs="Arial" w:eastAsia="Arial" w:hAnsi="Arial"/>
          <w:sz w:val="14"/>
          <w:szCs w:val="14"/>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171"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Due to a net loss for the three and six months ended June 30, 2022, all otherwise potentially dilutive securities are antidilutive, and accordingly, the reported basic net loss per share equals the reported diluted net loss per share in this period.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(ix) Fair Value Measurements</w:t>
      </w:r>
    </w:p>
    <w:p>
      <w:pPr>
        <w:spacing w:after="0" w:line="179" w:lineRule="exact"/>
        <w:rPr>
          <w:sz w:val="20"/>
          <w:szCs w:val="20"/>
          <w:color w:val="auto"/>
        </w:rPr>
      </w:pPr>
    </w:p>
    <w:p>
      <w:pPr>
        <w:ind w:right="40" w:firstLine="700"/>
        <w:spacing w:after="0" w:line="319" w:lineRule="auto"/>
        <w:rPr>
          <w:sz w:val="20"/>
          <w:szCs w:val="20"/>
          <w:color w:val="auto"/>
        </w:rPr>
      </w:pPr>
      <w:r>
        <w:rPr>
          <w:rFonts w:ascii="Arial" w:cs="Arial" w:eastAsia="Arial" w:hAnsi="Arial"/>
          <w:sz w:val="12"/>
          <w:szCs w:val="12"/>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15" w:lineRule="exact"/>
        <w:rPr>
          <w:sz w:val="20"/>
          <w:szCs w:val="20"/>
          <w:color w:val="auto"/>
        </w:rPr>
      </w:pPr>
    </w:p>
    <w:p>
      <w:pPr>
        <w:ind w:left="800" w:hanging="2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Quoted prices (unadjusted) in active markets for identical assets or liabilities that are publicly accessible at the measurement date.</w:t>
      </w:r>
    </w:p>
    <w:p>
      <w:pPr>
        <w:spacing w:after="0" w:line="178" w:lineRule="exact"/>
        <w:rPr>
          <w:rFonts w:ascii="Arial" w:cs="Arial" w:eastAsia="Arial" w:hAnsi="Arial"/>
          <w:sz w:val="14"/>
          <w:szCs w:val="14"/>
          <w:color w:val="auto"/>
        </w:rPr>
      </w:pPr>
    </w:p>
    <w:p>
      <w:pPr>
        <w:ind w:left="800" w:right="140" w:hanging="254"/>
        <w:spacing w:after="0" w:line="281" w:lineRule="auto"/>
        <w:tabs>
          <w:tab w:leader="none" w:pos="796"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Observable prices that are based on inputs not quoted on active markets, but that are corroborated by market data. These inputs may include quoted prices for similar assets or</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liabilities or quoted market prices in markets that are not active to the general public.</w:t>
      </w:r>
    </w:p>
    <w:p>
      <w:pPr>
        <w:spacing w:after="0" w:line="132" w:lineRule="exact"/>
        <w:rPr>
          <w:rFonts w:ascii="Arial" w:cs="Arial" w:eastAsia="Arial" w:hAnsi="Arial"/>
          <w:sz w:val="14"/>
          <w:szCs w:val="14"/>
          <w:color w:val="auto"/>
        </w:rPr>
      </w:pPr>
    </w:p>
    <w:p>
      <w:pPr>
        <w:ind w:left="800" w:hanging="2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Unobservable inputs that are supported by little or no market activity and that are significant to the fair value of the assets or liabilities.</w:t>
      </w:r>
    </w:p>
    <w:p>
      <w:pPr>
        <w:spacing w:after="0" w:line="179" w:lineRule="exact"/>
        <w:rPr>
          <w:sz w:val="20"/>
          <w:szCs w:val="20"/>
          <w:color w:val="auto"/>
        </w:rPr>
      </w:pPr>
    </w:p>
    <w:p>
      <w:pPr>
        <w:ind w:right="320" w:firstLine="700"/>
        <w:spacing w:after="0" w:line="281" w:lineRule="auto"/>
        <w:rPr>
          <w:sz w:val="20"/>
          <w:szCs w:val="20"/>
          <w:color w:val="auto"/>
        </w:rPr>
      </w:pPr>
      <w:r>
        <w:rPr>
          <w:rFonts w:ascii="Arial" w:cs="Arial" w:eastAsia="Arial" w:hAnsi="Arial"/>
          <w:sz w:val="14"/>
          <w:szCs w:val="14"/>
          <w:color w:val="auto"/>
        </w:rPr>
        <w:t xml:space="preserve">The carrying amounts for financial instruments consisting of cash and cash equivalents, accounts payable and accrued liabilities approximate fair value due to the short maturities for each. The Company's equity warrant holdings are carried at fair value based on unobservable market inputs (see </w:t>
      </w:r>
      <w:r>
        <w:rPr>
          <w:rFonts w:ascii="Arial" w:cs="Arial" w:eastAsia="Arial" w:hAnsi="Arial"/>
          <w:sz w:val="14"/>
          <w:szCs w:val="14"/>
          <w:i w:val="1"/>
          <w:iCs w:val="1"/>
          <w:color w:val="auto"/>
        </w:rPr>
        <w:t>Note 7</w:t>
      </w:r>
      <w:r>
        <w:rPr>
          <w:rFonts w:ascii="Arial" w:cs="Arial" w:eastAsia="Arial" w:hAnsi="Arial"/>
          <w:sz w:val="14"/>
          <w:szCs w:val="14"/>
          <w:color w:val="auto"/>
        </w:rPr>
        <w:t>).</w:t>
      </w:r>
    </w:p>
    <w:p>
      <w:pPr>
        <w:spacing w:after="0" w:line="132" w:lineRule="exact"/>
        <w:rPr>
          <w:sz w:val="20"/>
          <w:szCs w:val="20"/>
          <w:color w:val="auto"/>
        </w:rPr>
      </w:pPr>
    </w:p>
    <w:p>
      <w:pPr>
        <w:ind w:firstLine="700"/>
        <w:spacing w:after="0" w:line="267" w:lineRule="auto"/>
        <w:rPr>
          <w:sz w:val="20"/>
          <w:szCs w:val="20"/>
          <w:color w:val="auto"/>
        </w:rPr>
      </w:pPr>
      <w:r>
        <w:rPr>
          <w:rFonts w:ascii="Arial" w:cs="Arial" w:eastAsia="Arial" w:hAnsi="Arial"/>
          <w:sz w:val="14"/>
          <w:szCs w:val="14"/>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 Comprehensive (Loss) Income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right="340" w:firstLine="700"/>
        <w:spacing w:after="0" w:line="281" w:lineRule="auto"/>
        <w:rPr>
          <w:sz w:val="20"/>
          <w:szCs w:val="20"/>
          <w:color w:val="auto"/>
        </w:rPr>
      </w:pPr>
      <w:r>
        <w:rPr>
          <w:rFonts w:ascii="Arial" w:cs="Arial" w:eastAsia="Arial" w:hAnsi="Arial"/>
          <w:sz w:val="14"/>
          <w:szCs w:val="14"/>
          <w:color w:val="auto"/>
        </w:rPr>
        <w:t>Comprehensive (loss) income represents all changes in stockholders’ equity, except those resulting from distributions to stockholders. For all periods presented in the accompanying Condensed Financial Statements, comprehensive (loss) income was the same as reported net (loss) income.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(xi) Recently Issued or Effective Accounting Standards</w:t>
      </w:r>
    </w:p>
    <w:p>
      <w:pPr>
        <w:spacing w:after="0" w:line="179" w:lineRule="exact"/>
        <w:rPr>
          <w:sz w:val="20"/>
          <w:szCs w:val="20"/>
          <w:color w:val="auto"/>
        </w:rPr>
      </w:pPr>
    </w:p>
    <w:p>
      <w:pPr>
        <w:ind w:right="260" w:firstLine="700"/>
        <w:spacing w:after="0" w:line="267" w:lineRule="auto"/>
        <w:rPr>
          <w:sz w:val="20"/>
          <w:szCs w:val="20"/>
          <w:color w:val="auto"/>
        </w:rPr>
      </w:pPr>
      <w:r>
        <w:rPr>
          <w:rFonts w:ascii="Arial" w:cs="Arial" w:eastAsia="Arial" w:hAnsi="Arial"/>
          <w:sz w:val="14"/>
          <w:szCs w:val="14"/>
          <w:color w:val="auto"/>
        </w:rPr>
        <w:t>Recently issued or effective accounting pronouncements that impact, or may have an impact, on the Company’s financial statements have been discussed within the footnote to which each relates. Other recent accounting pronouncements not disclosed in these Condensed Financial Statements have been determined by the Company’s management to have no impact, or an immaterial impact, on its current and expected future financial position,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BALANCE SHEET ACCOUNT DETAIL</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composition of selected captions within the accompanying Condensed Balance Sheets are summarized below: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Property and Equipment, Net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“Property and equipment,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June 30, 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1140" w:type="dxa"/>
            <w:vAlign w:val="bottom"/>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Office equipment</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Leasehold improvements</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r>
      <w:tr>
        <w:trPr>
          <w:trHeight w:val="163"/>
        </w:trPr>
        <w:tc>
          <w:tcPr>
            <w:tcW w:w="81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and equipment, at cost</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r>
      <w:tr>
        <w:trPr>
          <w:trHeight w:val="168"/>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(Less): Accumulated depreciation and amortization</w:t>
            </w: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85"/>
        </w:trPr>
        <w:tc>
          <w:tcPr>
            <w:tcW w:w="81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and equipment, net</w:t>
            </w:r>
          </w:p>
        </w:tc>
        <w:tc>
          <w:tcPr>
            <w:tcW w:w="114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80" w:firstLine="700"/>
        <w:spacing w:after="0" w:line="368" w:lineRule="auto"/>
        <w:rPr>
          <w:sz w:val="20"/>
          <w:szCs w:val="20"/>
          <w:color w:val="auto"/>
        </w:rPr>
      </w:pPr>
      <w:r>
        <w:rPr>
          <w:rFonts w:ascii="Arial" w:cs="Arial" w:eastAsia="Arial" w:hAnsi="Arial"/>
          <w:sz w:val="12"/>
          <w:szCs w:val="12"/>
          <w:color w:val="auto"/>
        </w:rPr>
        <w:t>Depreciation expense (included within “total operating expenses” in the accompanying Condensed Statements of Operations and Comprehensive (Loss) Income) for the three months ended June 30, 2022 and 2021 was $92 thousand and $125 thousand, respectively, and for the six months ended June 30, 2022 and 2021 was $133 thousand and $189 thousand,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Other Assets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assets"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June 30, 2022</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Deposits</w:t>
            </w:r>
          </w:p>
        </w:tc>
        <w:tc>
          <w:tcPr>
            <w:tcW w:w="1200" w:type="dxa"/>
            <w:vAlign w:val="bottom"/>
            <w:shd w:val="clear" w:color="auto" w:fill="CCEEFF"/>
          </w:tcPr>
          <w:p>
            <w:pPr>
              <w:jc w:val="right"/>
              <w:ind w:right="105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Equity warrants issued by licensee (</w:t>
            </w:r>
            <w:r>
              <w:rPr>
                <w:rFonts w:ascii="Arial" w:cs="Arial" w:eastAsia="Arial" w:hAnsi="Arial"/>
                <w:sz w:val="13"/>
                <w:szCs w:val="13"/>
                <w:i w:val="1"/>
                <w:iCs w:val="1"/>
                <w:color w:val="auto"/>
              </w:rPr>
              <w:t>Note 7</w:t>
            </w:r>
            <w:r>
              <w:rPr>
                <w:rFonts w:ascii="Arial" w:cs="Arial" w:eastAsia="Arial" w:hAnsi="Arial"/>
                <w:sz w:val="13"/>
                <w:szCs w:val="13"/>
                <w:color w:val="auto"/>
              </w:rPr>
              <w:t>)</w:t>
            </w:r>
          </w:p>
        </w:tc>
        <w:tc>
          <w:tcPr>
            <w:tcW w:w="1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663</w:t>
            </w:r>
          </w:p>
        </w:tc>
      </w:tr>
      <w:tr>
        <w:trPr>
          <w:trHeight w:val="17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12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w:t>
            </w:r>
          </w:p>
        </w:tc>
      </w:tr>
      <w:tr>
        <w:trPr>
          <w:trHeight w:val="158"/>
        </w:trPr>
        <w:tc>
          <w:tcPr>
            <w:tcW w:w="8140" w:type="dxa"/>
            <w:vAlign w:val="bottom"/>
          </w:tcPr>
          <w:p>
            <w:pPr>
              <w:ind w:left="20"/>
              <w:spacing w:after="0" w:line="146" w:lineRule="exact"/>
              <w:rPr>
                <w:sz w:val="20"/>
                <w:szCs w:val="20"/>
                <w:color w:val="auto"/>
              </w:rPr>
            </w:pPr>
            <w:r>
              <w:rPr>
                <w:rFonts w:ascii="Arial" w:cs="Arial" w:eastAsia="Arial" w:hAnsi="Arial"/>
                <w:sz w:val="13"/>
                <w:szCs w:val="13"/>
                <w:color w:val="auto"/>
              </w:rPr>
              <w:t>Other assets</w:t>
            </w:r>
          </w:p>
        </w:tc>
        <w:tc>
          <w:tcPr>
            <w:tcW w:w="1200" w:type="dxa"/>
            <w:vAlign w:val="bottom"/>
            <w:tcBorders>
              <w:bottom w:val="single" w:sz="8" w:color="auto"/>
            </w:tcBorders>
          </w:tcPr>
          <w:p>
            <w:pPr>
              <w:jc w:val="right"/>
              <w:ind w:right="105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w:t>
            </w:r>
          </w:p>
        </w:tc>
      </w:tr>
      <w:tr>
        <w:trPr>
          <w:trHeight w:val="20"/>
        </w:trPr>
        <w:tc>
          <w:tcPr>
            <w:tcW w:w="8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Accounts Payable and Other Accrued Liabilities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payable and other accrued liabilities” consists of the following: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June 30, 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 and other</w:t>
            </w:r>
          </w:p>
        </w:tc>
        <w:tc>
          <w:tcPr>
            <w:tcW w:w="1140" w:type="dxa"/>
            <w:vAlign w:val="bottom"/>
            <w:shd w:val="clear" w:color="auto" w:fill="CCEEFF"/>
          </w:tcPr>
          <w:p>
            <w:pPr>
              <w:jc w:val="right"/>
              <w:ind w:right="102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4,093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2,856</w:t>
            </w: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Operating lease liability, current</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609</w:t>
            </w:r>
          </w:p>
        </w:tc>
      </w:tr>
      <w:tr>
        <w:trPr>
          <w:trHeight w:val="17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clinical studies</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4,068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w:t>
            </w: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Contract liability</w:t>
            </w:r>
          </w:p>
        </w:tc>
        <w:tc>
          <w:tcPr>
            <w:tcW w:w="114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697</w:t>
            </w:r>
          </w:p>
        </w:tc>
      </w:tr>
      <w:tr>
        <w:trPr>
          <w:trHeight w:val="17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interest, current</w:t>
            </w: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140" w:type="dxa"/>
            <w:vAlign w:val="bottom"/>
          </w:tcPr>
          <w:p>
            <w:pPr>
              <w:ind w:left="20"/>
              <w:spacing w:after="0"/>
              <w:rPr>
                <w:sz w:val="20"/>
                <w:szCs w:val="20"/>
                <w:color w:val="auto"/>
              </w:rPr>
            </w:pPr>
            <w:r>
              <w:rPr>
                <w:rFonts w:ascii="Arial" w:cs="Arial" w:eastAsia="Arial" w:hAnsi="Arial"/>
                <w:sz w:val="13"/>
                <w:szCs w:val="13"/>
                <w:color w:val="auto"/>
              </w:rPr>
              <w:t>Income taxes payable</w:t>
            </w:r>
          </w:p>
        </w:tc>
        <w:tc>
          <w:tcPr>
            <w:tcW w:w="114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2"/>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 pre-vesting exercise liability</w:t>
            </w:r>
          </w:p>
        </w:tc>
        <w:tc>
          <w:tcPr>
            <w:tcW w:w="11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58"/>
        </w:trPr>
        <w:tc>
          <w:tcPr>
            <w:tcW w:w="8140" w:type="dxa"/>
            <w:vAlign w:val="bottom"/>
          </w:tcPr>
          <w:p>
            <w:pPr>
              <w:ind w:left="20"/>
              <w:spacing w:after="0" w:line="146" w:lineRule="exact"/>
              <w:rPr>
                <w:sz w:val="20"/>
                <w:szCs w:val="20"/>
                <w:color w:val="auto"/>
              </w:rPr>
            </w:pPr>
            <w:r>
              <w:rPr>
                <w:rFonts w:ascii="Arial" w:cs="Arial" w:eastAsia="Arial" w:hAnsi="Arial"/>
                <w:sz w:val="13"/>
                <w:szCs w:val="13"/>
                <w:color w:val="auto"/>
              </w:rPr>
              <w:t>Accounts payable and other accrued liabilities</w:t>
            </w:r>
          </w:p>
        </w:tc>
        <w:tc>
          <w:tcPr>
            <w:tcW w:w="1140" w:type="dxa"/>
            <w:vAlign w:val="bottom"/>
            <w:tcBorders>
              <w:bottom w:val="single" w:sz="8" w:color="auto"/>
            </w:tcBorders>
          </w:tcPr>
          <w:p>
            <w:pPr>
              <w:jc w:val="right"/>
              <w:ind w:right="1029"/>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8,938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8,680</w:t>
            </w:r>
          </w:p>
        </w:tc>
      </w:tr>
      <w:tr>
        <w:trPr>
          <w:trHeight w:val="20"/>
        </w:trPr>
        <w:tc>
          <w:tcPr>
            <w:tcW w:w="8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Other Long-Term Liabilities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long-term liabilities”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4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June 30, 2022</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non-current</w:t>
            </w:r>
          </w:p>
        </w:tc>
        <w:tc>
          <w:tcPr>
            <w:tcW w:w="1200" w:type="dxa"/>
            <w:vAlign w:val="bottom"/>
            <w:shd w:val="clear" w:color="auto" w:fill="CCEEFF"/>
          </w:tcPr>
          <w:p>
            <w:pPr>
              <w:jc w:val="right"/>
              <w:ind w:right="1059"/>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Lotilaner licensor liability</w:t>
            </w:r>
          </w:p>
        </w:tc>
        <w:tc>
          <w:tcPr>
            <w:tcW w:w="1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r>
      <w:tr>
        <w:trPr>
          <w:trHeight w:val="185"/>
        </w:trPr>
        <w:tc>
          <w:tcPr>
            <w:tcW w:w="81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Other long-term liabilities</w:t>
            </w:r>
          </w:p>
        </w:tc>
        <w:tc>
          <w:tcPr>
            <w:tcW w:w="120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STOCKHOLDERS’ EQUITY AND EQUITY INCENTIVE PLANS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Outstanding and Reserves for Future Issuance</w:t>
      </w:r>
    </w:p>
    <w:p>
      <w:pPr>
        <w:spacing w:after="0" w:line="179" w:lineRule="exact"/>
        <w:rPr>
          <w:sz w:val="20"/>
          <w:szCs w:val="20"/>
          <w:color w:val="auto"/>
        </w:rPr>
      </w:pPr>
    </w:p>
    <w:p>
      <w:pPr>
        <w:ind w:right="360" w:firstLine="700"/>
        <w:spacing w:after="0" w:line="281" w:lineRule="auto"/>
        <w:rPr>
          <w:sz w:val="20"/>
          <w:szCs w:val="20"/>
          <w:color w:val="auto"/>
        </w:rPr>
      </w:pPr>
      <w:r>
        <w:rPr>
          <w:rFonts w:ascii="Arial" w:cs="Arial" w:eastAsia="Arial" w:hAnsi="Arial"/>
          <w:sz w:val="14"/>
          <w:szCs w:val="14"/>
          <w:color w:val="auto"/>
        </w:rPr>
        <w:t>As of June 30, 2022, the Company had 26.7 million and 26.6 million common shares issued and outstanding, respectively. As of December 31, 2021, the Company had 20.7 million common shares issued and outstanding, respectively. Each share of common stock is entitled to one vote.</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Company's outstanding equity awards and shares reserved for future issuance under its 2020 and 2016 Equity Incentive Plans and 2020 Employee Stock Purchase Plan is summarized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1540" w:type="dxa"/>
            <w:vAlign w:val="bottom"/>
            <w:gridSpan w:val="2"/>
          </w:tcPr>
          <w:p>
            <w:pPr>
              <w:ind w:left="400"/>
              <w:spacing w:after="0"/>
              <w:rPr>
                <w:sz w:val="20"/>
                <w:szCs w:val="20"/>
                <w:color w:val="auto"/>
              </w:rPr>
            </w:pPr>
            <w:r>
              <w:rPr>
                <w:rFonts w:ascii="Arial" w:cs="Arial" w:eastAsia="Arial" w:hAnsi="Arial"/>
                <w:sz w:val="11"/>
                <w:szCs w:val="11"/>
                <w:b w:val="1"/>
                <w:bCs w:val="1"/>
                <w:color w:val="auto"/>
              </w:rPr>
              <w:t>June 30, 2022</w:t>
            </w:r>
          </w:p>
        </w:tc>
        <w:tc>
          <w:tcPr>
            <w:tcW w:w="1420" w:type="dxa"/>
            <w:vAlign w:val="bottom"/>
          </w:tcPr>
          <w:p>
            <w:pPr>
              <w:jc w:val="right"/>
              <w:ind w:right="198"/>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Common stock awards reserved for future issuance under 2020 and 2016 Equity Incentive Plans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8,678,128</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9,266,200</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Common stock awards reserved for future issuance under the 2020 Employee Stock Purchase Plan</w:t>
            </w:r>
          </w:p>
        </w:tc>
        <w:tc>
          <w:tcPr>
            <w:tcW w:w="1440" w:type="dxa"/>
            <w:vAlign w:val="bottom"/>
          </w:tcPr>
          <w:p>
            <w:pPr>
              <w:jc w:val="right"/>
              <w:spacing w:after="0"/>
              <w:rPr>
                <w:sz w:val="20"/>
                <w:szCs w:val="20"/>
                <w:color w:val="auto"/>
              </w:rPr>
            </w:pPr>
            <w:r>
              <w:rPr>
                <w:rFonts w:ascii="Arial" w:cs="Arial" w:eastAsia="Arial" w:hAnsi="Arial"/>
                <w:sz w:val="13"/>
                <w:szCs w:val="13"/>
                <w:color w:val="auto"/>
              </w:rPr>
              <w:t>2,682,601</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2,493,488</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issued and outstanding under 2020 and 2016 Equity Incentive Plans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3,739,078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2,759,830</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stock units outstanding under 2020 Equity Incentive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440,737</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17,251</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shares of common stock reserved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15,540,544</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14,536,769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Follow-On Public Offering</w:t>
      </w:r>
    </w:p>
    <w:p>
      <w:pPr>
        <w:spacing w:after="0" w:line="179" w:lineRule="exact"/>
        <w:rPr>
          <w:sz w:val="20"/>
          <w:szCs w:val="20"/>
          <w:color w:val="auto"/>
        </w:rPr>
      </w:pPr>
    </w:p>
    <w:p>
      <w:pPr>
        <w:ind w:right="120" w:firstLine="700"/>
        <w:spacing w:after="0" w:line="321" w:lineRule="auto"/>
        <w:rPr>
          <w:sz w:val="20"/>
          <w:szCs w:val="20"/>
          <w:color w:val="auto"/>
        </w:rPr>
      </w:pPr>
      <w:r>
        <w:rPr>
          <w:rFonts w:ascii="Arial" w:cs="Arial" w:eastAsia="Arial" w:hAnsi="Arial"/>
          <w:sz w:val="13"/>
          <w:szCs w:val="13"/>
          <w:color w:val="auto"/>
        </w:rPr>
        <w:t>On May 5, 2022, the Company completed a follow-on public offering under its Shelf Registration Statement for an initial underwritten sale of 5,600,000 shares of its common stock at a price of $13.50 per share. This resulted in gross proceeds of $75.6 million, before underwriting discounts, commissions and other estimated offering expenses, for net proceeds of $70.6 million.</w:t>
      </w:r>
    </w:p>
    <w:p>
      <w:pPr>
        <w:spacing w:after="0" w:line="109" w:lineRule="exact"/>
        <w:rPr>
          <w:sz w:val="20"/>
          <w:szCs w:val="20"/>
          <w:color w:val="auto"/>
        </w:rPr>
      </w:pPr>
    </w:p>
    <w:p>
      <w:pPr>
        <w:jc w:val="both"/>
        <w:ind w:right="100" w:firstLine="700"/>
        <w:spacing w:after="0" w:line="267" w:lineRule="auto"/>
        <w:rPr>
          <w:sz w:val="20"/>
          <w:szCs w:val="20"/>
          <w:color w:val="auto"/>
        </w:rPr>
      </w:pPr>
      <w:r>
        <w:rPr>
          <w:rFonts w:ascii="Arial" w:cs="Arial" w:eastAsia="Arial" w:hAnsi="Arial"/>
          <w:sz w:val="14"/>
          <w:szCs w:val="14"/>
          <w:color w:val="auto"/>
        </w:rPr>
        <w:t>The Company also granted the underwriters a 30-day option to purchase up to 840,000 additional shares of its common stock at the public offering price, less underwriting discounts and commissions. On June 1, 2022, the underwriters partially exercised this option by purchasing an additional 289,832 shares of the Company's common stock at the public offering price of $13.50 per share for additional gross proceeds of $3.9 million, before underwriting discounts and commissions for net proceeds of $3.7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right="140" w:firstLine="700"/>
        <w:spacing w:after="0" w:line="281" w:lineRule="auto"/>
        <w:rPr>
          <w:sz w:val="20"/>
          <w:szCs w:val="20"/>
          <w:color w:val="auto"/>
        </w:rPr>
      </w:pPr>
      <w:r>
        <w:rPr>
          <w:rFonts w:ascii="Arial" w:cs="Arial" w:eastAsia="Arial" w:hAnsi="Arial"/>
          <w:sz w:val="14"/>
          <w:szCs w:val="14"/>
          <w:color w:val="auto"/>
        </w:rPr>
        <w:t>After giving effect to the exercise of the underwriters’ option, the Company sold 5,889,832 shares for total gross proceeds of $79.5 million, before underwriting discounts, commissions and other estimated offering expenses. Total net proceeds during the second quarter of 2022 from this offering were $74.3 million.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Summary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Stock-based compensation expense is recorded to "research and development" or "general and administrative" expenses in the accompanying Condensed Statements of Operations 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Comprehensive (Loss) Income, based on the functional role of each recipient. Stock-based compensation expense for the three and six months ended June 30, 2022 and 2021 was reported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1"/>
                <w:szCs w:val="11"/>
                <w:b w:val="1"/>
                <w:bCs w:val="1"/>
                <w:color w:val="auto"/>
              </w:rPr>
              <w:t>Three Months Ended June 30,</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1"/>
                <w:szCs w:val="11"/>
                <w:b w:val="1"/>
                <w:bCs w:val="1"/>
                <w:color w:val="auto"/>
              </w:rPr>
              <w:t>Six Months Ended June 30,</w:t>
            </w:r>
          </w:p>
        </w:tc>
      </w:tr>
      <w:tr>
        <w:trPr>
          <w:trHeight w:val="153"/>
        </w:trPr>
        <w:tc>
          <w:tcPr>
            <w:tcW w:w="53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7"/>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r>
      <w:tr>
        <w:trPr>
          <w:trHeight w:val="16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3,386</w:t>
            </w:r>
          </w:p>
        </w:tc>
      </w:tr>
      <w:tr>
        <w:trPr>
          <w:trHeight w:val="185"/>
        </w:trPr>
        <w:tc>
          <w:tcPr>
            <w:tcW w:w="53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stock-based compensation</w:t>
            </w:r>
          </w:p>
        </w:tc>
        <w:tc>
          <w:tcPr>
            <w:tcW w:w="96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3,532</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4,157</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NET (LOSS) INCOME PER SHARE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sets forth the computation of basic and diluted net (loss) income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Three Months Ended June 30,</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1020" w:type="dxa"/>
            <w:vAlign w:val="bottom"/>
            <w:tcBorders>
              <w:bottom w:val="single" w:sz="8" w:color="auto"/>
            </w:tcBorders>
          </w:tcPr>
          <w:p>
            <w:pPr>
              <w:spacing w:after="0"/>
              <w:rPr>
                <w:sz w:val="13"/>
                <w:szCs w:val="13"/>
                <w:color w:val="auto"/>
              </w:rPr>
            </w:pPr>
          </w:p>
        </w:tc>
      </w:tr>
      <w:tr>
        <w:trPr>
          <w:trHeight w:val="153"/>
        </w:trPr>
        <w:tc>
          <w:tcPr>
            <w:tcW w:w="4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2021</w:t>
            </w:r>
          </w:p>
        </w:tc>
      </w:tr>
      <w:tr>
        <w:trPr>
          <w:trHeight w:val="156"/>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Basic EPS</w:t>
            </w:r>
          </w:p>
        </w:tc>
        <w:tc>
          <w:tcPr>
            <w:tcW w:w="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(5,743)</w:t>
            </w:r>
          </w:p>
        </w:tc>
        <w:tc>
          <w:tcPr>
            <w:tcW w:w="80" w:type="dxa"/>
            <w:vAlign w:val="bottom"/>
          </w:tcPr>
          <w:p>
            <w:pPr>
              <w:spacing w:after="0"/>
              <w:rPr>
                <w:sz w:val="14"/>
                <w:szCs w:val="14"/>
                <w:color w:val="auto"/>
              </w:rPr>
            </w:pPr>
          </w:p>
        </w:tc>
        <w:tc>
          <w:tcPr>
            <w:tcW w:w="720" w:type="dxa"/>
            <w:vAlign w:val="bottom"/>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6,345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(25,981)</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16,721</w:t>
            </w:r>
          </w:p>
        </w:tc>
      </w:tr>
      <w:tr>
        <w:trPr>
          <w:trHeight w:val="172"/>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undistributed income allocated to participating securities</w:t>
            </w:r>
          </w:p>
        </w:tc>
        <w:tc>
          <w:tcPr>
            <w:tcW w:w="9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58"/>
        </w:trPr>
        <w:tc>
          <w:tcPr>
            <w:tcW w:w="4300" w:type="dxa"/>
            <w:vAlign w:val="bottom"/>
          </w:tcPr>
          <w:p>
            <w:pPr>
              <w:ind w:left="20"/>
              <w:spacing w:after="0" w:line="146" w:lineRule="exact"/>
              <w:rPr>
                <w:sz w:val="20"/>
                <w:szCs w:val="20"/>
                <w:color w:val="auto"/>
              </w:rPr>
            </w:pPr>
            <w:r>
              <w:rPr>
                <w:rFonts w:ascii="Arial" w:cs="Arial" w:eastAsia="Arial" w:hAnsi="Arial"/>
                <w:sz w:val="13"/>
                <w:szCs w:val="13"/>
                <w:color w:val="auto"/>
              </w:rPr>
              <w:t>Net (loss) income available to common shareholders</w:t>
            </w: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(5,743)</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6,299</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(25,981)</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16,588</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4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Basic weighted average shares outstanding</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24,332,531</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20,555,258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22,531,384</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20,446,246</w:t>
            </w:r>
          </w:p>
        </w:tc>
      </w:tr>
      <w:tr>
        <w:trPr>
          <w:trHeight w:val="185"/>
        </w:trPr>
        <w:tc>
          <w:tcPr>
            <w:tcW w:w="43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(loss) income per share—basic</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Diluted EPS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(5,743)</w:t>
            </w:r>
          </w:p>
        </w:tc>
        <w:tc>
          <w:tcPr>
            <w:tcW w:w="80" w:type="dxa"/>
            <w:vAlign w:val="bottom"/>
          </w:tcPr>
          <w:p>
            <w:pPr>
              <w:spacing w:after="0"/>
              <w:rPr>
                <w:sz w:val="14"/>
                <w:szCs w:val="14"/>
                <w:color w:val="auto"/>
              </w:rPr>
            </w:pPr>
          </w:p>
        </w:tc>
        <w:tc>
          <w:tcPr>
            <w:tcW w:w="720" w:type="dxa"/>
            <w:vAlign w:val="bottom"/>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6,345</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(25,981)</w:t>
            </w:r>
          </w:p>
        </w:tc>
        <w:tc>
          <w:tcPr>
            <w:tcW w:w="80" w:type="dxa"/>
            <w:vAlign w:val="bottom"/>
          </w:tcPr>
          <w:p>
            <w:pPr>
              <w:spacing w:after="0"/>
              <w:rPr>
                <w:sz w:val="14"/>
                <w:szCs w:val="14"/>
                <w:color w:val="auto"/>
              </w:rPr>
            </w:pPr>
          </w:p>
        </w:tc>
        <w:tc>
          <w:tcPr>
            <w:tcW w:w="680" w:type="dxa"/>
            <w:vAlign w:val="bottom"/>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16,721</w:t>
            </w:r>
          </w:p>
        </w:tc>
      </w:tr>
      <w:tr>
        <w:trPr>
          <w:trHeight w:val="172"/>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undistributed income reallocated to participating securities</w:t>
            </w:r>
          </w:p>
        </w:tc>
        <w:tc>
          <w:tcPr>
            <w:tcW w:w="9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58"/>
        </w:trPr>
        <w:tc>
          <w:tcPr>
            <w:tcW w:w="4300" w:type="dxa"/>
            <w:vAlign w:val="bottom"/>
          </w:tcPr>
          <w:p>
            <w:pPr>
              <w:ind w:left="20"/>
              <w:spacing w:after="0" w:line="146" w:lineRule="exact"/>
              <w:rPr>
                <w:sz w:val="20"/>
                <w:szCs w:val="20"/>
                <w:color w:val="auto"/>
              </w:rPr>
            </w:pPr>
            <w:r>
              <w:rPr>
                <w:rFonts w:ascii="Arial" w:cs="Arial" w:eastAsia="Arial" w:hAnsi="Arial"/>
                <w:sz w:val="13"/>
                <w:szCs w:val="13"/>
                <w:color w:val="auto"/>
              </w:rPr>
              <w:t>Net (loss) income available to common shareholders</w:t>
            </w: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(5,743)</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6,302</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(25,981)</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16,597</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4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Basic weighted average shares outstanding</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2"/>
              </w:rPr>
              <w:t>24,332,531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20,555,258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22,531,384</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20,446,246</w:t>
            </w:r>
          </w:p>
        </w:tc>
      </w:tr>
      <w:tr>
        <w:trPr>
          <w:trHeight w:val="172"/>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dilutive securities: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Common stock options</w:t>
            </w:r>
          </w:p>
        </w:tc>
        <w:tc>
          <w:tcPr>
            <w:tcW w:w="9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1,411,341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1,449,058</w:t>
            </w:r>
          </w:p>
        </w:tc>
      </w:tr>
      <w:tr>
        <w:trPr>
          <w:trHeight w:val="163"/>
        </w:trPr>
        <w:tc>
          <w:tcPr>
            <w:tcW w:w="43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24,332,531</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21,966,599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22,531,384</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21,895,304</w:t>
            </w:r>
          </w:p>
        </w:tc>
      </w:tr>
      <w:tr>
        <w:trPr>
          <w:trHeight w:val="158"/>
        </w:trPr>
        <w:tc>
          <w:tcPr>
            <w:tcW w:w="4300" w:type="dxa"/>
            <w:vAlign w:val="bottom"/>
          </w:tcPr>
          <w:p>
            <w:pPr>
              <w:ind w:left="20"/>
              <w:spacing w:after="0" w:line="146" w:lineRule="exact"/>
              <w:rPr>
                <w:sz w:val="20"/>
                <w:szCs w:val="20"/>
                <w:color w:val="auto"/>
              </w:rPr>
            </w:pPr>
            <w:r>
              <w:rPr>
                <w:rFonts w:ascii="Arial" w:cs="Arial" w:eastAsia="Arial" w:hAnsi="Arial"/>
                <w:sz w:val="13"/>
                <w:szCs w:val="13"/>
                <w:color w:val="auto"/>
              </w:rPr>
              <w:t>Net (loss) income per share—diluted</w:t>
            </w:r>
          </w:p>
        </w:tc>
        <w:tc>
          <w:tcPr>
            <w:tcW w:w="960" w:type="dxa"/>
            <w:vAlign w:val="bottom"/>
            <w:tcBorders>
              <w:bottom w:val="single" w:sz="8" w:color="auto"/>
            </w:tcBorders>
          </w:tcPr>
          <w:p>
            <w:pPr>
              <w:jc w:val="right"/>
              <w:ind w:right="81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(0.24)</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0.29</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0.76</w:t>
            </w:r>
          </w:p>
        </w:tc>
      </w:tr>
      <w:tr>
        <w:trPr>
          <w:trHeight w:val="20"/>
        </w:trPr>
        <w:tc>
          <w:tcPr>
            <w:tcW w:w="4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100" w:firstLine="700"/>
        <w:spacing w:after="0" w:line="267" w:lineRule="auto"/>
        <w:rPr>
          <w:sz w:val="20"/>
          <w:szCs w:val="20"/>
          <w:color w:val="auto"/>
        </w:rPr>
      </w:pPr>
      <w:r>
        <w:rPr>
          <w:rFonts w:ascii="Arial" w:cs="Arial" w:eastAsia="Arial" w:hAnsi="Arial"/>
          <w:sz w:val="14"/>
          <w:szCs w:val="14"/>
          <w:color w:val="auto"/>
        </w:rPr>
        <w:t>The following outstanding potentially dilutive securities were excluded from the calculation of diluted net loss per share because their impact under the “treasury stock method” and “if-converted method” would have been anti-dilutive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2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1"/>
                <w:szCs w:val="11"/>
                <w:b w:val="1"/>
                <w:bCs w:val="1"/>
                <w:color w:val="auto"/>
              </w:rPr>
              <w:t>Six Months Ended June 30, 2022</w:t>
            </w:r>
          </w:p>
        </w:tc>
      </w:tr>
      <w:tr>
        <w:trPr>
          <w:trHeight w:val="153"/>
        </w:trPr>
        <w:tc>
          <w:tcPr>
            <w:tcW w:w="49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16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599"/>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1520" w:type="dxa"/>
            <w:vAlign w:val="bottom"/>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67"/>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options, unexercised—vested and unvested</w:t>
            </w:r>
          </w:p>
        </w:tc>
        <w:tc>
          <w:tcPr>
            <w:tcW w:w="9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3,739,078</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803,238</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3,739,078</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803,238</w:t>
            </w:r>
          </w:p>
        </w:tc>
      </w:tr>
      <w:tr>
        <w:trPr>
          <w:trHeight w:val="168"/>
        </w:trPr>
        <w:tc>
          <w:tcPr>
            <w:tcW w:w="5840" w:type="dxa"/>
            <w:vAlign w:val="bottom"/>
            <w:gridSpan w:val="2"/>
          </w:tcPr>
          <w:p>
            <w:pPr>
              <w:ind w:left="20"/>
              <w:spacing w:after="0"/>
              <w:rPr>
                <w:sz w:val="20"/>
                <w:szCs w:val="20"/>
                <w:color w:val="auto"/>
              </w:rPr>
            </w:pPr>
            <w:r>
              <w:rPr>
                <w:rFonts w:ascii="Arial" w:cs="Arial" w:eastAsia="Arial" w:hAnsi="Arial"/>
                <w:sz w:val="13"/>
                <w:szCs w:val="13"/>
                <w:color w:val="auto"/>
              </w:rPr>
              <w:t>Stock options exercised prior to vesting— remaining unvested</w:t>
            </w:r>
          </w:p>
        </w:tc>
        <w:tc>
          <w:tcPr>
            <w:tcW w:w="620" w:type="dxa"/>
            <w:vAlign w:val="bottom"/>
          </w:tcPr>
          <w:p>
            <w:pPr>
              <w:jc w:val="right"/>
              <w:spacing w:after="0"/>
              <w:rPr>
                <w:sz w:val="20"/>
                <w:szCs w:val="20"/>
                <w:color w:val="auto"/>
              </w:rPr>
            </w:pPr>
            <w:r>
              <w:rPr>
                <w:rFonts w:ascii="Arial" w:cs="Arial" w:eastAsia="Arial" w:hAnsi="Arial"/>
                <w:sz w:val="13"/>
                <w:szCs w:val="13"/>
                <w:color w:val="auto"/>
              </w:rPr>
              <w:t>5,826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130,153</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5,826</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130,153</w:t>
            </w:r>
          </w:p>
        </w:tc>
      </w:tr>
      <w:tr>
        <w:trPr>
          <w:trHeight w:val="172"/>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stock units—unvested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440,737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440,737</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r>
      <w:tr>
        <w:trPr>
          <w:trHeight w:val="158"/>
        </w:trPr>
        <w:tc>
          <w:tcPr>
            <w:tcW w:w="49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9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4,185,641</w:t>
            </w:r>
          </w:p>
        </w:tc>
        <w:tc>
          <w:tcPr>
            <w:tcW w:w="80" w:type="dxa"/>
            <w:vAlign w:val="bottom"/>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937,648</w:t>
            </w:r>
          </w:p>
        </w:tc>
        <w:tc>
          <w:tcPr>
            <w:tcW w:w="8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4,185,641</w:t>
            </w:r>
          </w:p>
        </w:tc>
        <w:tc>
          <w:tcPr>
            <w:tcW w:w="8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937,648</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FAIR VALUE MEASUREMENTS</w:t>
      </w:r>
    </w:p>
    <w:p>
      <w:pPr>
        <w:spacing w:after="0" w:line="183" w:lineRule="exact"/>
        <w:rPr>
          <w:sz w:val="20"/>
          <w:szCs w:val="20"/>
          <w:color w:val="auto"/>
        </w:rPr>
      </w:pPr>
    </w:p>
    <w:p>
      <w:pPr>
        <w:ind w:right="300" w:firstLine="700"/>
        <w:spacing w:after="0" w:line="281" w:lineRule="auto"/>
        <w:rPr>
          <w:sz w:val="20"/>
          <w:szCs w:val="20"/>
          <w:color w:val="auto"/>
        </w:rPr>
      </w:pPr>
      <w:r>
        <w:rPr>
          <w:rFonts w:ascii="Arial" w:cs="Arial" w:eastAsia="Arial" w:hAnsi="Arial"/>
          <w:sz w:val="14"/>
          <w:szCs w:val="14"/>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4"/>
          <w:szCs w:val="14"/>
          <w:i w:val="1"/>
          <w:iCs w:val="1"/>
          <w:color w:val="auto"/>
        </w:rPr>
        <w:t>Note 2(ix)</w:t>
      </w:r>
      <w:r>
        <w:rPr>
          <w:rFonts w:ascii="Arial" w:cs="Arial" w:eastAsia="Arial" w:hAnsi="Arial"/>
          <w:sz w:val="14"/>
          <w:szCs w:val="14"/>
          <w:color w:val="auto"/>
        </w:rPr>
        <w: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1"/>
                <w:szCs w:val="11"/>
                <w:b w:val="1"/>
                <w:bCs w:val="1"/>
                <w:color w:val="auto"/>
              </w:rPr>
              <w:t>June 30, 2022 Fair Value Measurements</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3"/>
        </w:trPr>
        <w:tc>
          <w:tcPr>
            <w:tcW w:w="5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Total</w:t>
            </w:r>
          </w:p>
        </w:tc>
      </w:tr>
      <w:tr>
        <w:trPr>
          <w:trHeight w:val="156"/>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5240" w:type="dxa"/>
            <w:vAlign w:val="bottom"/>
          </w:tcPr>
          <w:p>
            <w:pPr>
              <w:ind w:left="260"/>
              <w:spacing w:after="0"/>
              <w:rPr>
                <w:sz w:val="20"/>
                <w:szCs w:val="20"/>
                <w:color w:val="auto"/>
              </w:rPr>
            </w:pPr>
            <w:r>
              <w:rPr>
                <w:rFonts w:ascii="Arial" w:cs="Arial" w:eastAsia="Arial" w:hAnsi="Arial"/>
                <w:sz w:val="13"/>
                <w:szCs w:val="13"/>
                <w:color w:val="auto"/>
              </w:rPr>
              <w:t>Money market funds</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245,363</w:t>
            </w:r>
          </w:p>
        </w:tc>
        <w:tc>
          <w:tcPr>
            <w:tcW w:w="100" w:type="dxa"/>
            <w:vAlign w:val="bottom"/>
          </w:tcPr>
          <w:p>
            <w:pPr>
              <w:spacing w:after="0"/>
              <w:rPr>
                <w:sz w:val="14"/>
                <w:szCs w:val="14"/>
                <w:color w:val="auto"/>
              </w:rPr>
            </w:pP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59"/>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245,363</w:t>
            </w:r>
          </w:p>
        </w:tc>
      </w:tr>
      <w:tr>
        <w:trPr>
          <w:trHeight w:val="172"/>
        </w:trPr>
        <w:tc>
          <w:tcPr>
            <w:tcW w:w="5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Common stock in LianBio (included in "long-term investments")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68"/>
        </w:trPr>
        <w:tc>
          <w:tcPr>
            <w:tcW w:w="524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Equity warrants in LianBio (included in "other assets")</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r>
      <w:tr>
        <w:trPr>
          <w:trHeight w:val="180"/>
        </w:trPr>
        <w:tc>
          <w:tcPr>
            <w:tcW w:w="5240" w:type="dxa"/>
            <w:vAlign w:val="bottom"/>
            <w:tcBorders>
              <w:bottom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assets measured at fair value</w:t>
            </w: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245,532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245,796</w:t>
            </w: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5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December 31, 2021 Fair Value Measurements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3"/>
        </w:trPr>
        <w:tc>
          <w:tcPr>
            <w:tcW w:w="52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Total</w:t>
            </w:r>
          </w:p>
        </w:tc>
      </w:tr>
      <w:tr>
        <w:trPr>
          <w:trHeight w:val="156"/>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5240" w:type="dxa"/>
            <w:vAlign w:val="bottom"/>
          </w:tcPr>
          <w:p>
            <w:pPr>
              <w:ind w:left="260"/>
              <w:spacing w:after="0"/>
              <w:rPr>
                <w:sz w:val="20"/>
                <w:szCs w:val="20"/>
                <w:color w:val="auto"/>
              </w:rPr>
            </w:pPr>
            <w:r>
              <w:rPr>
                <w:rFonts w:ascii="Arial" w:cs="Arial" w:eastAsia="Arial" w:hAnsi="Arial"/>
                <w:sz w:val="13"/>
                <w:szCs w:val="13"/>
                <w:color w:val="auto"/>
              </w:rPr>
              <w:t>Money market funds</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171,332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171,332</w:t>
            </w:r>
          </w:p>
        </w:tc>
      </w:tr>
      <w:tr>
        <w:trPr>
          <w:trHeight w:val="172"/>
        </w:trPr>
        <w:tc>
          <w:tcPr>
            <w:tcW w:w="5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Common stock in LianBio (included in "marketable securities")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r>
      <w:tr>
        <w:trPr>
          <w:trHeight w:val="168"/>
        </w:trPr>
        <w:tc>
          <w:tcPr>
            <w:tcW w:w="524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Equity warrants in LianBio (included in "other assets")</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r>
      <w:tr>
        <w:trPr>
          <w:trHeight w:val="180"/>
        </w:trPr>
        <w:tc>
          <w:tcPr>
            <w:tcW w:w="524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assets measured at fair value</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171,815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Money Market Funds</w:t>
      </w:r>
    </w:p>
    <w:p>
      <w:pPr>
        <w:spacing w:after="0" w:line="179" w:lineRule="exact"/>
        <w:rPr>
          <w:sz w:val="20"/>
          <w:szCs w:val="20"/>
          <w:color w:val="auto"/>
        </w:rPr>
      </w:pPr>
    </w:p>
    <w:p>
      <w:pPr>
        <w:ind w:right="80" w:firstLine="700"/>
        <w:spacing w:after="0" w:line="267" w:lineRule="auto"/>
        <w:rPr>
          <w:sz w:val="20"/>
          <w:szCs w:val="20"/>
          <w:color w:val="auto"/>
        </w:rPr>
      </w:pPr>
      <w:r>
        <w:rPr>
          <w:rFonts w:ascii="Arial" w:cs="Arial" w:eastAsia="Arial" w:hAnsi="Arial"/>
          <w:sz w:val="14"/>
          <w:szCs w:val="14"/>
          <w:color w:val="auto"/>
        </w:rPr>
        <w:t xml:space="preserve">Money market fund holdings are included in "cash and cash equivalents" on the accompanying Condensed Balance Sheets and are classified within </w:t>
      </w:r>
      <w:r>
        <w:rPr>
          <w:rFonts w:ascii="Arial" w:cs="Arial" w:eastAsia="Arial" w:hAnsi="Arial"/>
          <w:sz w:val="14"/>
          <w:szCs w:val="14"/>
          <w:i w:val="1"/>
          <w:iCs w:val="1"/>
          <w:color w:val="auto"/>
        </w:rPr>
        <w:t>Level 1</w:t>
      </w:r>
      <w:r>
        <w:rPr>
          <w:rFonts w:ascii="Arial" w:cs="Arial" w:eastAsia="Arial" w:hAnsi="Arial"/>
          <w:sz w:val="14"/>
          <w:szCs w:val="14"/>
          <w:color w:val="auto"/>
        </w:rPr>
        <w:t xml:space="preserve"> of the fair value hierarchy because they have readily-available market prices in active markets that are publicly observable at the measurement date. These money market funds are invested in U.S. Treasury bills and notes and other securities issued or guaranteed as to principal and interest by the U.S. Government or its agencies.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Warrants</w:t>
      </w:r>
    </w:p>
    <w:p>
      <w:pPr>
        <w:spacing w:after="0" w:line="179" w:lineRule="exact"/>
        <w:rPr>
          <w:sz w:val="20"/>
          <w:szCs w:val="20"/>
          <w:color w:val="auto"/>
        </w:rPr>
      </w:pPr>
    </w:p>
    <w:p>
      <w:pPr>
        <w:jc w:val="both"/>
        <w:ind w:right="180" w:firstLine="700"/>
        <w:spacing w:after="0" w:line="267" w:lineRule="auto"/>
        <w:rPr>
          <w:sz w:val="20"/>
          <w:szCs w:val="20"/>
          <w:color w:val="auto"/>
        </w:rPr>
      </w:pPr>
      <w:r>
        <w:rPr>
          <w:rFonts w:ascii="Arial" w:cs="Arial" w:eastAsia="Arial" w:hAnsi="Arial"/>
          <w:sz w:val="14"/>
          <w:szCs w:val="14"/>
          <w:color w:val="auto"/>
        </w:rPr>
        <w:t xml:space="preserve">In March 2021, contemporaneous with the China Out-License transaction (see </w:t>
      </w:r>
      <w:r>
        <w:rPr>
          <w:rFonts w:ascii="Arial" w:cs="Arial" w:eastAsia="Arial" w:hAnsi="Arial"/>
          <w:sz w:val="14"/>
          <w:szCs w:val="14"/>
          <w:i w:val="1"/>
          <w:iCs w:val="1"/>
          <w:color w:val="auto"/>
        </w:rPr>
        <w:t>Note 9</w:t>
      </w:r>
      <w:r>
        <w:rPr>
          <w:rFonts w:ascii="Arial" w:cs="Arial" w:eastAsia="Arial" w:hAnsi="Arial"/>
          <w:sz w:val="14"/>
          <w:szCs w:val="14"/>
          <w:color w:val="auto"/>
        </w:rPr>
        <w:t>), the Company and LianBio, executed a warrant agreement for the Company to purchase, in three tranches, a stated number of common shares in LianBio, a pharmaceutical company focused on the Greater China and other Asian markets (NASDAQ: LIAN). These warrants vest or have vested upon the achievement of certain clinical and regulatory events and have an exercise price at common stock par value.</w:t>
      </w:r>
    </w:p>
    <w:p>
      <w:pPr>
        <w:spacing w:after="0" w:line="142" w:lineRule="exact"/>
        <w:rPr>
          <w:sz w:val="20"/>
          <w:szCs w:val="20"/>
          <w:color w:val="auto"/>
        </w:rPr>
      </w:pPr>
    </w:p>
    <w:p>
      <w:pPr>
        <w:ind w:right="80" w:firstLine="700"/>
        <w:spacing w:after="0" w:line="368" w:lineRule="auto"/>
        <w:rPr>
          <w:sz w:val="20"/>
          <w:szCs w:val="20"/>
          <w:color w:val="auto"/>
        </w:rPr>
      </w:pPr>
      <w:r>
        <w:rPr>
          <w:rFonts w:ascii="Arial" w:cs="Arial" w:eastAsia="Arial" w:hAnsi="Arial"/>
          <w:sz w:val="12"/>
          <w:szCs w:val="12"/>
          <w:color w:val="auto"/>
        </w:rPr>
        <w:t xml:space="preserve">In June 2021, one of these three warrant tranches vested and converted to 78,373 shares of LianBio common stock, reported within "marketable securities" as of December 31, 2021, and within "long-term investments" as of June 30, 2022. LianBio common stock is classified within </w:t>
      </w:r>
      <w:r>
        <w:rPr>
          <w:rFonts w:ascii="Arial" w:cs="Arial" w:eastAsia="Arial" w:hAnsi="Arial"/>
          <w:sz w:val="12"/>
          <w:szCs w:val="12"/>
          <w:i w:val="1"/>
          <w:iCs w:val="1"/>
          <w:color w:val="auto"/>
        </w:rPr>
        <w:t>Level 1</w:t>
      </w:r>
      <w:r>
        <w:rPr>
          <w:rFonts w:ascii="Arial" w:cs="Arial" w:eastAsia="Arial" w:hAnsi="Arial"/>
          <w:sz w:val="12"/>
          <w:szCs w:val="12"/>
          <w:color w:val="auto"/>
        </w:rPr>
        <w:t xml:space="preserve"> of the fair value hierarchy, given its publicly reported price on the NASDAQ Global Market.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right="100" w:firstLine="700"/>
        <w:spacing w:after="0" w:line="288" w:lineRule="auto"/>
        <w:rPr>
          <w:sz w:val="20"/>
          <w:szCs w:val="20"/>
          <w:color w:val="auto"/>
        </w:rPr>
      </w:pPr>
      <w:r>
        <w:rPr>
          <w:rFonts w:ascii="Arial" w:cs="Arial" w:eastAsia="Arial" w:hAnsi="Arial"/>
          <w:sz w:val="13"/>
          <w:szCs w:val="13"/>
          <w:color w:val="auto"/>
        </w:rPr>
        <w:t xml:space="preserve">In May 2022, the second warrant tranche vested, but has not yet been exercised, leaving one remaining unvested tranche. The second and third warrant tranche remain classified as </w:t>
      </w:r>
      <w:r>
        <w:rPr>
          <w:rFonts w:ascii="Arial" w:cs="Arial" w:eastAsia="Arial" w:hAnsi="Arial"/>
          <w:sz w:val="13"/>
          <w:szCs w:val="13"/>
          <w:i w:val="1"/>
          <w:iCs w:val="1"/>
          <w:color w:val="auto"/>
        </w:rPr>
        <w:t>Level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3 </w:t>
      </w:r>
      <w:r>
        <w:rPr>
          <w:rFonts w:ascii="Arial" w:cs="Arial" w:eastAsia="Arial" w:hAnsi="Arial"/>
          <w:sz w:val="13"/>
          <w:szCs w:val="13"/>
          <w:color w:val="auto"/>
        </w:rPr>
        <w:t>in the fair value measurement hierarchy as of June 30, 2022 and December 31, 2021 and is presented within "other assets" in the accompanying Condensed Balance Sheets (see</w:t>
      </w:r>
      <w:r>
        <w:rPr>
          <w:rFonts w:ascii="Arial" w:cs="Arial" w:eastAsia="Arial" w:hAnsi="Arial"/>
          <w:sz w:val="13"/>
          <w:szCs w:val="13"/>
          <w:i w:val="1"/>
          <w:iCs w:val="1"/>
          <w:color w:val="auto"/>
        </w:rPr>
        <w:t xml:space="preserve"> Note 3(b)</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most significant assumptions used in the option pricing valuation model as of each balance sheet date to determine its fair value included: LianBio common stock volatility (based on the historical volatility of similar companies), the probability of regulatory milestone achievement for vesting, and the application of an assumed discount rate.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estimated fair value of these equity warrants will be remeasured each reporting period with adjustments reported within "other expense, net" on the accompanying Statements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Operations and Comprehensive (Loss) Income, until exercised or expired, and is presented in these accompanying financial statements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jc w:val="center"/>
              <w:ind w:right="38"/>
              <w:spacing w:after="0"/>
              <w:rPr>
                <w:sz w:val="20"/>
                <w:szCs w:val="20"/>
                <w:color w:val="auto"/>
              </w:rPr>
            </w:pPr>
            <w:r>
              <w:rPr>
                <w:rFonts w:ascii="Arial" w:cs="Arial" w:eastAsia="Arial" w:hAnsi="Arial"/>
                <w:sz w:val="11"/>
                <w:szCs w:val="11"/>
                <w:b w:val="1"/>
                <w:bCs w:val="1"/>
                <w:color w:val="auto"/>
                <w:w w:val="91"/>
              </w:rPr>
              <w:t>Value of equity warrants (see</w:t>
            </w:r>
          </w:p>
        </w:tc>
      </w:tr>
      <w:tr>
        <w:trPr>
          <w:trHeight w:val="151"/>
        </w:trPr>
        <w:tc>
          <w:tcPr>
            <w:tcW w:w="96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3"/>
              </w:rPr>
              <w:t>Note 3(b))</w:t>
            </w:r>
          </w:p>
        </w:tc>
      </w:tr>
      <w:tr>
        <w:trPr>
          <w:trHeight w:val="165"/>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Revaluation of equity warrant value in "other expense, net" within the Condensed Statement of Operations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r>
      <w:tr>
        <w:trPr>
          <w:trHeight w:val="163"/>
        </w:trPr>
        <w:tc>
          <w:tcPr>
            <w:tcW w:w="9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Fair value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w:t>
            </w:r>
          </w:p>
        </w:tc>
      </w:tr>
      <w:tr>
        <w:trPr>
          <w:trHeight w:val="158"/>
        </w:trPr>
        <w:tc>
          <w:tcPr>
            <w:tcW w:w="9620" w:type="dxa"/>
            <w:vAlign w:val="bottom"/>
          </w:tcPr>
          <w:p>
            <w:pPr>
              <w:ind w:left="20"/>
              <w:spacing w:after="0" w:line="146" w:lineRule="exact"/>
              <w:rPr>
                <w:sz w:val="20"/>
                <w:szCs w:val="20"/>
                <w:color w:val="auto"/>
              </w:rPr>
            </w:pPr>
            <w:r>
              <w:rPr>
                <w:rFonts w:ascii="Arial" w:cs="Arial" w:eastAsia="Arial" w:hAnsi="Arial"/>
                <w:sz w:val="13"/>
                <w:szCs w:val="13"/>
                <w:color w:val="auto"/>
              </w:rPr>
              <w:t>Recognition of equity warrant value in "total revenues" within the Condensed Statement of Operations for the three months ended June 30, 2022</w:t>
            </w:r>
          </w:p>
        </w:tc>
        <w:tc>
          <w:tcPr>
            <w:tcW w:w="1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Revaluation of equity warrant value in "other expense, net" within the Condensed Statement of Operations for the three months ended June 30, 2022</w:t>
            </w:r>
          </w:p>
        </w:tc>
        <w:tc>
          <w:tcPr>
            <w:tcW w:w="1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58"/>
        </w:trPr>
        <w:tc>
          <w:tcPr>
            <w:tcW w:w="96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Fair value as of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r>
      <w:tr>
        <w:trPr>
          <w:trHeight w:val="20"/>
        </w:trPr>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56"/>
        </w:trPr>
        <w:tc>
          <w:tcPr>
            <w:tcW w:w="9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38"/>
              <w:spacing w:after="0"/>
              <w:rPr>
                <w:sz w:val="20"/>
                <w:szCs w:val="20"/>
                <w:color w:val="auto"/>
              </w:rPr>
            </w:pPr>
            <w:r>
              <w:rPr>
                <w:rFonts w:ascii="Arial" w:cs="Arial" w:eastAsia="Arial" w:hAnsi="Arial"/>
                <w:sz w:val="11"/>
                <w:szCs w:val="11"/>
                <w:b w:val="1"/>
                <w:bCs w:val="1"/>
                <w:color w:val="auto"/>
                <w:w w:val="91"/>
              </w:rPr>
              <w:t>Value of equity warrants (see</w:t>
            </w:r>
          </w:p>
        </w:tc>
      </w:tr>
      <w:tr>
        <w:trPr>
          <w:trHeight w:val="153"/>
        </w:trPr>
        <w:tc>
          <w:tcPr>
            <w:tcW w:w="96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3"/>
              </w:rPr>
              <w:t>Note 3(b))</w:t>
            </w:r>
          </w:p>
        </w:tc>
      </w:tr>
      <w:tr>
        <w:trPr>
          <w:trHeight w:val="167"/>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Initial fair value estimate of equity warrant value in "total revenues"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w:t>
            </w:r>
          </w:p>
        </w:tc>
      </w:tr>
      <w:tr>
        <w:trPr>
          <w:trHeight w:val="163"/>
        </w:trPr>
        <w:tc>
          <w:tcPr>
            <w:tcW w:w="9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Fair value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w:t>
            </w:r>
          </w:p>
        </w:tc>
      </w:tr>
      <w:tr>
        <w:trPr>
          <w:trHeight w:val="158"/>
        </w:trPr>
        <w:tc>
          <w:tcPr>
            <w:tcW w:w="9620" w:type="dxa"/>
            <w:vAlign w:val="bottom"/>
          </w:tcPr>
          <w:p>
            <w:pPr>
              <w:ind w:left="20"/>
              <w:spacing w:after="0" w:line="146" w:lineRule="exact"/>
              <w:rPr>
                <w:sz w:val="20"/>
                <w:szCs w:val="20"/>
                <w:color w:val="auto"/>
              </w:rPr>
            </w:pPr>
            <w:r>
              <w:rPr>
                <w:rFonts w:ascii="Arial" w:cs="Arial" w:eastAsia="Arial" w:hAnsi="Arial"/>
                <w:sz w:val="13"/>
                <w:szCs w:val="13"/>
                <w:color w:val="auto"/>
              </w:rPr>
              <w:t>Recognition of equity warrant value in "total revenues" within the Condensed Statement of Operations for the three months ended June 30, 2021</w:t>
            </w:r>
          </w:p>
        </w:tc>
        <w:tc>
          <w:tcPr>
            <w:tcW w:w="1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719</w:t>
            </w:r>
          </w:p>
        </w:tc>
      </w:tr>
      <w:tr>
        <w:trPr>
          <w:trHeight w:val="172"/>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Revaluation of equity warrant value in "other expense, net" within the Condensed Statement of Operations for the three months ended June 30, 2021</w:t>
            </w:r>
          </w:p>
        </w:tc>
        <w:tc>
          <w:tcPr>
            <w:tcW w:w="1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w:t>
            </w:r>
          </w:p>
        </w:tc>
      </w:tr>
      <w:tr>
        <w:trPr>
          <w:trHeight w:val="158"/>
        </w:trPr>
        <w:tc>
          <w:tcPr>
            <w:tcW w:w="96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Fair value as of June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w:t>
            </w:r>
          </w:p>
        </w:tc>
      </w:tr>
      <w:tr>
        <w:trPr>
          <w:trHeight w:val="20"/>
        </w:trPr>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140" w:hanging="135"/>
        <w:spacing w:after="0"/>
        <w:tabs>
          <w:tab w:leader="none" w:pos="14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&amp; CONTINGENCIES</w:t>
      </w:r>
    </w:p>
    <w:p>
      <w:pPr>
        <w:spacing w:after="0" w:line="178"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(a) Facility Leases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68" w:lineRule="exact"/>
        <w:rPr>
          <w:sz w:val="20"/>
          <w:szCs w:val="20"/>
          <w:color w:val="auto"/>
        </w:rPr>
      </w:pPr>
    </w:p>
    <w:p>
      <w:pPr>
        <w:ind w:right="200" w:firstLine="700"/>
        <w:spacing w:after="0" w:line="265" w:lineRule="auto"/>
        <w:rPr>
          <w:sz w:val="20"/>
          <w:szCs w:val="20"/>
          <w:color w:val="auto"/>
        </w:rPr>
      </w:pPr>
      <w:r>
        <w:rPr>
          <w:rFonts w:ascii="Arial" w:cs="Arial" w:eastAsia="Arial" w:hAnsi="Arial"/>
          <w:sz w:val="14"/>
          <w:szCs w:val="14"/>
          <w:color w:val="auto"/>
        </w:rPr>
        <w:t>In the ordinary course of business, the Company enters lease agreements with unaffiliated third parties for facilities and office equipment. As of June 30, 2022 and December 31, 2021, the Company had four active leases in Irvine, California for adjacent office and laboratory suites that each expire on January 31, 2024.</w:t>
      </w:r>
    </w:p>
    <w:p>
      <w:pPr>
        <w:spacing w:after="0" w:line="143" w:lineRule="exact"/>
        <w:rPr>
          <w:sz w:val="20"/>
          <w:szCs w:val="20"/>
          <w:color w:val="auto"/>
        </w:rPr>
      </w:pPr>
    </w:p>
    <w:p>
      <w:pPr>
        <w:ind w:right="240" w:firstLine="700"/>
        <w:spacing w:after="0" w:line="331" w:lineRule="auto"/>
        <w:rPr>
          <w:sz w:val="20"/>
          <w:szCs w:val="20"/>
          <w:color w:val="auto"/>
        </w:rPr>
      </w:pPr>
      <w:r>
        <w:rPr>
          <w:rFonts w:ascii="Arial" w:cs="Arial" w:eastAsia="Arial" w:hAnsi="Arial"/>
          <w:sz w:val="12"/>
          <w:szCs w:val="12"/>
          <w:color w:val="auto"/>
        </w:rPr>
        <w:t>The Company's operating leases have annual rent that is payable monthly and carry fixed annual increases. Under these arrangements the Company is responsible for real estate taxes, certain operating expenses, and common area maintenance. Since these costs are variable in nature, they are expensed as incurred and excluded from the reported amounts on the accompanying Condensed Balance Sheets, summarized below. During the year ended December 31, 2021, and the six months ended June 30, 2022, the Company had no sublease arrangements with it as lessor.</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Reporting Captions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below table summarizes the lease asset and liability accounts presented on the accompanying Condensed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Operating Leases</w:t>
            </w:r>
          </w:p>
        </w:tc>
        <w:tc>
          <w:tcPr>
            <w:tcW w:w="100" w:type="dxa"/>
            <w:vAlign w:val="bottom"/>
            <w:tcBorders>
              <w:bottom w:val="single" w:sz="8" w:color="CCEEFF"/>
            </w:tcBorders>
          </w:tcPr>
          <w:p>
            <w:pPr>
              <w:spacing w:after="0"/>
              <w:rPr>
                <w:sz w:val="13"/>
                <w:szCs w:val="13"/>
                <w:color w:val="auto"/>
              </w:rPr>
            </w:pPr>
          </w:p>
        </w:tc>
        <w:tc>
          <w:tcPr>
            <w:tcW w:w="376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Condensed Balance Sheet Caption</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June 30, 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December 31, 2021</w:t>
            </w:r>
          </w:p>
        </w:tc>
      </w:tr>
      <w:tr>
        <w:trPr>
          <w:trHeight w:val="193"/>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non-current</w:t>
            </w: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liability— current</w:t>
            </w:r>
          </w:p>
        </w:tc>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 and other accrued liabilities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6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Operating lease liability— non-current</w:t>
            </w: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long-term liabilities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r>
      <w:tr>
        <w:trPr>
          <w:trHeight w:val="18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lease liabilities</w:t>
            </w:r>
          </w:p>
        </w:tc>
        <w:tc>
          <w:tcPr>
            <w:tcW w:w="3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Components of Lease Expense</w:t>
      </w:r>
    </w:p>
    <w:p>
      <w:pPr>
        <w:spacing w:after="0" w:line="189" w:lineRule="exact"/>
        <w:rPr>
          <w:sz w:val="20"/>
          <w:szCs w:val="20"/>
          <w:color w:val="auto"/>
        </w:rPr>
      </w:pPr>
    </w:p>
    <w:p>
      <w:pPr>
        <w:ind w:right="40" w:firstLine="700"/>
        <w:spacing w:after="0" w:line="241" w:lineRule="auto"/>
        <w:rPr>
          <w:sz w:val="20"/>
          <w:szCs w:val="20"/>
          <w:color w:val="auto"/>
        </w:rPr>
      </w:pPr>
      <w:r>
        <w:rPr>
          <w:rFonts w:ascii="Arial" w:cs="Arial" w:eastAsia="Arial" w:hAnsi="Arial"/>
          <w:sz w:val="14"/>
          <w:szCs w:val="14"/>
          <w:color w:val="auto"/>
        </w:rPr>
        <w:t>The liability associated with each lease is amortized over the respective lease term using the “effective interest rate method.” The Company’s "operating lease right-of-use assets" are amortized over each lease term on a straight-line basis to lease expense and is allocated to "research and development" and "general and administrative" expenses in the accompanying Condensed Statements of Operations and Comprehensive (Loss) Income. The Company combines lease and non-lease components in the recognition of lease expense. The components of total lease cost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8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1"/>
                <w:szCs w:val="11"/>
                <w:b w:val="1"/>
                <w:bCs w:val="1"/>
                <w:color w:val="auto"/>
              </w:rPr>
              <w:t>Three Months Ended June 30,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1"/>
                <w:szCs w:val="11"/>
                <w:b w:val="1"/>
                <w:bCs w:val="1"/>
                <w:color w:val="auto"/>
              </w:rPr>
              <w:t>Six Months Ended June 30,</w:t>
            </w:r>
          </w:p>
        </w:tc>
      </w:tr>
      <w:tr>
        <w:trPr>
          <w:trHeight w:val="153"/>
        </w:trPr>
        <w:tc>
          <w:tcPr>
            <w:tcW w:w="53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67"/>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w:t>
            </w: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Variable lease cost</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lease cost</w:t>
            </w:r>
          </w:p>
        </w:tc>
        <w:tc>
          <w:tcPr>
            <w:tcW w:w="10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58"/>
        </w:trPr>
        <w:tc>
          <w:tcPr>
            <w:tcW w:w="5380" w:type="dxa"/>
            <w:vAlign w:val="bottom"/>
          </w:tcPr>
          <w:p>
            <w:pPr>
              <w:ind w:left="20"/>
              <w:spacing w:after="0" w:line="146" w:lineRule="exact"/>
              <w:rPr>
                <w:sz w:val="20"/>
                <w:szCs w:val="20"/>
                <w:color w:val="auto"/>
              </w:rPr>
            </w:pPr>
            <w:r>
              <w:rPr>
                <w:rFonts w:ascii="Arial" w:cs="Arial" w:eastAsia="Arial" w:hAnsi="Arial"/>
                <w:sz w:val="13"/>
                <w:szCs w:val="13"/>
                <w:color w:val="auto"/>
              </w:rPr>
              <w:t>Total lease cost</w:t>
            </w: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w:t>
            </w:r>
          </w:p>
        </w:tc>
      </w:tr>
      <w:tr>
        <w:trPr>
          <w:trHeight w:val="20"/>
        </w:trPr>
        <w:tc>
          <w:tcPr>
            <w:tcW w:w="5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Weighted-Average Remaining Lease Term and Applied Discount Rate</w:t>
      </w:r>
    </w:p>
    <w:p>
      <w:pPr>
        <w:spacing w:after="0" w:line="179"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As of June 30, 2022, the Company's facility leases had a weighted average remaining lease term of 1 year, 7 months. The weighted-average estimated incremental borrowing rate of 10% was utilized to present value future minimum lease payments since an implicit interest rate in each at-market lease agreement was not determinable.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Contractual Lease Payments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below table summarizes the (i) minimum lease payments over the next five years and thereafter, (ii) lease arrangement imputed interest, and (iii) present value of future lease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payments: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Operating Leases - Future Payments</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June 30, 2022</w:t>
            </w:r>
          </w:p>
        </w:tc>
      </w:tr>
      <w:tr>
        <w:trPr>
          <w:trHeight w:val="170"/>
        </w:trPr>
        <w:tc>
          <w:tcPr>
            <w:tcW w:w="9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2022 (remaining six months)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761</w:t>
            </w:r>
          </w:p>
        </w:tc>
      </w:tr>
      <w:tr>
        <w:trPr>
          <w:trHeight w:val="172"/>
        </w:trPr>
        <w:tc>
          <w:tcPr>
            <w:tcW w:w="9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9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94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Total future lease payments, undiscounted</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991</w:t>
            </w:r>
          </w:p>
        </w:tc>
      </w:tr>
      <w:tr>
        <w:trPr>
          <w:trHeight w:val="172"/>
        </w:trPr>
        <w:tc>
          <w:tcPr>
            <w:tcW w:w="9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58"/>
        </w:trPr>
        <w:tc>
          <w:tcPr>
            <w:tcW w:w="94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Present value of operating lease payments</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w:t>
            </w:r>
          </w:p>
        </w:tc>
      </w:tr>
      <w:tr>
        <w:trPr>
          <w:trHeight w:val="20"/>
        </w:trPr>
        <w:tc>
          <w:tcPr>
            <w:tcW w:w="9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In-License Agreements for Lotilaner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January 2019 Agreement for Skin and Eye Disease or Conditions in Humans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ind w:right="220" w:firstLine="700"/>
        <w:spacing w:after="0" w:line="267" w:lineRule="auto"/>
        <w:rPr>
          <w:sz w:val="20"/>
          <w:szCs w:val="20"/>
          <w:color w:val="auto"/>
        </w:rPr>
      </w:pPr>
      <w:r>
        <w:rPr>
          <w:rFonts w:ascii="Arial" w:cs="Arial" w:eastAsia="Arial" w:hAnsi="Arial"/>
          <w:sz w:val="14"/>
          <w:szCs w:val="14"/>
          <w:color w:val="auto"/>
        </w:rPr>
        <w:t>In January 2019, the Company entered into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spacing w:after="0" w:line="142" w:lineRule="exact"/>
        <w:rPr>
          <w:sz w:val="20"/>
          <w:szCs w:val="20"/>
          <w:color w:val="auto"/>
        </w:rPr>
      </w:pPr>
    </w:p>
    <w:p>
      <w:pPr>
        <w:ind w:right="80" w:firstLine="700"/>
        <w:spacing w:after="0" w:line="257" w:lineRule="auto"/>
        <w:rPr>
          <w:sz w:val="20"/>
          <w:szCs w:val="20"/>
          <w:color w:val="auto"/>
        </w:rPr>
      </w:pPr>
      <w:r>
        <w:rPr>
          <w:rFonts w:ascii="Arial" w:cs="Arial" w:eastAsia="Arial" w:hAnsi="Arial"/>
          <w:sz w:val="14"/>
          <w:szCs w:val="14"/>
          <w:color w:val="auto"/>
        </w:rPr>
        <w:t xml:space="preserve">The Company made a $1.0 million upfront payment at execution of the Eye and Derm Elanco Agreement in January 2019, and also made a required $1.0 million clinical milestone payment in September 2020, associated with the first two U.S. pivotal trials for the treatment of Demodex blepharitis. The Company paid an additional $2.0 million for its second pivotal trial milestone in April 2021, which was recorded in “research and development” expense in the accompanying Statements of Operations and Comprehensive Loss for the three months ended June 30, 2021. As part of the China Out-License discussed in </w:t>
      </w:r>
      <w:r>
        <w:rPr>
          <w:rFonts w:ascii="Arial" w:cs="Arial" w:eastAsia="Arial" w:hAnsi="Arial"/>
          <w:sz w:val="14"/>
          <w:szCs w:val="14"/>
          <w:i w:val="1"/>
          <w:iCs w:val="1"/>
          <w:color w:val="auto"/>
        </w:rPr>
        <w:t>Note 9</w:t>
      </w:r>
      <w:r>
        <w:rPr>
          <w:rFonts w:ascii="Arial" w:cs="Arial" w:eastAsia="Arial" w:hAnsi="Arial"/>
          <w:sz w:val="14"/>
          <w:szCs w:val="14"/>
          <w:color w:val="auto"/>
        </w:rPr>
        <w:t>, the Company made a contractual payment in the amount of $2.5 million to Elanco following the receipt of $25 million of initial proceeds from LianBio during the second quarter of 2021. In June 2022, the Company made a contractual prepayment of $1.5 million that can be applied towards any milestones that become due under the Eye and Derm Elanco Agreement and/or the All Human Uses Elanco Agreement. This prepayment is included within "prepaid expenses and other current assets" on the accompanying Condensed Balance Sheet as of June 30, 2022.</w:t>
      </w:r>
    </w:p>
    <w:p>
      <w:pPr>
        <w:spacing w:after="0" w:line="151" w:lineRule="exact"/>
        <w:rPr>
          <w:sz w:val="20"/>
          <w:szCs w:val="20"/>
          <w:color w:val="auto"/>
        </w:rPr>
      </w:pPr>
    </w:p>
    <w:p>
      <w:pPr>
        <w:ind w:right="40" w:firstLine="700"/>
        <w:spacing w:after="0" w:line="319" w:lineRule="auto"/>
        <w:rPr>
          <w:sz w:val="20"/>
          <w:szCs w:val="20"/>
          <w:color w:val="auto"/>
        </w:rPr>
      </w:pPr>
      <w:r>
        <w:rPr>
          <w:rFonts w:ascii="Arial" w:cs="Arial" w:eastAsia="Arial" w:hAnsi="Arial"/>
          <w:sz w:val="12"/>
          <w:szCs w:val="12"/>
          <w:color w:val="auto"/>
        </w:rPr>
        <w:t>The Company may make further cash payments to Elanco under the Eye and Derm Elanco Agreement upon achievement of certain clinical milestones in the treatment of human skin diseases using lotilaner for an aggregate maximum of $3.0 million and various commercial and sales threshold milestones for an aggregate maximum of $79.0 million.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except for territories in which it achieved applicable regulatory approval prior to sublicense execution.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September 2020 Agreement for All Other Diseases or Conditions in Humans</w:t>
      </w:r>
    </w:p>
    <w:p>
      <w:pPr>
        <w:spacing w:after="0" w:line="200" w:lineRule="exact"/>
        <w:rPr>
          <w:sz w:val="20"/>
          <w:szCs w:val="20"/>
          <w:color w:val="auto"/>
        </w:rPr>
      </w:pPr>
    </w:p>
    <w:p>
      <w:pPr>
        <w:ind w:firstLine="700"/>
        <w:spacing w:after="0" w:line="277" w:lineRule="auto"/>
        <w:rPr>
          <w:sz w:val="20"/>
          <w:szCs w:val="20"/>
          <w:color w:val="auto"/>
        </w:rPr>
      </w:pPr>
      <w:r>
        <w:rPr>
          <w:rFonts w:ascii="Arial" w:cs="Arial" w:eastAsia="Arial" w:hAnsi="Arial"/>
          <w:sz w:val="13"/>
          <w:szCs w:val="13"/>
          <w:color w:val="auto"/>
        </w:rPr>
        <w:t>In September 2020, the Company executed an expanded in-license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at the execution of the All Human Uses Elanco Agreement with an estimated fair value of $3.1 million ($14.0003 per share, approximating the issuance price of the Company's Series C preferred stock in September 2020).</w:t>
      </w:r>
    </w:p>
    <w:p>
      <w:pPr>
        <w:spacing w:after="0" w:line="148" w:lineRule="exact"/>
        <w:rPr>
          <w:sz w:val="20"/>
          <w:szCs w:val="20"/>
          <w:color w:val="auto"/>
        </w:rPr>
      </w:pPr>
    </w:p>
    <w:p>
      <w:pPr>
        <w:ind w:right="40" w:firstLine="700"/>
        <w:spacing w:after="0" w:line="251" w:lineRule="auto"/>
        <w:rPr>
          <w:sz w:val="20"/>
          <w:szCs w:val="20"/>
          <w:color w:val="auto"/>
        </w:rPr>
      </w:pPr>
      <w:r>
        <w:rPr>
          <w:rFonts w:ascii="Arial" w:cs="Arial" w:eastAsia="Arial" w:hAnsi="Arial"/>
          <w:sz w:val="14"/>
          <w:szCs w:val="14"/>
          <w:color w:val="auto"/>
        </w:rPr>
        <w:t>The Company is required to make cash payments to Elanco under the All Human Uses Elanco Agreement upon the achievement of various clinical milestones for an aggregate maximum of $4.5 million and various commercial and sales threshold milestones for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except for territories in which it achieved applicable regulatory approval prior to sublicense execution.</w:t>
      </w:r>
    </w:p>
    <w:p>
      <w:pPr>
        <w:spacing w:after="0" w:line="175" w:lineRule="exact"/>
        <w:rPr>
          <w:sz w:val="20"/>
          <w:szCs w:val="20"/>
          <w:color w:val="auto"/>
        </w:rPr>
      </w:pPr>
    </w:p>
    <w:p>
      <w:pPr>
        <w:ind w:right="60" w:firstLine="700"/>
        <w:spacing w:after="0" w:line="277" w:lineRule="auto"/>
        <w:rPr>
          <w:sz w:val="20"/>
          <w:szCs w:val="20"/>
          <w:color w:val="auto"/>
        </w:rPr>
      </w:pPr>
      <w:r>
        <w:rPr>
          <w:rFonts w:ascii="Arial" w:cs="Arial" w:eastAsia="Arial" w:hAnsi="Arial"/>
          <w:sz w:val="13"/>
          <w:szCs w:val="13"/>
          <w:color w:val="auto"/>
        </w:rPr>
        <w:t xml:space="preserve">In March 2021, the Company entered into the China Out-License agreement with LianBio (see </w:t>
      </w:r>
      <w:r>
        <w:rPr>
          <w:rFonts w:ascii="Arial" w:cs="Arial" w:eastAsia="Arial" w:hAnsi="Arial"/>
          <w:sz w:val="13"/>
          <w:szCs w:val="13"/>
          <w:i w:val="1"/>
          <w:iCs w:val="1"/>
          <w:color w:val="auto"/>
        </w:rPr>
        <w:t>Note 9</w:t>
      </w:r>
      <w:r>
        <w:rPr>
          <w:rFonts w:ascii="Arial" w:cs="Arial" w:eastAsia="Arial" w:hAnsi="Arial"/>
          <w:sz w:val="13"/>
          <w:szCs w:val="13"/>
          <w:color w:val="auto"/>
        </w:rPr>
        <w:t>) that required it to grant Elanco an additional fixed 187,500 shares of its common stock that otherwise would have been issuable no later than the 18-month anniversary of the All Human Uses Elanco Agreement for its continued license exclusivity. These issued shares were valued at $5.5 million, based on the Company's stock closing price of $29.30 per share on the date this issuance became contractually required and is reported within "research and development" expense within the accompanying Condensed Statements of Operations and Comprehensive (Loss) Income for the six months ended June 30, 2021.</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Employment Agreements</w:t>
      </w:r>
    </w:p>
    <w:p>
      <w:pPr>
        <w:spacing w:after="0" w:line="183"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The Company has entered into employment agreements with eight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Litigation Contingencies</w:t>
      </w:r>
    </w:p>
    <w:p>
      <w:pPr>
        <w:spacing w:after="0" w:line="183" w:lineRule="exact"/>
        <w:rPr>
          <w:sz w:val="20"/>
          <w:szCs w:val="20"/>
          <w:color w:val="auto"/>
        </w:rPr>
      </w:pPr>
    </w:p>
    <w:p>
      <w:pPr>
        <w:ind w:right="380" w:firstLine="700"/>
        <w:spacing w:after="0" w:line="281" w:lineRule="auto"/>
        <w:rPr>
          <w:sz w:val="20"/>
          <w:szCs w:val="20"/>
          <w:color w:val="auto"/>
        </w:rPr>
      </w:pPr>
      <w:r>
        <w:rPr>
          <w:rFonts w:ascii="Arial" w:cs="Arial" w:eastAsia="Arial" w:hAnsi="Arial"/>
          <w:sz w:val="14"/>
          <w:szCs w:val="14"/>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Indemnities and Guarantees</w:t>
      </w:r>
    </w:p>
    <w:p>
      <w:pPr>
        <w:spacing w:after="0" w:line="183" w:lineRule="exact"/>
        <w:rPr>
          <w:sz w:val="20"/>
          <w:szCs w:val="20"/>
          <w:color w:val="auto"/>
        </w:rPr>
      </w:pPr>
    </w:p>
    <w:p>
      <w:pPr>
        <w:ind w:firstLine="700"/>
        <w:spacing w:after="0" w:line="297" w:lineRule="auto"/>
        <w:rPr>
          <w:sz w:val="20"/>
          <w:szCs w:val="20"/>
          <w:color w:val="auto"/>
        </w:rPr>
      </w:pPr>
      <w:r>
        <w:rPr>
          <w:rFonts w:ascii="Arial" w:cs="Arial" w:eastAsia="Arial" w:hAnsi="Arial"/>
          <w:sz w:val="13"/>
          <w:szCs w:val="13"/>
          <w:color w:val="auto"/>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OUT-LICENSE AGREEMENT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Out-License of TP-03 Commercial Rights in Greater China in March 2021</w:t>
      </w:r>
    </w:p>
    <w:p>
      <w:pPr>
        <w:spacing w:after="0" w:line="200" w:lineRule="exact"/>
        <w:rPr>
          <w:sz w:val="20"/>
          <w:szCs w:val="20"/>
          <w:color w:val="auto"/>
        </w:rPr>
      </w:pPr>
    </w:p>
    <w:p>
      <w:pPr>
        <w:ind w:firstLine="800"/>
        <w:spacing w:after="0" w:line="259" w:lineRule="auto"/>
        <w:rPr>
          <w:sz w:val="20"/>
          <w:szCs w:val="20"/>
          <w:color w:val="auto"/>
        </w:rPr>
      </w:pPr>
      <w:r>
        <w:rPr>
          <w:rFonts w:ascii="Arial" w:cs="Arial" w:eastAsia="Arial" w:hAnsi="Arial"/>
          <w:sz w:val="14"/>
          <w:szCs w:val="14"/>
          <w:color w:val="auto"/>
        </w:rPr>
        <w:t>On March 26, 2021, the Company entered into an out-license agreement with LianBio for its exclusive development and commercialization rights of TP-03 (lotilaner ophthalmic solution, 0.25%) in the People’s Republic of China, Hong Kong, Macau, and Taiwan (the “China Territory”) for the treatment of Demodex blepharitis and Meibomian Gland Disease (the “China Out-License”). LianBio is contractually responsible for all clinical development and commercialization activities and costs within the China Territory.</w:t>
      </w:r>
    </w:p>
    <w:p>
      <w:pPr>
        <w:spacing w:after="0" w:line="158" w:lineRule="exact"/>
        <w:rPr>
          <w:sz w:val="20"/>
          <w:szCs w:val="20"/>
          <w:color w:val="auto"/>
        </w:rPr>
      </w:pPr>
    </w:p>
    <w:p>
      <w:pPr>
        <w:ind w:right="480" w:firstLine="764"/>
        <w:spacing w:after="0" w:line="265" w:lineRule="auto"/>
        <w:rPr>
          <w:sz w:val="20"/>
          <w:szCs w:val="20"/>
          <w:color w:val="auto"/>
        </w:rPr>
      </w:pPr>
      <w:r>
        <w:rPr>
          <w:rFonts w:ascii="Arial" w:cs="Arial" w:eastAsia="Arial" w:hAnsi="Arial"/>
          <w:sz w:val="14"/>
          <w:szCs w:val="14"/>
          <w:color w:val="auto"/>
        </w:rPr>
        <w:t>Through June 30, 2022, the Company received payments from LianBio totaling $70.0 million that is comprised of initial consideration of $25.0 million and $45.0 million for the achievement of three clinical development milestones, including $15.0 million received in June 2022.</w:t>
      </w:r>
    </w:p>
    <w:p>
      <w:pPr>
        <w:spacing w:after="0" w:line="164" w:lineRule="exact"/>
        <w:rPr>
          <w:sz w:val="20"/>
          <w:szCs w:val="20"/>
          <w:color w:val="auto"/>
        </w:rPr>
      </w:pPr>
    </w:p>
    <w:p>
      <w:pPr>
        <w:ind w:right="160" w:firstLine="764"/>
        <w:spacing w:after="0" w:line="251" w:lineRule="auto"/>
        <w:rPr>
          <w:sz w:val="20"/>
          <w:szCs w:val="20"/>
          <w:color w:val="auto"/>
        </w:rPr>
      </w:pPr>
      <w:r>
        <w:rPr>
          <w:rFonts w:ascii="Arial" w:cs="Arial" w:eastAsia="Arial" w:hAnsi="Arial"/>
          <w:sz w:val="14"/>
          <w:szCs w:val="14"/>
          <w:color w:val="auto"/>
        </w:rPr>
        <w:t>The Company is eligible to receive further consideration from LianBio upon the achievement of additional milestones, including: (i) TP-03 clinical development and regulatory milestones of up to $30.0 million, (ii) expected drug supply agreement milestone of $5.0 million, (iii) TP-03 sales-based milestones for the China Territory of up to $100 million, (iv) tiered mid-to-high-teen royalties for China Territory TP-03 product sales, and (v) LianBio equity, subject to regulatory milestone achievement for vesting.</w:t>
      </w:r>
    </w:p>
    <w:p>
      <w:pPr>
        <w:spacing w:after="0" w:line="153"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 xml:space="preserve">For the three and six months ended June 30, 2022 and 2021, the Company reported "license fees" and "collaboration revenue" in the accompanying Condensed Statements of Operations and Comprehensive (Loss) Income, in accordance with the revenue recognition accounting policy described in </w:t>
      </w:r>
      <w:r>
        <w:rPr>
          <w:rFonts w:ascii="Arial" w:cs="Arial" w:eastAsia="Arial" w:hAnsi="Arial"/>
          <w:sz w:val="14"/>
          <w:szCs w:val="14"/>
          <w:i w:val="1"/>
          <w:iCs w:val="1"/>
          <w:color w:val="auto"/>
        </w:rPr>
        <w:t>Note 2(vii).</w:t>
      </w:r>
      <w:r>
        <w:rPr>
          <w:rFonts w:ascii="Arial" w:cs="Arial" w:eastAsia="Arial" w:hAnsi="Arial"/>
          <w:sz w:val="14"/>
          <w:szCs w:val="14"/>
          <w:color w:val="auto"/>
        </w:rPr>
        <w:t xml:space="preserve"> Reported revenue in each presented period relates to the satisfaction performance obligations relating to (i) the transfer of TP-03 license rights in the China Territory to LianBio and (ii) the completion of clinical activities and providing LianBio with the related data for its pivotal trials of TP-03 in the treatment of Demodex blepharitis.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 AGREEMENT</w:t>
      </w:r>
    </w:p>
    <w:p>
      <w:pPr>
        <w:spacing w:after="0" w:line="204" w:lineRule="exact"/>
        <w:rPr>
          <w:sz w:val="20"/>
          <w:szCs w:val="20"/>
          <w:color w:val="auto"/>
        </w:rPr>
      </w:pPr>
    </w:p>
    <w:p>
      <w:pPr>
        <w:ind w:right="60" w:firstLine="764"/>
        <w:spacing w:after="0" w:line="297" w:lineRule="auto"/>
        <w:rPr>
          <w:sz w:val="20"/>
          <w:szCs w:val="20"/>
          <w:color w:val="auto"/>
        </w:rPr>
      </w:pPr>
      <w:r>
        <w:rPr>
          <w:rFonts w:ascii="Arial" w:cs="Arial" w:eastAsia="Arial" w:hAnsi="Arial"/>
          <w:sz w:val="13"/>
          <w:szCs w:val="13"/>
          <w:color w:val="auto"/>
        </w:rPr>
        <w:t>On February 2, 2022, the Company executed the Credit Facility with Hercules and SVB that expires on February 2, 2027. The Credit Facility provides an aggregate principal amount of up to $175.0 million with tranched availability as follows: $40.0 million at its execution (to-date, $20.0 million drawn February 2022), $25.0 million upon submission of a New Drug Application ("NDA") with the FDA for TP-03, $35.0 million upon FDA approval of TP-03, $50.0 million upon achievement of product net revenue thresholds, and $25.0 million upon lender approval.</w:t>
      </w:r>
    </w:p>
    <w:p>
      <w:pPr>
        <w:spacing w:after="0" w:line="145" w:lineRule="exact"/>
        <w:rPr>
          <w:sz w:val="20"/>
          <w:szCs w:val="20"/>
          <w:color w:val="auto"/>
        </w:rPr>
      </w:pPr>
    </w:p>
    <w:p>
      <w:pPr>
        <w:ind w:firstLine="764"/>
        <w:spacing w:after="0" w:line="267" w:lineRule="auto"/>
        <w:rPr>
          <w:sz w:val="20"/>
          <w:szCs w:val="20"/>
          <w:color w:val="auto"/>
        </w:rPr>
      </w:pPr>
      <w:r>
        <w:rPr>
          <w:rFonts w:ascii="Arial" w:cs="Arial" w:eastAsia="Arial" w:hAnsi="Arial"/>
          <w:sz w:val="14"/>
          <w:szCs w:val="14"/>
          <w:color w:val="auto"/>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17" w:lineRule="exact"/>
        <w:rPr>
          <w:sz w:val="20"/>
          <w:szCs w:val="20"/>
          <w:color w:val="auto"/>
        </w:rPr>
      </w:pPr>
    </w:p>
    <w:p>
      <w:pPr>
        <w:ind w:right="60" w:firstLine="764"/>
        <w:spacing w:after="0" w:line="265" w:lineRule="auto"/>
        <w:rPr>
          <w:sz w:val="20"/>
          <w:szCs w:val="20"/>
          <w:color w:val="auto"/>
        </w:rPr>
      </w:pPr>
      <w:r>
        <w:rPr>
          <w:rFonts w:ascii="Arial" w:cs="Arial" w:eastAsia="Arial" w:hAnsi="Arial"/>
          <w:sz w:val="14"/>
          <w:szCs w:val="14"/>
          <w:color w:val="auto"/>
        </w:rPr>
        <w:t xml:space="preserve">Principal draws accrue interest on the outstanding principal balance at a floating interest rate per annum equal to the </w:t>
      </w:r>
      <w:r>
        <w:rPr>
          <w:rFonts w:ascii="Arial" w:cs="Arial" w:eastAsia="Arial" w:hAnsi="Arial"/>
          <w:sz w:val="14"/>
          <w:szCs w:val="14"/>
          <w:i w:val="1"/>
          <w:iCs w:val="1"/>
          <w:color w:val="auto"/>
        </w:rPr>
        <w:t>greater of</w:t>
      </w:r>
      <w:r>
        <w:rPr>
          <w:rFonts w:ascii="Arial" w:cs="Arial" w:eastAsia="Arial" w:hAnsi="Arial"/>
          <w:sz w:val="14"/>
          <w:szCs w:val="14"/>
          <w:color w:val="auto"/>
        </w:rPr>
        <w:t xml:space="preserve"> either (i) The Wall Street Journal ("WSJ") prime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5.20% or (ii) 8.45%. At the execution date of the Credit Facility, the WSJ prime rate was 3.25% and further increased during 2022 to 4.75% as of June 30, 2022.</w:t>
      </w:r>
    </w:p>
    <w:p>
      <w:pPr>
        <w:spacing w:after="0" w:line="154" w:lineRule="exact"/>
        <w:rPr>
          <w:sz w:val="20"/>
          <w:szCs w:val="20"/>
          <w:color w:val="auto"/>
        </w:rPr>
      </w:pPr>
    </w:p>
    <w:p>
      <w:pPr>
        <w:ind w:firstLine="764"/>
        <w:spacing w:after="0" w:line="237" w:lineRule="auto"/>
        <w:rPr>
          <w:sz w:val="20"/>
          <w:szCs w:val="20"/>
          <w:color w:val="auto"/>
        </w:rPr>
      </w:pPr>
      <w:r>
        <w:rPr>
          <w:rFonts w:ascii="Arial" w:cs="Arial" w:eastAsia="Arial" w:hAnsi="Arial"/>
          <w:sz w:val="14"/>
          <w:szCs w:val="14"/>
          <w:color w:val="auto"/>
        </w:rPr>
        <w:t xml:space="preserve">The Company is required to pay a fee upon the </w:t>
      </w:r>
      <w:r>
        <w:rPr>
          <w:rFonts w:ascii="Arial" w:cs="Arial" w:eastAsia="Arial" w:hAnsi="Arial"/>
          <w:sz w:val="14"/>
          <w:szCs w:val="14"/>
          <w:i w:val="1"/>
          <w:iCs w:val="1"/>
          <w:color w:val="auto"/>
        </w:rPr>
        <w:t>earlier of</w:t>
      </w:r>
      <w:r>
        <w:rPr>
          <w:rFonts w:ascii="Arial" w:cs="Arial" w:eastAsia="Arial" w:hAnsi="Arial"/>
          <w:sz w:val="14"/>
          <w:szCs w:val="14"/>
          <w:color w:val="auto"/>
        </w:rPr>
        <w:t xml:space="preserve"> (i) February 2, 2027 or (ii) the date the Company prepays, in full or in part, the outstanding principal balance of the Credit Facility ("End of Term Charge"). The current End of Term Charge of $1.0 million was derived at the execution of the Credit Facility by </w:t>
      </w:r>
      <w:r>
        <w:rPr>
          <w:rFonts w:ascii="Arial" w:cs="Arial" w:eastAsia="Arial" w:hAnsi="Arial"/>
          <w:sz w:val="14"/>
          <w:szCs w:val="14"/>
          <w:i w:val="1"/>
          <w:iCs w:val="1"/>
          <w:color w:val="auto"/>
        </w:rPr>
        <w:t>multiplying</w:t>
      </w:r>
      <w:r>
        <w:rPr>
          <w:rFonts w:ascii="Arial" w:cs="Arial" w:eastAsia="Arial" w:hAnsi="Arial"/>
          <w:sz w:val="14"/>
          <w:szCs w:val="14"/>
          <w:color w:val="auto"/>
        </w:rPr>
        <w:t xml:space="preserve"> 4.75% by the $20.0 million drawn at closing and is accreted to "interest expense" through maturity.</w:t>
      </w:r>
    </w:p>
    <w:p>
      <w:pPr>
        <w:spacing w:after="0" w:line="160" w:lineRule="exact"/>
        <w:rPr>
          <w:sz w:val="20"/>
          <w:szCs w:val="20"/>
          <w:color w:val="auto"/>
        </w:rPr>
      </w:pPr>
    </w:p>
    <w:p>
      <w:pPr>
        <w:ind w:right="400" w:firstLine="764"/>
        <w:spacing w:after="0" w:line="243" w:lineRule="auto"/>
        <w:rPr>
          <w:sz w:val="20"/>
          <w:szCs w:val="20"/>
          <w:color w:val="auto"/>
        </w:rPr>
      </w:pPr>
      <w:r>
        <w:rPr>
          <w:rFonts w:ascii="Arial" w:cs="Arial" w:eastAsia="Arial" w:hAnsi="Arial"/>
          <w:sz w:val="14"/>
          <w:szCs w:val="14"/>
          <w:color w:val="auto"/>
        </w:rPr>
        <w:t xml:space="preserve">As of June 30, 2022, the carrying value of the Credit Facility (reported as "term loan, net" on the accompanying Condensed Balance Sheets) consisted of $20.0 million principal outstanding </w:t>
      </w:r>
      <w:r>
        <w:rPr>
          <w:rFonts w:ascii="Arial" w:cs="Arial" w:eastAsia="Arial" w:hAnsi="Arial"/>
          <w:sz w:val="14"/>
          <w:szCs w:val="14"/>
          <w:i w:val="1"/>
          <w:iCs w:val="1"/>
          <w:color w:val="auto"/>
        </w:rPr>
        <w:t>less</w:t>
      </w:r>
      <w:r>
        <w:rPr>
          <w:rFonts w:ascii="Arial" w:cs="Arial" w:eastAsia="Arial" w:hAnsi="Arial"/>
          <w:sz w:val="14"/>
          <w:szCs w:val="14"/>
          <w:color w:val="auto"/>
        </w:rPr>
        <w:t xml:space="preserve"> legal and administrative issuance costs of approximately $0.9 million that were recorded as a </w:t>
      </w:r>
      <w:r>
        <w:rPr>
          <w:rFonts w:ascii="Arial" w:cs="Arial" w:eastAsia="Arial" w:hAnsi="Arial"/>
          <w:sz w:val="14"/>
          <w:szCs w:val="14"/>
          <w:i w:val="1"/>
          <w:iCs w:val="1"/>
          <w:color w:val="auto"/>
        </w:rPr>
        <w:t>contra-liability</w:t>
      </w:r>
      <w:r>
        <w:rPr>
          <w:rFonts w:ascii="Arial" w:cs="Arial" w:eastAsia="Arial" w:hAnsi="Arial"/>
          <w:sz w:val="14"/>
          <w:szCs w:val="14"/>
          <w:color w:val="auto"/>
        </w:rPr>
        <w:t xml:space="preserve"> to the "term loan, net" and accreted to "interest expense" using the </w:t>
      </w:r>
      <w:r>
        <w:rPr>
          <w:rFonts w:ascii="Arial" w:cs="Arial" w:eastAsia="Arial" w:hAnsi="Arial"/>
          <w:sz w:val="14"/>
          <w:szCs w:val="14"/>
          <w:i w:val="1"/>
          <w:iCs w:val="1"/>
          <w:color w:val="auto"/>
        </w:rPr>
        <w:t xml:space="preserve">effective interest method </w:t>
      </w:r>
      <w:r>
        <w:rPr>
          <w:rFonts w:ascii="Arial" w:cs="Arial" w:eastAsia="Arial" w:hAnsi="Arial"/>
          <w:sz w:val="14"/>
          <w:szCs w:val="14"/>
          <w:color w:val="auto"/>
        </w:rPr>
        <w:t>during its term.</w:t>
      </w:r>
    </w:p>
    <w:p>
      <w:pPr>
        <w:spacing w:after="0" w:line="158" w:lineRule="exact"/>
        <w:rPr>
          <w:sz w:val="20"/>
          <w:szCs w:val="20"/>
          <w:color w:val="auto"/>
        </w:rPr>
      </w:pPr>
    </w:p>
    <w:p>
      <w:pPr>
        <w:ind w:right="540" w:firstLine="764"/>
        <w:spacing w:after="0" w:line="265" w:lineRule="auto"/>
        <w:rPr>
          <w:sz w:val="20"/>
          <w:szCs w:val="20"/>
          <w:color w:val="auto"/>
        </w:rPr>
      </w:pPr>
      <w:r>
        <w:rPr>
          <w:rFonts w:ascii="Arial" w:cs="Arial" w:eastAsia="Arial" w:hAnsi="Arial"/>
          <w:sz w:val="14"/>
          <w:szCs w:val="14"/>
          <w:color w:val="auto"/>
        </w:rPr>
        <w:t>The calculated effective interest rate (i.e., coupon rate and other applicable fees) during the term of the credit facility was 10.90% for the six months ended June 30, 2022. As of December 31, 2021 the Company had no outstanding debt.</w:t>
      </w:r>
    </w:p>
    <w:p>
      <w:pPr>
        <w:spacing w:after="0" w:line="154" w:lineRule="exact"/>
        <w:rPr>
          <w:sz w:val="20"/>
          <w:szCs w:val="20"/>
          <w:color w:val="auto"/>
        </w:rPr>
      </w:pPr>
    </w:p>
    <w:p>
      <w:pPr>
        <w:ind w:right="360" w:firstLine="764"/>
        <w:spacing w:after="0" w:line="265" w:lineRule="auto"/>
        <w:rPr>
          <w:sz w:val="20"/>
          <w:szCs w:val="20"/>
          <w:color w:val="auto"/>
        </w:rPr>
      </w:pPr>
      <w:r>
        <w:rPr>
          <w:rFonts w:ascii="Arial" w:cs="Arial" w:eastAsia="Arial" w:hAnsi="Arial"/>
          <w:sz w:val="14"/>
          <w:szCs w:val="14"/>
          <w:color w:val="auto"/>
        </w:rPr>
        <w:t>During the three and six months ended June 30, 2022, the Company recognized "interest expense" on its Condensed Statement of Operations and Comprehensive (Loss) Income in connection with the Credit Facility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2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Pr>
          <w:p>
            <w:pPr>
              <w:jc w:val="right"/>
              <w:ind w:right="379"/>
              <w:spacing w:after="0"/>
              <w:rPr>
                <w:sz w:val="20"/>
                <w:szCs w:val="20"/>
                <w:color w:val="auto"/>
              </w:rPr>
            </w:pPr>
            <w:r>
              <w:rPr>
                <w:rFonts w:ascii="Arial" w:cs="Arial" w:eastAsia="Arial" w:hAnsi="Arial"/>
                <w:sz w:val="11"/>
                <w:szCs w:val="11"/>
                <w:b w:val="1"/>
                <w:bCs w:val="1"/>
                <w:color w:val="auto"/>
              </w:rPr>
              <w:t>Six Months Ended</w:t>
            </w:r>
          </w:p>
        </w:tc>
      </w:tr>
      <w:tr>
        <w:trPr>
          <w:trHeight w:val="151"/>
        </w:trPr>
        <w:tc>
          <w:tcPr>
            <w:tcW w:w="76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June 30, 2022</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June 30, 2022</w:t>
            </w:r>
          </w:p>
        </w:tc>
      </w:tr>
      <w:tr>
        <w:trPr>
          <w:trHeight w:val="165"/>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for term loan</w:t>
            </w:r>
          </w:p>
        </w:tc>
        <w:tc>
          <w:tcPr>
            <w:tcW w:w="1480" w:type="dxa"/>
            <w:vAlign w:val="bottom"/>
            <w:shd w:val="clear" w:color="auto" w:fill="CCEEFF"/>
          </w:tcPr>
          <w:p>
            <w:pPr>
              <w:jc w:val="right"/>
              <w:ind w:right="134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r>
      <w:tr>
        <w:trPr>
          <w:trHeight w:val="168"/>
        </w:trPr>
        <w:tc>
          <w:tcPr>
            <w:tcW w:w="7620" w:type="dxa"/>
            <w:vAlign w:val="bottom"/>
          </w:tcPr>
          <w:p>
            <w:pPr>
              <w:ind w:left="20"/>
              <w:spacing w:after="0"/>
              <w:rPr>
                <w:sz w:val="20"/>
                <w:szCs w:val="20"/>
                <w:color w:val="auto"/>
              </w:rPr>
            </w:pPr>
            <w:r>
              <w:rPr>
                <w:rFonts w:ascii="Arial" w:cs="Arial" w:eastAsia="Arial" w:hAnsi="Arial"/>
                <w:sz w:val="13"/>
                <w:szCs w:val="13"/>
                <w:color w:val="auto"/>
              </w:rPr>
              <w:t>Accretion of end of term charge</w:t>
            </w:r>
          </w:p>
        </w:tc>
        <w:tc>
          <w:tcPr>
            <w:tcW w:w="14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7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14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58"/>
        </w:trPr>
        <w:tc>
          <w:tcPr>
            <w:tcW w:w="7620" w:type="dxa"/>
            <w:vAlign w:val="bottom"/>
          </w:tcPr>
          <w:p>
            <w:pPr>
              <w:ind w:left="20"/>
              <w:spacing w:after="0" w:line="146" w:lineRule="exact"/>
              <w:rPr>
                <w:sz w:val="20"/>
                <w:szCs w:val="20"/>
                <w:color w:val="auto"/>
              </w:rPr>
            </w:pPr>
            <w:r>
              <w:rPr>
                <w:rFonts w:ascii="Arial" w:cs="Arial" w:eastAsia="Arial" w:hAnsi="Arial"/>
                <w:sz w:val="13"/>
                <w:szCs w:val="13"/>
                <w:color w:val="auto"/>
              </w:rPr>
              <w:t>Total interest expense related to term loan</w:t>
            </w:r>
          </w:p>
        </w:tc>
        <w:tc>
          <w:tcPr>
            <w:tcW w:w="1480" w:type="dxa"/>
            <w:vAlign w:val="bottom"/>
            <w:tcBorders>
              <w:bottom w:val="single" w:sz="8" w:color="auto"/>
            </w:tcBorders>
          </w:tcPr>
          <w:p>
            <w:pPr>
              <w:jc w:val="right"/>
              <w:ind w:right="1340"/>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w:t>
            </w:r>
          </w:p>
        </w:tc>
      </w:tr>
      <w:tr>
        <w:trPr>
          <w:trHeight w:val="20"/>
        </w:trPr>
        <w:tc>
          <w:tcPr>
            <w:tcW w:w="7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9" w:right="319" w:bottom="1440" w:gutter="0" w:footer="0" w:header="0"/>
        </w:sectPr>
      </w:pPr>
    </w:p>
    <w:p>
      <w:pPr>
        <w:spacing w:after="0" w:line="44" w:lineRule="exact"/>
        <w:rPr>
          <w:sz w:val="20"/>
          <w:szCs w:val="20"/>
          <w:color w:val="auto"/>
        </w:rPr>
      </w:pPr>
    </w:p>
    <w:p>
      <w:pPr>
        <w:jc w:val="right"/>
        <w:ind w:right="1500"/>
        <w:spacing w:after="0"/>
        <w:rPr>
          <w:sz w:val="20"/>
          <w:szCs w:val="20"/>
          <w:color w:val="auto"/>
        </w:rPr>
      </w:pPr>
      <w:r>
        <w:rPr>
          <w:rFonts w:ascii="Arial" w:cs="Arial" w:eastAsia="Arial" w:hAnsi="Arial"/>
          <w:sz w:val="14"/>
          <w:szCs w:val="14"/>
          <w:color w:val="auto"/>
        </w:rPr>
        <w:t>The principal balance of this term loan and related accretion and amortization as of June 30,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6153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Term loan, gross (amount drawn)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Debt issuance costs (legal and other 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07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Accretion of end of term charge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Accumulated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Term loan, net</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June 30, 2022</w:t>
            </w:r>
          </w:p>
        </w:tc>
      </w:tr>
      <w:tr>
        <w:trPr>
          <w:trHeight w:val="165"/>
        </w:trPr>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20,000</w:t>
            </w:r>
          </w:p>
        </w:tc>
      </w:tr>
      <w:tr>
        <w:trPr>
          <w:trHeight w:val="170"/>
        </w:trPr>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70"/>
        </w:trPr>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72"/>
        </w:trPr>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r>
      <w:tr>
        <w:trPr>
          <w:trHeight w:val="160"/>
        </w:trPr>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19,262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800" w:space="720"/>
            <w:col w:w="1760"/>
          </w:cols>
          <w:pgMar w:left="300" w:top="12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Regarding Forward-Looking Statements</w:t>
      </w:r>
    </w:p>
    <w:p>
      <w:pPr>
        <w:spacing w:after="0" w:line="183" w:lineRule="exact"/>
        <w:rPr>
          <w:sz w:val="20"/>
          <w:szCs w:val="20"/>
          <w:color w:val="auto"/>
        </w:rPr>
      </w:pPr>
    </w:p>
    <w:p>
      <w:pPr>
        <w:ind w:firstLine="700"/>
        <w:spacing w:after="0" w:line="284" w:lineRule="auto"/>
        <w:rPr>
          <w:sz w:val="20"/>
          <w:szCs w:val="20"/>
          <w:color w:val="auto"/>
        </w:rPr>
      </w:pPr>
      <w:r>
        <w:rPr>
          <w:rFonts w:ascii="Arial" w:cs="Arial" w:eastAsia="Arial" w:hAnsi="Arial"/>
          <w:sz w:val="13"/>
          <w:szCs w:val="13"/>
          <w:color w:val="auto"/>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4" w:lineRule="exact"/>
        <w:rPr>
          <w:sz w:val="20"/>
          <w:szCs w:val="20"/>
          <w:color w:val="auto"/>
        </w:rPr>
      </w:pPr>
    </w:p>
    <w:p>
      <w:pPr>
        <w:ind w:right="20" w:firstLine="700"/>
        <w:spacing w:after="0" w:line="267" w:lineRule="auto"/>
        <w:rPr>
          <w:sz w:val="20"/>
          <w:szCs w:val="20"/>
          <w:color w:val="auto"/>
        </w:rPr>
      </w:pPr>
      <w:r>
        <w:rPr>
          <w:rFonts w:ascii="Arial" w:cs="Arial" w:eastAsia="Arial" w:hAnsi="Arial"/>
          <w:sz w:val="14"/>
          <w:szCs w:val="14"/>
          <w:color w:val="auto"/>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spacing w:after="0" w:line="14" w:lineRule="exact"/>
        <w:rPr>
          <w:sz w:val="20"/>
          <w:szCs w:val="20"/>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likelihood of our clinical trials demonstrating safety and efficacy of our product candidates, and other positive results;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timing and progress of our current clinical trials and timing of initiation of our future clinical trials, and the reporting of data from our current and future trials;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plans relating to the clinical development of our current and future product candidates, including the size, number and disease areas to be evaluated;</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prevalence of Demodex blepharitis and the size of the market opportunity for our product candidates;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 candidates;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plans relating to commercializing our product candidates, if approved, including sales strategy;</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impact of COVID-19 on our business and operations;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success of competing therapies that are or may become available;</w:t>
      </w:r>
    </w:p>
    <w:p>
      <w:pPr>
        <w:spacing w:after="0" w:line="51" w:lineRule="exact"/>
        <w:rPr>
          <w:rFonts w:ascii="Arial" w:cs="Arial" w:eastAsia="Arial" w:hAnsi="Arial"/>
          <w:sz w:val="14"/>
          <w:szCs w:val="14"/>
          <w:color w:val="auto"/>
        </w:rPr>
      </w:pPr>
    </w:p>
    <w:p>
      <w:pPr>
        <w:ind w:left="800" w:right="260" w:hanging="254"/>
        <w:spacing w:after="0" w:line="281" w:lineRule="auto"/>
        <w:tabs>
          <w:tab w:leader="none" w:pos="7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estimates of the number of patients in the United States ("U.S.") or globally, as applicable, who suffer from Demodex blepharitis, Meibomian Gland Disease ("MGD"), rosacea, Lyme disease and malaria and the number of patients that will enroll in our clinical trials;</w:t>
      </w:r>
    </w:p>
    <w:p>
      <w:pPr>
        <w:spacing w:after="0" w:line="4"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beneficial characteristics, safety, efficacy, therapeutic effects and potential advantages of our product candidates;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timing or likelihood of regulatory filings and approval for our product candidates;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obtain and maintain regulatory approval of our product candidates and our product candidates to meet existing or future regulatory standards;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plans relating to the further development and manufacturing of our product candidates, including additional indications for which we may pursue;</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identify additional products, product candidates or technologies with significant commercial potential that are consistent with our commercial objectives;</w:t>
      </w:r>
    </w:p>
    <w:p>
      <w:pPr>
        <w:spacing w:after="0" w:line="51" w:lineRule="exact"/>
        <w:rPr>
          <w:rFonts w:ascii="Arial" w:cs="Arial" w:eastAsia="Arial" w:hAnsi="Arial"/>
          <w:sz w:val="14"/>
          <w:szCs w:val="14"/>
          <w:color w:val="auto"/>
        </w:rPr>
      </w:pPr>
    </w:p>
    <w:p>
      <w:pPr>
        <w:ind w:left="800" w:right="440" w:hanging="254"/>
        <w:spacing w:after="0" w:line="267" w:lineRule="auto"/>
        <w:tabs>
          <w:tab w:leader="none" w:pos="7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4"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existing regulations and regulatory developments in the U.S. and other jurisdictions;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plans and ability to obtain or protect intellectual property rights, including extensions of existing patent terms where available;</w:t>
      </w:r>
    </w:p>
    <w:p>
      <w:pPr>
        <w:spacing w:after="0" w:line="51" w:lineRule="exact"/>
        <w:rPr>
          <w:rFonts w:ascii="Arial" w:cs="Arial" w:eastAsia="Arial" w:hAnsi="Arial"/>
          <w:sz w:val="14"/>
          <w:szCs w:val="14"/>
          <w:color w:val="auto"/>
        </w:rPr>
      </w:pPr>
    </w:p>
    <w:p>
      <w:pPr>
        <w:ind w:left="800" w:right="420" w:hanging="254"/>
        <w:spacing w:after="0" w:line="281" w:lineRule="auto"/>
        <w:tabs>
          <w:tab w:leader="none" w:pos="7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continued reliance on third parties to conduct additional clinical trials of our product candidates, and for the manufacture of our product candidates for preclinical studies and clinical trials;</w:t>
      </w:r>
    </w:p>
    <w:p>
      <w:pPr>
        <w:spacing w:after="0" w:line="4"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need to hire additional personnel, in particular sales personnel, and our ability to attract and retain such personnel;</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accuracy of our estimates regarding expenses, future revenue, capital requirements and needs for additional financing;</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800" w:hanging="25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financial performance;</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sufficiency of our existing capital resources to fund our future operating expenses and capital expenditure requirements;</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expectations regarding the period during which we will qualify as an emerging growth company under the JOBS Act; and</w:t>
      </w:r>
    </w:p>
    <w:p>
      <w:pPr>
        <w:spacing w:after="0" w:line="51" w:lineRule="exact"/>
        <w:rPr>
          <w:rFonts w:ascii="Arial" w:cs="Arial" w:eastAsia="Arial" w:hAnsi="Arial"/>
          <w:sz w:val="14"/>
          <w:szCs w:val="14"/>
          <w:color w:val="auto"/>
        </w:rPr>
      </w:pPr>
    </w:p>
    <w:p>
      <w:pPr>
        <w:ind w:left="800" w:hanging="254"/>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anticipated use of our existing resources and the proceeds from our Initial Public Offering ("IPO") and Follow-on Public Offering (defined below).</w:t>
      </w:r>
    </w:p>
    <w:p>
      <w:pPr>
        <w:spacing w:after="0" w:line="232" w:lineRule="exact"/>
        <w:rPr>
          <w:sz w:val="20"/>
          <w:szCs w:val="20"/>
          <w:color w:val="auto"/>
        </w:rPr>
      </w:pPr>
    </w:p>
    <w:p>
      <w:pPr>
        <w:ind w:firstLine="700"/>
        <w:spacing w:after="0" w:line="241"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52" w:lineRule="exact"/>
        <w:rPr>
          <w:sz w:val="20"/>
          <w:szCs w:val="20"/>
          <w:color w:val="auto"/>
        </w:rPr>
      </w:pPr>
    </w:p>
    <w:p>
      <w:pPr>
        <w:ind w:firstLine="700"/>
        <w:spacing w:after="0" w:line="288" w:lineRule="auto"/>
        <w:rPr>
          <w:sz w:val="20"/>
          <w:szCs w:val="20"/>
          <w:color w:val="auto"/>
        </w:rPr>
      </w:pPr>
      <w:r>
        <w:rPr>
          <w:rFonts w:ascii="Arial" w:cs="Arial" w:eastAsia="Arial" w:hAnsi="Arial"/>
          <w:sz w:val="13"/>
          <w:szCs w:val="13"/>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31" w:lineRule="exact"/>
        <w:rPr>
          <w:sz w:val="20"/>
          <w:szCs w:val="20"/>
          <w:color w:val="auto"/>
        </w:rPr>
      </w:pPr>
    </w:p>
    <w:p>
      <w:pPr>
        <w:ind w:right="180" w:firstLine="700"/>
        <w:spacing w:after="0" w:line="281" w:lineRule="auto"/>
        <w:rPr>
          <w:sz w:val="20"/>
          <w:szCs w:val="20"/>
          <w:color w:val="auto"/>
        </w:rPr>
      </w:pPr>
      <w:r>
        <w:rPr>
          <w:rFonts w:ascii="Arial" w:cs="Arial" w:eastAsia="Arial" w:hAnsi="Arial"/>
          <w:sz w:val="14"/>
          <w:szCs w:val="14"/>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our Business</w:t>
      </w:r>
    </w:p>
    <w:p>
      <w:pPr>
        <w:spacing w:after="0" w:line="183" w:lineRule="exact"/>
        <w:rPr>
          <w:sz w:val="20"/>
          <w:szCs w:val="20"/>
          <w:color w:val="auto"/>
        </w:rPr>
      </w:pPr>
    </w:p>
    <w:p>
      <w:pPr>
        <w:ind w:right="80" w:firstLine="700"/>
        <w:spacing w:after="0" w:line="260" w:lineRule="auto"/>
        <w:rPr>
          <w:sz w:val="20"/>
          <w:szCs w:val="20"/>
          <w:color w:val="auto"/>
        </w:rPr>
      </w:pPr>
      <w:r>
        <w:rPr>
          <w:rFonts w:ascii="Arial" w:cs="Arial" w:eastAsia="Arial" w:hAnsi="Arial"/>
          <w:sz w:val="14"/>
          <w:szCs w:val="14"/>
          <w:color w:val="auto"/>
        </w:rPr>
        <w:t>We are a biopharmaceutical company focused on the development and commercialization of therapeutics, starting with eye care. Our lead product candidate, TP-03 (lotilaner ophthalmic solution, 0.25%), is a novel investigational eye drop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168" w:lineRule="exact"/>
        <w:rPr>
          <w:sz w:val="20"/>
          <w:szCs w:val="20"/>
          <w:color w:val="auto"/>
        </w:rPr>
      </w:pPr>
    </w:p>
    <w:p>
      <w:pPr>
        <w:ind w:right="540" w:firstLine="700"/>
        <w:spacing w:after="0" w:line="321" w:lineRule="auto"/>
        <w:rPr>
          <w:sz w:val="20"/>
          <w:szCs w:val="20"/>
          <w:color w:val="auto"/>
        </w:rPr>
      </w:pPr>
      <w:r>
        <w:rPr>
          <w:rFonts w:ascii="Arial" w:cs="Arial" w:eastAsia="Arial" w:hAnsi="Arial"/>
          <w:sz w:val="13"/>
          <w:szCs w:val="13"/>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109" w:lineRule="exact"/>
        <w:rPr>
          <w:sz w:val="20"/>
          <w:szCs w:val="20"/>
          <w:color w:val="auto"/>
        </w:rPr>
      </w:pPr>
    </w:p>
    <w:p>
      <w:pPr>
        <w:ind w:right="120" w:firstLine="700"/>
        <w:spacing w:after="0" w:line="246" w:lineRule="auto"/>
        <w:rPr>
          <w:sz w:val="20"/>
          <w:szCs w:val="20"/>
          <w:color w:val="auto"/>
        </w:rPr>
      </w:pPr>
      <w:r>
        <w:rPr>
          <w:rFonts w:ascii="Arial" w:cs="Arial" w:eastAsia="Arial" w:hAnsi="Arial"/>
          <w:sz w:val="14"/>
          <w:szCs w:val="14"/>
          <w:color w:val="auto"/>
        </w:rPr>
        <w:t>To date, we have completed four Phase 2 trials, the Phase 2b/3 Saturn-1 trial, and the Phase 3 Saturn-2 trial for TP-03 in Demodex blepharitis. Each of these trials for TP-03 met their primary, secondary and/or exploratory endpoints, with the drug well tolerated. In May 2022, we announced positive topline results of the Saturn-2 trial and will use the data from the Saturn-1 and Saturn-2 trials to support our submission of a new drug application ("NDA") in the second half of 2022. We believe that TP-03 has the potential to be the first therapeutic approved by the U.S. Food and Drug Administration ("FDA") and become the definitive standard of care for the treatment of Demodex blepharitis.</w:t>
      </w:r>
    </w:p>
    <w:p>
      <w:pPr>
        <w:spacing w:after="0" w:line="178"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We intend to further advance our pipeline with the lotilaner API to address several diseases across therapeutic categories in human medicine, including eye care, dermatology, and other diseases. We are developing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Business and Clinical Highlights</w:t>
      </w:r>
    </w:p>
    <w:p>
      <w:pPr>
        <w:spacing w:after="0" w:line="179" w:lineRule="exact"/>
        <w:rPr>
          <w:sz w:val="20"/>
          <w:szCs w:val="20"/>
          <w:color w:val="auto"/>
        </w:rPr>
      </w:pPr>
    </w:p>
    <w:p>
      <w:pPr>
        <w:ind w:right="60" w:firstLine="700"/>
        <w:spacing w:after="0" w:line="254" w:lineRule="auto"/>
        <w:rPr>
          <w:sz w:val="20"/>
          <w:szCs w:val="20"/>
          <w:color w:val="auto"/>
        </w:rPr>
      </w:pPr>
      <w:r>
        <w:rPr>
          <w:rFonts w:ascii="Arial" w:cs="Arial" w:eastAsia="Arial" w:hAnsi="Arial"/>
          <w:sz w:val="14"/>
          <w:szCs w:val="14"/>
          <w:b w:val="1"/>
          <w:bCs w:val="1"/>
          <w:u w:val="single" w:color="auto"/>
          <w:color w:val="auto"/>
        </w:rPr>
        <w:t>TP-03 Demodex Blepharitis Pivotal Trials, Saturn-1 &amp; Saturn-2</w:t>
      </w:r>
      <w:r>
        <w:rPr>
          <w:rFonts w:ascii="Arial" w:cs="Arial" w:eastAsia="Arial" w:hAnsi="Arial"/>
          <w:sz w:val="14"/>
          <w:szCs w:val="14"/>
          <w:color w:val="auto"/>
        </w:rPr>
        <w:t>: In May 2022, we announced positive topline results of Saturn-2, our second and final pivotal trial. Saturn-2 enrolled</w:t>
      </w:r>
      <w:r>
        <w:rPr>
          <w:rFonts w:ascii="Arial" w:cs="Arial" w:eastAsia="Arial" w:hAnsi="Arial"/>
          <w:sz w:val="14"/>
          <w:szCs w:val="14"/>
          <w:b w:val="1"/>
          <w:bCs w:val="1"/>
          <w:color w:val="auto"/>
        </w:rPr>
        <w:t xml:space="preserve"> </w:t>
      </w:r>
      <w:r>
        <w:rPr>
          <w:rFonts w:ascii="Arial" w:cs="Arial" w:eastAsia="Arial" w:hAnsi="Arial"/>
          <w:sz w:val="14"/>
          <w:szCs w:val="14"/>
          <w:color w:val="auto"/>
        </w:rPr>
        <w:t>412 adults having, among other things, more than 10 collarettes per lid and at least mild lid erythema. All pre-specified primary and secondary endpoints were met, TP-03 was well tolerated and complete resolution of Demodex blepharitis was demonstrated in patients treated with TP-03 (lotilaner ophthalmic solution, 0.25%).</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Primary Endpoint:</w:t>
      </w:r>
    </w:p>
    <w:p>
      <w:pPr>
        <w:spacing w:after="0" w:line="189" w:lineRule="exact"/>
        <w:rPr>
          <w:sz w:val="20"/>
          <w:szCs w:val="20"/>
          <w:color w:val="auto"/>
        </w:rPr>
      </w:pPr>
    </w:p>
    <w:p>
      <w:pPr>
        <w:ind w:left="1020" w:hanging="379"/>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56% of patients on TP-03 achieved complete collarette cure, defined as 0-2 collarettes per lid at day 43, compared to 13% on vehicle (p&lt;0.0001).</w:t>
      </w:r>
    </w:p>
    <w:p>
      <w:pPr>
        <w:spacing w:after="0" w:line="10" w:lineRule="exact"/>
        <w:rPr>
          <w:rFonts w:ascii="Arial" w:cs="Arial" w:eastAsia="Arial" w:hAnsi="Arial"/>
          <w:sz w:val="14"/>
          <w:szCs w:val="14"/>
          <w:color w:val="auto"/>
        </w:rPr>
      </w:pPr>
    </w:p>
    <w:p>
      <w:pPr>
        <w:ind w:left="1520" w:hanging="369"/>
        <w:spacing w:after="0"/>
        <w:tabs>
          <w:tab w:leader="none" w:pos="1520" w:val="left"/>
        </w:tabs>
        <w:numPr>
          <w:ilvl w:val="1"/>
          <w:numId w:val="8"/>
        </w:numPr>
        <w:rPr>
          <w:rFonts w:ascii="Arial" w:cs="Arial" w:eastAsia="Arial" w:hAnsi="Arial"/>
          <w:sz w:val="13"/>
          <w:szCs w:val="13"/>
          <w:color w:val="auto"/>
        </w:rPr>
      </w:pPr>
      <w:r>
        <w:rPr>
          <w:rFonts w:ascii="Arial" w:cs="Arial" w:eastAsia="Arial" w:hAnsi="Arial"/>
          <w:sz w:val="13"/>
          <w:szCs w:val="13"/>
          <w:color w:val="auto"/>
        </w:rPr>
        <w:t>89% of patients on TP-03 achieved a clinically meaningful collarette cure, defined as 0-10 collarettes per lid at day 43 compared to 33% of those on vehicle (p&lt;0.0001).</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Secondary Endpoints:</w:t>
      </w:r>
    </w:p>
    <w:p>
      <w:pPr>
        <w:spacing w:after="0" w:line="189" w:lineRule="exact"/>
        <w:rPr>
          <w:sz w:val="20"/>
          <w:szCs w:val="20"/>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52% of patients on TP-03 achieved mite eradication defined as zero mites per lash at day 43, compared to 14% on vehicle (p&lt;0.0001).</w:t>
      </w:r>
    </w:p>
    <w:p>
      <w:pPr>
        <w:spacing w:after="0" w:line="10" w:lineRule="exact"/>
        <w:rPr>
          <w:rFonts w:ascii="Arial" w:cs="Arial" w:eastAsia="Arial" w:hAnsi="Arial"/>
          <w:sz w:val="14"/>
          <w:szCs w:val="14"/>
          <w:color w:val="auto"/>
        </w:rPr>
      </w:pPr>
    </w:p>
    <w:p>
      <w:pPr>
        <w:ind w:left="1020" w:hanging="379"/>
        <w:spacing w:after="0" w:line="237" w:lineRule="auto"/>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31% of patients on TP-03 compared to 9% of patients on vehicle (p&lt;0.0001) achieved complete lid erythema cure at day 43.</w:t>
      </w:r>
    </w:p>
    <w:p>
      <w:pPr>
        <w:ind w:left="1020" w:right="440" w:hanging="379"/>
        <w:spacing w:after="0" w:line="247" w:lineRule="auto"/>
        <w:tabs>
          <w:tab w:leader="none" w:pos="1016" w:val="left"/>
        </w:tabs>
        <w:numPr>
          <w:ilvl w:val="0"/>
          <w:numId w:val="9"/>
        </w:numPr>
        <w:rPr>
          <w:rFonts w:ascii="Arial" w:cs="Arial" w:eastAsia="Arial" w:hAnsi="Arial"/>
          <w:sz w:val="14"/>
          <w:szCs w:val="14"/>
          <w:color w:val="auto"/>
        </w:rPr>
      </w:pPr>
      <w:r>
        <w:rPr>
          <w:rFonts w:ascii="Arial" w:cs="Arial" w:eastAsia="Arial" w:hAnsi="Arial"/>
          <w:sz w:val="14"/>
          <w:szCs w:val="14"/>
          <w:color w:val="auto"/>
        </w:rPr>
        <w:t>19% of patients on TP-03 achieved a complete composite cure, based on achieving both complete collarette cure and complete lid erythema cure, compared to 4% on vehicle (p&lt;0.0001) at day 43.</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Safety Profile:</w:t>
      </w:r>
    </w:p>
    <w:p>
      <w:pPr>
        <w:spacing w:after="0" w:line="189" w:lineRule="exact"/>
        <w:rPr>
          <w:sz w:val="20"/>
          <w:szCs w:val="20"/>
          <w:color w:val="auto"/>
        </w:rPr>
      </w:pPr>
    </w:p>
    <w:p>
      <w:pPr>
        <w:ind w:left="1020" w:hanging="379"/>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Consistent with Saturn-1, Saturn-2 demonstrated that TP-03 was well tolerated with a safety profile similar to the vehicle group.</w:t>
      </w:r>
    </w:p>
    <w:p>
      <w:pPr>
        <w:spacing w:after="0" w:line="10" w:lineRule="exact"/>
        <w:rPr>
          <w:rFonts w:ascii="Arial" w:cs="Arial" w:eastAsia="Arial" w:hAnsi="Arial"/>
          <w:sz w:val="14"/>
          <w:szCs w:val="14"/>
          <w:color w:val="auto"/>
        </w:rPr>
      </w:pPr>
    </w:p>
    <w:p>
      <w:pPr>
        <w:ind w:left="1520" w:hanging="369"/>
        <w:spacing w:after="0" w:line="237" w:lineRule="auto"/>
        <w:tabs>
          <w:tab w:leader="none" w:pos="15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91% of TP-03 patients reported that the drop comfort was neutral to very comfortable.</w:t>
      </w:r>
    </w:p>
    <w:p>
      <w:pPr>
        <w:ind w:left="1520" w:hanging="369"/>
        <w:spacing w:after="0"/>
        <w:tabs>
          <w:tab w:leader="none" w:pos="15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There were no serious treatment-related adverse events nor any treatment-related adverse events leading to treatment discontinuation.</w:t>
      </w:r>
    </w:p>
    <w:p>
      <w:pPr>
        <w:spacing w:after="0" w:line="173" w:lineRule="exact"/>
        <w:rPr>
          <w:sz w:val="20"/>
          <w:szCs w:val="20"/>
          <w:color w:val="auto"/>
        </w:rPr>
      </w:pPr>
    </w:p>
    <w:p>
      <w:pPr>
        <w:ind w:right="120" w:firstLine="700"/>
        <w:spacing w:after="0" w:line="271" w:lineRule="auto"/>
        <w:rPr>
          <w:sz w:val="20"/>
          <w:szCs w:val="20"/>
          <w:color w:val="auto"/>
        </w:rPr>
      </w:pPr>
      <w:r>
        <w:rPr>
          <w:rFonts w:ascii="Arial" w:cs="Arial" w:eastAsia="Arial" w:hAnsi="Arial"/>
          <w:sz w:val="14"/>
          <w:szCs w:val="14"/>
          <w:b w:val="1"/>
          <w:bCs w:val="1"/>
          <w:u w:val="single" w:color="auto"/>
          <w:color w:val="auto"/>
        </w:rPr>
        <w:t>TP-03 Meibomian Gland Disease, Phase 2a Trial, Ersa</w:t>
      </w:r>
      <w:r>
        <w:rPr>
          <w:rFonts w:ascii="Arial" w:cs="Arial" w:eastAsia="Arial" w:hAnsi="Arial"/>
          <w:sz w:val="14"/>
          <w:szCs w:val="14"/>
          <w:color w:val="auto"/>
        </w:rPr>
        <w:t>: On August 5, 2022, we announced the enrollment of our first patient in the Phase 2a Ersa clinical trial studying TP-03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treatment of MGD.</w:t>
      </w:r>
    </w:p>
    <w:p>
      <w:pPr>
        <w:spacing w:after="0" w:line="156" w:lineRule="exact"/>
        <w:rPr>
          <w:sz w:val="20"/>
          <w:szCs w:val="20"/>
          <w:color w:val="auto"/>
        </w:rPr>
      </w:pPr>
    </w:p>
    <w:p>
      <w:pPr>
        <w:ind w:right="60" w:firstLine="700"/>
        <w:spacing w:after="0" w:line="264" w:lineRule="auto"/>
        <w:rPr>
          <w:sz w:val="20"/>
          <w:szCs w:val="20"/>
          <w:color w:val="auto"/>
        </w:rPr>
      </w:pPr>
      <w:r>
        <w:rPr>
          <w:rFonts w:ascii="Arial" w:cs="Arial" w:eastAsia="Arial" w:hAnsi="Arial"/>
          <w:sz w:val="14"/>
          <w:szCs w:val="14"/>
          <w:b w:val="1"/>
          <w:bCs w:val="1"/>
          <w:u w:val="single" w:color="auto"/>
          <w:color w:val="auto"/>
        </w:rPr>
        <w:t>TP-05 Lyme disease Phase 1 Trial, Callisto</w:t>
      </w:r>
      <w:r>
        <w:rPr>
          <w:rFonts w:ascii="Arial" w:cs="Arial" w:eastAsia="Arial" w:hAnsi="Arial"/>
          <w:sz w:val="14"/>
          <w:szCs w:val="14"/>
          <w:color w:val="auto"/>
        </w:rPr>
        <w:t>: We advanced our Phase 1 Callisto trial, evaluating TP-05, a novel, oral, non-vaccine therapeutic for the prevention of Lyme disease, with</w:t>
      </w:r>
      <w:r>
        <w:rPr>
          <w:rFonts w:ascii="Arial" w:cs="Arial" w:eastAsia="Arial" w:hAnsi="Arial"/>
          <w:sz w:val="14"/>
          <w:szCs w:val="14"/>
          <w:b w:val="1"/>
          <w:bCs w:val="1"/>
          <w:color w:val="auto"/>
        </w:rPr>
        <w:t xml:space="preserve"> </w:t>
      </w:r>
      <w:r>
        <w:rPr>
          <w:rFonts w:ascii="Arial" w:cs="Arial" w:eastAsia="Arial" w:hAnsi="Arial"/>
          <w:sz w:val="14"/>
          <w:szCs w:val="14"/>
          <w:color w:val="auto"/>
        </w:rPr>
        <w:t>data expected in the second half of 2022. The Callisto trial is a single ascending dose and multiple ascending dose trial to evaluate the safety, tolerability and pharmacokinetics ("PK") of TP-05 in healthy volunteers. There are currently no FDA-approved pharmacological prophylactic options for Lyme disease, which is the most common vector-borne disease in the U.S., transmitted to humans via Borrelia burgdorferi bacterium infection following the bite of a tick.</w:t>
      </w:r>
    </w:p>
    <w:p>
      <w:pPr>
        <w:spacing w:after="0" w:line="166" w:lineRule="exact"/>
        <w:rPr>
          <w:sz w:val="20"/>
          <w:szCs w:val="20"/>
          <w:color w:val="auto"/>
        </w:rPr>
      </w:pPr>
    </w:p>
    <w:p>
      <w:pPr>
        <w:jc w:val="both"/>
        <w:ind w:right="220" w:firstLine="700"/>
        <w:spacing w:after="0" w:line="259" w:lineRule="auto"/>
        <w:rPr>
          <w:sz w:val="20"/>
          <w:szCs w:val="20"/>
          <w:color w:val="auto"/>
        </w:rPr>
      </w:pPr>
      <w:r>
        <w:rPr>
          <w:rFonts w:ascii="Arial" w:cs="Arial" w:eastAsia="Arial" w:hAnsi="Arial"/>
          <w:sz w:val="14"/>
          <w:szCs w:val="14"/>
          <w:color w:val="auto"/>
        </w:rPr>
        <w:t>We believe TP-05 is currently the only non-vaccine, drug-based, preventive therapeutic in development that targets the ticks, and potentially prevents Lyme disease transmission. It is designed to rapidly provide systemic blood levels of lotilaner potentially sufficient to kill infected ticks attached to the human body before they can transmit the Borrelia bacteria that causes Lyme disease.</w:t>
      </w:r>
    </w:p>
    <w:p>
      <w:pPr>
        <w:spacing w:after="0" w:line="143" w:lineRule="exact"/>
        <w:rPr>
          <w:sz w:val="20"/>
          <w:szCs w:val="20"/>
          <w:color w:val="auto"/>
        </w:rPr>
      </w:pPr>
    </w:p>
    <w:p>
      <w:pPr>
        <w:ind w:right="140" w:firstLine="700"/>
        <w:spacing w:after="0" w:line="248" w:lineRule="auto"/>
        <w:rPr>
          <w:sz w:val="20"/>
          <w:szCs w:val="20"/>
          <w:color w:val="auto"/>
        </w:rPr>
      </w:pPr>
      <w:r>
        <w:rPr>
          <w:rFonts w:ascii="Arial" w:cs="Arial" w:eastAsia="Arial" w:hAnsi="Arial"/>
          <w:sz w:val="14"/>
          <w:szCs w:val="14"/>
          <w:b w:val="1"/>
          <w:bCs w:val="1"/>
          <w:u w:val="single" w:color="auto"/>
          <w:color w:val="auto"/>
        </w:rPr>
        <w:t>TP-03 China Territory Out-License</w:t>
      </w:r>
      <w:r>
        <w:rPr>
          <w:rFonts w:ascii="Arial" w:cs="Arial" w:eastAsia="Arial" w:hAnsi="Arial"/>
          <w:sz w:val="14"/>
          <w:szCs w:val="14"/>
          <w:color w:val="auto"/>
        </w:rPr>
        <w:t>: In March 2021, we executed an out-license agreement (the "China Out-License") with LianBio Ophthalmology Limited ("LianBio"), granting</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exclusive commercial rights to TP-03 for the treatment of Demodex blepharitis and MGD within The People’s Republic of China, Macau, Hong Kong, and Taiwan (the "China Territory"). In May 2022, LianBio announced that they are on track to initiate a TP-03 Phase 3 pivotal trial in Chinese patients for the treatment of Demodex blepharitis in the second half of 2022 to support regulatory approval in China.</w:t>
      </w:r>
    </w:p>
    <w:p>
      <w:pPr>
        <w:spacing w:after="0" w:line="177" w:lineRule="exact"/>
        <w:rPr>
          <w:sz w:val="20"/>
          <w:szCs w:val="20"/>
          <w:color w:val="auto"/>
        </w:rPr>
      </w:pPr>
    </w:p>
    <w:p>
      <w:pPr>
        <w:ind w:firstLine="700"/>
        <w:spacing w:after="0" w:line="267" w:lineRule="auto"/>
        <w:rPr>
          <w:sz w:val="20"/>
          <w:szCs w:val="20"/>
          <w:color w:val="auto"/>
        </w:rPr>
      </w:pPr>
      <w:r>
        <w:rPr>
          <w:rFonts w:ascii="Arial" w:cs="Arial" w:eastAsia="Arial" w:hAnsi="Arial"/>
          <w:sz w:val="14"/>
          <w:szCs w:val="14"/>
          <w:color w:val="auto"/>
        </w:rPr>
        <w:t>To date, we have received contractual cash proceeds from LianBio of $70.0 million, representing initial consideration of $25.0 million and $45.0 million for the achievement of three clinical development milestones (including the Saturn-2 topline primary endpoint achievement milestone of $15.0 million received in June 2022). We also received equity warrant rights in LianBio as part of this license, a portion of which remains subject to a regulatory vesting provision.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are further eligible to receive:</w:t>
      </w:r>
    </w:p>
    <w:p>
      <w:pPr>
        <w:spacing w:after="0" w:line="19" w:lineRule="exact"/>
        <w:rPr>
          <w:sz w:val="20"/>
          <w:szCs w:val="20"/>
          <w:color w:val="auto"/>
        </w:rPr>
      </w:pPr>
    </w:p>
    <w:p>
      <w:pPr>
        <w:ind w:left="5580" w:right="5160" w:hanging="4939"/>
        <w:spacing w:after="0" w:line="1003" w:lineRule="auto"/>
        <w:tabs>
          <w:tab w:leader="none" w:pos="1027" w:val="left"/>
        </w:tabs>
        <w:numPr>
          <w:ilvl w:val="0"/>
          <w:numId w:val="11"/>
        </w:numPr>
        <w:rPr>
          <w:rFonts w:ascii="Arial" w:cs="Arial" w:eastAsia="Arial" w:hAnsi="Arial"/>
          <w:sz w:val="13"/>
          <w:szCs w:val="13"/>
          <w:color w:val="auto"/>
        </w:rPr>
      </w:pPr>
      <w:r>
        <w:rPr>
          <w:rFonts w:ascii="Arial" w:cs="Arial" w:eastAsia="Arial" w:hAnsi="Arial"/>
          <w:sz w:val="13"/>
          <w:szCs w:val="13"/>
          <w:color w:val="auto"/>
        </w:rPr>
        <w:t>drug supply agreement execution milestone of $5.0 million (expected by December 2022)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-259715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1020" w:right="340" w:hanging="379"/>
        <w:spacing w:after="0" w:line="260" w:lineRule="auto"/>
        <w:tabs>
          <w:tab w:leader="none" w:pos="10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China-based clinical and regulatory milestones totaling $30.0 million ($10.0 million of which we expect by December 2022 for LianBio's initiation of a Phase 3 pivotal trial in China)</w:t>
      </w:r>
    </w:p>
    <w:p>
      <w:pPr>
        <w:ind w:left="1020" w:hanging="379"/>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sales threshold milestones in the China Territory totaling $100.0 million; and</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tiered mid-to-high teen royalties on the net product sales of TP-03 within the China Territory</w:t>
      </w:r>
    </w:p>
    <w:p>
      <w:pPr>
        <w:spacing w:after="0" w:line="185" w:lineRule="exact"/>
        <w:rPr>
          <w:sz w:val="20"/>
          <w:szCs w:val="20"/>
          <w:color w:val="auto"/>
        </w:rPr>
      </w:pPr>
    </w:p>
    <w:p>
      <w:pPr>
        <w:ind w:right="160" w:firstLine="700"/>
        <w:spacing w:after="0" w:line="249" w:lineRule="auto"/>
        <w:rPr>
          <w:sz w:val="20"/>
          <w:szCs w:val="20"/>
          <w:color w:val="auto"/>
        </w:rPr>
      </w:pPr>
      <w:r>
        <w:rPr>
          <w:rFonts w:ascii="Arial" w:cs="Arial" w:eastAsia="Arial" w:hAnsi="Arial"/>
          <w:sz w:val="14"/>
          <w:szCs w:val="14"/>
          <w:b w:val="1"/>
          <w:bCs w:val="1"/>
          <w:u w:val="single" w:color="auto"/>
          <w:color w:val="auto"/>
        </w:rPr>
        <w:t>Credit Facility with Hercules Capital and Silicon Valley Bank</w:t>
      </w:r>
      <w:r>
        <w:rPr>
          <w:rFonts w:ascii="Arial" w:cs="Arial" w:eastAsia="Arial" w:hAnsi="Arial"/>
          <w:sz w:val="14"/>
          <w:szCs w:val="14"/>
          <w:b w:val="1"/>
          <w:bCs w:val="1"/>
          <w:color w:val="auto"/>
        </w:rPr>
        <w:t xml:space="preserve">: </w:t>
      </w:r>
      <w:r>
        <w:rPr>
          <w:rFonts w:ascii="Arial" w:cs="Arial" w:eastAsia="Arial" w:hAnsi="Arial"/>
          <w:sz w:val="14"/>
          <w:szCs w:val="14"/>
          <w:color w:val="auto"/>
        </w:rPr>
        <w:t>On February 2, 2022, we executed a loan and security agreement with Hercules Capital and Silicon Valley Bank (the</w:t>
      </w:r>
      <w:r>
        <w:rPr>
          <w:rFonts w:ascii="Arial" w:cs="Arial" w:eastAsia="Arial" w:hAnsi="Arial"/>
          <w:sz w:val="14"/>
          <w:szCs w:val="14"/>
          <w:b w:val="1"/>
          <w:bCs w:val="1"/>
          <w:color w:val="auto"/>
        </w:rPr>
        <w:t xml:space="preserve"> </w:t>
      </w:r>
      <w:r>
        <w:rPr>
          <w:rFonts w:ascii="Arial" w:cs="Arial" w:eastAsia="Arial" w:hAnsi="Arial"/>
          <w:sz w:val="14"/>
          <w:szCs w:val="14"/>
          <w:color w:val="auto"/>
        </w:rPr>
        <w:t>"Credit Facility). This $175.0 million Credit Facility has tranched availability as follows:</w:t>
      </w:r>
    </w:p>
    <w:p>
      <w:pPr>
        <w:ind w:left="1020" w:hanging="379"/>
        <w:spacing w:after="0" w:line="237"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$40.0 million at closing ($20 million drawn in February 2022 and $20 million remaining available)</w:t>
      </w:r>
    </w:p>
    <w:p>
      <w:pPr>
        <w:ind w:left="1020" w:hanging="379"/>
        <w:spacing w:after="0" w:line="237"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$25.0 million upon NDA submission of TP-03</w:t>
      </w:r>
    </w:p>
    <w:p>
      <w:pPr>
        <w:ind w:left="1020" w:hanging="379"/>
        <w:spacing w:after="0" w:line="221"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$35.0 million upon FDA approval of TP-03</w:t>
      </w:r>
    </w:p>
    <w:p>
      <w:pPr>
        <w:ind w:left="1020" w:hanging="379"/>
        <w:spacing w:after="0" w:line="237" w:lineRule="auto"/>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$50.0 million upon achievement of certain quarterly revenue thresholds</w:t>
      </w:r>
    </w:p>
    <w:p>
      <w:pPr>
        <w:ind w:left="1020" w:hanging="379"/>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$25.0 million available with lender approval</w:t>
      </w:r>
    </w:p>
    <w:p>
      <w:pPr>
        <w:spacing w:after="0" w:line="188" w:lineRule="exact"/>
        <w:rPr>
          <w:sz w:val="20"/>
          <w:szCs w:val="20"/>
          <w:color w:val="auto"/>
        </w:rPr>
      </w:pPr>
    </w:p>
    <w:p>
      <w:pPr>
        <w:ind w:right="480" w:firstLine="509"/>
        <w:spacing w:after="0" w:line="281" w:lineRule="auto"/>
        <w:rPr>
          <w:sz w:val="20"/>
          <w:szCs w:val="20"/>
          <w:color w:val="auto"/>
        </w:rPr>
      </w:pPr>
      <w:r>
        <w:rPr>
          <w:rFonts w:ascii="Arial" w:cs="Arial" w:eastAsia="Arial" w:hAnsi="Arial"/>
          <w:sz w:val="14"/>
          <w:szCs w:val="14"/>
          <w:color w:val="auto"/>
        </w:rPr>
        <w:t>Capital draws are at our election and are in $5.0 million increments. This Credit Facility includes a four-year interest only period and is extendable to five years upon meeting certain conditions that we expect to achieve.</w:t>
      </w:r>
    </w:p>
    <w:p>
      <w:pPr>
        <w:spacing w:after="0" w:line="128" w:lineRule="exact"/>
        <w:rPr>
          <w:sz w:val="20"/>
          <w:szCs w:val="20"/>
          <w:color w:val="auto"/>
        </w:rPr>
      </w:pPr>
    </w:p>
    <w:p>
      <w:pPr>
        <w:ind w:right="80" w:firstLine="700"/>
        <w:spacing w:after="0" w:line="254" w:lineRule="auto"/>
        <w:rPr>
          <w:sz w:val="20"/>
          <w:szCs w:val="20"/>
          <w:color w:val="auto"/>
        </w:rPr>
      </w:pPr>
      <w:r>
        <w:rPr>
          <w:rFonts w:ascii="Arial" w:cs="Arial" w:eastAsia="Arial" w:hAnsi="Arial"/>
          <w:sz w:val="14"/>
          <w:szCs w:val="14"/>
          <w:b w:val="1"/>
          <w:bCs w:val="1"/>
          <w:u w:val="single" w:color="auto"/>
          <w:color w:val="auto"/>
        </w:rPr>
        <w:t>Follow-On Public Offering</w:t>
      </w:r>
      <w:r>
        <w:rPr>
          <w:rFonts w:ascii="Arial" w:cs="Arial" w:eastAsia="Arial" w:hAnsi="Arial"/>
          <w:sz w:val="14"/>
          <w:szCs w:val="14"/>
          <w:b w:val="1"/>
          <w:bCs w:val="1"/>
          <w:color w:val="auto"/>
        </w:rPr>
        <w:t xml:space="preserve">: </w:t>
      </w:r>
      <w:r>
        <w:rPr>
          <w:rFonts w:ascii="Arial" w:cs="Arial" w:eastAsia="Arial" w:hAnsi="Arial"/>
          <w:sz w:val="14"/>
          <w:szCs w:val="14"/>
          <w:color w:val="auto"/>
        </w:rPr>
        <w:t>On May 5, 2022, we completed a follow-on public offering under our effective Form S-3 shelf registration statement through an initial underwritten sale of</w:t>
      </w:r>
      <w:r>
        <w:rPr>
          <w:rFonts w:ascii="Arial" w:cs="Arial" w:eastAsia="Arial" w:hAnsi="Arial"/>
          <w:sz w:val="14"/>
          <w:szCs w:val="14"/>
          <w:b w:val="1"/>
          <w:bCs w:val="1"/>
          <w:color w:val="auto"/>
        </w:rPr>
        <w:t xml:space="preserve"> </w:t>
      </w:r>
      <w:r>
        <w:rPr>
          <w:rFonts w:ascii="Arial" w:cs="Arial" w:eastAsia="Arial" w:hAnsi="Arial"/>
          <w:sz w:val="14"/>
          <w:szCs w:val="14"/>
          <w:color w:val="auto"/>
        </w:rPr>
        <w:t>5.6 million shares of common stock at a price of $13.50 per share (the “Follow-On Public Offering”). This resulted in gross proceeds of $75.6 million before underwriting discounts, commissions, and other estimated offering expenses, for net proceeds of $70.6 million.</w:t>
      </w:r>
    </w:p>
    <w:p>
      <w:pPr>
        <w:spacing w:after="0" w:line="161" w:lineRule="exact"/>
        <w:rPr>
          <w:sz w:val="20"/>
          <w:szCs w:val="20"/>
          <w:color w:val="auto"/>
        </w:rPr>
      </w:pPr>
    </w:p>
    <w:p>
      <w:pPr>
        <w:ind w:right="180" w:firstLine="700"/>
        <w:spacing w:after="0" w:line="251" w:lineRule="auto"/>
        <w:rPr>
          <w:sz w:val="20"/>
          <w:szCs w:val="20"/>
          <w:color w:val="auto"/>
        </w:rPr>
      </w:pPr>
      <w:r>
        <w:rPr>
          <w:rFonts w:ascii="Arial" w:cs="Arial" w:eastAsia="Arial" w:hAnsi="Arial"/>
          <w:sz w:val="14"/>
          <w:szCs w:val="14"/>
          <w:color w:val="auto"/>
        </w:rPr>
        <w:t>We also granted the underwriters a 30-day option to purchase up to 840,000 additional shares of common stock at the public offering price, less discounts and commissions. On June 1, 2022, the underwriters partially exercised this option by purchasing an additional 289,832 shares of common stock at $13.50 per share, for additional gross proceeds of $3.9 million before underwriting discounts and commissions, for net proceeds of $3.7 million.</w:t>
      </w:r>
    </w:p>
    <w:p>
      <w:pPr>
        <w:spacing w:after="0" w:line="153" w:lineRule="exact"/>
        <w:rPr>
          <w:sz w:val="20"/>
          <w:szCs w:val="20"/>
          <w:color w:val="auto"/>
        </w:rPr>
      </w:pPr>
    </w:p>
    <w:p>
      <w:pPr>
        <w:ind w:right="20" w:firstLine="700"/>
        <w:spacing w:after="0" w:line="349" w:lineRule="auto"/>
        <w:rPr>
          <w:sz w:val="20"/>
          <w:szCs w:val="20"/>
          <w:color w:val="auto"/>
        </w:rPr>
      </w:pPr>
      <w:r>
        <w:rPr>
          <w:rFonts w:ascii="Arial" w:cs="Arial" w:eastAsia="Arial" w:hAnsi="Arial"/>
          <w:sz w:val="12"/>
          <w:szCs w:val="12"/>
          <w:color w:val="auto"/>
        </w:rPr>
        <w:t>After giving effect to the exercise of the underwriters’ option, the total number of shares of our common stock sold in the Follow-On Public Offering was 5,889,832 shares which resulted in total gross proceeds of $79.5 million before underwriting discounts, commissions and other estimated offering expenses for total net proceeds in the second quarter of 2022 of $74.3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Financial Overview</w:t>
      </w:r>
    </w:p>
    <w:p>
      <w:pPr>
        <w:spacing w:after="0" w:line="183" w:lineRule="exact"/>
        <w:rPr>
          <w:sz w:val="20"/>
          <w:szCs w:val="20"/>
          <w:color w:val="auto"/>
        </w:rPr>
      </w:pPr>
    </w:p>
    <w:p>
      <w:pPr>
        <w:ind w:right="100" w:firstLine="700"/>
        <w:spacing w:after="0" w:line="267" w:lineRule="auto"/>
        <w:rPr>
          <w:sz w:val="20"/>
          <w:szCs w:val="20"/>
          <w:color w:val="auto"/>
        </w:rPr>
      </w:pPr>
      <w:r>
        <w:rPr>
          <w:rFonts w:ascii="Arial" w:cs="Arial" w:eastAsia="Arial" w:hAnsi="Arial"/>
          <w:sz w:val="14"/>
          <w:szCs w:val="14"/>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42" w:lineRule="exact"/>
        <w:rPr>
          <w:sz w:val="20"/>
          <w:szCs w:val="20"/>
          <w:color w:val="auto"/>
        </w:rPr>
      </w:pPr>
    </w:p>
    <w:p>
      <w:pPr>
        <w:ind w:right="240" w:firstLine="700"/>
        <w:spacing w:after="0" w:line="281" w:lineRule="auto"/>
        <w:rPr>
          <w:sz w:val="20"/>
          <w:szCs w:val="20"/>
          <w:color w:val="auto"/>
        </w:rPr>
      </w:pPr>
      <w:r>
        <w:rPr>
          <w:rFonts w:ascii="Arial" w:cs="Arial" w:eastAsia="Arial" w:hAnsi="Arial"/>
          <w:sz w:val="14"/>
          <w:szCs w:val="14"/>
          <w:color w:val="auto"/>
        </w:rPr>
        <w:t>To date we have financed our operations through private placements of preferred stock, convertible promissory notes, the net proceeds from issuance of common stock in our IPO and Follow-on Public Offering, cash proceeds from our out-licensing arrangements, and draw downs on our Credit Facility.</w:t>
      </w:r>
    </w:p>
    <w:p>
      <w:pPr>
        <w:spacing w:after="0" w:line="132" w:lineRule="exact"/>
        <w:rPr>
          <w:sz w:val="20"/>
          <w:szCs w:val="20"/>
          <w:color w:val="auto"/>
        </w:rPr>
      </w:pPr>
    </w:p>
    <w:p>
      <w:pPr>
        <w:jc w:val="both"/>
        <w:ind w:firstLine="700"/>
        <w:spacing w:after="0" w:line="260" w:lineRule="auto"/>
        <w:rPr>
          <w:sz w:val="20"/>
          <w:szCs w:val="20"/>
          <w:color w:val="auto"/>
        </w:rPr>
      </w:pPr>
      <w:r>
        <w:rPr>
          <w:rFonts w:ascii="Arial" w:cs="Arial" w:eastAsia="Arial" w:hAnsi="Arial"/>
          <w:sz w:val="14"/>
          <w:szCs w:val="14"/>
          <w:color w:val="auto"/>
        </w:rPr>
        <w:t>We have incurred significant net operating losses in every year since our inception and expect to continue to incur significant operating expenses and, other than the effect of license fee revenue from the China Out-License Agreement, increasing operating losses for the foreseeable future. Our net (loss) income was $(5.7) million and $6.3 million for the three months ended June 30, 2022 and 2021, respectively. Our net losses and any net income we may generate may fluctuate significantly from quarter to quarter and year to year and could be substantial. As of June 30, 2022 and December 31, 2021, we had an accumulated deficit of $72.7 million and $46.7 million, respectively, from our research and development and general and administrative activities since our inception. We anticipate that our operating expenses will increase significantly as we:</w:t>
      </w:r>
    </w:p>
    <w:p>
      <w:pPr>
        <w:spacing w:after="0" w:line="146" w:lineRule="exact"/>
        <w:rPr>
          <w:sz w:val="20"/>
          <w:szCs w:val="20"/>
          <w:color w:val="auto"/>
        </w:rPr>
      </w:pPr>
    </w:p>
    <w:p>
      <w:pPr>
        <w:ind w:left="800" w:hanging="254"/>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conduct and complete clinical activities for our lead product candidate, TP-03, for the treatment of Demodex blepharitis;</w:t>
      </w:r>
    </w:p>
    <w:p>
      <w:pPr>
        <w:spacing w:after="0" w:line="178" w:lineRule="exact"/>
        <w:rPr>
          <w:rFonts w:ascii="Arial" w:cs="Arial" w:eastAsia="Arial" w:hAnsi="Arial"/>
          <w:sz w:val="14"/>
          <w:szCs w:val="14"/>
          <w:color w:val="auto"/>
        </w:rPr>
      </w:pPr>
    </w:p>
    <w:p>
      <w:pPr>
        <w:ind w:left="800" w:right="120" w:hanging="254"/>
        <w:spacing w:after="0" w:line="281" w:lineRule="auto"/>
        <w:tabs>
          <w:tab w:leader="none" w:pos="7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advance the clinical development of TP-03 for the potential treatment of MGD, TP-04 for the potential treatment of rosacea and TP-05 for potential Lyme prophylaxis and community malaria reduction;</w:t>
      </w:r>
    </w:p>
    <w:p>
      <w:pPr>
        <w:spacing w:after="0" w:line="132" w:lineRule="exact"/>
        <w:rPr>
          <w:rFonts w:ascii="Arial" w:cs="Arial" w:eastAsia="Arial" w:hAnsi="Arial"/>
          <w:sz w:val="14"/>
          <w:szCs w:val="14"/>
          <w:color w:val="auto"/>
        </w:rPr>
      </w:pPr>
    </w:p>
    <w:p>
      <w:pPr>
        <w:ind w:left="800" w:hanging="254"/>
        <w:spacing w:after="0"/>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regulatory and marketing approvals for product candidates that successfully complete clinical development, if any;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0" w:hanging="254"/>
        <w:spacing w:after="0"/>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 our own sales force in the U.S. to commercialize our products for which we obtain regulatory approval;</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engage with contract manufacturers to ensure a sufficient supply chain capacity to provide commercial quantities of any products for which we may obtain marketing approval;</w:t>
      </w:r>
    </w:p>
    <w:p>
      <w:pPr>
        <w:spacing w:after="0" w:line="190" w:lineRule="exact"/>
        <w:rPr>
          <w:rFonts w:ascii="Arial" w:cs="Arial" w:eastAsia="Arial" w:hAnsi="Arial"/>
          <w:sz w:val="13"/>
          <w:szCs w:val="13"/>
          <w:color w:val="auto"/>
        </w:rPr>
      </w:pPr>
    </w:p>
    <w:p>
      <w:pPr>
        <w:ind w:left="800" w:hanging="254"/>
        <w:spacing w:after="0"/>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hire additional staff, including clinical, scientific, technical, regulatory, marketing, operations, financial, and other support personnel, to execute our business plan; and</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add information systems and personnel to support our product development and potential future commercialization efforts, and to enable us to operate as a public company.</w:t>
      </w:r>
    </w:p>
    <w:p>
      <w:pPr>
        <w:spacing w:after="0" w:line="190" w:lineRule="exact"/>
        <w:rPr>
          <w:sz w:val="20"/>
          <w:szCs w:val="20"/>
          <w:color w:val="auto"/>
        </w:rPr>
      </w:pPr>
    </w:p>
    <w:p>
      <w:pPr>
        <w:ind w:firstLine="700"/>
        <w:spacing w:after="0" w:line="309" w:lineRule="auto"/>
        <w:rPr>
          <w:sz w:val="20"/>
          <w:szCs w:val="20"/>
          <w:color w:val="auto"/>
        </w:rPr>
      </w:pPr>
      <w:r>
        <w:rPr>
          <w:rFonts w:ascii="Arial" w:cs="Arial" w:eastAsia="Arial" w:hAnsi="Arial"/>
          <w:sz w:val="12"/>
          <w:szCs w:val="12"/>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22" w:lineRule="exact"/>
        <w:rPr>
          <w:sz w:val="20"/>
          <w:szCs w:val="20"/>
          <w:color w:val="auto"/>
        </w:rPr>
      </w:pPr>
    </w:p>
    <w:p>
      <w:pPr>
        <w:jc w:val="both"/>
        <w:ind w:firstLine="700"/>
        <w:spacing w:after="0" w:line="267" w:lineRule="auto"/>
        <w:rPr>
          <w:sz w:val="20"/>
          <w:szCs w:val="20"/>
          <w:color w:val="auto"/>
        </w:rPr>
      </w:pPr>
      <w:r>
        <w:rPr>
          <w:rFonts w:ascii="Arial" w:cs="Arial" w:eastAsia="Arial" w:hAnsi="Arial"/>
          <w:sz w:val="14"/>
          <w:szCs w:val="14"/>
          <w:color w:val="auto"/>
        </w:rPr>
        <w:t>Because of the numerous risks and uncertainties associated with drug product development, we are unable to accurately forecast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42" w:lineRule="exact"/>
        <w:rPr>
          <w:sz w:val="20"/>
          <w:szCs w:val="20"/>
          <w:color w:val="auto"/>
        </w:rPr>
      </w:pPr>
    </w:p>
    <w:p>
      <w:pPr>
        <w:ind w:right="60" w:firstLine="700"/>
        <w:spacing w:after="0" w:line="281" w:lineRule="auto"/>
        <w:rPr>
          <w:sz w:val="20"/>
          <w:szCs w:val="20"/>
          <w:color w:val="auto"/>
        </w:rPr>
      </w:pPr>
      <w:r>
        <w:rPr>
          <w:rFonts w:ascii="Arial" w:cs="Arial" w:eastAsia="Arial" w:hAnsi="Arial"/>
          <w:sz w:val="14"/>
          <w:szCs w:val="14"/>
          <w:color w:val="auto"/>
        </w:rPr>
        <w:t xml:space="preserve">Though we do not have revenue from product sales, we have recognized "license fees" and "collaboration revenue" from our China Out-License for the three and six months ended June 30, 2022 and 2021. We expect to recognize additional revenue under these captions in future periods (see </w:t>
      </w:r>
      <w:r>
        <w:rPr>
          <w:rFonts w:ascii="Arial" w:cs="Arial" w:eastAsia="Arial" w:hAnsi="Arial"/>
          <w:sz w:val="14"/>
          <w:szCs w:val="14"/>
          <w:i w:val="1"/>
          <w:iCs w:val="1"/>
          <w:color w:val="auto"/>
        </w:rPr>
        <w:t>Note 9</w:t>
      </w:r>
      <w:r>
        <w:rPr>
          <w:rFonts w:ascii="Arial" w:cs="Arial" w:eastAsia="Arial" w:hAnsi="Arial"/>
          <w:sz w:val="14"/>
          <w:szCs w:val="14"/>
          <w:color w:val="auto"/>
        </w:rPr>
        <w:t>).</w:t>
      </w:r>
    </w:p>
    <w:p>
      <w:pPr>
        <w:spacing w:after="0" w:line="132" w:lineRule="exact"/>
        <w:rPr>
          <w:sz w:val="20"/>
          <w:szCs w:val="20"/>
          <w:color w:val="auto"/>
        </w:rPr>
      </w:pPr>
    </w:p>
    <w:p>
      <w:pPr>
        <w:ind w:right="340" w:firstLine="700"/>
        <w:spacing w:after="0" w:line="281" w:lineRule="auto"/>
        <w:rPr>
          <w:sz w:val="20"/>
          <w:szCs w:val="20"/>
          <w:color w:val="auto"/>
        </w:rPr>
      </w:pPr>
      <w:r>
        <w:rPr>
          <w:rFonts w:ascii="Arial" w:cs="Arial" w:eastAsia="Arial" w:hAnsi="Arial"/>
          <w:sz w:val="14"/>
          <w:szCs w:val="14"/>
          <w:color w:val="auto"/>
        </w:rPr>
        <w:t>As of June 30, 2022, our aggregate cash and cash equivalents was $245.4 million – see the section below titled “Management's Discussion and Analysis of Financial Condition and Results of Operations — Liquidity and Capital Resources” for additional liquidity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the COVID-19 Pandemic on our Operations</w:t>
      </w:r>
    </w:p>
    <w:p>
      <w:pPr>
        <w:spacing w:after="0" w:line="183" w:lineRule="exact"/>
        <w:rPr>
          <w:sz w:val="20"/>
          <w:szCs w:val="20"/>
          <w:color w:val="auto"/>
        </w:rPr>
      </w:pPr>
    </w:p>
    <w:p>
      <w:pPr>
        <w:ind w:right="220" w:firstLine="700"/>
        <w:spacing w:after="0" w:line="281" w:lineRule="auto"/>
        <w:rPr>
          <w:sz w:val="20"/>
          <w:szCs w:val="20"/>
          <w:color w:val="auto"/>
        </w:rPr>
      </w:pPr>
      <w:r>
        <w:rPr>
          <w:rFonts w:ascii="Arial" w:cs="Arial" w:eastAsia="Arial" w:hAnsi="Arial"/>
          <w:sz w:val="14"/>
          <w:szCs w:val="14"/>
          <w:color w:val="auto"/>
        </w:rPr>
        <w:t>Efforts to contain the spread of COVID-19 in the U.S.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32" w:lineRule="exact"/>
        <w:rPr>
          <w:sz w:val="20"/>
          <w:szCs w:val="20"/>
          <w:color w:val="auto"/>
        </w:rPr>
      </w:pPr>
    </w:p>
    <w:p>
      <w:pPr>
        <w:ind w:right="20" w:firstLine="700"/>
        <w:spacing w:after="0" w:line="267" w:lineRule="auto"/>
        <w:rPr>
          <w:sz w:val="20"/>
          <w:szCs w:val="20"/>
          <w:color w:val="auto"/>
        </w:rPr>
      </w:pPr>
      <w:r>
        <w:rPr>
          <w:rFonts w:ascii="Arial" w:cs="Arial" w:eastAsia="Arial" w:hAnsi="Arial"/>
          <w:sz w:val="14"/>
          <w:szCs w:val="14"/>
          <w:color w:val="auto"/>
        </w:rPr>
        <w:t>We have been monitoring the COVID-19 pandemic as it continues to progress and its potential impact on our business. We have taken important steps to ensure the workplace safety of our employees when working within our laboratory and administrative offices, or when traveling. We have also implemented a vaccination policy and we may take further actions as may be required by federal, state or local authorities.</w:t>
      </w:r>
    </w:p>
    <w:p>
      <w:pPr>
        <w:spacing w:after="0" w:line="163" w:lineRule="exact"/>
        <w:rPr>
          <w:sz w:val="20"/>
          <w:szCs w:val="20"/>
          <w:color w:val="auto"/>
        </w:rPr>
      </w:pPr>
    </w:p>
    <w:p>
      <w:pPr>
        <w:ind w:right="80" w:firstLine="700"/>
        <w:spacing w:after="0" w:line="288" w:lineRule="auto"/>
        <w:rPr>
          <w:sz w:val="20"/>
          <w:szCs w:val="20"/>
          <w:color w:val="auto"/>
        </w:rPr>
      </w:pPr>
      <w:r>
        <w:rPr>
          <w:rFonts w:ascii="Arial" w:cs="Arial" w:eastAsia="Arial" w:hAnsi="Arial"/>
          <w:sz w:val="13"/>
          <w:szCs w:val="13"/>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The ultimate effect from this pandemic on our development timelines for TP-03 and our other product candidates is inherently uncertain.</w:t>
      </w:r>
    </w:p>
    <w:p>
      <w:pPr>
        <w:spacing w:after="0" w:line="120" w:lineRule="exact"/>
        <w:rPr>
          <w:sz w:val="20"/>
          <w:szCs w:val="20"/>
          <w:color w:val="auto"/>
        </w:rPr>
      </w:pPr>
    </w:p>
    <w:p>
      <w:pPr>
        <w:ind w:right="100" w:firstLine="700"/>
        <w:spacing w:after="0" w:line="281" w:lineRule="auto"/>
        <w:rPr>
          <w:sz w:val="20"/>
          <w:szCs w:val="20"/>
          <w:color w:val="auto"/>
        </w:rPr>
      </w:pPr>
      <w:r>
        <w:rPr>
          <w:rFonts w:ascii="Arial" w:cs="Arial" w:eastAsia="Arial" w:hAnsi="Arial"/>
          <w:sz w:val="14"/>
          <w:szCs w:val="14"/>
          <w:color w:val="auto"/>
        </w:rPr>
        <w:t xml:space="preserve">See the section titled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in our Annual Report on Form 10-K for the year ended December 31, 2021, filed with the SEC on March 14, 2022 and in this Quarterly Report, for a further discussion of the potential adverse impact of COVID-19 on our business, results of operations and financial condition.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June 30, 2022 and 2021</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summarizes our results of operations for the periods indicated: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6760" w:type="dxa"/>
            <w:vAlign w:val="bottom"/>
          </w:tcPr>
          <w:p>
            <w:pPr>
              <w:spacing w:after="0"/>
              <w:rPr>
                <w:sz w:val="13"/>
                <w:szCs w:val="13"/>
                <w:color w:val="auto"/>
              </w:rPr>
            </w:pPr>
          </w:p>
        </w:tc>
        <w:tc>
          <w:tcPr>
            <w:tcW w:w="3060" w:type="dxa"/>
            <w:vAlign w:val="bottom"/>
            <w:gridSpan w:val="6"/>
          </w:tcPr>
          <w:p>
            <w:pPr>
              <w:ind w:left="760"/>
              <w:spacing w:after="0"/>
              <w:rPr>
                <w:sz w:val="20"/>
                <w:szCs w:val="20"/>
                <w:color w:val="auto"/>
              </w:rPr>
            </w:pPr>
            <w:r>
              <w:rPr>
                <w:rFonts w:ascii="Arial" w:cs="Arial" w:eastAsia="Arial" w:hAnsi="Arial"/>
                <w:sz w:val="11"/>
                <w:szCs w:val="11"/>
                <w:b w:val="1"/>
                <w:bCs w:val="1"/>
                <w:color w:val="auto"/>
              </w:rPr>
              <w:t>Three Months Ended June 30,</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67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Change</w:t>
            </w:r>
          </w:p>
        </w:tc>
      </w:tr>
      <w:tr>
        <w:trPr>
          <w:trHeight w:val="150"/>
        </w:trPr>
        <w:tc>
          <w:tcPr>
            <w:tcW w:w="6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760" w:type="dxa"/>
            <w:vAlign w:val="bottom"/>
          </w:tcPr>
          <w:p>
            <w:pPr>
              <w:spacing w:after="0"/>
              <w:rPr>
                <w:sz w:val="20"/>
                <w:szCs w:val="20"/>
                <w:color w:val="auto"/>
              </w:rPr>
            </w:pPr>
            <w:r>
              <w:rPr>
                <w:rFonts w:ascii="Arial" w:cs="Arial" w:eastAsia="Arial" w:hAnsi="Arial"/>
                <w:sz w:val="13"/>
                <w:szCs w:val="13"/>
                <w:color w:val="auto"/>
              </w:rPr>
              <w:t>License fees</w:t>
            </w:r>
          </w:p>
        </w:tc>
        <w:tc>
          <w:tcPr>
            <w:tcW w:w="940" w:type="dxa"/>
            <w:vAlign w:val="bottom"/>
          </w:tcPr>
          <w:p>
            <w:pPr>
              <w:jc w:val="right"/>
              <w:ind w:right="80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13,893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19,048</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(5,155)</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Collaboration revenue</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w:t>
            </w:r>
          </w:p>
        </w:tc>
      </w:tr>
      <w:tr>
        <w:trPr>
          <w:trHeight w:val="158"/>
        </w:trPr>
        <w:tc>
          <w:tcPr>
            <w:tcW w:w="676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Total revenues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15,277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22,017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(6,740)</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expenses: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Cost of license fees and collaboration revenue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(215)</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General and administrative</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3,582</w:t>
            </w:r>
          </w:p>
        </w:tc>
      </w:tr>
      <w:tr>
        <w:trPr>
          <w:trHeight w:val="163"/>
        </w:trPr>
        <w:tc>
          <w:tcPr>
            <w:tcW w:w="676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5,766</w:t>
            </w:r>
          </w:p>
        </w:tc>
      </w:tr>
      <w:tr>
        <w:trPr>
          <w:trHeight w:val="158"/>
        </w:trPr>
        <w:tc>
          <w:tcPr>
            <w:tcW w:w="676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color w:val="auto"/>
              </w:rPr>
              <w:t>(Loss) income from operations before other (expense) income and income taxes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(12,506)</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(expense) income:</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Interest (expense) income,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income (expense), net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Unrealized loss on equity investments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 in fair value of equity warrants issued by licensee</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r>
      <w:tr>
        <w:trPr>
          <w:trHeight w:val="158"/>
        </w:trPr>
        <w:tc>
          <w:tcPr>
            <w:tcW w:w="676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Total other expense, net</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w:t>
            </w:r>
          </w:p>
        </w:tc>
      </w:tr>
      <w:tr>
        <w:trPr>
          <w:trHeight w:val="163"/>
        </w:trPr>
        <w:tc>
          <w:tcPr>
            <w:tcW w:w="6760" w:type="dxa"/>
            <w:vAlign w:val="bottom"/>
            <w:shd w:val="clear" w:color="auto" w:fill="CCEEFF"/>
          </w:tcPr>
          <w:p>
            <w:pPr>
              <w:ind w:left="260"/>
              <w:spacing w:after="0" w:line="148" w:lineRule="exact"/>
              <w:rPr>
                <w:sz w:val="20"/>
                <w:szCs w:val="20"/>
                <w:color w:val="auto"/>
              </w:rPr>
            </w:pPr>
            <w:r>
              <w:rPr>
                <w:rFonts w:ascii="Arial" w:cs="Arial" w:eastAsia="Arial" w:hAnsi="Arial"/>
                <w:sz w:val="13"/>
                <w:szCs w:val="13"/>
                <w:color w:val="auto"/>
              </w:rPr>
              <w:t>Provision for income taxes</w:t>
            </w:r>
          </w:p>
        </w:tc>
        <w:tc>
          <w:tcPr>
            <w:tcW w:w="9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8"/>
        </w:trPr>
        <w:tc>
          <w:tcPr>
            <w:tcW w:w="6760" w:type="dxa"/>
            <w:vAlign w:val="bottom"/>
          </w:tcPr>
          <w:p>
            <w:pPr>
              <w:spacing w:after="0" w:line="146" w:lineRule="exact"/>
              <w:rPr>
                <w:sz w:val="20"/>
                <w:szCs w:val="20"/>
                <w:color w:val="auto"/>
              </w:rPr>
            </w:pPr>
            <w:r>
              <w:rPr>
                <w:rFonts w:ascii="Arial" w:cs="Arial" w:eastAsia="Arial" w:hAnsi="Arial"/>
                <w:sz w:val="13"/>
                <w:szCs w:val="13"/>
                <w:color w:val="auto"/>
              </w:rPr>
              <w:t>Net (loss) income and comprehensive (loss) income</w:t>
            </w:r>
          </w:p>
        </w:tc>
        <w:tc>
          <w:tcPr>
            <w:tcW w:w="94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6,345</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(12,088)</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Fees and Collaboration Revenue</w:t>
      </w:r>
    </w:p>
    <w:p>
      <w:pPr>
        <w:spacing w:after="0" w:line="179" w:lineRule="exact"/>
        <w:rPr>
          <w:sz w:val="20"/>
          <w:szCs w:val="20"/>
          <w:color w:val="auto"/>
        </w:rPr>
      </w:pPr>
    </w:p>
    <w:p>
      <w:pPr>
        <w:ind w:right="40" w:firstLine="700"/>
        <w:spacing w:after="0" w:line="267" w:lineRule="auto"/>
        <w:rPr>
          <w:sz w:val="20"/>
          <w:szCs w:val="20"/>
          <w:color w:val="auto"/>
        </w:rPr>
      </w:pPr>
      <w:r>
        <w:rPr>
          <w:rFonts w:ascii="Arial" w:cs="Arial" w:eastAsia="Arial" w:hAnsi="Arial"/>
          <w:sz w:val="14"/>
          <w:szCs w:val="14"/>
          <w:color w:val="auto"/>
        </w:rPr>
        <w:t xml:space="preserve">License fees and collaboration revenue was $15.3 million for the three months ended June 30, 2022. This amount was attributable to the contractual milestones under the China Out-License (see </w:t>
      </w:r>
      <w:r>
        <w:rPr>
          <w:rFonts w:ascii="Arial" w:cs="Arial" w:eastAsia="Arial" w:hAnsi="Arial"/>
          <w:sz w:val="14"/>
          <w:szCs w:val="14"/>
          <w:i w:val="1"/>
          <w:iCs w:val="1"/>
          <w:color w:val="auto"/>
        </w:rPr>
        <w:t>Note 9</w:t>
      </w:r>
      <w:r>
        <w:rPr>
          <w:rFonts w:ascii="Arial" w:cs="Arial" w:eastAsia="Arial" w:hAnsi="Arial"/>
          <w:sz w:val="14"/>
          <w:szCs w:val="14"/>
          <w:color w:val="auto"/>
        </w:rPr>
        <w:t>) to the extent completed by June 30, 2022. These amounts represent the satisfaction of the transfer of TP-03 license rights to LianBio and the partial completion of clinical-related "performance obligations".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We will recognize additional "license fee and collaboration revenue" to the extent the contractual performance obligations are further satisfied or other events occur, specifically related to</w:t>
      </w:r>
    </w:p>
    <w:p>
      <w:pPr>
        <w:spacing w:after="0" w:line="42" w:lineRule="exact"/>
        <w:rPr>
          <w:sz w:val="20"/>
          <w:szCs w:val="20"/>
          <w:color w:val="auto"/>
        </w:rPr>
      </w:pPr>
    </w:p>
    <w:p>
      <w:pPr>
        <w:ind w:right="480" w:firstLine="5"/>
        <w:spacing w:after="0" w:line="305" w:lineRule="auto"/>
        <w:tabs>
          <w:tab w:leader="none" w:pos="16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achievement of a drug supply agreement execution milestone, (ii) milestone payments upon TP-03 pivotal trial completion and the delivery of associated clinical data and reports to our licensee, (iii) achievement of regulatory events in the China Territory that trigger milestone payments, and (iv) our licensee's product sales of TP-03 in the China Territory.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License Fees and Collaboration Revenue</w:t>
      </w:r>
    </w:p>
    <w:p>
      <w:pPr>
        <w:spacing w:after="0" w:line="168" w:lineRule="exact"/>
        <w:rPr>
          <w:sz w:val="20"/>
          <w:szCs w:val="20"/>
          <w:color w:val="auto"/>
        </w:rPr>
      </w:pPr>
    </w:p>
    <w:p>
      <w:pPr>
        <w:ind w:right="340" w:firstLine="700"/>
        <w:spacing w:after="0" w:line="265" w:lineRule="auto"/>
        <w:rPr>
          <w:sz w:val="20"/>
          <w:szCs w:val="20"/>
          <w:color w:val="auto"/>
        </w:rPr>
      </w:pPr>
      <w:r>
        <w:rPr>
          <w:rFonts w:ascii="Arial" w:cs="Arial" w:eastAsia="Arial" w:hAnsi="Arial"/>
          <w:sz w:val="14"/>
          <w:szCs w:val="14"/>
          <w:color w:val="auto"/>
        </w:rPr>
        <w:t>Cost of license fees and collaboration revenue decreased by $0.2 million for the three months ended June 30, 2022, as compared to the prior year period. These amounts relate to our contractual payment obligations to our licensor that are attached to our China Out-License proceeds.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9" w:lineRule="exact"/>
        <w:rPr>
          <w:sz w:val="20"/>
          <w:szCs w:val="20"/>
          <w:color w:val="auto"/>
        </w:rPr>
      </w:pPr>
    </w:p>
    <w:p>
      <w:pPr>
        <w:ind w:right="100" w:firstLine="700"/>
        <w:spacing w:after="0" w:line="297" w:lineRule="auto"/>
        <w:rPr>
          <w:sz w:val="20"/>
          <w:szCs w:val="20"/>
          <w:color w:val="auto"/>
        </w:rPr>
      </w:pPr>
      <w:r>
        <w:rPr>
          <w:rFonts w:ascii="Arial" w:cs="Arial" w:eastAsia="Arial" w:hAnsi="Arial"/>
          <w:sz w:val="13"/>
          <w:szCs w:val="13"/>
          <w:color w:val="auto"/>
        </w:rPr>
        <w:t>Research and development expenses increased by $2.4 million for the three months ended June 30, 2022, as compared to the prior year period. The increase was primarily due to (i) $1.5 million of increased payroll and personnel-related costs (which includes stock-based compensation) for 11 employee additions period over period to drive our product development initiatives, (ii) $0.5 million of increased regulatory and consulting costs in preparation for our NDA filing, and (iii) $0.3 million of increased clinical and preclinical study costs.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40" w:firstLine="700"/>
        <w:spacing w:after="0" w:line="267" w:lineRule="auto"/>
        <w:rPr>
          <w:sz w:val="20"/>
          <w:szCs w:val="20"/>
          <w:color w:val="auto"/>
        </w:rPr>
      </w:pPr>
      <w:r>
        <w:rPr>
          <w:rFonts w:ascii="Arial" w:cs="Arial" w:eastAsia="Arial" w:hAnsi="Arial"/>
          <w:sz w:val="14"/>
          <w:szCs w:val="14"/>
          <w:color w:val="auto"/>
        </w:rPr>
        <w:t>General and administrative expenses increased by $3.6 million for the three months ended June 30, 2022, as compared to the prior year period. The increase was primarily due to (i) $2.0 million of increased payroll and personnel-related costs (which includes stock-based compensation) for 19 employee additions period over period to support our business growth, and (ii) $1.5 million of increased market research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179" w:lineRule="exact"/>
        <w:rPr>
          <w:sz w:val="20"/>
          <w:szCs w:val="20"/>
          <w:color w:val="auto"/>
        </w:rPr>
      </w:pPr>
    </w:p>
    <w:p>
      <w:pPr>
        <w:jc w:val="both"/>
        <w:ind w:right="160" w:firstLine="700"/>
        <w:spacing w:after="0" w:line="267" w:lineRule="auto"/>
        <w:rPr>
          <w:sz w:val="20"/>
          <w:szCs w:val="20"/>
          <w:color w:val="auto"/>
        </w:rPr>
      </w:pPr>
      <w:r>
        <w:rPr>
          <w:rFonts w:ascii="Arial" w:cs="Arial" w:eastAsia="Arial" w:hAnsi="Arial"/>
          <w:sz w:val="14"/>
          <w:szCs w:val="14"/>
          <w:color w:val="auto"/>
        </w:rPr>
        <w:t>Other expense, net decreased by $0.4 million primarily due to a $0.6 million change in fair value of the LianBio equity warrants we received as part of our China Out-License in March 2021, partially offset by (i) interest expense of $0.2 million related to the Credit Facility executed in February 2022, and (ii) mark-to-market adjustments of $0.1 million for revaluation of LianBio common stock held (after our exercise of the first warrant tranche).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9" w:lineRule="exact"/>
        <w:rPr>
          <w:sz w:val="20"/>
          <w:szCs w:val="20"/>
          <w:color w:val="auto"/>
        </w:rPr>
      </w:pPr>
    </w:p>
    <w:p>
      <w:pPr>
        <w:ind w:right="80" w:firstLine="700"/>
        <w:spacing w:after="0" w:line="368" w:lineRule="auto"/>
        <w:rPr>
          <w:sz w:val="20"/>
          <w:szCs w:val="20"/>
          <w:color w:val="auto"/>
        </w:rPr>
      </w:pPr>
      <w:r>
        <w:rPr>
          <w:rFonts w:ascii="Arial" w:cs="Arial" w:eastAsia="Arial" w:hAnsi="Arial"/>
          <w:sz w:val="12"/>
          <w:szCs w:val="12"/>
          <w:color w:val="auto"/>
        </w:rPr>
        <w:t>We maintain a valuation allowance against our net deferred tax assets as of June 30, 2022 and 2021 due to the uncertainty that such assets will be realized. We evaluate the recoverability of our deferred tax assets on at least an annual basis. For the three months ended June 30, 2022, we did not record any income tax benefit due to the losses we incurred in that period.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Six Months Ended June 30, 2022 and 2021</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summarizes our results of operations for the periods indicated: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6760" w:type="dxa"/>
            <w:vAlign w:val="bottom"/>
          </w:tcPr>
          <w:p>
            <w:pPr>
              <w:spacing w:after="0"/>
              <w:rPr>
                <w:sz w:val="13"/>
                <w:szCs w:val="13"/>
                <w:color w:val="auto"/>
              </w:rPr>
            </w:pPr>
          </w:p>
        </w:tc>
        <w:tc>
          <w:tcPr>
            <w:tcW w:w="3060" w:type="dxa"/>
            <w:vAlign w:val="bottom"/>
            <w:gridSpan w:val="6"/>
          </w:tcPr>
          <w:p>
            <w:pPr>
              <w:ind w:left="820"/>
              <w:spacing w:after="0"/>
              <w:rPr>
                <w:sz w:val="20"/>
                <w:szCs w:val="20"/>
                <w:color w:val="auto"/>
              </w:rPr>
            </w:pPr>
            <w:r>
              <w:rPr>
                <w:rFonts w:ascii="Arial" w:cs="Arial" w:eastAsia="Arial" w:hAnsi="Arial"/>
                <w:sz w:val="11"/>
                <w:szCs w:val="11"/>
                <w:b w:val="1"/>
                <w:bCs w:val="1"/>
                <w:color w:val="auto"/>
              </w:rPr>
              <w:t>Six Months Ended June 30,</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67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Change</w:t>
            </w:r>
          </w:p>
        </w:tc>
      </w:tr>
      <w:tr>
        <w:trPr>
          <w:trHeight w:val="150"/>
        </w:trPr>
        <w:tc>
          <w:tcPr>
            <w:tcW w:w="6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760" w:type="dxa"/>
            <w:vAlign w:val="bottom"/>
          </w:tcPr>
          <w:p>
            <w:pPr>
              <w:spacing w:after="0"/>
              <w:rPr>
                <w:sz w:val="20"/>
                <w:szCs w:val="20"/>
                <w:color w:val="auto"/>
              </w:rPr>
            </w:pPr>
            <w:r>
              <w:rPr>
                <w:rFonts w:ascii="Arial" w:cs="Arial" w:eastAsia="Arial" w:hAnsi="Arial"/>
                <w:sz w:val="13"/>
                <w:szCs w:val="13"/>
                <w:color w:val="auto"/>
              </w:rPr>
              <w:t>License fees</w:t>
            </w:r>
          </w:p>
        </w:tc>
        <w:tc>
          <w:tcPr>
            <w:tcW w:w="900" w:type="dxa"/>
            <w:vAlign w:val="bottom"/>
          </w:tcPr>
          <w:p>
            <w:pPr>
              <w:jc w:val="right"/>
              <w:ind w:right="76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13,893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52,359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(38,466)</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Collaboration revenue</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w:t>
            </w:r>
          </w:p>
        </w:tc>
      </w:tr>
      <w:tr>
        <w:trPr>
          <w:trHeight w:val="158"/>
        </w:trPr>
        <w:tc>
          <w:tcPr>
            <w:tcW w:w="676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Total revenues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55,449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(39,633)</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expenses: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Cost of license fees and collaboration revenue</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(1,479)</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General and administrative</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6,368</w:t>
            </w:r>
          </w:p>
        </w:tc>
      </w:tr>
      <w:tr>
        <w:trPr>
          <w:trHeight w:val="163"/>
        </w:trPr>
        <w:tc>
          <w:tcPr>
            <w:tcW w:w="676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operating expenses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37,453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3,108</w:t>
            </w:r>
          </w:p>
        </w:tc>
      </w:tr>
      <w:tr>
        <w:trPr>
          <w:trHeight w:val="158"/>
        </w:trPr>
        <w:tc>
          <w:tcPr>
            <w:tcW w:w="676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color w:val="auto"/>
              </w:rPr>
              <w:t>(Loss) income from operations before other (expense) income and income taxes</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(24,745)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(42,741)</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(expense) income: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Interest (expense) income,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(579)</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income (expense), net</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68"/>
        </w:trPr>
        <w:tc>
          <w:tcPr>
            <w:tcW w:w="6760" w:type="dxa"/>
            <w:vAlign w:val="bottom"/>
          </w:tcPr>
          <w:p>
            <w:pPr>
              <w:ind w:left="260"/>
              <w:spacing w:after="0"/>
              <w:rPr>
                <w:sz w:val="20"/>
                <w:szCs w:val="20"/>
                <w:color w:val="auto"/>
              </w:rPr>
            </w:pPr>
            <w:r>
              <w:rPr>
                <w:rFonts w:ascii="Arial" w:cs="Arial" w:eastAsia="Arial" w:hAnsi="Arial"/>
                <w:sz w:val="13"/>
                <w:szCs w:val="13"/>
                <w:color w:val="auto"/>
              </w:rPr>
              <w:t>Unrealized loss on equity investments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(313)</w:t>
            </w:r>
          </w:p>
        </w:tc>
      </w:tr>
      <w:tr>
        <w:trPr>
          <w:trHeight w:val="172"/>
        </w:trPr>
        <w:tc>
          <w:tcPr>
            <w:tcW w:w="67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 in fair value of equity warrants issued by licensee</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r>
      <w:tr>
        <w:trPr>
          <w:trHeight w:val="158"/>
        </w:trPr>
        <w:tc>
          <w:tcPr>
            <w:tcW w:w="676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Total other expense, net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r>
      <w:tr>
        <w:trPr>
          <w:trHeight w:val="163"/>
        </w:trPr>
        <w:tc>
          <w:tcPr>
            <w:tcW w:w="6760" w:type="dxa"/>
            <w:vAlign w:val="bottom"/>
            <w:shd w:val="clear" w:color="auto" w:fill="CCEEFF"/>
          </w:tcPr>
          <w:p>
            <w:pPr>
              <w:ind w:left="260"/>
              <w:spacing w:after="0" w:line="148" w:lineRule="exact"/>
              <w:rPr>
                <w:sz w:val="20"/>
                <w:szCs w:val="20"/>
                <w:color w:val="auto"/>
              </w:rPr>
            </w:pPr>
            <w:r>
              <w:rPr>
                <w:rFonts w:ascii="Arial" w:cs="Arial" w:eastAsia="Arial" w:hAnsi="Arial"/>
                <w:sz w:val="13"/>
                <w:szCs w:val="13"/>
                <w:color w:val="auto"/>
              </w:rPr>
              <w:t>Provision for income taxes</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w:t>
            </w:r>
          </w:p>
        </w:tc>
      </w:tr>
      <w:tr>
        <w:trPr>
          <w:trHeight w:val="158"/>
        </w:trPr>
        <w:tc>
          <w:tcPr>
            <w:tcW w:w="6760" w:type="dxa"/>
            <w:vAlign w:val="bottom"/>
          </w:tcPr>
          <w:p>
            <w:pPr>
              <w:spacing w:after="0" w:line="146" w:lineRule="exact"/>
              <w:rPr>
                <w:sz w:val="20"/>
                <w:szCs w:val="20"/>
                <w:color w:val="auto"/>
              </w:rPr>
            </w:pPr>
            <w:r>
              <w:rPr>
                <w:rFonts w:ascii="Arial" w:cs="Arial" w:eastAsia="Arial" w:hAnsi="Arial"/>
                <w:sz w:val="13"/>
                <w:szCs w:val="13"/>
                <w:color w:val="auto"/>
              </w:rPr>
              <w:t>Net (loss) income and comprehensive (loss) income</w:t>
            </w:r>
          </w:p>
        </w:tc>
        <w:tc>
          <w:tcPr>
            <w:tcW w:w="90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(25,981)</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16,721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(42,702)</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Fees and Collaboration Revenue</w:t>
      </w:r>
    </w:p>
    <w:p>
      <w:pPr>
        <w:spacing w:after="0" w:line="179" w:lineRule="exact"/>
        <w:rPr>
          <w:sz w:val="20"/>
          <w:szCs w:val="20"/>
          <w:color w:val="auto"/>
        </w:rPr>
      </w:pPr>
    </w:p>
    <w:p>
      <w:pPr>
        <w:ind w:right="20" w:firstLine="700"/>
        <w:spacing w:after="0" w:line="267" w:lineRule="auto"/>
        <w:rPr>
          <w:sz w:val="20"/>
          <w:szCs w:val="20"/>
          <w:color w:val="auto"/>
        </w:rPr>
      </w:pPr>
      <w:r>
        <w:rPr>
          <w:rFonts w:ascii="Arial" w:cs="Arial" w:eastAsia="Arial" w:hAnsi="Arial"/>
          <w:sz w:val="14"/>
          <w:szCs w:val="14"/>
          <w:color w:val="auto"/>
        </w:rPr>
        <w:t xml:space="preserve">License fees and collaboration revenue was $15.8 million for the six months ended June 30, 2022. This amount was attributable to the contractual milestones under the China Out-License (see </w:t>
      </w:r>
      <w:r>
        <w:rPr>
          <w:rFonts w:ascii="Arial" w:cs="Arial" w:eastAsia="Arial" w:hAnsi="Arial"/>
          <w:sz w:val="14"/>
          <w:szCs w:val="14"/>
          <w:i w:val="1"/>
          <w:iCs w:val="1"/>
          <w:color w:val="auto"/>
        </w:rPr>
        <w:t>Note 9</w:t>
      </w:r>
      <w:r>
        <w:rPr>
          <w:rFonts w:ascii="Arial" w:cs="Arial" w:eastAsia="Arial" w:hAnsi="Arial"/>
          <w:sz w:val="14"/>
          <w:szCs w:val="14"/>
          <w:color w:val="auto"/>
        </w:rPr>
        <w:t>) to the extent completed by June 30, 2022. These amounts represent the satisfaction of the transfer of TP-03 license rights to LianBio and the partial completion of clinical-related "performance obligations".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We will recognize additional "license fee and collaboration revenue" to the extent the contractual performance obligations are further satisfied or other events occur, specifically related to</w:t>
      </w:r>
    </w:p>
    <w:p>
      <w:pPr>
        <w:spacing w:after="0" w:line="42" w:lineRule="exact"/>
        <w:rPr>
          <w:sz w:val="20"/>
          <w:szCs w:val="20"/>
          <w:color w:val="auto"/>
        </w:rPr>
      </w:pPr>
    </w:p>
    <w:p>
      <w:pPr>
        <w:ind w:right="480" w:firstLine="5"/>
        <w:spacing w:after="0" w:line="266" w:lineRule="auto"/>
        <w:tabs>
          <w:tab w:leader="none" w:pos="169"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achievement of a drug supply agreement execution milestone, (ii) milestone payments upon TP-03 pivotal trial completion and the delivery of associated clinical data and reports to our licensee, (iii) achievement of regulatory events that trigger milestone payments, and (iv) our licensee's product sales of TP-03 in the China Territory.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License Fees and Collaboration Revenue</w:t>
      </w:r>
    </w:p>
    <w:p>
      <w:pPr>
        <w:spacing w:after="0" w:line="168" w:lineRule="exact"/>
        <w:rPr>
          <w:sz w:val="20"/>
          <w:szCs w:val="20"/>
          <w:color w:val="auto"/>
        </w:rPr>
      </w:pPr>
    </w:p>
    <w:p>
      <w:pPr>
        <w:ind w:right="420" w:firstLine="700"/>
        <w:spacing w:after="0" w:line="265" w:lineRule="auto"/>
        <w:rPr>
          <w:sz w:val="20"/>
          <w:szCs w:val="20"/>
          <w:color w:val="auto"/>
        </w:rPr>
      </w:pPr>
      <w:r>
        <w:rPr>
          <w:rFonts w:ascii="Arial" w:cs="Arial" w:eastAsia="Arial" w:hAnsi="Arial"/>
          <w:sz w:val="14"/>
          <w:szCs w:val="14"/>
          <w:color w:val="auto"/>
        </w:rPr>
        <w:t>Cost of license fees and collaboration revenue decreased by $1.5 million for the six months ended June 30, 2022, as compared to the prior year period. These amounts relate to our contractual payment obligations to our licensor that are attached to our China Out-License proceeds.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9" w:lineRule="exact"/>
        <w:rPr>
          <w:sz w:val="20"/>
          <w:szCs w:val="20"/>
          <w:color w:val="auto"/>
        </w:rPr>
      </w:pPr>
    </w:p>
    <w:p>
      <w:pPr>
        <w:ind w:right="40" w:firstLine="700"/>
        <w:spacing w:after="0" w:line="258" w:lineRule="auto"/>
        <w:rPr>
          <w:sz w:val="20"/>
          <w:szCs w:val="20"/>
          <w:color w:val="auto"/>
        </w:rPr>
      </w:pPr>
      <w:r>
        <w:rPr>
          <w:rFonts w:ascii="Arial" w:cs="Arial" w:eastAsia="Arial" w:hAnsi="Arial"/>
          <w:sz w:val="14"/>
          <w:szCs w:val="14"/>
          <w:color w:val="auto"/>
        </w:rPr>
        <w:t>Research and development expenses decreased by $1.8 million for the six months ended June 30, 2022, as compared to the prior year period. The decrease was primarily due to non-recurring costs in the prior year period including (i) a contractual payment in March 2021 in the form of 187,500 shares of our common stock then valued at $5.5 million to extend the period of our September 2020 in-license agreement, and (ii) contractual payment of $2 million under our January 2019 in-license for the commencement of our Saturn-2 trial. These decreases were partially offset by (i) $2.6 million of increased payroll and personnel-related costs (which includes stock-based compensation), for 11 employee additions period over period to drive our product development initiatives, (ii) $2.0 million of increased clinical and preclinical study costs, (iii) $0.7 million of increased regulatory and consulting costs in preparation of our NDA filing, and (iv) $0.3 million of increased manufacturing and formulation costs.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79" w:lineRule="exact"/>
        <w:rPr>
          <w:sz w:val="20"/>
          <w:szCs w:val="20"/>
          <w:color w:val="auto"/>
        </w:rPr>
      </w:pPr>
    </w:p>
    <w:p>
      <w:pPr>
        <w:ind w:firstLine="700"/>
        <w:spacing w:after="0" w:line="267" w:lineRule="auto"/>
        <w:rPr>
          <w:sz w:val="20"/>
          <w:szCs w:val="20"/>
          <w:color w:val="auto"/>
        </w:rPr>
      </w:pPr>
      <w:r>
        <w:rPr>
          <w:rFonts w:ascii="Arial" w:cs="Arial" w:eastAsia="Arial" w:hAnsi="Arial"/>
          <w:sz w:val="14"/>
          <w:szCs w:val="14"/>
          <w:color w:val="auto"/>
        </w:rPr>
        <w:t>General and administrative expenses increased by $6.4 million for the six months ended June 30, 2022, as compared to the prior year period. The increase was primarily due to (i) $4.2 million of increased payroll and personnel-related costs (which includes stock-based compensation) for 19 employee additions period over period to support our business growth, and (ii) $2.1 million of increased market research costs.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Net</w:t>
      </w:r>
    </w:p>
    <w:p>
      <w:pPr>
        <w:spacing w:after="0" w:line="179" w:lineRule="exact"/>
        <w:rPr>
          <w:sz w:val="20"/>
          <w:szCs w:val="20"/>
          <w:color w:val="auto"/>
        </w:rPr>
      </w:pPr>
    </w:p>
    <w:p>
      <w:pPr>
        <w:ind w:right="120" w:firstLine="700"/>
        <w:spacing w:after="0" w:line="281" w:lineRule="auto"/>
        <w:rPr>
          <w:sz w:val="20"/>
          <w:szCs w:val="20"/>
          <w:color w:val="auto"/>
        </w:rPr>
      </w:pPr>
      <w:r>
        <w:rPr>
          <w:rFonts w:ascii="Arial" w:cs="Arial" w:eastAsia="Arial" w:hAnsi="Arial"/>
          <w:sz w:val="14"/>
          <w:szCs w:val="14"/>
          <w:color w:val="auto"/>
        </w:rPr>
        <w:t>Other expense, net increased by $0.3 million which substantially consists of $0.6 million of increased interest expense related to the Credit Facility executed in February 2022, partially offset by $0.2 million of miscellaneous items.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9" w:lineRule="exact"/>
        <w:rPr>
          <w:sz w:val="20"/>
          <w:szCs w:val="20"/>
          <w:color w:val="auto"/>
        </w:rPr>
      </w:pPr>
    </w:p>
    <w:p>
      <w:pPr>
        <w:ind w:right="40" w:firstLine="700"/>
        <w:spacing w:after="0" w:line="281" w:lineRule="auto"/>
        <w:rPr>
          <w:sz w:val="20"/>
          <w:szCs w:val="20"/>
          <w:color w:val="auto"/>
        </w:rPr>
      </w:pPr>
      <w:r>
        <w:rPr>
          <w:rFonts w:ascii="Arial" w:cs="Arial" w:eastAsia="Arial" w:hAnsi="Arial"/>
          <w:sz w:val="14"/>
          <w:szCs w:val="14"/>
          <w:color w:val="auto"/>
        </w:rPr>
        <w:t>We maintain a valuation allowance against our net deferred tax assets as of June 30, 2022 and 2021 due to the uncertainty that such assets will be realized. We evaluate the recoverability of our deferred tax assets on at least an annual basis. For the six months ended June 30, 2022, we recorded nominal income tax expense.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Overview</w:t>
      </w:r>
    </w:p>
    <w:p>
      <w:pPr>
        <w:spacing w:after="0" w:line="179"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As of June 30, 2022, we had cash and cash equivalents of $245.4 million. Since our inception, our operations have been substantially financed by cash proceeds of private placements of preferred stock, IPO proceeds, China Out-License consideration, Credit Facility draw, and the Follow-On Public Offering.</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IPO - October 2020</w:t>
      </w:r>
    </w:p>
    <w:p>
      <w:pPr>
        <w:spacing w:after="0" w:line="179" w:lineRule="exact"/>
        <w:rPr>
          <w:sz w:val="20"/>
          <w:szCs w:val="20"/>
          <w:color w:val="auto"/>
        </w:rPr>
      </w:pPr>
    </w:p>
    <w:p>
      <w:pPr>
        <w:ind w:right="480" w:firstLine="700"/>
        <w:spacing w:after="0" w:line="281" w:lineRule="auto"/>
        <w:rPr>
          <w:sz w:val="20"/>
          <w:szCs w:val="20"/>
          <w:color w:val="auto"/>
        </w:rPr>
      </w:pPr>
      <w:r>
        <w:rPr>
          <w:rFonts w:ascii="Arial" w:cs="Arial" w:eastAsia="Arial" w:hAnsi="Arial"/>
          <w:sz w:val="14"/>
          <w:szCs w:val="14"/>
          <w:color w:val="auto"/>
        </w:rPr>
        <w:t>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Follow-On Public Offering - completed May 2022</w:t>
      </w:r>
    </w:p>
    <w:p>
      <w:pPr>
        <w:spacing w:after="0" w:line="179"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In May 2022, we completed the Follow-On Public Offering. This resulted in gross proceeds of $75.6 million before underwriting discounts, commissions and other estimated offering expenses for net proceeds of $70.6 million.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for additional gross proceeds of $3.9</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321" w:lineRule="auto"/>
        <w:rPr>
          <w:sz w:val="20"/>
          <w:szCs w:val="20"/>
          <w:color w:val="auto"/>
        </w:rPr>
      </w:pPr>
      <w:r>
        <w:rPr>
          <w:rFonts w:ascii="Arial" w:cs="Arial" w:eastAsia="Arial" w:hAnsi="Arial"/>
          <w:sz w:val="13"/>
          <w:szCs w:val="13"/>
          <w:color w:val="auto"/>
        </w:rPr>
        <w:t>million, before underwriting discounts and commissions, for net proceeds of $3.7 million. After giving effect to the exercise of the underwriters’ option, we sold 5,889,832 shares for total gross proceeds of $79.5 million, before underwriting discounts, commissions and other estimated offering expenses, for total net proceeds received in the second quarter of 2022 of $74.3 million.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China Out-License - executed March 2021</w:t>
      </w:r>
    </w:p>
    <w:p>
      <w:pPr>
        <w:spacing w:after="0" w:line="179" w:lineRule="exact"/>
        <w:rPr>
          <w:sz w:val="20"/>
          <w:szCs w:val="20"/>
          <w:color w:val="auto"/>
        </w:rPr>
      </w:pPr>
    </w:p>
    <w:p>
      <w:pPr>
        <w:ind w:right="180" w:firstLine="700"/>
        <w:spacing w:after="0" w:line="288" w:lineRule="auto"/>
        <w:rPr>
          <w:sz w:val="20"/>
          <w:szCs w:val="20"/>
          <w:color w:val="auto"/>
        </w:rPr>
      </w:pPr>
      <w:r>
        <w:rPr>
          <w:rFonts w:ascii="Arial" w:cs="Arial" w:eastAsia="Arial" w:hAnsi="Arial"/>
          <w:sz w:val="13"/>
          <w:szCs w:val="13"/>
          <w:color w:val="auto"/>
        </w:rPr>
        <w:t xml:space="preserve">As of June 30, 2022, we have received $70.0 million of total proceeds in connection with our China Out-License, inclusive of 2022 milestone receipts of $15.0 million in June for the achievement of the Saturn-2 topline primary endpoint (see </w:t>
      </w:r>
      <w:r>
        <w:rPr>
          <w:rFonts w:ascii="Arial" w:cs="Arial" w:eastAsia="Arial" w:hAnsi="Arial"/>
          <w:sz w:val="13"/>
          <w:szCs w:val="13"/>
          <w:i w:val="1"/>
          <w:iCs w:val="1"/>
          <w:color w:val="auto"/>
        </w:rPr>
        <w:t>Note 9</w:t>
      </w:r>
      <w:r>
        <w:rPr>
          <w:rFonts w:ascii="Arial" w:cs="Arial" w:eastAsia="Arial" w:hAnsi="Arial"/>
          <w:sz w:val="13"/>
          <w:szCs w:val="13"/>
          <w:color w:val="auto"/>
        </w:rPr>
        <w:t>). We expect to receive an additional $15.0 million during the second half of 2022 for the achievement of a China-based clinical development milestone and a supply agreement milestone, resulting in aggregate milestone receipts through December 2022 of $85.0 million. The remaining $120.0 million of available milestones under this arrangement will potentially be received upon future regulatory and sales achievements all within the China Territory.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Credit Facility - executed February 2022</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February 2022, we drew $20.0 million from our credit facility with Hercules Capital and Silicon Valley Bank. This $175.0 million facility has tranched availability as follows:</w:t>
      </w:r>
    </w:p>
    <w:p>
      <w:pPr>
        <w:spacing w:after="0" w:line="31" w:lineRule="exact"/>
        <w:rPr>
          <w:sz w:val="20"/>
          <w:szCs w:val="20"/>
          <w:color w:val="auto"/>
        </w:rPr>
      </w:pPr>
    </w:p>
    <w:p>
      <w:pPr>
        <w:ind w:left="1060" w:hanging="100"/>
        <w:spacing w:after="0"/>
        <w:tabs>
          <w:tab w:leader="none" w:pos="10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$40.0 million at closing ($20 million drawn and $20.0 million available);</w:t>
      </w:r>
    </w:p>
    <w:p>
      <w:pPr>
        <w:spacing w:after="0" w:line="8" w:lineRule="exact"/>
        <w:rPr>
          <w:rFonts w:ascii="Arial" w:cs="Arial" w:eastAsia="Arial" w:hAnsi="Arial"/>
          <w:sz w:val="14"/>
          <w:szCs w:val="14"/>
          <w:color w:val="auto"/>
        </w:rPr>
      </w:pPr>
    </w:p>
    <w:p>
      <w:pPr>
        <w:ind w:left="1060" w:hanging="100"/>
        <w:spacing w:after="0"/>
        <w:tabs>
          <w:tab w:leader="none" w:pos="10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$25.0 million upon NDA submission of TP-03;</w:t>
      </w:r>
    </w:p>
    <w:p>
      <w:pPr>
        <w:spacing w:after="0" w:line="8" w:lineRule="exact"/>
        <w:rPr>
          <w:rFonts w:ascii="Arial" w:cs="Arial" w:eastAsia="Arial" w:hAnsi="Arial"/>
          <w:sz w:val="14"/>
          <w:szCs w:val="14"/>
          <w:color w:val="auto"/>
        </w:rPr>
      </w:pPr>
    </w:p>
    <w:p>
      <w:pPr>
        <w:ind w:left="1060" w:hanging="100"/>
        <w:spacing w:after="0"/>
        <w:tabs>
          <w:tab w:leader="none" w:pos="10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$35.0 million upon FDA approval of TP-03;</w:t>
      </w:r>
    </w:p>
    <w:p>
      <w:pPr>
        <w:spacing w:after="0" w:line="8" w:lineRule="exact"/>
        <w:rPr>
          <w:rFonts w:ascii="Arial" w:cs="Arial" w:eastAsia="Arial" w:hAnsi="Arial"/>
          <w:sz w:val="14"/>
          <w:szCs w:val="14"/>
          <w:color w:val="auto"/>
        </w:rPr>
      </w:pPr>
    </w:p>
    <w:p>
      <w:pPr>
        <w:ind w:left="1060" w:hanging="100"/>
        <w:spacing w:after="0"/>
        <w:tabs>
          <w:tab w:leader="none" w:pos="10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 million upon achievement of certain quarterly revenue thresholds; and</w:t>
      </w:r>
    </w:p>
    <w:p>
      <w:pPr>
        <w:spacing w:after="0" w:line="8" w:lineRule="exact"/>
        <w:rPr>
          <w:rFonts w:ascii="Arial" w:cs="Arial" w:eastAsia="Arial" w:hAnsi="Arial"/>
          <w:sz w:val="14"/>
          <w:szCs w:val="14"/>
          <w:color w:val="auto"/>
        </w:rPr>
      </w:pPr>
    </w:p>
    <w:p>
      <w:pPr>
        <w:ind w:left="1060" w:hanging="100"/>
        <w:spacing w:after="0"/>
        <w:tabs>
          <w:tab w:leader="none" w:pos="10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$25.0 million with lender approval.</w:t>
      </w:r>
    </w:p>
    <w:p>
      <w:pPr>
        <w:spacing w:after="0" w:line="168" w:lineRule="exact"/>
        <w:rPr>
          <w:sz w:val="20"/>
          <w:szCs w:val="20"/>
          <w:color w:val="auto"/>
        </w:rPr>
      </w:pPr>
    </w:p>
    <w:p>
      <w:pPr>
        <w:jc w:val="both"/>
        <w:ind w:right="120" w:firstLine="700"/>
        <w:spacing w:after="0" w:line="281" w:lineRule="auto"/>
        <w:rPr>
          <w:sz w:val="20"/>
          <w:szCs w:val="20"/>
          <w:color w:val="auto"/>
        </w:rPr>
      </w:pPr>
      <w:r>
        <w:rPr>
          <w:rFonts w:ascii="Arial" w:cs="Arial" w:eastAsia="Arial" w:hAnsi="Arial"/>
          <w:sz w:val="14"/>
          <w:szCs w:val="14"/>
          <w:color w:val="auto"/>
        </w:rPr>
        <w:t>Capital draws are at our election and are in $5.0 million increments. The Credit Facility includes four-year period of interest-only payments and is extendable for a fifth year to February 2027 maturity, upon our expected achievement of required conditions. We currently have no other financing commitments, such as lines of credit or guarantees.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Cash Runway</w:t>
      </w:r>
    </w:p>
    <w:p>
      <w:pPr>
        <w:spacing w:after="0" w:line="179" w:lineRule="exact"/>
        <w:rPr>
          <w:sz w:val="20"/>
          <w:szCs w:val="20"/>
          <w:color w:val="auto"/>
        </w:rPr>
      </w:pPr>
    </w:p>
    <w:p>
      <w:pPr>
        <w:ind w:right="220" w:firstLine="700"/>
        <w:spacing w:after="0" w:line="281" w:lineRule="auto"/>
        <w:rPr>
          <w:sz w:val="20"/>
          <w:szCs w:val="20"/>
          <w:color w:val="auto"/>
        </w:rPr>
      </w:pPr>
      <w:r>
        <w:rPr>
          <w:rFonts w:ascii="Arial" w:cs="Arial" w:eastAsia="Arial" w:hAnsi="Arial"/>
          <w:sz w:val="14"/>
          <w:szCs w:val="14"/>
          <w:color w:val="auto"/>
        </w:rPr>
        <w:t>Our operating expenditures currently consist of research and development costs (including activities within our preclinical, clinical, regulatory, and drug manufacturing initiatives) and general and administrative costs. Our use of cash is impacted by the timing and extent of payments for each of these activities and other business requirements.</w:t>
      </w:r>
    </w:p>
    <w:p>
      <w:pPr>
        <w:spacing w:after="0" w:line="132" w:lineRule="exact"/>
        <w:rPr>
          <w:sz w:val="20"/>
          <w:szCs w:val="20"/>
          <w:color w:val="auto"/>
        </w:rPr>
      </w:pPr>
    </w:p>
    <w:p>
      <w:pPr>
        <w:jc w:val="both"/>
        <w:ind w:right="100" w:firstLine="509"/>
        <w:spacing w:after="0" w:line="331" w:lineRule="auto"/>
        <w:rPr>
          <w:sz w:val="20"/>
          <w:szCs w:val="20"/>
          <w:color w:val="auto"/>
        </w:rPr>
      </w:pPr>
      <w:r>
        <w:rPr>
          <w:rFonts w:ascii="Arial" w:cs="Arial" w:eastAsia="Arial" w:hAnsi="Arial"/>
          <w:sz w:val="12"/>
          <w:szCs w:val="12"/>
          <w:color w:val="auto"/>
        </w:rPr>
        <w:t>We believe that our cash and cash equivalents of $245.4 million as of June 30, 2022 is sufficient to fund our current and planned operations for at least the next twelve months from the date of this filing on Form 10-Q. These funds in combination with additional expected milestone proceeds from our China Out-License of $30.0 million through 2024 ($15.0 million of which is expected in the second half of 2022), should provide sufficient capital resources to fund our planned pipeline development, operating expenses, and capital expenditure requirements at least into 2026.</w:t>
      </w:r>
    </w:p>
    <w:p>
      <w:pPr>
        <w:spacing w:after="0" w:line="108" w:lineRule="exact"/>
        <w:rPr>
          <w:sz w:val="20"/>
          <w:szCs w:val="20"/>
          <w:color w:val="auto"/>
        </w:rPr>
      </w:pPr>
    </w:p>
    <w:p>
      <w:pPr>
        <w:ind w:right="60" w:firstLine="700"/>
        <w:spacing w:after="0" w:line="331" w:lineRule="auto"/>
        <w:rPr>
          <w:sz w:val="20"/>
          <w:szCs w:val="20"/>
          <w:color w:val="auto"/>
        </w:rPr>
      </w:pPr>
      <w:r>
        <w:rPr>
          <w:rFonts w:ascii="Arial" w:cs="Arial" w:eastAsia="Arial" w:hAnsi="Arial"/>
          <w:sz w:val="12"/>
          <w:szCs w:val="12"/>
          <w:color w:val="auto"/>
        </w:rPr>
        <w:t>We base this latest cash runway estimate on revenue and expense assumptions that may require future adjustments, as part of our ongoing business decisions within pipeline development and our other corporate initiatives. Accordingly, we may require additional capital resources earlier than we currently expect. We also anticipate having at least $80.0 million of standby capital availability from our Credit Facility through December 2023 (excluding our $20.0 million draw in February 2022) and an additional $75.0 million of availability through maturity in February 2027.</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Shelf Registration Statement</w:t>
      </w:r>
    </w:p>
    <w:p>
      <w:pPr>
        <w:spacing w:after="0" w:line="189" w:lineRule="exact"/>
        <w:rPr>
          <w:sz w:val="20"/>
          <w:szCs w:val="20"/>
          <w:color w:val="auto"/>
        </w:rPr>
      </w:pPr>
    </w:p>
    <w:p>
      <w:pPr>
        <w:ind w:firstLine="700"/>
        <w:spacing w:after="0" w:line="271" w:lineRule="auto"/>
        <w:rPr>
          <w:sz w:val="20"/>
          <w:szCs w:val="20"/>
          <w:color w:val="auto"/>
        </w:rPr>
      </w:pPr>
      <w:r>
        <w:rPr>
          <w:rFonts w:ascii="Arial" w:cs="Arial" w:eastAsia="Arial" w:hAnsi="Arial"/>
          <w:sz w:val="13"/>
          <w:szCs w:val="13"/>
          <w:color w:val="auto"/>
        </w:rPr>
        <w:t>On November 1, 2021, we filed a shelf registration statement on Form S-3 that was declared effective by the SEC on November 5, 2021 (the “Shelf Registration Statement”). This permits us to offer up to $300.0 million of common stock, preferred stock, debt securities and warrants in one or more offerings and in any combination, including in units from time to time. Our Shelf Registration Statement is intended to provide us with additional flexibility to access capital markets for general corporate purposes, which may include working capital, capital expenditures, other corporate expenses and acquisitions of complementary products, technologies, or businesses. We completed our recent Follow-on Public Offering under this Shelf Registration Statement.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firstLine="700"/>
        <w:spacing w:after="0" w:line="354" w:lineRule="auto"/>
        <w:rPr>
          <w:sz w:val="20"/>
          <w:szCs w:val="20"/>
          <w:color w:val="auto"/>
        </w:rPr>
      </w:pPr>
      <w:r>
        <w:rPr>
          <w:rFonts w:ascii="Arial" w:cs="Arial" w:eastAsia="Arial" w:hAnsi="Arial"/>
          <w:sz w:val="12"/>
          <w:szCs w:val="12"/>
          <w:color w:val="auto"/>
        </w:rPr>
        <w:t>Also, as part of this Shelf Registration Statement, we concurrently filed a sales agreement prospectus covering the sale of up to $100.0 million of our common stock pursuant to an Open Market Sale Agreement</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(the “ATM Agreement”) with Jefferies LLC. Through the date of this Form 10-Q filing, we have not sold any shares of our common stock under the ATM Agreement.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Liquidity Risks</w:t>
      </w:r>
    </w:p>
    <w:p>
      <w:pPr>
        <w:spacing w:after="0" w:line="179" w:lineRule="exact"/>
        <w:rPr>
          <w:sz w:val="20"/>
          <w:szCs w:val="20"/>
          <w:color w:val="auto"/>
        </w:rPr>
      </w:pPr>
    </w:p>
    <w:p>
      <w:pPr>
        <w:ind w:right="100" w:firstLine="700"/>
        <w:spacing w:after="0" w:line="267" w:lineRule="auto"/>
        <w:rPr>
          <w:sz w:val="20"/>
          <w:szCs w:val="20"/>
          <w:color w:val="auto"/>
        </w:rPr>
      </w:pPr>
      <w:r>
        <w:rPr>
          <w:rFonts w:ascii="Arial" w:cs="Arial" w:eastAsia="Arial" w:hAnsi="Arial"/>
          <w:sz w:val="14"/>
          <w:szCs w:val="14"/>
          <w:color w:val="auto"/>
        </w:rPr>
        <w:t>To date, we have not generated any product sales, though have recognized revenue and cash receipts from our China Out-License. We do not expect to report any product revenue unless and until we (1) complete development of any of our product candidates; (2) obtain applicable regulatory approvals; and then (3) successfully commercialize or enter into other collaborative agreements for our product candidates with third parties. We do not know with certainty when, or if, any of these items will ultimately occur.</w:t>
      </w:r>
    </w:p>
    <w:p>
      <w:pPr>
        <w:spacing w:after="0" w:line="142" w:lineRule="exact"/>
        <w:rPr>
          <w:sz w:val="20"/>
          <w:szCs w:val="20"/>
          <w:color w:val="auto"/>
        </w:rPr>
      </w:pPr>
    </w:p>
    <w:p>
      <w:pPr>
        <w:ind w:firstLine="700"/>
        <w:spacing w:after="0" w:line="368" w:lineRule="auto"/>
        <w:rPr>
          <w:sz w:val="20"/>
          <w:szCs w:val="20"/>
          <w:color w:val="auto"/>
        </w:rPr>
      </w:pPr>
      <w:r>
        <w:rPr>
          <w:rFonts w:ascii="Arial" w:cs="Arial" w:eastAsia="Arial" w:hAnsi="Arial"/>
          <w:sz w:val="12"/>
          <w:szCs w:val="12"/>
          <w:color w:val="auto"/>
        </w:rPr>
        <w:t>We expect to incur significant operating losses for the foreseeable future, and expect these losses to further increase, as we ramp up our clinical development programs and begin activities for commercial launch readiness. We may also encounter unforeseen expenses, difficulties, complications, delays and other currently unknown factors that could adversely affect our business.</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may require additional capital to fully develop our product candidates and to execute our business strategy. Our requirements of a future capital raise will depend on many factors,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including:</w:t>
      </w:r>
    </w:p>
    <w:p>
      <w:pPr>
        <w:spacing w:after="0" w:line="168" w:lineRule="exact"/>
        <w:rPr>
          <w:sz w:val="20"/>
          <w:szCs w:val="20"/>
          <w:color w:val="auto"/>
        </w:rPr>
      </w:pPr>
    </w:p>
    <w:p>
      <w:pPr>
        <w:ind w:left="800" w:hanging="254"/>
        <w:spacing w:after="0"/>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scope, timing, rate of progress and costs of our drug discovery efforts, preclinical development activities, laboratory testing and clinical trials for our product candidates;</w:t>
      </w:r>
    </w:p>
    <w:p>
      <w:pPr>
        <w:spacing w:after="0" w:line="190" w:lineRule="exact"/>
        <w:rPr>
          <w:rFonts w:ascii="Arial" w:cs="Arial" w:eastAsia="Arial" w:hAnsi="Arial"/>
          <w:sz w:val="13"/>
          <w:szCs w:val="13"/>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number and scope of clinical programs we decide to pursue;</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timing and outcome of preparing for and undergoing regulatory review of our product candidates;</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scope and costs of development and commercial manufacturing activities;</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and timing associated with commercializing our product candidates, if they receive marketing approval;</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of revenue, if any, received from commercial sales of our product candidates, should any of our product candidates receive marketing approval;</w:t>
      </w:r>
    </w:p>
    <w:p>
      <w:pPr>
        <w:spacing w:after="0" w:line="178" w:lineRule="exact"/>
        <w:rPr>
          <w:rFonts w:ascii="Arial" w:cs="Arial" w:eastAsia="Arial" w:hAnsi="Arial"/>
          <w:sz w:val="14"/>
          <w:szCs w:val="14"/>
          <w:color w:val="auto"/>
        </w:rPr>
      </w:pPr>
    </w:p>
    <w:p>
      <w:pPr>
        <w:ind w:left="800" w:right="280" w:hanging="254"/>
        <w:spacing w:after="0" w:line="281" w:lineRule="auto"/>
        <w:tabs>
          <w:tab w:leader="none" w:pos="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achievement of milestones or occurrence of other developments that trigger payments under any collaboration agreements we might have at such time and availability under our Credit Facility;</w:t>
      </w:r>
    </w:p>
    <w:p>
      <w:pPr>
        <w:spacing w:after="0" w:line="132"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extent to which we acquire or in-license other product candidates and technologies;</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enforcing our intellectual property rights and defending intellectual property-related claims;</w:t>
      </w:r>
    </w:p>
    <w:p>
      <w:pPr>
        <w:spacing w:after="0" w:line="190" w:lineRule="exact"/>
        <w:rPr>
          <w:rFonts w:ascii="Arial" w:cs="Arial" w:eastAsia="Arial" w:hAnsi="Arial"/>
          <w:sz w:val="13"/>
          <w:szCs w:val="13"/>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establish and maintain collaborations on favorable terms, if at all;</w:t>
      </w:r>
    </w:p>
    <w:p>
      <w:pPr>
        <w:spacing w:after="0" w:line="178" w:lineRule="exact"/>
        <w:rPr>
          <w:rFonts w:ascii="Arial" w:cs="Arial" w:eastAsia="Arial" w:hAnsi="Arial"/>
          <w:sz w:val="14"/>
          <w:szCs w:val="14"/>
          <w:color w:val="auto"/>
        </w:rPr>
      </w:pPr>
    </w:p>
    <w:p>
      <w:pPr>
        <w:ind w:left="800" w:right="160" w:hanging="254"/>
        <w:spacing w:after="0" w:line="281" w:lineRule="auto"/>
        <w:tabs>
          <w:tab w:leader="none" w:pos="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32"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implementation of various computerized information systems;</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impact of COVID-19 on our clinical development or operations; and</w:t>
      </w:r>
    </w:p>
    <w:p>
      <w:pPr>
        <w:spacing w:after="0" w:line="178" w:lineRule="exact"/>
        <w:rPr>
          <w:rFonts w:ascii="Arial" w:cs="Arial" w:eastAsia="Arial" w:hAnsi="Arial"/>
          <w:sz w:val="14"/>
          <w:szCs w:val="14"/>
          <w:color w:val="auto"/>
        </w:rPr>
      </w:pPr>
    </w:p>
    <w:p>
      <w:pPr>
        <w:ind w:left="800" w:hanging="254"/>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costs associated with being a public company.</w:t>
      </w:r>
    </w:p>
    <w:p>
      <w:pPr>
        <w:spacing w:after="0" w:line="179" w:lineRule="exact"/>
        <w:rPr>
          <w:sz w:val="20"/>
          <w:szCs w:val="20"/>
          <w:color w:val="auto"/>
        </w:rPr>
      </w:pPr>
    </w:p>
    <w:p>
      <w:pPr>
        <w:jc w:val="both"/>
        <w:ind w:right="240" w:firstLine="700"/>
        <w:spacing w:after="0" w:line="267" w:lineRule="auto"/>
        <w:rPr>
          <w:sz w:val="20"/>
          <w:szCs w:val="20"/>
          <w:color w:val="auto"/>
        </w:rPr>
      </w:pPr>
      <w:r>
        <w:rPr>
          <w:rFonts w:ascii="Arial" w:cs="Arial" w:eastAsia="Arial" w:hAnsi="Arial"/>
          <w:sz w:val="14"/>
          <w:szCs w:val="14"/>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42" w:lineRule="exact"/>
        <w:rPr>
          <w:sz w:val="20"/>
          <w:szCs w:val="20"/>
          <w:color w:val="auto"/>
        </w:rPr>
      </w:pPr>
    </w:p>
    <w:p>
      <w:pPr>
        <w:ind w:right="20" w:firstLine="700"/>
        <w:spacing w:after="0" w:line="258" w:lineRule="auto"/>
        <w:rPr>
          <w:sz w:val="20"/>
          <w:szCs w:val="20"/>
          <w:color w:val="auto"/>
        </w:rPr>
      </w:pPr>
      <w:r>
        <w:rPr>
          <w:rFonts w:ascii="Arial" w:cs="Arial" w:eastAsia="Arial" w:hAnsi="Arial"/>
          <w:sz w:val="14"/>
          <w:szCs w:val="14"/>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Statements of Cash Flows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primary sources and uses of cash and cash equivalents for each of the periods presented below:</w:t>
      </w:r>
    </w:p>
    <w:p>
      <w:pPr>
        <w:spacing w:after="0" w:line="204" w:lineRule="exact"/>
        <w:rPr>
          <w:sz w:val="20"/>
          <w:szCs w:val="20"/>
          <w:color w:val="auto"/>
        </w:rPr>
      </w:pPr>
    </w:p>
    <w:p>
      <w:pPr>
        <w:jc w:val="center"/>
        <w:ind w:left="8300"/>
        <w:spacing w:after="0"/>
        <w:rPr>
          <w:sz w:val="20"/>
          <w:szCs w:val="20"/>
          <w:color w:val="auto"/>
        </w:rPr>
      </w:pPr>
      <w:r>
        <w:rPr>
          <w:rFonts w:ascii="Arial" w:cs="Arial" w:eastAsia="Arial" w:hAnsi="Arial"/>
          <w:sz w:val="11"/>
          <w:szCs w:val="11"/>
          <w:b w:val="1"/>
          <w:bCs w:val="1"/>
          <w:color w:val="auto"/>
        </w:rPr>
        <w:t>Six Months Ended</w:t>
      </w:r>
    </w:p>
    <w:p>
      <w:pPr>
        <w:spacing w:after="0" w:line="2" w:lineRule="exact"/>
        <w:rPr>
          <w:sz w:val="20"/>
          <w:szCs w:val="20"/>
          <w:color w:val="auto"/>
        </w:rPr>
      </w:pPr>
    </w:p>
    <w:p>
      <w:pPr>
        <w:jc w:val="center"/>
        <w:ind w:left="830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8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2"/>
                <w:szCs w:val="12"/>
                <w:color w:val="auto"/>
              </w:rPr>
            </w:pPr>
          </w:p>
        </w:tc>
      </w:tr>
      <w:tr>
        <w:trPr>
          <w:trHeight w:val="17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8"/>
        </w:trPr>
        <w:tc>
          <w:tcPr>
            <w:tcW w:w="8320" w:type="dxa"/>
            <w:vAlign w:val="bottom"/>
          </w:tcPr>
          <w:p>
            <w:pPr>
              <w:ind w:left="280"/>
              <w:spacing w:after="0"/>
              <w:rPr>
                <w:sz w:val="20"/>
                <w:szCs w:val="20"/>
                <w:color w:val="auto"/>
              </w:rPr>
            </w:pPr>
            <w:r>
              <w:rPr>
                <w:rFonts w:ascii="Arial" w:cs="Arial" w:eastAsia="Arial" w:hAnsi="Arial"/>
                <w:sz w:val="13"/>
                <w:szCs w:val="13"/>
                <w:color w:val="auto"/>
              </w:rPr>
              <w:t>Operating activities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(19,545)</w:t>
            </w:r>
          </w:p>
        </w:tc>
        <w:tc>
          <w:tcPr>
            <w:tcW w:w="100" w:type="dxa"/>
            <w:vAlign w:val="bottom"/>
          </w:tcPr>
          <w:p>
            <w:pPr>
              <w:spacing w:after="0"/>
              <w:rPr>
                <w:sz w:val="14"/>
                <w:szCs w:val="14"/>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8,757</w:t>
            </w: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Investing activities</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r>
      <w:tr>
        <w:trPr>
          <w:trHeight w:val="168"/>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Financing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93,859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increase in cash and cash equivalents</w:t>
            </w:r>
          </w:p>
        </w:tc>
        <w:tc>
          <w:tcPr>
            <w:tcW w:w="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74,031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Provided by Operating Activities</w:t>
      </w:r>
    </w:p>
    <w:p>
      <w:pPr>
        <w:spacing w:after="0" w:line="179" w:lineRule="exact"/>
        <w:rPr>
          <w:sz w:val="20"/>
          <w:szCs w:val="20"/>
          <w:color w:val="auto"/>
        </w:rPr>
      </w:pPr>
    </w:p>
    <w:p>
      <w:pPr>
        <w:ind w:right="80" w:firstLine="700"/>
        <w:spacing w:after="0" w:line="267" w:lineRule="auto"/>
        <w:rPr>
          <w:sz w:val="20"/>
          <w:szCs w:val="20"/>
          <w:color w:val="auto"/>
        </w:rPr>
      </w:pPr>
      <w:r>
        <w:rPr>
          <w:rFonts w:ascii="Arial" w:cs="Arial" w:eastAsia="Arial" w:hAnsi="Arial"/>
          <w:sz w:val="14"/>
          <w:szCs w:val="14"/>
          <w:color w:val="auto"/>
        </w:rPr>
        <w:t>Net cash used in operating activities was $19.5 million for the six months ended June 30, 2022. We recognized $15.8 million of license fee and collaboration revenue, and received $15.0 million in June 2022 in connection with our China Out-License. In the current six-month period, our cash payments to vendors for our operating activities totaled $26.0 million and payroll-related cash payments (inclusive of 2021 bonus payouts) totaled $9.1 million.</w:t>
      </w:r>
    </w:p>
    <w:p>
      <w:pPr>
        <w:spacing w:after="0" w:line="142" w:lineRule="exact"/>
        <w:rPr>
          <w:sz w:val="20"/>
          <w:szCs w:val="20"/>
          <w:color w:val="auto"/>
        </w:rPr>
      </w:pPr>
    </w:p>
    <w:p>
      <w:pPr>
        <w:ind w:right="100" w:firstLine="700"/>
        <w:spacing w:after="0" w:line="297" w:lineRule="auto"/>
        <w:rPr>
          <w:sz w:val="20"/>
          <w:szCs w:val="20"/>
          <w:color w:val="auto"/>
        </w:rPr>
      </w:pPr>
      <w:r>
        <w:rPr>
          <w:rFonts w:ascii="Arial" w:cs="Arial" w:eastAsia="Arial" w:hAnsi="Arial"/>
          <w:sz w:val="13"/>
          <w:szCs w:val="13"/>
          <w:color w:val="auto"/>
        </w:rPr>
        <w:t>Net cash provided by operating activities was $8.8 million for the three months ended June 30, 2021. We recognized $55.4 million of license fee and collaboration revenue, though we received $35.0 million in cash from the China Out-License in the prior year period. Our cash payments to vendors for our operating activities totaled $17.4 million and payroll-related cash payments (inclusive of 2020 bonus payouts) totaled $4.6 million. In addition, we made contractual payments of $4.5 million under our in-license agreements for lotilaner.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Investing Activities</w:t>
      </w:r>
    </w:p>
    <w:p>
      <w:pPr>
        <w:spacing w:after="0" w:line="179"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Net cash used in investing activities was $0.3 million for the six months ended June 30, 2022, which primarily consisted of leasehold improvements for our laboratory and administrative offices and various purchases of office equipment.</w:t>
      </w:r>
    </w:p>
    <w:p>
      <w:pPr>
        <w:spacing w:after="0" w:line="132" w:lineRule="exact"/>
        <w:rPr>
          <w:sz w:val="20"/>
          <w:szCs w:val="20"/>
          <w:color w:val="auto"/>
        </w:rPr>
      </w:pPr>
    </w:p>
    <w:p>
      <w:pPr>
        <w:ind w:right="220" w:firstLine="700"/>
        <w:spacing w:after="0" w:line="281" w:lineRule="auto"/>
        <w:rPr>
          <w:sz w:val="20"/>
          <w:szCs w:val="20"/>
          <w:color w:val="auto"/>
        </w:rPr>
      </w:pPr>
      <w:r>
        <w:rPr>
          <w:rFonts w:ascii="Arial" w:cs="Arial" w:eastAsia="Arial" w:hAnsi="Arial"/>
          <w:sz w:val="14"/>
          <w:szCs w:val="14"/>
          <w:color w:val="auto"/>
        </w:rPr>
        <w:t>Net cash used in investing activities was $0.2 million for the six months ended June 30, 2021, which consisted of leasehold improvements for our laboratory and administrative offices and various purchases of property and equipment.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Financing Activities</w:t>
      </w:r>
    </w:p>
    <w:p>
      <w:pPr>
        <w:spacing w:after="0" w:line="179" w:lineRule="exact"/>
        <w:rPr>
          <w:sz w:val="20"/>
          <w:szCs w:val="20"/>
          <w:color w:val="auto"/>
        </w:rPr>
      </w:pPr>
    </w:p>
    <w:p>
      <w:pPr>
        <w:ind w:right="100" w:firstLine="700"/>
        <w:spacing w:after="0" w:line="267" w:lineRule="auto"/>
        <w:rPr>
          <w:sz w:val="20"/>
          <w:szCs w:val="20"/>
          <w:color w:val="auto"/>
        </w:rPr>
      </w:pPr>
      <w:r>
        <w:rPr>
          <w:rFonts w:ascii="Arial" w:cs="Arial" w:eastAsia="Arial" w:hAnsi="Arial"/>
          <w:sz w:val="14"/>
          <w:szCs w:val="14"/>
          <w:color w:val="auto"/>
        </w:rPr>
        <w:t>Net cash provided by financing activities was $93.9 million for the six months ended June 30, 2022, which primarily consisted of (i) $74.6 million of net proceeds from the issuance of common stock upon the Follow-On Public Offering, (ii) $20.0 million of proceeds from the Credit Facility, partially offset by our $0.9 million payment for its issuance costs, and (iii) $0.2 million of proceeds from our employee stock purchase plan.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financing activities was $20 thousand for the six months ended June 30, 2021, and relates to proceeds from the exercise of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Significant Judgments and Use of Estimates</w:t>
      </w:r>
    </w:p>
    <w:p>
      <w:pPr>
        <w:spacing w:after="0" w:line="183" w:lineRule="exact"/>
        <w:rPr>
          <w:sz w:val="20"/>
          <w:szCs w:val="20"/>
          <w:color w:val="auto"/>
        </w:rPr>
      </w:pPr>
    </w:p>
    <w:p>
      <w:pPr>
        <w:jc w:val="both"/>
        <w:ind w:right="440" w:firstLine="700"/>
        <w:spacing w:after="0" w:line="322" w:lineRule="auto"/>
        <w:rPr>
          <w:sz w:val="20"/>
          <w:szCs w:val="20"/>
          <w:color w:val="auto"/>
        </w:rPr>
      </w:pPr>
      <w:r>
        <w:rPr>
          <w:rFonts w:ascii="Arial" w:cs="Arial" w:eastAsia="Arial" w:hAnsi="Arial"/>
          <w:sz w:val="12"/>
          <w:szCs w:val="12"/>
          <w:color w:val="auto"/>
        </w:rPr>
        <w:t>The preparation of our Condensed Financial Statements in conformity with GAAP requires management to make estimates and assumptions that affect the amounts reported in the financial statements and notes to the financial statements. Some of those judgments can be subjective and complex, and therefore, actual results could differ materially from those estimates are different assumptions and conditions. A summary of our critical accounting policies is presented in our filed Annual Report on Form 10-K for the year ended December 31, 2021.</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There were no material changes to our previously reported "Critical Accounting Policies" during the six months ended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3" w:lineRule="exact"/>
        <w:rPr>
          <w:sz w:val="20"/>
          <w:szCs w:val="20"/>
          <w:color w:val="auto"/>
        </w:rPr>
      </w:pPr>
    </w:p>
    <w:p>
      <w:pPr>
        <w:ind w:right="360" w:firstLine="700"/>
        <w:spacing w:after="0" w:line="281" w:lineRule="auto"/>
        <w:rPr>
          <w:sz w:val="20"/>
          <w:szCs w:val="20"/>
          <w:color w:val="auto"/>
        </w:rPr>
      </w:pPr>
      <w:r>
        <w:rPr>
          <w:rFonts w:ascii="Arial" w:cs="Arial" w:eastAsia="Arial" w:hAnsi="Arial"/>
          <w:sz w:val="14"/>
          <w:szCs w:val="14"/>
          <w:color w:val="auto"/>
        </w:rPr>
        <w:t>A description of recent accounting pronouncements that may potentially impact our financial position, results of operations or cash flows are disclosed in the footnote to which each relates within these accompanying Condensed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Since our inception, we have not engaged in any off-balance sheet arrangements, as defined in the rules and regulations of the SEC.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183" w:lineRule="exact"/>
        <w:rPr>
          <w:sz w:val="20"/>
          <w:szCs w:val="20"/>
          <w:color w:val="auto"/>
        </w:rPr>
      </w:pPr>
    </w:p>
    <w:p>
      <w:pPr>
        <w:jc w:val="both"/>
        <w:ind w:right="80" w:firstLine="509"/>
        <w:spacing w:after="0" w:line="267" w:lineRule="auto"/>
        <w:rPr>
          <w:sz w:val="20"/>
          <w:szCs w:val="20"/>
          <w:color w:val="auto"/>
        </w:rPr>
      </w:pPr>
      <w:r>
        <w:rPr>
          <w:rFonts w:ascii="Arial" w:cs="Arial" w:eastAsia="Arial" w:hAnsi="Arial"/>
          <w:sz w:val="14"/>
          <w:szCs w:val="14"/>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w:t>
      </w:r>
    </w:p>
    <w:p>
      <w:pPr>
        <w:spacing w:after="0" w:line="183" w:lineRule="exact"/>
        <w:rPr>
          <w:sz w:val="20"/>
          <w:szCs w:val="20"/>
          <w:color w:val="auto"/>
        </w:rPr>
      </w:pPr>
    </w:p>
    <w:p>
      <w:pPr>
        <w:jc w:val="both"/>
        <w:ind w:firstLine="700"/>
        <w:spacing w:after="0" w:line="267" w:lineRule="auto"/>
        <w:rPr>
          <w:sz w:val="20"/>
          <w:szCs w:val="20"/>
          <w:color w:val="auto"/>
        </w:rPr>
      </w:pPr>
      <w:r>
        <w:rPr>
          <w:rFonts w:ascii="Arial" w:cs="Arial" w:eastAsia="Arial" w:hAnsi="Arial"/>
          <w:sz w:val="14"/>
          <w:szCs w:val="14"/>
          <w:color w:val="auto"/>
        </w:rPr>
        <w:t>The Jumpstart Our Business Startups Act of 2012 (the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42" w:lineRule="exact"/>
        <w:rPr>
          <w:sz w:val="20"/>
          <w:szCs w:val="20"/>
          <w:color w:val="auto"/>
        </w:rPr>
      </w:pPr>
    </w:p>
    <w:p>
      <w:pPr>
        <w:ind w:right="20" w:firstLine="700"/>
        <w:spacing w:after="0" w:line="297" w:lineRule="auto"/>
        <w:rPr>
          <w:sz w:val="20"/>
          <w:szCs w:val="20"/>
          <w:color w:val="auto"/>
        </w:rPr>
      </w:pPr>
      <w:r>
        <w:rPr>
          <w:rFonts w:ascii="Arial" w:cs="Arial" w:eastAsia="Arial" w:hAnsi="Arial"/>
          <w:sz w:val="13"/>
          <w:szCs w:val="13"/>
          <w:color w:val="auto"/>
        </w:rPr>
        <w:t xml:space="preserve">We will remain an emerging growth company until the </w:t>
      </w:r>
      <w:r>
        <w:rPr>
          <w:rFonts w:ascii="Arial" w:cs="Arial" w:eastAsia="Arial" w:hAnsi="Arial"/>
          <w:sz w:val="13"/>
          <w:szCs w:val="13"/>
          <w:i w:val="1"/>
          <w:iCs w:val="1"/>
          <w:color w:val="auto"/>
        </w:rPr>
        <w:t>earliest of</w:t>
      </w:r>
      <w:r>
        <w:rPr>
          <w:rFonts w:ascii="Arial" w:cs="Arial" w:eastAsia="Arial" w:hAnsi="Arial"/>
          <w:sz w:val="13"/>
          <w:szCs w:val="13"/>
          <w:color w:val="auto"/>
        </w:rPr>
        <w:t xml:space="preserve"> (1) the last day of our first fiscal year (a) following the fifth anniversary of the completion of our IPO,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79" w:lineRule="exact"/>
        <w:rPr>
          <w:sz w:val="20"/>
          <w:szCs w:val="20"/>
          <w:color w:val="auto"/>
        </w:rPr>
      </w:pPr>
    </w:p>
    <w:p>
      <w:pPr>
        <w:jc w:val="both"/>
        <w:ind w:right="80" w:firstLine="700"/>
        <w:spacing w:after="0" w:line="262" w:lineRule="auto"/>
        <w:rPr>
          <w:sz w:val="20"/>
          <w:szCs w:val="20"/>
          <w:color w:val="auto"/>
        </w:rPr>
      </w:pPr>
      <w:r>
        <w:rPr>
          <w:rFonts w:ascii="Arial" w:cs="Arial" w:eastAsia="Arial" w:hAnsi="Arial"/>
          <w:sz w:val="14"/>
          <w:szCs w:val="14"/>
          <w:color w:val="auto"/>
        </w:rPr>
        <w:t>The market risk inherent in our financial instruments and in our financial position represents the potential loss arising from adverse changes in interest rates. As of June 30, 2022, we had cash and cash equivalents of $245.4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46" w:lineRule="exact"/>
        <w:rPr>
          <w:sz w:val="20"/>
          <w:szCs w:val="20"/>
          <w:color w:val="auto"/>
        </w:rPr>
      </w:pPr>
    </w:p>
    <w:p>
      <w:pPr>
        <w:jc w:val="both"/>
        <w:ind w:right="180" w:firstLine="700"/>
        <w:spacing w:after="0" w:line="267" w:lineRule="auto"/>
        <w:rPr>
          <w:sz w:val="20"/>
          <w:szCs w:val="20"/>
          <w:color w:val="auto"/>
        </w:rPr>
      </w:pPr>
      <w:r>
        <w:rPr>
          <w:rFonts w:ascii="Arial" w:cs="Arial" w:eastAsia="Arial" w:hAnsi="Arial"/>
          <w:sz w:val="14"/>
          <w:szCs w:val="14"/>
          <w:color w:val="auto"/>
        </w:rPr>
        <w:t xml:space="preserve">As of June 30, 2022, we had $20.0 million of debt principal outstanding. Our Credit Facility bears interest at an annual rate equal to the </w:t>
      </w:r>
      <w:r>
        <w:rPr>
          <w:rFonts w:ascii="Arial" w:cs="Arial" w:eastAsia="Arial" w:hAnsi="Arial"/>
          <w:sz w:val="14"/>
          <w:szCs w:val="14"/>
          <w:i w:val="1"/>
          <w:iCs w:val="1"/>
          <w:color w:val="auto"/>
        </w:rPr>
        <w:t>greater of</w:t>
      </w:r>
      <w:r>
        <w:rPr>
          <w:rFonts w:ascii="Arial" w:cs="Arial" w:eastAsia="Arial" w:hAnsi="Arial"/>
          <w:sz w:val="14"/>
          <w:szCs w:val="14"/>
          <w:color w:val="auto"/>
        </w:rPr>
        <w:t xml:space="preserve"> (i) the Wall Street Journal prime rate </w:t>
      </w:r>
      <w:r>
        <w:rPr>
          <w:rFonts w:ascii="Arial" w:cs="Arial" w:eastAsia="Arial" w:hAnsi="Arial"/>
          <w:sz w:val="14"/>
          <w:szCs w:val="14"/>
          <w:i w:val="1"/>
          <w:iCs w:val="1"/>
          <w:color w:val="auto"/>
        </w:rPr>
        <w:t xml:space="preserve">plus </w:t>
      </w:r>
      <w:r>
        <w:rPr>
          <w:rFonts w:ascii="Arial" w:cs="Arial" w:eastAsia="Arial" w:hAnsi="Arial"/>
          <w:sz w:val="14"/>
          <w:szCs w:val="14"/>
          <w:color w:val="auto"/>
        </w:rPr>
        <w:t>5.20% or (ii) 8.45%; as of June 30, 2022, our resulting interest rate on the Credit Facility is 9.95%. A hypothetical interest rate of 20% would have resulted in reported interest expense of $1.0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and $2.0 million for the three and six months ended June 30, 2022, respectively.</w:t>
      </w:r>
    </w:p>
    <w:p>
      <w:pPr>
        <w:spacing w:after="0" w:line="142" w:lineRule="exact"/>
        <w:rPr>
          <w:sz w:val="20"/>
          <w:szCs w:val="20"/>
          <w:color w:val="auto"/>
        </w:rPr>
      </w:pPr>
    </w:p>
    <w:p>
      <w:pPr>
        <w:ind w:right="160" w:firstLine="700"/>
        <w:spacing w:after="0" w:line="281" w:lineRule="auto"/>
        <w:rPr>
          <w:sz w:val="20"/>
          <w:szCs w:val="20"/>
          <w:color w:val="auto"/>
        </w:rPr>
      </w:pPr>
      <w:r>
        <w:rPr>
          <w:rFonts w:ascii="Arial" w:cs="Arial" w:eastAsia="Arial" w:hAnsi="Arial"/>
          <w:sz w:val="14"/>
          <w:szCs w:val="14"/>
          <w:color w:val="auto"/>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83" w:lineRule="exact"/>
        <w:rPr>
          <w:sz w:val="20"/>
          <w:szCs w:val="20"/>
          <w:color w:val="auto"/>
        </w:rPr>
      </w:pPr>
    </w:p>
    <w:p>
      <w:pPr>
        <w:ind w:right="60" w:firstLine="700"/>
        <w:spacing w:after="0" w:line="258"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has evaluated the effectiveness of our disclosure controls and procedures (as defined in Rules 13a-15(e) and 15d-15(e) under the Exchange Act of 1934, as amended ("Exchange Act")) as of the end of the period covered by this report. Based upon that evaluation, our Chief Executive Officer and Chief Financial Officer concluded that, as of the end of the period covered by this report,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3" w:lineRule="exact"/>
        <w:rPr>
          <w:sz w:val="20"/>
          <w:szCs w:val="20"/>
          <w:color w:val="auto"/>
        </w:rPr>
      </w:pPr>
    </w:p>
    <w:p>
      <w:pPr>
        <w:ind w:right="180" w:firstLine="700"/>
        <w:spacing w:after="0" w:line="281"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Effectiveness of Controls</w:t>
      </w:r>
    </w:p>
    <w:p>
      <w:pPr>
        <w:spacing w:after="0" w:line="183" w:lineRule="exact"/>
        <w:rPr>
          <w:sz w:val="20"/>
          <w:szCs w:val="20"/>
          <w:color w:val="auto"/>
        </w:rPr>
      </w:pPr>
    </w:p>
    <w:p>
      <w:pPr>
        <w:ind w:firstLine="700"/>
        <w:spacing w:after="0" w:line="256" w:lineRule="auto"/>
        <w:rPr>
          <w:sz w:val="20"/>
          <w:szCs w:val="20"/>
          <w:color w:val="auto"/>
        </w:rPr>
      </w:pPr>
      <w:r>
        <w:rPr>
          <w:rFonts w:ascii="Arial" w:cs="Arial" w:eastAsia="Arial" w:hAnsi="Arial"/>
          <w:sz w:val="14"/>
          <w:szCs w:val="14"/>
          <w:color w:val="auto"/>
        </w:rPr>
        <w:t>Our management, including our Chief Executive Officer and Chief Financial Officer, do not expect that our disclosure controls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II—OTHER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83" w:lineRule="exact"/>
        <w:rPr>
          <w:sz w:val="20"/>
          <w:szCs w:val="20"/>
          <w:color w:val="auto"/>
        </w:rPr>
      </w:pPr>
    </w:p>
    <w:p>
      <w:pPr>
        <w:ind w:firstLine="700"/>
        <w:spacing w:after="0" w:line="368" w:lineRule="auto"/>
        <w:rPr>
          <w:sz w:val="20"/>
          <w:szCs w:val="20"/>
          <w:color w:val="auto"/>
        </w:rPr>
      </w:pPr>
      <w:r>
        <w:rPr>
          <w:rFonts w:ascii="Arial" w:cs="Arial" w:eastAsia="Arial" w:hAnsi="Arial"/>
          <w:sz w:val="12"/>
          <w:szCs w:val="12"/>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93" w:lineRule="exact"/>
        <w:rPr>
          <w:sz w:val="20"/>
          <w:szCs w:val="20"/>
          <w:color w:val="auto"/>
        </w:rPr>
      </w:pPr>
    </w:p>
    <w:p>
      <w:pPr>
        <w:ind w:right="100" w:firstLine="700"/>
        <w:spacing w:after="0" w:line="265" w:lineRule="auto"/>
        <w:rPr>
          <w:sz w:val="20"/>
          <w:szCs w:val="20"/>
          <w:color w:val="auto"/>
        </w:rPr>
      </w:pPr>
      <w:r>
        <w:rPr>
          <w:rFonts w:ascii="Arial" w:cs="Arial" w:eastAsia="Arial" w:hAnsi="Arial"/>
          <w:sz w:val="14"/>
          <w:szCs w:val="14"/>
          <w:color w:val="auto"/>
        </w:rPr>
        <w:t>As of the date of this filing, there have been no material changes to the risk factors included in our Annual Report on Form 10-K for the year ended December 31, 2021, as filed with the SEC on March 14, 2022, as updated by our Quarterly Report on Form 10-Q for the quarter ended March 31, 2022, filed on May 11, 2022.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Initial Public Offering</w:t>
      </w:r>
    </w:p>
    <w:p>
      <w:pPr>
        <w:spacing w:after="0" w:line="193" w:lineRule="exact"/>
        <w:rPr>
          <w:sz w:val="20"/>
          <w:szCs w:val="20"/>
          <w:color w:val="auto"/>
        </w:rPr>
      </w:pPr>
    </w:p>
    <w:p>
      <w:pPr>
        <w:ind w:right="100" w:firstLine="700"/>
        <w:spacing w:after="0" w:line="304" w:lineRule="auto"/>
        <w:rPr>
          <w:sz w:val="20"/>
          <w:szCs w:val="20"/>
          <w:color w:val="auto"/>
        </w:rPr>
      </w:pPr>
      <w:r>
        <w:rPr>
          <w:rFonts w:ascii="Arial" w:cs="Arial" w:eastAsia="Arial" w:hAnsi="Arial"/>
          <w:sz w:val="13"/>
          <w:szCs w:val="13"/>
          <w:color w:val="auto"/>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4540" w:type="dxa"/>
            <w:vAlign w:val="bottom"/>
            <w:vMerge w:val="restart"/>
          </w:tcPr>
          <w:p>
            <w:pPr>
              <w:ind w:left="2560"/>
              <w:spacing w:after="0"/>
              <w:rPr>
                <w:sz w:val="20"/>
                <w:szCs w:val="20"/>
                <w:color w:val="auto"/>
              </w:rPr>
            </w:pPr>
            <w:r>
              <w:rPr>
                <w:rFonts w:ascii="Arial" w:cs="Arial" w:eastAsia="Arial" w:hAnsi="Arial"/>
                <w:sz w:val="11"/>
                <w:szCs w:val="11"/>
                <w:b w:val="1"/>
                <w:bCs w:val="1"/>
                <w:color w:val="auto"/>
              </w:rPr>
              <w:t>Description</w:t>
            </w:r>
          </w:p>
        </w:tc>
        <w:tc>
          <w:tcPr>
            <w:tcW w:w="1920" w:type="dxa"/>
            <w:vAlign w:val="bottom"/>
            <w:vMerge w:val="restart"/>
          </w:tcPr>
          <w:p>
            <w:pPr>
              <w:ind w:left="1420"/>
              <w:spacing w:after="0"/>
              <w:rPr>
                <w:sz w:val="20"/>
                <w:szCs w:val="20"/>
                <w:color w:val="auto"/>
              </w:rPr>
            </w:pPr>
            <w:r>
              <w:rPr>
                <w:rFonts w:ascii="Arial" w:cs="Arial" w:eastAsia="Arial" w:hAnsi="Arial"/>
                <w:sz w:val="11"/>
                <w:szCs w:val="11"/>
                <w:b w:val="1"/>
                <w:bCs w:val="1"/>
                <w:color w:val="auto"/>
              </w:rPr>
              <w:t>Form</w:t>
            </w:r>
          </w:p>
        </w:tc>
        <w:tc>
          <w:tcPr>
            <w:tcW w:w="9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File Number</w:t>
            </w:r>
          </w:p>
        </w:tc>
        <w:tc>
          <w:tcPr>
            <w:tcW w:w="1200" w:type="dxa"/>
            <w:vAlign w:val="bottom"/>
          </w:tcPr>
          <w:p>
            <w:pPr>
              <w:jc w:val="center"/>
              <w:ind w:right="3"/>
              <w:spacing w:after="0"/>
              <w:rPr>
                <w:sz w:val="20"/>
                <w:szCs w:val="20"/>
                <w:color w:val="auto"/>
              </w:rPr>
            </w:pPr>
            <w:r>
              <w:rPr>
                <w:rFonts w:ascii="Arial" w:cs="Arial" w:eastAsia="Arial" w:hAnsi="Arial"/>
                <w:sz w:val="11"/>
                <w:szCs w:val="11"/>
                <w:b w:val="1"/>
                <w:bCs w:val="1"/>
                <w:color w:val="auto"/>
                <w:w w:val="93"/>
              </w:rPr>
              <w:t>Incorporated by</w:t>
            </w: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Date</w:t>
            </w:r>
          </w:p>
        </w:tc>
        <w:tc>
          <w:tcPr>
            <w:tcW w:w="10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153"/>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3"/>
                <w:szCs w:val="13"/>
                <w:color w:val="auto"/>
              </w:rPr>
            </w:pPr>
          </w:p>
        </w:tc>
        <w:tc>
          <w:tcPr>
            <w:tcW w:w="4540" w:type="dxa"/>
            <w:vAlign w:val="bottom"/>
            <w:tcBorders>
              <w:bottom w:val="single" w:sz="8" w:color="auto"/>
            </w:tcBorders>
            <w:vMerge w:val="continue"/>
          </w:tcPr>
          <w:p>
            <w:pPr>
              <w:spacing w:after="0"/>
              <w:rPr>
                <w:sz w:val="13"/>
                <w:szCs w:val="13"/>
                <w:color w:val="auto"/>
              </w:rPr>
            </w:pPr>
          </w:p>
        </w:tc>
        <w:tc>
          <w:tcPr>
            <w:tcW w:w="19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w w:val="92"/>
              </w:rPr>
              <w:t>Reference Exhibit</w:t>
            </w:r>
          </w:p>
        </w:tc>
        <w:tc>
          <w:tcPr>
            <w:tcW w:w="64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9" w:right="31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10.1†</w:t>
            </w:r>
          </w:p>
        </w:tc>
        <w:tc>
          <w:tcPr>
            <w:tcW w:w="544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7"/>
              </w:rPr>
              <w:t>Amended and Restated License Agreement, dated June 3, 2022, by and between the Registrant and Elanco</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5480" w:type="dxa"/>
            <w:vAlign w:val="bottom"/>
            <w:gridSpan w:val="8"/>
          </w:tcPr>
          <w:p>
            <w:pPr>
              <w:spacing w:after="0" w:line="129" w:lineRule="exact"/>
              <w:rPr>
                <w:sz w:val="20"/>
                <w:szCs w:val="20"/>
                <w:color w:val="auto"/>
              </w:rPr>
            </w:pPr>
            <w:r>
              <w:rPr>
                <w:rFonts w:ascii="Arial" w:cs="Arial" w:eastAsia="Arial" w:hAnsi="Arial"/>
                <w:sz w:val="13"/>
                <w:szCs w:val="13"/>
                <w:color w:val="0000FF"/>
              </w:rPr>
              <w:t>Tiergesundheit AG.</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10.2 †^</w:t>
            </w:r>
          </w:p>
        </w:tc>
        <w:tc>
          <w:tcPr>
            <w:tcW w:w="10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vMerge w:val="continue"/>
          </w:tcPr>
          <w:p>
            <w:pPr>
              <w:spacing w:after="0"/>
              <w:rPr>
                <w:sz w:val="15"/>
                <w:szCs w:val="15"/>
                <w:color w:val="auto"/>
              </w:rPr>
            </w:pPr>
          </w:p>
        </w:tc>
        <w:tc>
          <w:tcPr>
            <w:tcW w:w="544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7"/>
              </w:rPr>
              <w:t>Amended and Restated License Agreement, dated June 3, 2022, by and between the Registrant and Elanco</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5480" w:type="dxa"/>
            <w:vAlign w:val="bottom"/>
            <w:gridSpan w:val="8"/>
          </w:tcPr>
          <w:p>
            <w:pPr>
              <w:spacing w:after="0" w:line="129" w:lineRule="exact"/>
              <w:rPr>
                <w:sz w:val="20"/>
                <w:szCs w:val="20"/>
                <w:color w:val="auto"/>
              </w:rPr>
            </w:pPr>
            <w:r>
              <w:rPr>
                <w:rFonts w:ascii="Arial" w:cs="Arial" w:eastAsia="Arial" w:hAnsi="Arial"/>
                <w:sz w:val="13"/>
                <w:szCs w:val="13"/>
                <w:color w:val="0000FF"/>
              </w:rPr>
              <w:t>Tiergesundheit AG.</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tcPr>
          <w:p>
            <w:pPr>
              <w:spacing w:after="0"/>
              <w:rPr>
                <w:sz w:val="20"/>
                <w:szCs w:val="20"/>
                <w:color w:val="auto"/>
              </w:rPr>
            </w:pPr>
            <w:r>
              <w:rPr>
                <w:rFonts w:ascii="Arial" w:cs="Arial" w:eastAsia="Arial" w:hAnsi="Arial"/>
                <w:sz w:val="13"/>
                <w:szCs w:val="13"/>
                <w:color w:val="auto"/>
              </w:rPr>
              <w:t>31.1</w:t>
            </w:r>
          </w:p>
        </w:tc>
        <w:tc>
          <w:tcPr>
            <w:tcW w:w="5480" w:type="dxa"/>
            <w:vAlign w:val="bottom"/>
            <w:gridSpan w:val="8"/>
          </w:tcPr>
          <w:p>
            <w:pPr>
              <w:spacing w:after="0"/>
              <w:rPr>
                <w:sz w:val="20"/>
                <w:szCs w:val="20"/>
                <w:color w:val="auto"/>
              </w:rPr>
            </w:pPr>
            <w:r>
              <w:rPr>
                <w:rFonts w:ascii="Arial" w:cs="Arial" w:eastAsia="Arial" w:hAnsi="Arial"/>
                <w:sz w:val="13"/>
                <w:szCs w:val="13"/>
                <w:color w:val="0000FF"/>
                <w:w w:val="8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60" w:type="dxa"/>
            <w:vAlign w:val="bottom"/>
            <w:tcBorders>
              <w:top w:val="single" w:sz="8" w:color="0000FF"/>
            </w:tcBorders>
            <w:gridSpan w:val="7"/>
          </w:tcPr>
          <w:p>
            <w:pPr>
              <w:spacing w:after="0" w:line="107" w:lineRule="exact"/>
              <w:rPr>
                <w:sz w:val="20"/>
                <w:szCs w:val="20"/>
                <w:color w:val="auto"/>
              </w:rPr>
            </w:pPr>
            <w:r>
              <w:rPr>
                <w:rFonts w:ascii="Arial" w:cs="Arial" w:eastAsia="Arial" w:hAnsi="Arial"/>
                <w:sz w:val="12"/>
                <w:szCs w:val="12"/>
                <w:color w:val="0000FF"/>
              </w:rPr>
              <w:t>Exchange Act of 1934, as Adopted Pursuant to Section 302 of the Sarbanes-Oxley Act of 2002.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31.2</w:t>
            </w:r>
          </w:p>
        </w:tc>
        <w:tc>
          <w:tcPr>
            <w:tcW w:w="5480" w:type="dxa"/>
            <w:vAlign w:val="bottom"/>
            <w:gridSpan w:val="8"/>
          </w:tcPr>
          <w:p>
            <w:pPr>
              <w:spacing w:after="0"/>
              <w:rPr>
                <w:sz w:val="20"/>
                <w:szCs w:val="20"/>
                <w:color w:val="auto"/>
              </w:rPr>
            </w:pPr>
            <w:r>
              <w:rPr>
                <w:rFonts w:ascii="Arial" w:cs="Arial" w:eastAsia="Arial" w:hAnsi="Arial"/>
                <w:sz w:val="13"/>
                <w:szCs w:val="13"/>
                <w:color w:val="0000FF"/>
                <w:w w:val="90"/>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20" w:type="dxa"/>
            <w:vAlign w:val="bottom"/>
            <w:tcBorders>
              <w:top w:val="single" w:sz="8" w:color="0000FF"/>
            </w:tcBorders>
            <w:gridSpan w:val="5"/>
          </w:tcPr>
          <w:p>
            <w:pPr>
              <w:spacing w:after="0" w:line="107" w:lineRule="exact"/>
              <w:rPr>
                <w:sz w:val="20"/>
                <w:szCs w:val="20"/>
                <w:color w:val="auto"/>
              </w:rPr>
            </w:pPr>
            <w:r>
              <w:rPr>
                <w:rFonts w:ascii="Arial" w:cs="Arial" w:eastAsia="Arial" w:hAnsi="Arial"/>
                <w:sz w:val="12"/>
                <w:szCs w:val="12"/>
                <w:color w:val="0000FF"/>
              </w:rPr>
              <w:t>Exchange Act of 1934, as Adopted Pursuant to Section 302 of the Sarbanes-Oxley Act of 2002.</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32.1*</w:t>
            </w:r>
          </w:p>
        </w:tc>
        <w:tc>
          <w:tcPr>
            <w:tcW w:w="5480" w:type="dxa"/>
            <w:vAlign w:val="bottom"/>
            <w:gridSpan w:val="8"/>
          </w:tcPr>
          <w:p>
            <w:pPr>
              <w:spacing w:after="0"/>
              <w:rPr>
                <w:sz w:val="20"/>
                <w:szCs w:val="20"/>
                <w:color w:val="auto"/>
              </w:rPr>
            </w:pPr>
            <w:r>
              <w:rPr>
                <w:rFonts w:ascii="Arial" w:cs="Arial" w:eastAsia="Arial" w:hAnsi="Arial"/>
                <w:sz w:val="13"/>
                <w:szCs w:val="13"/>
                <w:color w:val="0000FF"/>
                <w:w w:val="92"/>
              </w:rPr>
              <w:t>Certification of Principal Executive Officer Pursuant to 18 U.S.C. Section 1350, as Adopted Pursuant to</w:t>
            </w: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00" w:type="dxa"/>
            <w:vAlign w:val="bottom"/>
            <w:tcBorders>
              <w:top w:val="single" w:sz="8" w:color="0000FF"/>
            </w:tcBorders>
            <w:gridSpan w:val="4"/>
          </w:tcPr>
          <w:p>
            <w:pPr>
              <w:spacing w:after="0" w:line="107" w:lineRule="exact"/>
              <w:rPr>
                <w:sz w:val="20"/>
                <w:szCs w:val="20"/>
                <w:color w:val="auto"/>
              </w:rPr>
            </w:pPr>
            <w:r>
              <w:rPr>
                <w:rFonts w:ascii="Arial" w:cs="Arial" w:eastAsia="Arial" w:hAnsi="Arial"/>
                <w:sz w:val="12"/>
                <w:szCs w:val="12"/>
                <w:color w:val="0000FF"/>
              </w:rPr>
              <w:t>Section 906 of the Sarbanes-Oxley Act of 2002.</w:t>
            </w:r>
          </w:p>
        </w:tc>
        <w:tc>
          <w:tcPr>
            <w:tcW w:w="1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91" w:lineRule="exact"/>
        <w:rPr>
          <w:sz w:val="20"/>
          <w:szCs w:val="20"/>
          <w:color w:val="auto"/>
        </w:rPr>
      </w:pPr>
    </w:p>
    <w:p>
      <w:pPr>
        <w:sectPr>
          <w:pgSz w:w="11900" w:h="16838" w:orient="portrait"/>
          <w:cols w:equalWidth="0" w:num="2">
            <w:col w:w="10080" w:space="720"/>
            <w:col w:w="480"/>
          </w:cols>
          <w:pgMar w:left="300" w:top="129" w:right="319" w:bottom="1440" w:gutter="0" w:footer="0" w:header="0"/>
          <w:type w:val="continuous"/>
        </w:sectPr>
      </w:pPr>
    </w:p>
    <w:tbl>
      <w:tblPr>
        <w:tblLayout w:type="fixed"/>
        <w:tblInd w:w="2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32.2*</w:t>
            </w:r>
          </w:p>
        </w:tc>
        <w:tc>
          <w:tcPr>
            <w:tcW w:w="7680" w:type="dxa"/>
            <w:vAlign w:val="bottom"/>
            <w:gridSpan w:val="3"/>
          </w:tcPr>
          <w:p>
            <w:pPr>
              <w:spacing w:after="0"/>
              <w:rPr>
                <w:sz w:val="20"/>
                <w:szCs w:val="20"/>
                <w:color w:val="auto"/>
              </w:rPr>
            </w:pPr>
            <w:r>
              <w:rPr>
                <w:rFonts w:ascii="Arial" w:cs="Arial" w:eastAsia="Arial" w:hAnsi="Arial"/>
                <w:sz w:val="13"/>
                <w:szCs w:val="13"/>
                <w:color w:val="0000FF"/>
              </w:rPr>
              <w:t>Certification of Principal Financial Officer Pursuant to 18 U.S.C. Section 1350, as Adopted Pursuant to</w:t>
            </w:r>
          </w:p>
        </w:tc>
        <w:tc>
          <w:tcPr>
            <w:tcW w:w="2180" w:type="dxa"/>
            <w:vAlign w:val="bottom"/>
            <w:vMerge w:val="restart"/>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5260" w:type="dxa"/>
            <w:vAlign w:val="bottom"/>
            <w:tcBorders>
              <w:top w:val="single" w:sz="8" w:color="0000FF"/>
            </w:tcBorders>
            <w:gridSpan w:val="2"/>
            <w:vMerge w:val="restart"/>
          </w:tcPr>
          <w:p>
            <w:pPr>
              <w:spacing w:after="0" w:line="107" w:lineRule="exact"/>
              <w:rPr>
                <w:sz w:val="20"/>
                <w:szCs w:val="20"/>
                <w:color w:val="auto"/>
              </w:rPr>
            </w:pPr>
            <w:r>
              <w:rPr>
                <w:rFonts w:ascii="Arial" w:cs="Arial" w:eastAsia="Arial" w:hAnsi="Arial"/>
                <w:sz w:val="12"/>
                <w:szCs w:val="12"/>
                <w:color w:val="0000FF"/>
              </w:rPr>
              <w:t>Section 906 of the Sarbanes-Oxley Act of 2002.</w:t>
            </w:r>
          </w:p>
        </w:tc>
        <w:tc>
          <w:tcPr>
            <w:tcW w:w="2420" w:type="dxa"/>
            <w:vAlign w:val="bottom"/>
            <w:vMerge w:val="restart"/>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000" w:type="dxa"/>
            <w:vAlign w:val="bottom"/>
          </w:tcPr>
          <w:p>
            <w:pPr>
              <w:spacing w:after="0"/>
              <w:rPr>
                <w:sz w:val="3"/>
                <w:szCs w:val="3"/>
                <w:color w:val="auto"/>
              </w:rPr>
            </w:pPr>
          </w:p>
        </w:tc>
        <w:tc>
          <w:tcPr>
            <w:tcW w:w="5260" w:type="dxa"/>
            <w:vAlign w:val="bottom"/>
            <w:gridSpan w:val="2"/>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00" w:type="dxa"/>
            <w:vAlign w:val="bottom"/>
          </w:tcPr>
          <w:p>
            <w:pPr>
              <w:spacing w:after="0" w:line="143" w:lineRule="exact"/>
              <w:rPr>
                <w:sz w:val="20"/>
                <w:szCs w:val="20"/>
                <w:color w:val="auto"/>
              </w:rPr>
            </w:pPr>
            <w:r>
              <w:rPr>
                <w:rFonts w:ascii="Arial" w:cs="Arial" w:eastAsia="Arial" w:hAnsi="Arial"/>
                <w:sz w:val="13"/>
                <w:szCs w:val="13"/>
                <w:color w:val="auto"/>
              </w:rPr>
              <w:t>101.INS</w:t>
            </w:r>
          </w:p>
        </w:tc>
        <w:tc>
          <w:tcPr>
            <w:tcW w:w="7680" w:type="dxa"/>
            <w:vAlign w:val="bottom"/>
            <w:gridSpan w:val="3"/>
          </w:tcPr>
          <w:p>
            <w:pPr>
              <w:spacing w:after="0" w:line="143" w:lineRule="exact"/>
              <w:rPr>
                <w:sz w:val="20"/>
                <w:szCs w:val="20"/>
                <w:color w:val="auto"/>
              </w:rPr>
            </w:pPr>
            <w:r>
              <w:rPr>
                <w:rFonts w:ascii="Arial" w:cs="Arial" w:eastAsia="Arial" w:hAnsi="Arial"/>
                <w:sz w:val="13"/>
                <w:szCs w:val="13"/>
                <w:color w:val="auto"/>
              </w:rPr>
              <w:t>Inline XBRL Instance Document - The instance document does not appear in the interactive data file because</w:t>
            </w:r>
          </w:p>
        </w:tc>
        <w:tc>
          <w:tcPr>
            <w:tcW w:w="2180" w:type="dxa"/>
            <w:vAlign w:val="bottom"/>
            <w:vMerge w:val="restart"/>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98"/>
        </w:trPr>
        <w:tc>
          <w:tcPr>
            <w:tcW w:w="1000" w:type="dxa"/>
            <w:vAlign w:val="bottom"/>
          </w:tcPr>
          <w:p>
            <w:pPr>
              <w:spacing w:after="0"/>
              <w:rPr>
                <w:sz w:val="8"/>
                <w:szCs w:val="8"/>
                <w:color w:val="auto"/>
              </w:rPr>
            </w:pPr>
          </w:p>
        </w:tc>
        <w:tc>
          <w:tcPr>
            <w:tcW w:w="7680" w:type="dxa"/>
            <w:vAlign w:val="bottom"/>
            <w:gridSpan w:val="3"/>
            <w:vMerge w:val="restart"/>
          </w:tcPr>
          <w:p>
            <w:pPr>
              <w:spacing w:after="0"/>
              <w:rPr>
                <w:sz w:val="20"/>
                <w:szCs w:val="20"/>
                <w:color w:val="auto"/>
              </w:rPr>
            </w:pPr>
            <w:r>
              <w:rPr>
                <w:rFonts w:ascii="Arial" w:cs="Arial" w:eastAsia="Arial" w:hAnsi="Arial"/>
                <w:sz w:val="13"/>
                <w:szCs w:val="13"/>
                <w:color w:val="auto"/>
              </w:rPr>
              <w:t>its XBRL tags are embedded within the inline XBRL document.</w:t>
            </w: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7680" w:type="dxa"/>
            <w:vAlign w:val="bottom"/>
            <w:gridSpan w:val="3"/>
            <w:vMerge w:val="continue"/>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101.SCH</w:t>
            </w:r>
          </w:p>
        </w:tc>
        <w:tc>
          <w:tcPr>
            <w:tcW w:w="7680" w:type="dxa"/>
            <w:vAlign w:val="bottom"/>
            <w:gridSpan w:val="3"/>
          </w:tcPr>
          <w:p>
            <w:pPr>
              <w:spacing w:after="0"/>
              <w:rPr>
                <w:sz w:val="20"/>
                <w:szCs w:val="20"/>
                <w:color w:val="auto"/>
              </w:rPr>
            </w:pPr>
            <w:r>
              <w:rPr>
                <w:rFonts w:ascii="Arial" w:cs="Arial" w:eastAsia="Arial" w:hAnsi="Arial"/>
                <w:sz w:val="13"/>
                <w:szCs w:val="13"/>
                <w:color w:val="auto"/>
              </w:rPr>
              <w:t>Inline XBRL Taxonomy Extension Schema Document.</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101.CAL</w:t>
            </w:r>
          </w:p>
        </w:tc>
        <w:tc>
          <w:tcPr>
            <w:tcW w:w="7680" w:type="dxa"/>
            <w:vAlign w:val="bottom"/>
            <w:gridSpan w:val="3"/>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101.DEF</w:t>
            </w:r>
          </w:p>
        </w:tc>
        <w:tc>
          <w:tcPr>
            <w:tcW w:w="7680" w:type="dxa"/>
            <w:vAlign w:val="bottom"/>
            <w:gridSpan w:val="3"/>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101.LAB</w:t>
            </w:r>
          </w:p>
        </w:tc>
        <w:tc>
          <w:tcPr>
            <w:tcW w:w="7680" w:type="dxa"/>
            <w:vAlign w:val="bottom"/>
            <w:gridSpan w:val="3"/>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101.PRE</w:t>
            </w:r>
          </w:p>
        </w:tc>
        <w:tc>
          <w:tcPr>
            <w:tcW w:w="7680" w:type="dxa"/>
            <w:vAlign w:val="bottom"/>
            <w:gridSpan w:val="3"/>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Arial" w:cs="Arial" w:eastAsia="Arial" w:hAnsi="Arial"/>
                <w:sz w:val="13"/>
                <w:szCs w:val="13"/>
                <w:color w:val="auto"/>
              </w:rPr>
              <w:t>104</w:t>
            </w:r>
          </w:p>
        </w:tc>
        <w:tc>
          <w:tcPr>
            <w:tcW w:w="7680" w:type="dxa"/>
            <w:vAlign w:val="bottom"/>
            <w:gridSpan w:val="3"/>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2180" w:type="dxa"/>
            <w:vAlign w:val="bottom"/>
          </w:tcPr>
          <w:p>
            <w:pPr>
              <w:ind w:left="210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80" w:right="80" w:hanging="661"/>
        <w:spacing w:after="0" w:line="222" w:lineRule="auto"/>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0" w:lineRule="exact"/>
        <w:rPr>
          <w:sz w:val="20"/>
          <w:szCs w:val="20"/>
          <w:color w:val="auto"/>
        </w:rPr>
      </w:pPr>
    </w:p>
    <w:p>
      <w:pPr>
        <w:ind w:left="680" w:right="180" w:hanging="661"/>
        <w:spacing w:after="0" w:line="231" w:lineRule="auto"/>
        <w:tabs>
          <w:tab w:leader="none" w:pos="68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9" w:lineRule="exact"/>
        <w:rPr>
          <w:sz w:val="20"/>
          <w:szCs w:val="20"/>
          <w:color w:val="auto"/>
        </w:rPr>
      </w:pPr>
    </w:p>
    <w:p>
      <w:pPr>
        <w:ind w:left="680" w:right="220" w:hanging="661"/>
        <w:spacing w:after="0" w:line="231" w:lineRule="auto"/>
        <w:tabs>
          <w:tab w:leader="none" w:pos="68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Pursuant to Item 601(a)(5) of Regulation S-K, certain exhibits and schedules have been omitted. The Company hereby undertakes to furnish supplementally a copy of any omitted exhibit or schedule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thereunto duly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authorized.</w:t>
      </w:r>
    </w:p>
    <w:p>
      <w:pPr>
        <w:sectPr>
          <w:pgSz w:w="11900" w:h="16838" w:orient="portrait"/>
          <w:cols w:equalWidth="0" w:num="1">
            <w:col w:w="11180"/>
          </w:cols>
          <w:pgMar w:left="300" w:top="12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80"/>
        <w:spacing w:after="0"/>
        <w:tabs>
          <w:tab w:leader="none" w:pos="28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80"/>
        <w:spacing w:after="0"/>
        <w:tabs>
          <w:tab w:leader="none" w:pos="28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11, 2022</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TARSUS PHARMACEUTICALS, INC.</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33889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889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Bobak Azamian, M.D., Ph.D.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(Principal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33889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889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Leonard M. Greenstein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240" w:space="720"/>
            <w:col w:w="5220"/>
          </w:cols>
          <w:pgMar w:left="300" w:top="12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180"/>
          </w:cols>
          <w:pgMar w:left="300" w:top="129" w:right="419" w:bottom="144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304165</wp:posOffset>
            </wp:positionV>
            <wp:extent cx="650748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748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9733915</wp:posOffset>
            </wp:positionV>
            <wp:extent cx="650748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748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426085</wp:posOffset>
            </wp:positionV>
            <wp:extent cx="650748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31.1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0860" w:type="dxa"/>
            <w:vAlign w:val="bottom"/>
          </w:tcPr>
          <w:p>
            <w:pPr>
              <w:jc w:val="center"/>
              <w:ind w:left="116"/>
              <w:spacing w:after="0"/>
              <w:rPr>
                <w:sz w:val="20"/>
                <w:szCs w:val="20"/>
                <w:color w:val="auto"/>
              </w:rPr>
            </w:pPr>
            <w:r>
              <w:rPr>
                <w:rFonts w:ascii="Arial" w:cs="Arial" w:eastAsia="Arial" w:hAnsi="Arial"/>
                <w:sz w:val="13"/>
                <w:szCs w:val="13"/>
                <w:color w:val="auto"/>
                <w:w w:val="93"/>
              </w:rPr>
              <w:t>CERTIFICATION PURSUANT TO</w:t>
            </w:r>
          </w:p>
        </w:tc>
      </w:tr>
      <w:tr>
        <w:trPr>
          <w:trHeight w:val="138"/>
        </w:trPr>
        <w:tc>
          <w:tcPr>
            <w:tcW w:w="120" w:type="dxa"/>
            <w:vAlign w:val="bottom"/>
          </w:tcPr>
          <w:p>
            <w:pPr>
              <w:spacing w:after="0"/>
              <w:rPr>
                <w:sz w:val="11"/>
                <w:szCs w:val="11"/>
                <w:color w:val="auto"/>
              </w:rPr>
            </w:pPr>
          </w:p>
        </w:tc>
        <w:tc>
          <w:tcPr>
            <w:tcW w:w="10860" w:type="dxa"/>
            <w:vAlign w:val="bottom"/>
          </w:tcPr>
          <w:p>
            <w:pPr>
              <w:jc w:val="center"/>
              <w:ind w:left="116"/>
              <w:spacing w:after="0" w:line="138" w:lineRule="exact"/>
              <w:rPr>
                <w:sz w:val="20"/>
                <w:szCs w:val="20"/>
                <w:color w:val="auto"/>
              </w:rPr>
            </w:pPr>
            <w:r>
              <w:rPr>
                <w:rFonts w:ascii="Arial" w:cs="Arial" w:eastAsia="Arial" w:hAnsi="Arial"/>
                <w:sz w:val="13"/>
                <w:szCs w:val="13"/>
                <w:color w:val="auto"/>
                <w:w w:val="92"/>
              </w:rPr>
              <w:t>RULES 13a-14(a) AND 15d-14(a) UNDER THE SECURITIES EXCHANGE ACT OF 1934,</w:t>
            </w:r>
          </w:p>
        </w:tc>
      </w:tr>
      <w:tr>
        <w:trPr>
          <w:trHeight w:val="161"/>
        </w:trPr>
        <w:tc>
          <w:tcPr>
            <w:tcW w:w="120" w:type="dxa"/>
            <w:vAlign w:val="bottom"/>
          </w:tcPr>
          <w:p>
            <w:pPr>
              <w:spacing w:after="0"/>
              <w:rPr>
                <w:sz w:val="14"/>
                <w:szCs w:val="14"/>
                <w:color w:val="auto"/>
              </w:rPr>
            </w:pPr>
          </w:p>
        </w:tc>
        <w:tc>
          <w:tcPr>
            <w:tcW w:w="10860" w:type="dxa"/>
            <w:vAlign w:val="bottom"/>
          </w:tcPr>
          <w:p>
            <w:pPr>
              <w:jc w:val="center"/>
              <w:ind w:left="136"/>
              <w:spacing w:after="0"/>
              <w:rPr>
                <w:sz w:val="20"/>
                <w:szCs w:val="20"/>
                <w:color w:val="auto"/>
              </w:rPr>
            </w:pPr>
            <w:r>
              <w:rPr>
                <w:rFonts w:ascii="Arial" w:cs="Arial" w:eastAsia="Arial" w:hAnsi="Arial"/>
                <w:sz w:val="13"/>
                <w:szCs w:val="13"/>
                <w:color w:val="auto"/>
                <w:w w:val="93"/>
              </w:rPr>
              <w:t>AS ADOPTED PURSUANT TO SECTION 302 OF THE SARBANES-OXLEY ACT OF 2002</w:t>
            </w:r>
          </w:p>
        </w:tc>
      </w:tr>
      <w:tr>
        <w:trPr>
          <w:trHeight w:val="721"/>
        </w:trPr>
        <w:tc>
          <w:tcPr>
            <w:tcW w:w="10980" w:type="dxa"/>
            <w:vAlign w:val="bottom"/>
            <w:gridSpan w:val="2"/>
          </w:tcPr>
          <w:p>
            <w:pPr>
              <w:spacing w:after="0"/>
              <w:rPr>
                <w:sz w:val="20"/>
                <w:szCs w:val="20"/>
                <w:color w:val="auto"/>
              </w:rPr>
            </w:pPr>
            <w:r>
              <w:rPr>
                <w:rFonts w:ascii="Arial" w:cs="Arial" w:eastAsia="Arial" w:hAnsi="Arial"/>
                <w:sz w:val="13"/>
                <w:szCs w:val="13"/>
                <w:color w:val="auto"/>
              </w:rPr>
              <w:t>I, Bobak Azamian, M.D., Ph.D., certify that:</w:t>
            </w:r>
          </w:p>
        </w:tc>
      </w:tr>
      <w:tr>
        <w:trPr>
          <w:trHeight w:val="340"/>
        </w:trPr>
        <w:tc>
          <w:tcPr>
            <w:tcW w:w="120" w:type="dxa"/>
            <w:vAlign w:val="bottom"/>
          </w:tcPr>
          <w:p>
            <w:pPr>
              <w:spacing w:after="0"/>
              <w:rPr>
                <w:sz w:val="20"/>
                <w:szCs w:val="20"/>
                <w:color w:val="auto"/>
              </w:rPr>
            </w:pPr>
            <w:r>
              <w:rPr>
                <w:rFonts w:ascii="Arial" w:cs="Arial" w:eastAsia="Arial" w:hAnsi="Arial"/>
                <w:sz w:val="13"/>
                <w:szCs w:val="13"/>
                <w:color w:val="auto"/>
                <w:w w:val="91"/>
              </w:rPr>
              <w:t>1.</w:t>
            </w:r>
          </w:p>
        </w:tc>
        <w:tc>
          <w:tcPr>
            <w:tcW w:w="10860" w:type="dxa"/>
            <w:vAlign w:val="bottom"/>
          </w:tcPr>
          <w:p>
            <w:pPr>
              <w:ind w:left="20"/>
              <w:spacing w:after="0"/>
              <w:rPr>
                <w:sz w:val="20"/>
                <w:szCs w:val="20"/>
                <w:color w:val="auto"/>
              </w:rPr>
            </w:pPr>
            <w:r>
              <w:rPr>
                <w:rFonts w:ascii="Arial" w:cs="Arial" w:eastAsia="Arial" w:hAnsi="Arial"/>
                <w:sz w:val="13"/>
                <w:szCs w:val="13"/>
                <w:color w:val="auto"/>
              </w:rPr>
              <w:t>I have reviewed this Quarterly Report on Form 10-Q of Tarsus Pharmaceuticals, Inc;</w:t>
            </w:r>
          </w:p>
        </w:tc>
      </w:tr>
      <w:tr>
        <w:trPr>
          <w:trHeight w:val="178"/>
        </w:trPr>
        <w:tc>
          <w:tcPr>
            <w:tcW w:w="120" w:type="dxa"/>
            <w:vAlign w:val="bottom"/>
          </w:tcPr>
          <w:p>
            <w:pPr>
              <w:spacing w:after="0"/>
              <w:rPr>
                <w:sz w:val="20"/>
                <w:szCs w:val="20"/>
                <w:color w:val="auto"/>
              </w:rPr>
            </w:pPr>
            <w:r>
              <w:rPr>
                <w:rFonts w:ascii="Arial" w:cs="Arial" w:eastAsia="Arial" w:hAnsi="Arial"/>
                <w:sz w:val="13"/>
                <w:szCs w:val="13"/>
                <w:color w:val="auto"/>
                <w:w w:val="91"/>
              </w:rPr>
              <w:t>2.</w:t>
            </w:r>
          </w:p>
        </w:tc>
        <w:tc>
          <w:tcPr>
            <w:tcW w:w="10860" w:type="dxa"/>
            <w:vAlign w:val="bottom"/>
          </w:tcPr>
          <w:p>
            <w:pPr>
              <w:ind w:left="20"/>
              <w:spacing w:after="0"/>
              <w:rPr>
                <w:sz w:val="20"/>
                <w:szCs w:val="20"/>
                <w:color w:val="auto"/>
              </w:rPr>
            </w:pPr>
            <w:r>
              <w:rPr>
                <w:rFonts w:ascii="Arial" w:cs="Arial" w:eastAsia="Arial" w:hAnsi="Arial"/>
                <w:sz w:val="13"/>
                <w:szCs w:val="13"/>
                <w:color w:val="auto"/>
                <w:w w:val="88"/>
              </w:rPr>
              <w:t>Based on my knowledge, this report does not contain any untrue statement of a material fact or omit to state a material fact   necessary to make the statements made, in light of the circumstances under which such</w:t>
            </w:r>
          </w:p>
        </w:tc>
      </w:tr>
      <w:tr>
        <w:trPr>
          <w:trHeight w:val="161"/>
        </w:trPr>
        <w:tc>
          <w:tcPr>
            <w:tcW w:w="120" w:type="dxa"/>
            <w:vAlign w:val="bottom"/>
          </w:tcPr>
          <w:p>
            <w:pPr>
              <w:spacing w:after="0"/>
              <w:rPr>
                <w:sz w:val="14"/>
                <w:szCs w:val="14"/>
                <w:color w:val="auto"/>
              </w:rPr>
            </w:pPr>
          </w:p>
        </w:tc>
        <w:tc>
          <w:tcPr>
            <w:tcW w:w="10860" w:type="dxa"/>
            <w:vAlign w:val="bottom"/>
          </w:tcPr>
          <w:p>
            <w:pPr>
              <w:ind w:left="140"/>
              <w:spacing w:after="0"/>
              <w:rPr>
                <w:sz w:val="20"/>
                <w:szCs w:val="20"/>
                <w:color w:val="auto"/>
              </w:rPr>
            </w:pPr>
            <w:r>
              <w:rPr>
                <w:rFonts w:ascii="Arial" w:cs="Arial" w:eastAsia="Arial" w:hAnsi="Arial"/>
                <w:sz w:val="13"/>
                <w:szCs w:val="13"/>
                <w:color w:val="auto"/>
              </w:rPr>
              <w:t>statements were made, not misleading with respect to the period covered by this report;</w:t>
            </w:r>
          </w:p>
        </w:tc>
      </w:tr>
    </w:tbl>
    <w:p>
      <w:pPr>
        <w:spacing w:after="0" w:line="19" w:lineRule="exact"/>
        <w:rPr>
          <w:sz w:val="20"/>
          <w:szCs w:val="20"/>
          <w:color w:val="auto"/>
        </w:rPr>
      </w:pPr>
    </w:p>
    <w:p>
      <w:pPr>
        <w:ind w:left="260" w:hanging="255"/>
        <w:spacing w:after="0" w:line="246" w:lineRule="auto"/>
        <w:tabs>
          <w:tab w:leader="none" w:pos="133"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80" w:hanging="255"/>
        <w:spacing w:after="0" w:line="232" w:lineRule="auto"/>
        <w:tabs>
          <w:tab w:leader="none" w:pos="133"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3"/>
          <w:szCs w:val="13"/>
          <w:color w:val="auto"/>
        </w:rPr>
      </w:pPr>
    </w:p>
    <w:p>
      <w:pPr>
        <w:ind w:left="1160" w:right="40" w:hanging="264"/>
        <w:spacing w:after="0" w:line="299" w:lineRule="auto"/>
        <w:tabs>
          <w:tab w:leader="none" w:pos="1078"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1160" w:right="240" w:hanging="264"/>
        <w:spacing w:after="0" w:line="317" w:lineRule="auto"/>
        <w:tabs>
          <w:tab w:leader="none" w:pos="1096"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2"/>
          <w:szCs w:val="12"/>
          <w:color w:val="auto"/>
        </w:rPr>
      </w:pPr>
    </w:p>
    <w:p>
      <w:pPr>
        <w:ind w:left="1160" w:right="40" w:hanging="264"/>
        <w:spacing w:after="0" w:line="257" w:lineRule="auto"/>
        <w:tabs>
          <w:tab w:leader="none" w:pos="1089" w:val="left"/>
        </w:tabs>
        <w:numPr>
          <w:ilvl w:val="1"/>
          <w:numId w:val="2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sz w:val="20"/>
          <w:szCs w:val="20"/>
          <w:color w:val="auto"/>
        </w:rPr>
      </w:pPr>
    </w:p>
    <w:p>
      <w:pPr>
        <w:ind w:left="1160" w:right="180" w:hanging="254"/>
        <w:spacing w:after="0" w:line="257" w:lineRule="auto"/>
        <w:rPr>
          <w:sz w:val="20"/>
          <w:szCs w:val="20"/>
          <w:color w:val="auto"/>
        </w:rPr>
      </w:pPr>
      <w:r>
        <w:rPr>
          <w:rFonts w:ascii="Arial" w:cs="Arial" w:eastAsia="Arial" w:hAnsi="Arial"/>
          <w:sz w:val="13"/>
          <w:szCs w:val="13"/>
          <w:color w:val="auto"/>
        </w:rPr>
        <w:t>(d) Disclosed in this report any change in the registrant's internal control over financial reporting that occurred</w:t>
      </w:r>
      <w:r>
        <w:rPr>
          <w:sz w:val="20"/>
          <w:szCs w:val="20"/>
          <w:color w:val="auto"/>
        </w:rPr>
        <w:t xml:space="preserve"> </w:t>
      </w:r>
      <w:r>
        <w:rPr>
          <w:rFonts w:ascii="Arial" w:cs="Arial" w:eastAsia="Arial" w:hAnsi="Arial"/>
          <w:sz w:val="13"/>
          <w:szCs w:val="13"/>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sz w:val="20"/>
          <w:szCs w:val="20"/>
          <w:color w:val="auto"/>
        </w:rPr>
      </w:pPr>
    </w:p>
    <w:p>
      <w:pPr>
        <w:ind w:left="260" w:right="20" w:hanging="255"/>
        <w:spacing w:after="0" w:line="257" w:lineRule="auto"/>
        <w:tabs>
          <w:tab w:leader="none" w:pos="143"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3"/>
          <w:szCs w:val="13"/>
          <w:color w:val="auto"/>
        </w:rPr>
      </w:pPr>
    </w:p>
    <w:p>
      <w:pPr>
        <w:ind w:left="1160" w:right="360" w:hanging="264"/>
        <w:spacing w:after="0" w:line="274" w:lineRule="auto"/>
        <w:tabs>
          <w:tab w:leader="none" w:pos="1089" w:val="left"/>
        </w:tabs>
        <w:numPr>
          <w:ilvl w:val="1"/>
          <w:numId w:val="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3"/>
          <w:szCs w:val="13"/>
          <w:color w:val="auto"/>
        </w:rPr>
      </w:pPr>
    </w:p>
    <w:p>
      <w:pPr>
        <w:ind w:left="1080" w:hanging="184"/>
        <w:spacing w:after="0"/>
        <w:tabs>
          <w:tab w:leader="none" w:pos="108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4" w:lineRule="exact"/>
        <w:rPr>
          <w:sz w:val="20"/>
          <w:szCs w:val="20"/>
          <w:color w:val="auto"/>
        </w:rPr>
      </w:pPr>
    </w:p>
    <w:p>
      <w:pPr>
        <w:ind w:left="40"/>
        <w:spacing w:after="0"/>
        <w:tabs>
          <w:tab w:leader="none" w:pos="5740" w:val="left"/>
          <w:tab w:leader="none" w:pos="7780" w:val="left"/>
        </w:tabs>
        <w:rPr>
          <w:sz w:val="20"/>
          <w:szCs w:val="20"/>
          <w:color w:val="auto"/>
        </w:rPr>
      </w:pPr>
      <w:r>
        <w:rPr>
          <w:rFonts w:ascii="Arial" w:cs="Arial" w:eastAsia="Arial" w:hAnsi="Arial"/>
          <w:sz w:val="13"/>
          <w:szCs w:val="13"/>
          <w:color w:val="auto"/>
        </w:rPr>
        <w:t>Date: August 11,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24130</wp:posOffset>
            </wp:positionV>
            <wp:extent cx="33820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32" w:lineRule="exact"/>
        <w:rPr>
          <w:sz w:val="20"/>
          <w:szCs w:val="20"/>
          <w:color w:val="auto"/>
        </w:rPr>
      </w:pPr>
    </w:p>
    <w:p>
      <w:pPr>
        <w:ind w:left="7880"/>
        <w:spacing w:after="0"/>
        <w:rPr>
          <w:sz w:val="20"/>
          <w:szCs w:val="20"/>
          <w:color w:val="auto"/>
        </w:rPr>
      </w:pPr>
      <w:r>
        <w:rPr>
          <w:rFonts w:ascii="Arial" w:cs="Arial" w:eastAsia="Arial" w:hAnsi="Arial"/>
          <w:sz w:val="13"/>
          <w:szCs w:val="13"/>
          <w:color w:val="auto"/>
        </w:rPr>
        <w:t>Bobak Azamian, M.D., Ph.D.</w:t>
      </w:r>
    </w:p>
    <w:p>
      <w:pPr>
        <w:ind w:left="7660"/>
        <w:spacing w:after="0" w:line="235" w:lineRule="auto"/>
        <w:rPr>
          <w:sz w:val="20"/>
          <w:szCs w:val="20"/>
          <w:color w:val="auto"/>
        </w:rPr>
      </w:pPr>
      <w:r>
        <w:rPr>
          <w:rFonts w:ascii="Arial" w:cs="Arial" w:eastAsia="Arial" w:hAnsi="Arial"/>
          <w:sz w:val="13"/>
          <w:szCs w:val="13"/>
          <w:color w:val="auto"/>
        </w:rPr>
        <w:t>President and Chief Executive Officer</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3"/>
          <w:szCs w:val="13"/>
          <w:color w:val="auto"/>
        </w:rPr>
        <w:t>(Principal Executive Officer)</w:t>
      </w:r>
    </w:p>
    <w:p>
      <w:pPr>
        <w:sectPr>
          <w:pgSz w:w="11900" w:h="16838" w:orient="portrait"/>
          <w:cols w:equalWidth="0" w:num="1">
            <w:col w:w="11280"/>
          </w:cols>
          <w:pgMar w:left="300" w:top="1137"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t>Exhibit 31.2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0860" w:type="dxa"/>
            <w:vAlign w:val="bottom"/>
          </w:tcPr>
          <w:p>
            <w:pPr>
              <w:jc w:val="center"/>
              <w:ind w:left="116"/>
              <w:spacing w:after="0"/>
              <w:rPr>
                <w:sz w:val="20"/>
                <w:szCs w:val="20"/>
                <w:color w:val="auto"/>
              </w:rPr>
            </w:pPr>
            <w:r>
              <w:rPr>
                <w:rFonts w:ascii="Arial" w:cs="Arial" w:eastAsia="Arial" w:hAnsi="Arial"/>
                <w:sz w:val="13"/>
                <w:szCs w:val="13"/>
                <w:color w:val="auto"/>
                <w:w w:val="93"/>
              </w:rPr>
              <w:t>CERTIFICATION PURSUANT TO</w:t>
            </w:r>
          </w:p>
        </w:tc>
      </w:tr>
      <w:tr>
        <w:trPr>
          <w:trHeight w:val="138"/>
        </w:trPr>
        <w:tc>
          <w:tcPr>
            <w:tcW w:w="120" w:type="dxa"/>
            <w:vAlign w:val="bottom"/>
          </w:tcPr>
          <w:p>
            <w:pPr>
              <w:spacing w:after="0"/>
              <w:rPr>
                <w:sz w:val="11"/>
                <w:szCs w:val="11"/>
                <w:color w:val="auto"/>
              </w:rPr>
            </w:pPr>
          </w:p>
        </w:tc>
        <w:tc>
          <w:tcPr>
            <w:tcW w:w="10860" w:type="dxa"/>
            <w:vAlign w:val="bottom"/>
          </w:tcPr>
          <w:p>
            <w:pPr>
              <w:jc w:val="center"/>
              <w:ind w:left="116"/>
              <w:spacing w:after="0" w:line="138" w:lineRule="exact"/>
              <w:rPr>
                <w:sz w:val="20"/>
                <w:szCs w:val="20"/>
                <w:color w:val="auto"/>
              </w:rPr>
            </w:pPr>
            <w:r>
              <w:rPr>
                <w:rFonts w:ascii="Arial" w:cs="Arial" w:eastAsia="Arial" w:hAnsi="Arial"/>
                <w:sz w:val="13"/>
                <w:szCs w:val="13"/>
                <w:color w:val="auto"/>
                <w:w w:val="92"/>
              </w:rPr>
              <w:t>RULES 13a-14(a) AND 15d-14(a) UNDER THE SECURITIES EXCHANGE ACT OF 1934,</w:t>
            </w:r>
          </w:p>
        </w:tc>
      </w:tr>
      <w:tr>
        <w:trPr>
          <w:trHeight w:val="161"/>
        </w:trPr>
        <w:tc>
          <w:tcPr>
            <w:tcW w:w="120" w:type="dxa"/>
            <w:vAlign w:val="bottom"/>
          </w:tcPr>
          <w:p>
            <w:pPr>
              <w:spacing w:after="0"/>
              <w:rPr>
                <w:sz w:val="14"/>
                <w:szCs w:val="14"/>
                <w:color w:val="auto"/>
              </w:rPr>
            </w:pPr>
          </w:p>
        </w:tc>
        <w:tc>
          <w:tcPr>
            <w:tcW w:w="10860" w:type="dxa"/>
            <w:vAlign w:val="bottom"/>
          </w:tcPr>
          <w:p>
            <w:pPr>
              <w:jc w:val="center"/>
              <w:ind w:left="136"/>
              <w:spacing w:after="0"/>
              <w:rPr>
                <w:sz w:val="20"/>
                <w:szCs w:val="20"/>
                <w:color w:val="auto"/>
              </w:rPr>
            </w:pPr>
            <w:r>
              <w:rPr>
                <w:rFonts w:ascii="Arial" w:cs="Arial" w:eastAsia="Arial" w:hAnsi="Arial"/>
                <w:sz w:val="13"/>
                <w:szCs w:val="13"/>
                <w:color w:val="auto"/>
                <w:w w:val="93"/>
              </w:rPr>
              <w:t>AS ADOPTED PURSUANT TO SECTION 302 OF THE SARBANES-OXLEY ACT OF 2002</w:t>
            </w:r>
          </w:p>
        </w:tc>
      </w:tr>
      <w:tr>
        <w:trPr>
          <w:trHeight w:val="721"/>
        </w:trPr>
        <w:tc>
          <w:tcPr>
            <w:tcW w:w="10980" w:type="dxa"/>
            <w:vAlign w:val="bottom"/>
            <w:gridSpan w:val="2"/>
          </w:tcPr>
          <w:p>
            <w:pPr>
              <w:spacing w:after="0"/>
              <w:rPr>
                <w:sz w:val="20"/>
                <w:szCs w:val="20"/>
                <w:color w:val="auto"/>
              </w:rPr>
            </w:pPr>
            <w:r>
              <w:rPr>
                <w:rFonts w:ascii="Arial" w:cs="Arial" w:eastAsia="Arial" w:hAnsi="Arial"/>
                <w:sz w:val="13"/>
                <w:szCs w:val="13"/>
                <w:color w:val="auto"/>
              </w:rPr>
              <w:t>I, Leo M. Greenstein, certify that:</w:t>
            </w:r>
          </w:p>
        </w:tc>
      </w:tr>
      <w:tr>
        <w:trPr>
          <w:trHeight w:val="340"/>
        </w:trPr>
        <w:tc>
          <w:tcPr>
            <w:tcW w:w="120" w:type="dxa"/>
            <w:vAlign w:val="bottom"/>
          </w:tcPr>
          <w:p>
            <w:pPr>
              <w:spacing w:after="0"/>
              <w:rPr>
                <w:sz w:val="20"/>
                <w:szCs w:val="20"/>
                <w:color w:val="auto"/>
              </w:rPr>
            </w:pPr>
            <w:r>
              <w:rPr>
                <w:rFonts w:ascii="Arial" w:cs="Arial" w:eastAsia="Arial" w:hAnsi="Arial"/>
                <w:sz w:val="13"/>
                <w:szCs w:val="13"/>
                <w:color w:val="auto"/>
                <w:w w:val="91"/>
              </w:rPr>
              <w:t>1.</w:t>
            </w:r>
          </w:p>
        </w:tc>
        <w:tc>
          <w:tcPr>
            <w:tcW w:w="10860" w:type="dxa"/>
            <w:vAlign w:val="bottom"/>
          </w:tcPr>
          <w:p>
            <w:pPr>
              <w:ind w:left="20"/>
              <w:spacing w:after="0"/>
              <w:rPr>
                <w:sz w:val="20"/>
                <w:szCs w:val="20"/>
                <w:color w:val="auto"/>
              </w:rPr>
            </w:pPr>
            <w:r>
              <w:rPr>
                <w:rFonts w:ascii="Arial" w:cs="Arial" w:eastAsia="Arial" w:hAnsi="Arial"/>
                <w:sz w:val="13"/>
                <w:szCs w:val="13"/>
                <w:color w:val="auto"/>
              </w:rPr>
              <w:t>I have reviewed this Quarterly Report on Form 10-Q of Tarsus Pharmaceuticals, Inc;</w:t>
            </w:r>
          </w:p>
        </w:tc>
      </w:tr>
      <w:tr>
        <w:trPr>
          <w:trHeight w:val="178"/>
        </w:trPr>
        <w:tc>
          <w:tcPr>
            <w:tcW w:w="120" w:type="dxa"/>
            <w:vAlign w:val="bottom"/>
          </w:tcPr>
          <w:p>
            <w:pPr>
              <w:spacing w:after="0"/>
              <w:rPr>
                <w:sz w:val="20"/>
                <w:szCs w:val="20"/>
                <w:color w:val="auto"/>
              </w:rPr>
            </w:pPr>
            <w:r>
              <w:rPr>
                <w:rFonts w:ascii="Arial" w:cs="Arial" w:eastAsia="Arial" w:hAnsi="Arial"/>
                <w:sz w:val="13"/>
                <w:szCs w:val="13"/>
                <w:color w:val="auto"/>
                <w:w w:val="91"/>
              </w:rPr>
              <w:t>2.</w:t>
            </w:r>
          </w:p>
        </w:tc>
        <w:tc>
          <w:tcPr>
            <w:tcW w:w="10860" w:type="dxa"/>
            <w:vAlign w:val="bottom"/>
          </w:tcPr>
          <w:p>
            <w:pPr>
              <w:ind w:left="20"/>
              <w:spacing w:after="0"/>
              <w:rPr>
                <w:sz w:val="20"/>
                <w:szCs w:val="20"/>
                <w:color w:val="auto"/>
              </w:rPr>
            </w:pPr>
            <w:r>
              <w:rPr>
                <w:rFonts w:ascii="Arial" w:cs="Arial" w:eastAsia="Arial" w:hAnsi="Arial"/>
                <w:sz w:val="13"/>
                <w:szCs w:val="13"/>
                <w:color w:val="auto"/>
                <w:w w:val="88"/>
              </w:rPr>
              <w:t>Based on my knowledge, this report does not contain any untrue statement of a material fact or omit to state a material fact   necessary to make the statements made, in light of the circumstances under which such</w:t>
            </w:r>
          </w:p>
        </w:tc>
      </w:tr>
      <w:tr>
        <w:trPr>
          <w:trHeight w:val="161"/>
        </w:trPr>
        <w:tc>
          <w:tcPr>
            <w:tcW w:w="120" w:type="dxa"/>
            <w:vAlign w:val="bottom"/>
          </w:tcPr>
          <w:p>
            <w:pPr>
              <w:spacing w:after="0"/>
              <w:rPr>
                <w:sz w:val="14"/>
                <w:szCs w:val="14"/>
                <w:color w:val="auto"/>
              </w:rPr>
            </w:pPr>
          </w:p>
        </w:tc>
        <w:tc>
          <w:tcPr>
            <w:tcW w:w="10860" w:type="dxa"/>
            <w:vAlign w:val="bottom"/>
          </w:tcPr>
          <w:p>
            <w:pPr>
              <w:ind w:left="140"/>
              <w:spacing w:after="0"/>
              <w:rPr>
                <w:sz w:val="20"/>
                <w:szCs w:val="20"/>
                <w:color w:val="auto"/>
              </w:rPr>
            </w:pPr>
            <w:r>
              <w:rPr>
                <w:rFonts w:ascii="Arial" w:cs="Arial" w:eastAsia="Arial" w:hAnsi="Arial"/>
                <w:sz w:val="13"/>
                <w:szCs w:val="13"/>
                <w:color w:val="auto"/>
              </w:rPr>
              <w:t>statements were made, not misleading with respect to the period covered by this report;</w:t>
            </w:r>
          </w:p>
        </w:tc>
      </w:tr>
    </w:tbl>
    <w:p>
      <w:pPr>
        <w:spacing w:after="0" w:line="19" w:lineRule="exact"/>
        <w:rPr>
          <w:sz w:val="20"/>
          <w:szCs w:val="20"/>
          <w:color w:val="auto"/>
        </w:rPr>
      </w:pPr>
    </w:p>
    <w:p>
      <w:pPr>
        <w:ind w:left="260" w:hanging="255"/>
        <w:spacing w:after="0" w:line="246" w:lineRule="auto"/>
        <w:tabs>
          <w:tab w:leader="none" w:pos="133"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80" w:hanging="255"/>
        <w:spacing w:after="0" w:line="232" w:lineRule="auto"/>
        <w:tabs>
          <w:tab w:leader="none" w:pos="133"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3"/>
          <w:szCs w:val="13"/>
          <w:color w:val="auto"/>
        </w:rPr>
      </w:pPr>
    </w:p>
    <w:p>
      <w:pPr>
        <w:ind w:left="1160" w:right="40" w:hanging="264"/>
        <w:spacing w:after="0" w:line="299" w:lineRule="auto"/>
        <w:tabs>
          <w:tab w:leader="none" w:pos="1078"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1160" w:right="240" w:hanging="264"/>
        <w:spacing w:after="0" w:line="317" w:lineRule="auto"/>
        <w:tabs>
          <w:tab w:leader="none" w:pos="1096"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2"/>
          <w:szCs w:val="12"/>
          <w:color w:val="auto"/>
        </w:rPr>
      </w:pPr>
    </w:p>
    <w:p>
      <w:pPr>
        <w:ind w:left="1160" w:right="40" w:hanging="264"/>
        <w:spacing w:after="0" w:line="257" w:lineRule="auto"/>
        <w:tabs>
          <w:tab w:leader="none" w:pos="1089" w:val="left"/>
        </w:tabs>
        <w:numPr>
          <w:ilvl w:val="1"/>
          <w:numId w:val="2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sz w:val="20"/>
          <w:szCs w:val="20"/>
          <w:color w:val="auto"/>
        </w:rPr>
      </w:pPr>
    </w:p>
    <w:p>
      <w:pPr>
        <w:ind w:left="1160" w:right="180" w:hanging="254"/>
        <w:spacing w:after="0" w:line="257" w:lineRule="auto"/>
        <w:rPr>
          <w:sz w:val="20"/>
          <w:szCs w:val="20"/>
          <w:color w:val="auto"/>
        </w:rPr>
      </w:pPr>
      <w:r>
        <w:rPr>
          <w:rFonts w:ascii="Arial" w:cs="Arial" w:eastAsia="Arial" w:hAnsi="Arial"/>
          <w:sz w:val="13"/>
          <w:szCs w:val="13"/>
          <w:color w:val="auto"/>
        </w:rPr>
        <w:t>(d) Disclosed in this report any change in the registrant's internal control over financial reporting that occurred</w:t>
      </w:r>
      <w:r>
        <w:rPr>
          <w:sz w:val="20"/>
          <w:szCs w:val="20"/>
          <w:color w:val="auto"/>
        </w:rPr>
        <w:t xml:space="preserve"> </w:t>
      </w:r>
      <w:r>
        <w:rPr>
          <w:rFonts w:ascii="Arial" w:cs="Arial" w:eastAsia="Arial" w:hAnsi="Arial"/>
          <w:sz w:val="13"/>
          <w:szCs w:val="13"/>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sz w:val="20"/>
          <w:szCs w:val="20"/>
          <w:color w:val="auto"/>
        </w:rPr>
      </w:pPr>
    </w:p>
    <w:p>
      <w:pPr>
        <w:ind w:left="260" w:right="20" w:hanging="255"/>
        <w:spacing w:after="0" w:line="257" w:lineRule="auto"/>
        <w:tabs>
          <w:tab w:leader="none" w:pos="143"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3"/>
          <w:szCs w:val="13"/>
          <w:color w:val="auto"/>
        </w:rPr>
      </w:pPr>
    </w:p>
    <w:p>
      <w:pPr>
        <w:ind w:left="1160" w:right="360" w:hanging="264"/>
        <w:spacing w:after="0" w:line="274" w:lineRule="auto"/>
        <w:tabs>
          <w:tab w:leader="none" w:pos="1089" w:val="left"/>
        </w:tabs>
        <w:numPr>
          <w:ilvl w:val="1"/>
          <w:numId w:val="2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3"/>
          <w:szCs w:val="13"/>
          <w:color w:val="auto"/>
        </w:rPr>
      </w:pPr>
    </w:p>
    <w:p>
      <w:pPr>
        <w:ind w:left="1080" w:hanging="184"/>
        <w:spacing w:after="0"/>
        <w:tabs>
          <w:tab w:leader="none" w:pos="10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4" w:lineRule="exact"/>
        <w:rPr>
          <w:sz w:val="20"/>
          <w:szCs w:val="20"/>
          <w:color w:val="auto"/>
        </w:rPr>
      </w:pPr>
    </w:p>
    <w:p>
      <w:pPr>
        <w:ind w:left="40"/>
        <w:spacing w:after="0"/>
        <w:tabs>
          <w:tab w:leader="none" w:pos="5740" w:val="left"/>
          <w:tab w:leader="none" w:pos="8060" w:val="left"/>
        </w:tabs>
        <w:rPr>
          <w:sz w:val="20"/>
          <w:szCs w:val="20"/>
          <w:color w:val="auto"/>
        </w:rPr>
      </w:pPr>
      <w:r>
        <w:rPr>
          <w:rFonts w:ascii="Arial" w:cs="Arial" w:eastAsia="Arial" w:hAnsi="Arial"/>
          <w:sz w:val="13"/>
          <w:szCs w:val="13"/>
          <w:color w:val="auto"/>
        </w:rPr>
        <w:t>Date: August 11,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24130</wp:posOffset>
            </wp:positionV>
            <wp:extent cx="33820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32" w:lineRule="exact"/>
        <w:rPr>
          <w:sz w:val="20"/>
          <w:szCs w:val="20"/>
          <w:color w:val="auto"/>
        </w:rPr>
      </w:pPr>
    </w:p>
    <w:p>
      <w:pPr>
        <w:ind w:left="8140"/>
        <w:spacing w:after="0"/>
        <w:rPr>
          <w:sz w:val="20"/>
          <w:szCs w:val="20"/>
          <w:color w:val="auto"/>
        </w:rPr>
      </w:pPr>
      <w:r>
        <w:rPr>
          <w:rFonts w:ascii="Arial" w:cs="Arial" w:eastAsia="Arial" w:hAnsi="Arial"/>
          <w:sz w:val="13"/>
          <w:szCs w:val="13"/>
          <w:color w:val="auto"/>
        </w:rPr>
        <w:t>Leo M. Greenstein</w:t>
      </w:r>
    </w:p>
    <w:p>
      <w:pPr>
        <w:ind w:left="8040"/>
        <w:spacing w:after="0" w:line="235" w:lineRule="auto"/>
        <w:rPr>
          <w:sz w:val="20"/>
          <w:szCs w:val="20"/>
          <w:color w:val="auto"/>
        </w:rPr>
      </w:pPr>
      <w:r>
        <w:rPr>
          <w:rFonts w:ascii="Arial" w:cs="Arial" w:eastAsia="Arial" w:hAnsi="Arial"/>
          <w:sz w:val="13"/>
          <w:szCs w:val="13"/>
          <w:color w:val="auto"/>
        </w:rPr>
        <w:t>Chief Financial Officer</w:t>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Principal Financial Officer and Principal Accounting Officer</w:t>
      </w:r>
      <w:r>
        <w:rPr>
          <w:rFonts w:ascii="Arial" w:cs="Arial" w:eastAsia="Arial" w:hAnsi="Arial"/>
          <w:sz w:val="13"/>
          <w:szCs w:val="13"/>
          <w:color w:val="auto"/>
        </w:rPr>
        <w:t>)</w:t>
      </w:r>
    </w:p>
    <w:p>
      <w:pPr>
        <w:sectPr>
          <w:pgSz w:w="11900" w:h="16838" w:orient="portrait"/>
          <w:cols w:equalWidth="0" w:num="1">
            <w:col w:w="11280"/>
          </w:cols>
          <w:pgMar w:left="300" w:top="1137"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32.1</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CERTIFICATIONS OF PRINCIPAL EXECUTIVE OFFICER AND PRINCIPAL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PURSUANT TO</w:t>
      </w:r>
    </w:p>
    <w:p>
      <w:pPr>
        <w:ind w:left="3920"/>
        <w:spacing w:after="0" w:line="237" w:lineRule="auto"/>
        <w:rPr>
          <w:sz w:val="20"/>
          <w:szCs w:val="20"/>
          <w:color w:val="auto"/>
        </w:rPr>
      </w:pPr>
      <w:r>
        <w:rPr>
          <w:rFonts w:ascii="Arial" w:cs="Arial" w:eastAsia="Arial" w:hAnsi="Arial"/>
          <w:sz w:val="14"/>
          <w:szCs w:val="14"/>
          <w:color w:val="auto"/>
        </w:rPr>
        <w:t>18 U.S.C. SECTION 1350, AS ADOPTED PURSUANT TO</w:t>
      </w:r>
    </w:p>
    <w:p>
      <w:pPr>
        <w:ind w:left="3880"/>
        <w:spacing w:after="0"/>
        <w:rPr>
          <w:sz w:val="20"/>
          <w:szCs w:val="20"/>
          <w:color w:val="auto"/>
        </w:rPr>
      </w:pPr>
      <w:r>
        <w:rPr>
          <w:rFonts w:ascii="Arial" w:cs="Arial" w:eastAsia="Arial" w:hAnsi="Arial"/>
          <w:sz w:val="14"/>
          <w:szCs w:val="14"/>
          <w:color w:val="auto"/>
        </w:rPr>
        <w:t>SECTION 906 OF THE SARBANES-OXLEY ACT OF 2002</w:t>
      </w:r>
    </w:p>
    <w:p>
      <w:pPr>
        <w:spacing w:after="0" w:line="188" w:lineRule="exact"/>
        <w:rPr>
          <w:sz w:val="20"/>
          <w:szCs w:val="20"/>
          <w:color w:val="auto"/>
        </w:rPr>
      </w:pPr>
    </w:p>
    <w:p>
      <w:pPr>
        <w:ind w:right="520" w:firstLine="453"/>
        <w:spacing w:after="0" w:line="349" w:lineRule="auto"/>
        <w:rPr>
          <w:sz w:val="20"/>
          <w:szCs w:val="20"/>
          <w:color w:val="auto"/>
        </w:rPr>
      </w:pPr>
      <w:r>
        <w:rPr>
          <w:rFonts w:ascii="Arial" w:cs="Arial" w:eastAsia="Arial" w:hAnsi="Arial"/>
          <w:sz w:val="12"/>
          <w:szCs w:val="12"/>
          <w:color w:val="auto"/>
        </w:rPr>
        <w:t>In connection with the Quarterly Report of Tarsus Pharmaceuticals, Inc. (the “Company”) on Form 10-Q for the period ended June 30, 2022 as filed with the Securities and Exchange Commission on the date hereof (the “Report”), I, Bobak Azamian, hereby certify, pursuant to 18 U.S.C. § 1350, as adopted pursuant to § 906 of the Sarbanes-Oxley Act of 2002, that:</w:t>
      </w:r>
    </w:p>
    <w:p>
      <w:pPr>
        <w:spacing w:after="0" w:line="172" w:lineRule="exact"/>
        <w:rPr>
          <w:sz w:val="20"/>
          <w:szCs w:val="20"/>
          <w:color w:val="auto"/>
        </w:rPr>
      </w:pPr>
    </w:p>
    <w:p>
      <w:pPr>
        <w:ind w:left="860" w:right="4440" w:hanging="509"/>
        <w:spacing w:after="0" w:line="281" w:lineRule="auto"/>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302" w:lineRule="exact"/>
        <w:rPr>
          <w:rFonts w:ascii="Arial" w:cs="Arial" w:eastAsia="Arial" w:hAnsi="Arial"/>
          <w:sz w:val="14"/>
          <w:szCs w:val="14"/>
          <w:color w:val="auto"/>
        </w:rPr>
      </w:pPr>
    </w:p>
    <w:p>
      <w:pPr>
        <w:ind w:left="860" w:right="4360" w:hanging="509"/>
        <w:spacing w:after="0" w:line="265" w:lineRule="auto"/>
        <w:tabs>
          <w:tab w:leader="none" w:pos="8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5220" w:val="left"/>
          <w:tab w:leader="none" w:pos="6000" w:val="left"/>
        </w:tabs>
        <w:rPr>
          <w:sz w:val="20"/>
          <w:szCs w:val="20"/>
          <w:color w:val="auto"/>
        </w:rPr>
      </w:pPr>
      <w:r>
        <w:rPr>
          <w:rFonts w:ascii="Arial" w:cs="Arial" w:eastAsia="Arial" w:hAnsi="Arial"/>
          <w:sz w:val="14"/>
          <w:szCs w:val="14"/>
          <w:color w:val="auto"/>
        </w:rPr>
        <w:t>Date: August 11,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 xml:space="preserve">/s/ </w:t>
      </w:r>
      <w:r>
        <w:rPr>
          <w:rFonts w:ascii="Arial" w:cs="Arial" w:eastAsia="Arial" w:hAnsi="Arial"/>
          <w:sz w:val="11"/>
          <w:szCs w:val="11"/>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26035</wp:posOffset>
            </wp:positionV>
            <wp:extent cx="33616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Bobak Azamian, M.D., Ph.D.</w:t>
      </w:r>
    </w:p>
    <w:p>
      <w:pPr>
        <w:spacing w:after="0" w:line="48"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President and Chief Executive Officer</w:t>
      </w:r>
    </w:p>
    <w:p>
      <w:pPr>
        <w:spacing w:after="0" w:line="41" w:lineRule="exact"/>
        <w:rPr>
          <w:sz w:val="20"/>
          <w:szCs w:val="20"/>
          <w:color w:val="auto"/>
        </w:rPr>
      </w:pPr>
    </w:p>
    <w:p>
      <w:pPr>
        <w:ind w:left="60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334" w:right="31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32.2</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CERTIFICATIONS OF PRINCIPAL EXECUTIVE OFFICER AND PRINCIPAL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PURSUANT TO</w:t>
      </w:r>
    </w:p>
    <w:p>
      <w:pPr>
        <w:ind w:left="3920"/>
        <w:spacing w:after="0" w:line="237" w:lineRule="auto"/>
        <w:rPr>
          <w:sz w:val="20"/>
          <w:szCs w:val="20"/>
          <w:color w:val="auto"/>
        </w:rPr>
      </w:pPr>
      <w:r>
        <w:rPr>
          <w:rFonts w:ascii="Arial" w:cs="Arial" w:eastAsia="Arial" w:hAnsi="Arial"/>
          <w:sz w:val="14"/>
          <w:szCs w:val="14"/>
          <w:color w:val="auto"/>
        </w:rPr>
        <w:t>18 U.S.C. SECTION 1350, AS ADOPTED PURSUANT TO</w:t>
      </w:r>
    </w:p>
    <w:p>
      <w:pPr>
        <w:ind w:left="3880"/>
        <w:spacing w:after="0"/>
        <w:rPr>
          <w:sz w:val="20"/>
          <w:szCs w:val="20"/>
          <w:color w:val="auto"/>
        </w:rPr>
      </w:pPr>
      <w:r>
        <w:rPr>
          <w:rFonts w:ascii="Arial" w:cs="Arial" w:eastAsia="Arial" w:hAnsi="Arial"/>
          <w:sz w:val="14"/>
          <w:szCs w:val="14"/>
          <w:color w:val="auto"/>
        </w:rPr>
        <w:t>SECTION 906 OF THE SARBANES-OXLEY ACT OF 2002</w:t>
      </w:r>
    </w:p>
    <w:p>
      <w:pPr>
        <w:spacing w:after="0" w:line="188" w:lineRule="exact"/>
        <w:rPr>
          <w:sz w:val="20"/>
          <w:szCs w:val="20"/>
          <w:color w:val="auto"/>
        </w:rPr>
      </w:pPr>
    </w:p>
    <w:p>
      <w:pPr>
        <w:ind w:right="520" w:firstLine="453"/>
        <w:spacing w:after="0" w:line="349" w:lineRule="auto"/>
        <w:rPr>
          <w:sz w:val="20"/>
          <w:szCs w:val="20"/>
          <w:color w:val="auto"/>
        </w:rPr>
      </w:pPr>
      <w:r>
        <w:rPr>
          <w:rFonts w:ascii="Arial" w:cs="Arial" w:eastAsia="Arial" w:hAnsi="Arial"/>
          <w:sz w:val="12"/>
          <w:szCs w:val="12"/>
          <w:color w:val="auto"/>
        </w:rPr>
        <w:t>In connection with the Quarterly Report of Tarsus Pharmaceuticals, Inc. (the “Company”) on Form 10-Q for the period ended June 30, 2022 as filed with the Securities and Exchange Commission on the date hereof (the “Report”), I, Leo M. Greenstein, hereby certify, pursuant to 18 U.S.C. § 1350, as adopted pursuant to § 906 of the Sarbanes-Oxley Act of 2002, that:</w:t>
      </w:r>
    </w:p>
    <w:p>
      <w:pPr>
        <w:spacing w:after="0" w:line="172" w:lineRule="exact"/>
        <w:rPr>
          <w:sz w:val="20"/>
          <w:szCs w:val="20"/>
          <w:color w:val="auto"/>
        </w:rPr>
      </w:pPr>
    </w:p>
    <w:p>
      <w:pPr>
        <w:ind w:left="860" w:right="4440" w:hanging="509"/>
        <w:spacing w:after="0" w:line="281" w:lineRule="auto"/>
        <w:tabs>
          <w:tab w:leader="none" w:pos="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302" w:lineRule="exact"/>
        <w:rPr>
          <w:rFonts w:ascii="Arial" w:cs="Arial" w:eastAsia="Arial" w:hAnsi="Arial"/>
          <w:sz w:val="14"/>
          <w:szCs w:val="14"/>
          <w:color w:val="auto"/>
        </w:rPr>
      </w:pPr>
    </w:p>
    <w:p>
      <w:pPr>
        <w:ind w:left="860" w:right="4360" w:hanging="509"/>
        <w:spacing w:after="0" w:line="265" w:lineRule="auto"/>
        <w:tabs>
          <w:tab w:leader="none" w:pos="8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5220" w:val="left"/>
          <w:tab w:leader="none" w:pos="6000" w:val="left"/>
        </w:tabs>
        <w:rPr>
          <w:sz w:val="20"/>
          <w:szCs w:val="20"/>
          <w:color w:val="auto"/>
        </w:rPr>
      </w:pPr>
      <w:r>
        <w:rPr>
          <w:rFonts w:ascii="Arial" w:cs="Arial" w:eastAsia="Arial" w:hAnsi="Arial"/>
          <w:sz w:val="14"/>
          <w:szCs w:val="14"/>
          <w:color w:val="auto"/>
        </w:rPr>
        <w:t>Date: August 11,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 xml:space="preserve">/s/ </w:t>
      </w:r>
      <w:r>
        <w:rPr>
          <w:rFonts w:ascii="Arial" w:cs="Arial" w:eastAsia="Arial" w:hAnsi="Arial"/>
          <w:sz w:val="11"/>
          <w:szCs w:val="11"/>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26035</wp:posOffset>
            </wp:positionV>
            <wp:extent cx="33616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35"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Leo M. Greenstein</w:t>
      </w:r>
    </w:p>
    <w:p>
      <w:pPr>
        <w:spacing w:after="0" w:line="48"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020"/>
        <w:spacing w:after="0"/>
        <w:rPr>
          <w:sz w:val="20"/>
          <w:szCs w:val="20"/>
          <w:color w:val="auto"/>
        </w:rPr>
      </w:pPr>
      <w:r>
        <w:rPr>
          <w:rFonts w:ascii="Arial" w:cs="Arial" w:eastAsia="Arial" w:hAnsi="Arial"/>
          <w:sz w:val="14"/>
          <w:szCs w:val="14"/>
          <w:i w:val="1"/>
          <w:iCs w:val="1"/>
          <w:color w:val="auto"/>
        </w:rPr>
        <w:t>(Principal Financial Officer and Principal Accounting Officer)</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5"/>
    </w:lvl>
  </w:abstractNum>
  <w:abstractNum w:abstractNumId="1">
    <w:nsid w:val="1BEFD79F"/>
    <w:multiLevelType w:val="hybridMultilevel"/>
    <w:lvl w:ilvl="0">
      <w:lvlJc w:val="left"/>
      <w:lvlText w:val="%1"/>
      <w:numFmt w:val="lowerRoman"/>
      <w:start w:val="1"/>
    </w:lvl>
    <w:lvl w:ilvl="1">
      <w:lvlJc w:val="left"/>
      <w:lvlText w:val="(%2)"/>
      <w:numFmt w:val="decimal"/>
      <w:start w:val="1"/>
    </w:lvl>
  </w:abstractNum>
  <w:abstractNum w:abstractNumId="2">
    <w:nsid w:val="41A7C4C9"/>
    <w:multiLevelType w:val="hybridMultilevel"/>
    <w:lvl w:ilvl="0">
      <w:lvlJc w:val="left"/>
      <w:lvlText w:val="(%1)"/>
      <w:numFmt w:val="lowerRoman"/>
      <w:start w:val="1"/>
    </w:lvl>
    <w:lvl w:ilvl="1">
      <w:lvlJc w:val="left"/>
      <w:lvlText w:val="%2"/>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8"/>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lvl w:ilvl="1">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Roman"/>
      <w:start w:val="1"/>
    </w:lvl>
  </w:abstractNum>
  <w:abstractNum w:abstractNumId="16">
    <w:nsid w:val="2443A858"/>
    <w:multiLevelType w:val="hybridMultilevel"/>
    <w:lvl w:ilvl="0">
      <w:lvlJc w:val="left"/>
      <w:lvlText w:val="(%1)"/>
      <w:numFmt w:val="lowerRoman"/>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3"/>
    </w:lvl>
    <w:lvl w:ilvl="1">
      <w:lvlJc w:val="left"/>
      <w:lvlText w:val="(%2)"/>
      <w:numFmt w:val="lowerLetter"/>
      <w:start w:val="1"/>
    </w:lvl>
  </w:abstractNum>
  <w:abstractNum w:abstractNumId="23">
    <w:nsid w:val="B03E0C6"/>
    <w:multiLevelType w:val="hybridMultilevel"/>
    <w:lvl w:ilvl="0">
      <w:lvlJc w:val="left"/>
      <w:lvlText w:val="%1."/>
      <w:numFmt w:val="decimal"/>
      <w:start w:val="5"/>
    </w:lvl>
    <w:lvl w:ilvl="1">
      <w:lvlJc w:val="left"/>
      <w:lvlText w:val="(%2)"/>
      <w:numFmt w:val="lowerLetter"/>
      <w:start w:val="1"/>
    </w:lvl>
  </w:abstractNum>
  <w:abstractNum w:abstractNumId="24">
    <w:nsid w:val="189A769B"/>
    <w:multiLevelType w:val="hybridMultilevel"/>
    <w:lvl w:ilvl="0">
      <w:lvlJc w:val="left"/>
      <w:lvlText w:val="%1."/>
      <w:numFmt w:val="decimal"/>
      <w:start w:val="3"/>
    </w:lvl>
    <w:lvl w:ilvl="1">
      <w:lvlJc w:val="left"/>
      <w:lvlText w:val="(%2)"/>
      <w:numFmt w:val="lowerLetter"/>
      <w:start w:val="1"/>
    </w:lvl>
  </w:abstractNum>
  <w:abstractNum w:abstractNumId="25">
    <w:nsid w:val="54E49EB4"/>
    <w:multiLevelType w:val="hybridMultilevel"/>
    <w:lvl w:ilvl="0">
      <w:lvlJc w:val="left"/>
      <w:lvlText w:val="%1."/>
      <w:numFmt w:val="decimal"/>
      <w:start w:val="5"/>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2022-08-11T17:52:21Z</dcterms:created>
  <dcterms:modified xsi:type="dcterms:W3CDTF">2022-08-11T17:52:21Z</dcterms:modified>
</cp:coreProperties>
</file>