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December 11, 2023</w:t>
      </w:r>
    </w:p>
    <w:p>
      <w:pPr>
        <w:spacing w:after="0" w:line="14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TARSUS PHARMACEUTICALS,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9" w:lineRule="exact"/>
        <w:rPr>
          <w:sz w:val="24"/>
          <w:szCs w:val="24"/>
          <w:color w:val="auto"/>
        </w:rPr>
      </w:pPr>
    </w:p>
    <w:tbl>
      <w:tblPr>
        <w:tblLayout w:type="fixed"/>
        <w:tblInd w:w="1400" w:type="dxa"/>
        <w:tblCellMar>
          <w:top w:w="0" w:type="dxa"/>
          <w:left w:w="0" w:type="dxa"/>
          <w:bottom w:w="0" w:type="dxa"/>
          <w:right w:w="0" w:type="dxa"/>
        </w:tblCellMar>
      </w:tblPr>
      <w:tr>
        <w:trPr>
          <w:trHeight w:val="142"/>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80" w:type="dxa"/>
            <w:vAlign w:val="bottom"/>
            <w:vMerge w:val="restart"/>
          </w:tcPr>
          <w:p>
            <w:pPr>
              <w:jc w:val="right"/>
              <w:ind w:right="1292"/>
              <w:spacing w:after="0"/>
              <w:rPr>
                <w:sz w:val="20"/>
                <w:szCs w:val="20"/>
                <w:color w:val="auto"/>
              </w:rPr>
            </w:pPr>
            <w:r>
              <w:rPr>
                <w:rFonts w:ascii="Times New Roman" w:cs="Times New Roman" w:eastAsia="Times New Roman" w:hAnsi="Times New Roman"/>
                <w:sz w:val="11"/>
                <w:szCs w:val="11"/>
                <w:b w:val="1"/>
                <w:bCs w:val="1"/>
                <w:color w:val="auto"/>
              </w:rPr>
              <w:t>001-39614</w:t>
            </w:r>
          </w:p>
        </w:tc>
        <w:tc>
          <w:tcPr>
            <w:tcW w:w="236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81-4717861</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tc>
        <w:tc>
          <w:tcPr>
            <w:tcW w:w="3080" w:type="dxa"/>
            <w:vAlign w:val="bottom"/>
          </w:tcPr>
          <w:p>
            <w:pPr>
              <w:jc w:val="center"/>
              <w:ind w:right="32"/>
              <w:spacing w:after="0"/>
              <w:rPr>
                <w:sz w:val="20"/>
                <w:szCs w:val="20"/>
                <w:color w:val="auto"/>
              </w:rPr>
            </w:pPr>
            <w:r>
              <w:rPr>
                <w:rFonts w:ascii="Times New Roman" w:cs="Times New Roman" w:eastAsia="Times New Roman" w:hAnsi="Times New Roman"/>
                <w:sz w:val="8"/>
                <w:szCs w:val="8"/>
                <w:b w:val="1"/>
                <w:bCs w:val="1"/>
                <w:color w:val="auto"/>
              </w:rPr>
              <w:t>(Commission File Number)</w:t>
            </w:r>
          </w:p>
        </w:tc>
        <w:tc>
          <w:tcPr>
            <w:tcW w:w="2360" w:type="dxa"/>
            <w:vAlign w:val="bottom"/>
          </w:tcPr>
          <w:p>
            <w:pPr>
              <w:jc w:val="center"/>
              <w:ind w:left="1032"/>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15440 Laguna Canyon Road, Suite 160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Irvine, CA 92618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231F20"/>
        </w:rPr>
        <w:t>(Address of principal executive offices, including Zip Code)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(949) 409-9820</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70"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231F20"/>
        </w:rPr>
        <w:t>Soliciting material pursuant to Rule 14a-12 under the Exchange Act (17 CFR 240.14a-12)</w:t>
      </w:r>
    </w:p>
    <w:p>
      <w:pPr>
        <w:spacing w:after="0" w:line="90"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22"/>
          <w:szCs w:val="22"/>
          <w:color w:val="auto"/>
          <w:vertAlign w:val="superscript"/>
        </w:rPr>
      </w:pPr>
      <w:r>
        <w:rPr>
          <w:rFonts w:ascii="Times New Roman" w:cs="Times New Roman" w:eastAsia="Times New Roman" w:hAnsi="Times New Roman"/>
          <w:sz w:val="11"/>
          <w:szCs w:val="11"/>
          <w:color w:val="231F20"/>
        </w:rPr>
        <w:t>Pre-commencement communications pursuant to Rule 14d-2(b) under the Exchange Act (17 CFR 240.14d-2(b))</w:t>
      </w:r>
    </w:p>
    <w:p>
      <w:pPr>
        <w:spacing w:after="0" w:line="156" w:lineRule="exact"/>
        <w:rPr>
          <w:rFonts w:ascii="MS PGothic" w:cs="MS PGothic" w:eastAsia="MS PGothic" w:hAnsi="MS PGothic"/>
          <w:sz w:val="22"/>
          <w:szCs w:val="22"/>
          <w:color w:val="auto"/>
          <w:vertAlign w:val="superscript"/>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231F20"/>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116"/>
        </w:trPr>
        <w:tc>
          <w:tcPr>
            <w:tcW w:w="47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1"/>
                <w:szCs w:val="11"/>
                <w:color w:val="auto"/>
                <w:w w:val="97"/>
              </w:rPr>
              <w:t>Common Stock, $0.0001 par value per share</w:t>
            </w:r>
          </w:p>
        </w:tc>
        <w:tc>
          <w:tcPr>
            <w:tcW w:w="192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1"/>
                <w:szCs w:val="11"/>
                <w:color w:val="auto"/>
                <w:w w:val="92"/>
              </w:rPr>
              <w:t>TARS</w:t>
            </w:r>
          </w:p>
        </w:tc>
        <w:tc>
          <w:tcPr>
            <w:tcW w:w="4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The Nasdaq Stock Market LLC</w:t>
            </w:r>
          </w:p>
        </w:tc>
      </w:tr>
      <w:tr>
        <w:trPr>
          <w:trHeight w:val="140"/>
        </w:trPr>
        <w:tc>
          <w:tcPr>
            <w:tcW w:w="478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Nasdaq Global Select Market</w:t>
            </w:r>
          </w:p>
        </w:tc>
      </w:tr>
      <w:tr>
        <w:trPr>
          <w:trHeight w:val="22"/>
        </w:trPr>
        <w:tc>
          <w:tcPr>
            <w:tcW w:w="47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198" w:lineRule="exact"/>
        <w:rPr>
          <w:sz w:val="24"/>
          <w:szCs w:val="24"/>
          <w:color w:val="auto"/>
        </w:rPr>
      </w:pPr>
    </w:p>
    <w:p>
      <w:pPr>
        <w:ind w:right="10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1"/>
          <w:szCs w:val="11"/>
          <w:color w:val="231F20"/>
        </w:rPr>
        <w:t>Emerging growth</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231F20"/>
        </w:rPr>
        <w:t xml:space="preserve">company </w:t>
      </w:r>
      <w:r>
        <w:rPr>
          <w:rFonts w:ascii="MS PGothic" w:cs="MS PGothic" w:eastAsia="MS PGothic" w:hAnsi="MS PGothic"/>
          <w:sz w:val="11"/>
          <w:szCs w:val="11"/>
          <w:color w:val="231F20"/>
        </w:rPr>
        <w:t>☒</w:t>
      </w:r>
    </w:p>
    <w:p>
      <w:pPr>
        <w:spacing w:after="0" w:line="9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574040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0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6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 xml:space="preserve">On December 11, 2023, Tarsus Pharmaceuticals, Inc. (the “Company”) announced positive topline results of the Company’s Ersa Phase 2a clinical trial evaluating TP-03 (lotilaner ophthalmic solution, 0.25%) administered twice daily (BID) or three times a day (TID) for 12 weeks for the treatment of Meibomian Gland Disease (MGD) in patients with </w:t>
      </w:r>
      <w:r>
        <w:rPr>
          <w:rFonts w:ascii="Times New Roman" w:cs="Times New Roman" w:eastAsia="Times New Roman" w:hAnsi="Times New Roman"/>
          <w:sz w:val="12"/>
          <w:szCs w:val="12"/>
          <w:i w:val="1"/>
          <w:iCs w:val="1"/>
          <w:color w:val="auto"/>
        </w:rPr>
        <w:t>Demodex</w:t>
      </w:r>
      <w:r>
        <w:rPr>
          <w:rFonts w:ascii="Times New Roman" w:cs="Times New Roman" w:eastAsia="Times New Roman" w:hAnsi="Times New Roman"/>
          <w:sz w:val="12"/>
          <w:szCs w:val="12"/>
          <w:color w:val="auto"/>
        </w:rPr>
        <w:t xml:space="preserve"> mites. A corporate presentation which includes a summary of the topline clinical results of the Ersa trial is filed as Exhibit 99.1 to this Current Report on Form 8-K and is incorporated herein by reference.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5"/>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c>
          <w:tcPr>
            <w:tcW w:w="40" w:type="dxa"/>
            <w:vAlign w:val="bottom"/>
          </w:tcPr>
          <w:p>
            <w:pPr>
              <w:spacing w:after="0"/>
              <w:rPr>
                <w:sz w:val="24"/>
                <w:szCs w:val="24"/>
                <w:color w:val="auto"/>
              </w:rPr>
            </w:pPr>
          </w:p>
        </w:tc>
      </w:tr>
      <w:tr>
        <w:trPr>
          <w:trHeight w:val="129"/>
        </w:trPr>
        <w:tc>
          <w:tcPr>
            <w:tcW w:w="2540" w:type="dxa"/>
            <w:vAlign w:val="bottom"/>
          </w:tcPr>
          <w:p>
            <w:pPr>
              <w:jc w:val="right"/>
              <w:ind w:right="360"/>
              <w:spacing w:after="0" w:line="129" w:lineRule="exact"/>
              <w:rPr>
                <w:sz w:val="20"/>
                <w:szCs w:val="20"/>
                <w:color w:val="auto"/>
              </w:rPr>
            </w:pPr>
            <w:r>
              <w:rPr>
                <w:rFonts w:ascii="Times New Roman" w:cs="Times New Roman" w:eastAsia="Times New Roman" w:hAnsi="Times New Roman"/>
                <w:sz w:val="12"/>
                <w:szCs w:val="12"/>
                <w:color w:val="auto"/>
              </w:rPr>
              <w:t>99.1</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8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FF"/>
              </w:rPr>
              <w:t>Tarsus Pharmaceuticals, Inc. Corporate Presentation</w:t>
            </w:r>
            <w:r>
              <w:rPr>
                <w:rFonts w:ascii="Times New Roman" w:cs="Times New Roman" w:eastAsia="Times New Roman" w:hAnsi="Times New Roman"/>
                <w:sz w:val="12"/>
                <w:szCs w:val="12"/>
                <w:color w:val="000000"/>
              </w:rPr>
              <w:t>.</w:t>
            </w:r>
          </w:p>
        </w:tc>
      </w:tr>
      <w:tr>
        <w:trPr>
          <w:trHeight w:val="20"/>
        </w:trPr>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r>
      <w:tr>
        <w:trPr>
          <w:trHeight w:val="187"/>
        </w:trPr>
        <w:tc>
          <w:tcPr>
            <w:tcW w:w="25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XBRL document)</w:t>
            </w:r>
          </w:p>
        </w:tc>
      </w:tr>
      <w:tr>
        <w:trPr>
          <w:trHeight w:val="675"/>
        </w:trPr>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TARSUS PHARMACEUTICALS, INC.</w:t>
            </w: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48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December 11, 2023</w:t>
            </w:r>
          </w:p>
        </w:tc>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Jeffrey S. Farrow</w:t>
            </w:r>
          </w:p>
        </w:tc>
      </w:tr>
      <w:tr>
        <w:trPr>
          <w:trHeight w:val="156"/>
        </w:trPr>
        <w:tc>
          <w:tcPr>
            <w:tcW w:w="1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Jeffrey S. Farrow</w:t>
            </w:r>
          </w:p>
        </w:tc>
      </w:tr>
      <w:tr>
        <w:trPr>
          <w:trHeight w:val="171"/>
        </w:trPr>
        <w:tc>
          <w:tcPr>
            <w:tcW w:w="1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Chief Strategy Officer</w:t>
            </w:r>
          </w:p>
        </w:tc>
      </w:tr>
      <w:tr>
        <w:trPr>
          <w:trHeight w:val="171"/>
        </w:trPr>
        <w:tc>
          <w:tcPr>
            <w:tcW w:w="1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(Principal Financial Officer and Principal Accounting Officer)</w:t>
            </w:r>
          </w:p>
        </w:tc>
      </w:tr>
    </w:tbl>
    <w:p>
      <w:pPr>
        <w:sectPr>
          <w:pgSz w:w="11900" w:h="16838" w:orient="portrait"/>
          <w:cols w:equalWidth="0" w:num="1">
            <w:col w:w="11300"/>
          </w:cols>
          <w:pgMar w:left="300" w:top="831"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01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1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01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2023-12-11T08:06:39Z</dcterms:created>
  <dcterms:modified xsi:type="dcterms:W3CDTF">2023-12-11T08:06:39Z</dcterms:modified>
</cp:coreProperties>
</file>