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5"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_______________</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31F20"/>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31F20"/>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August 11, 2022</w:t>
      </w:r>
    </w:p>
    <w:p>
      <w:pPr>
        <w:spacing w:after="0" w:line="217"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TARSUS PHARMACEUTICALS,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_______________</w:t>
      </w:r>
    </w:p>
    <w:p>
      <w:pPr>
        <w:spacing w:after="0" w:line="20" w:lineRule="exact"/>
        <w:rPr>
          <w:sz w:val="24"/>
          <w:szCs w:val="24"/>
          <w:color w:val="auto"/>
        </w:rPr>
      </w:pPr>
    </w:p>
    <w:tbl>
      <w:tblPr>
        <w:tblLayout w:type="fixed"/>
        <w:tblInd w:w="980" w:type="dxa"/>
        <w:tblCellMar>
          <w:top w:w="0" w:type="dxa"/>
          <w:left w:w="0" w:type="dxa"/>
          <w:bottom w:w="0" w:type="dxa"/>
          <w:right w:w="0" w:type="dxa"/>
        </w:tblCellMar>
      </w:tblPr>
      <w:tr>
        <w:trPr>
          <w:trHeight w:val="210"/>
        </w:trPr>
        <w:tc>
          <w:tcPr>
            <w:tcW w:w="3060" w:type="dxa"/>
            <w:vAlign w:val="bottom"/>
          </w:tcPr>
          <w:p>
            <w:pPr>
              <w:jc w:val="center"/>
              <w:ind w:right="588"/>
              <w:spacing w:after="0"/>
              <w:rPr>
                <w:sz w:val="20"/>
                <w:szCs w:val="20"/>
                <w:color w:val="auto"/>
              </w:rPr>
            </w:pPr>
            <w:r>
              <w:rPr>
                <w:rFonts w:ascii="Arial" w:cs="Arial" w:eastAsia="Arial" w:hAnsi="Arial"/>
                <w:sz w:val="16"/>
                <w:szCs w:val="16"/>
                <w:b w:val="1"/>
                <w:bCs w:val="1"/>
                <w:color w:val="auto"/>
                <w:w w:val="91"/>
              </w:rPr>
              <w:t>Delaware</w:t>
            </w:r>
          </w:p>
        </w:tc>
        <w:tc>
          <w:tcPr>
            <w:tcW w:w="2920" w:type="dxa"/>
            <w:vAlign w:val="bottom"/>
            <w:vMerge w:val="restart"/>
          </w:tcPr>
          <w:p>
            <w:pPr>
              <w:jc w:val="right"/>
              <w:ind w:right="1088"/>
              <w:spacing w:after="0"/>
              <w:rPr>
                <w:sz w:val="20"/>
                <w:szCs w:val="20"/>
                <w:color w:val="auto"/>
              </w:rPr>
            </w:pPr>
            <w:r>
              <w:rPr>
                <w:rFonts w:ascii="Arial" w:cs="Arial" w:eastAsia="Arial" w:hAnsi="Arial"/>
                <w:sz w:val="16"/>
                <w:szCs w:val="16"/>
                <w:b w:val="1"/>
                <w:bCs w:val="1"/>
                <w:color w:val="auto"/>
              </w:rPr>
              <w:t>001-39614</w:t>
            </w:r>
          </w:p>
        </w:tc>
        <w:tc>
          <w:tcPr>
            <w:tcW w:w="2720" w:type="dxa"/>
            <w:vAlign w:val="bottom"/>
          </w:tcPr>
          <w:p>
            <w:pPr>
              <w:jc w:val="right"/>
              <w:ind w:right="488"/>
              <w:spacing w:after="0"/>
              <w:rPr>
                <w:sz w:val="20"/>
                <w:szCs w:val="20"/>
                <w:color w:val="auto"/>
              </w:rPr>
            </w:pPr>
            <w:r>
              <w:rPr>
                <w:rFonts w:ascii="Arial" w:cs="Arial" w:eastAsia="Arial" w:hAnsi="Arial"/>
                <w:sz w:val="16"/>
                <w:szCs w:val="16"/>
                <w:b w:val="1"/>
                <w:bCs w:val="1"/>
                <w:color w:val="auto"/>
              </w:rPr>
              <w:t>81-4717861</w:t>
            </w: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292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060" w:type="dxa"/>
            <w:vAlign w:val="bottom"/>
          </w:tcPr>
          <w:p>
            <w:pPr>
              <w:jc w:val="center"/>
              <w:ind w:right="588"/>
              <w:spacing w:after="0"/>
              <w:rPr>
                <w:sz w:val="20"/>
                <w:szCs w:val="20"/>
                <w:color w:val="auto"/>
              </w:rPr>
            </w:pPr>
            <w:r>
              <w:rPr>
                <w:rFonts w:ascii="Arial" w:cs="Arial" w:eastAsia="Arial" w:hAnsi="Arial"/>
                <w:sz w:val="13"/>
                <w:szCs w:val="13"/>
                <w:b w:val="1"/>
                <w:bCs w:val="1"/>
                <w:color w:val="auto"/>
                <w:w w:val="88"/>
              </w:rPr>
              <w:t>(State or other jurisdiction of incorporation)</w:t>
            </w:r>
          </w:p>
        </w:tc>
        <w:tc>
          <w:tcPr>
            <w:tcW w:w="2920" w:type="dxa"/>
            <w:vAlign w:val="bottom"/>
          </w:tcPr>
          <w:p>
            <w:pPr>
              <w:jc w:val="center"/>
              <w:ind w:right="28"/>
              <w:spacing w:after="0"/>
              <w:rPr>
                <w:sz w:val="20"/>
                <w:szCs w:val="20"/>
                <w:color w:val="auto"/>
              </w:rPr>
            </w:pPr>
            <w:r>
              <w:rPr>
                <w:rFonts w:ascii="Arial" w:cs="Arial" w:eastAsia="Arial" w:hAnsi="Arial"/>
                <w:sz w:val="13"/>
                <w:szCs w:val="13"/>
                <w:b w:val="1"/>
                <w:bCs w:val="1"/>
                <w:color w:val="auto"/>
                <w:w w:val="88"/>
              </w:rPr>
              <w:t>(Commission File Number)</w:t>
            </w:r>
          </w:p>
        </w:tc>
        <w:tc>
          <w:tcPr>
            <w:tcW w:w="2720" w:type="dxa"/>
            <w:vAlign w:val="bottom"/>
          </w:tcPr>
          <w:p>
            <w:pPr>
              <w:jc w:val="center"/>
              <w:ind w:left="728"/>
              <w:spacing w:after="0"/>
              <w:rPr>
                <w:sz w:val="20"/>
                <w:szCs w:val="20"/>
                <w:color w:val="auto"/>
              </w:rPr>
            </w:pPr>
            <w:r>
              <w:rPr>
                <w:rFonts w:ascii="Arial" w:cs="Arial" w:eastAsia="Arial" w:hAnsi="Arial"/>
                <w:sz w:val="13"/>
                <w:szCs w:val="13"/>
                <w:b w:val="1"/>
                <w:bCs w:val="1"/>
                <w:color w:val="auto"/>
                <w:w w:val="90"/>
              </w:rPr>
              <w:t>(I.R.S. Employer Identification No.)</w:t>
            </w:r>
          </w:p>
        </w:tc>
        <w:tc>
          <w:tcPr>
            <w:tcW w:w="0" w:type="dxa"/>
            <w:vAlign w:val="bottom"/>
          </w:tcPr>
          <w:p>
            <w:pPr>
              <w:spacing w:after="0"/>
              <w:rPr>
                <w:sz w:val="1"/>
                <w:szCs w:val="1"/>
                <w:color w:val="auto"/>
              </w:rPr>
            </w:pPr>
          </w:p>
        </w:tc>
      </w:tr>
    </w:tbl>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15440 Laguna Canyon Road, Suite 160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231F20"/>
        </w:rPr>
        <w:t>(Address of principal executive offices, including Zip Code)</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(949) 409-9820</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231F20"/>
        </w:rPr>
        <w:t>Soliciting material pursuant to Rule 14a-12 under the Exchange Act (17 CFR 240.14a-12)</w:t>
      </w:r>
    </w:p>
    <w:p>
      <w:pPr>
        <w:spacing w:after="0" w:line="147"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Arial" w:cs="Arial" w:eastAsia="Arial" w:hAnsi="Arial"/>
          <w:sz w:val="16"/>
          <w:szCs w:val="16"/>
          <w:color w:val="231F20"/>
        </w:rPr>
        <w:t>Pre-commencement communications pursuant to Rule 14d-2(b) under the Exchange Act (17 CFR 240.14d-2(b))</w:t>
      </w:r>
    </w:p>
    <w:p>
      <w:pPr>
        <w:spacing w:after="0" w:line="239" w:lineRule="exact"/>
        <w:rPr>
          <w:rFonts w:ascii="MS PGothic" w:cs="MS PGothic" w:eastAsia="MS PGothic" w:hAnsi="MS PGothic"/>
          <w:sz w:val="32"/>
          <w:szCs w:val="32"/>
          <w:color w:val="auto"/>
          <w:vertAlign w:val="superscript"/>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231F20"/>
        </w:rPr>
        <w:t>Pre-commencement communications pursuant to Rule 13e-4(c) under the Exchange Act (17 CFR 240.13e-4(c))</w:t>
      </w:r>
    </w:p>
    <w:p>
      <w:pPr>
        <w:spacing w:after="0" w:line="3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3"/>
        </w:trPr>
        <w:tc>
          <w:tcPr>
            <w:tcW w:w="4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$0.0001 par value per share</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TARS</w:t>
            </w:r>
          </w:p>
        </w:tc>
        <w:tc>
          <w:tcPr>
            <w:tcW w:w="458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206"/>
        </w:trPr>
        <w:tc>
          <w:tcPr>
            <w:tcW w:w="476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4580" w:type="dxa"/>
            <w:vAlign w:val="bottom"/>
          </w:tcPr>
          <w:p>
            <w:pPr>
              <w:jc w:val="center"/>
              <w:spacing w:after="0"/>
              <w:rPr>
                <w:sz w:val="20"/>
                <w:szCs w:val="20"/>
                <w:color w:val="auto"/>
              </w:rPr>
            </w:pPr>
            <w:r>
              <w:rPr>
                <w:rFonts w:ascii="Arial" w:cs="Arial" w:eastAsia="Arial" w:hAnsi="Arial"/>
                <w:sz w:val="16"/>
                <w:szCs w:val="16"/>
                <w:color w:val="auto"/>
                <w:w w:val="91"/>
              </w:rPr>
              <w:t>Nasdaq Global Select Market</w:t>
            </w:r>
          </w:p>
        </w:tc>
      </w:tr>
      <w:tr>
        <w:trPr>
          <w:trHeight w:val="33"/>
        </w:trPr>
        <w:tc>
          <w:tcPr>
            <w:tcW w:w="476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4580" w:type="dxa"/>
            <w:vAlign w:val="bottom"/>
          </w:tcPr>
          <w:p>
            <w:pPr>
              <w:spacing w:after="0"/>
              <w:rPr>
                <w:sz w:val="2"/>
                <w:szCs w:val="2"/>
                <w:color w:val="auto"/>
              </w:rPr>
            </w:pPr>
          </w:p>
        </w:tc>
      </w:tr>
    </w:tbl>
    <w:p>
      <w:pPr>
        <w:spacing w:after="0" w:line="301" w:lineRule="exact"/>
        <w:rPr>
          <w:sz w:val="24"/>
          <w:szCs w:val="24"/>
          <w:color w:val="auto"/>
        </w:rPr>
      </w:pPr>
    </w:p>
    <w:p>
      <w:pPr>
        <w:ind w:right="60"/>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Arial" w:cs="Arial" w:eastAsia="Arial" w:hAnsi="Arial"/>
          <w:sz w:val="16"/>
          <w:szCs w:val="16"/>
          <w:color w:val="231F20"/>
        </w:rPr>
        <w:t>Emerging growth company</w:t>
      </w:r>
      <w:r>
        <w:rPr>
          <w:rFonts w:ascii="Arial" w:cs="Arial" w:eastAsia="Arial" w:hAnsi="Arial"/>
          <w:sz w:val="16"/>
          <w:szCs w:val="16"/>
          <w:color w:val="auto"/>
        </w:rPr>
        <w:t xml:space="preserve"> </w:t>
      </w:r>
      <w:r>
        <w:rPr>
          <w:rFonts w:ascii="MS PGothic" w:cs="MS PGothic" w:eastAsia="MS PGothic" w:hAnsi="MS PGothic"/>
          <w:sz w:val="16"/>
          <w:szCs w:val="16"/>
          <w:color w:val="231F20"/>
        </w:rPr>
        <w:t>☒</w:t>
      </w:r>
    </w:p>
    <w:p>
      <w:pPr>
        <w:spacing w:after="0" w:line="182"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On August 11, 2022, Tarsus Pharmaceuticals, Inc. (the “Company”) issued a press release, which, among other matters, sets forth the Company’s results of operations for the three and six months ended June 30, 2022. A copy of the press release is attached hereto as Exhibit 99.1 and is incorporated herein by reference.</w:t>
      </w:r>
    </w:p>
    <w:p>
      <w:pPr>
        <w:spacing w:after="0" w:line="202" w:lineRule="exact"/>
        <w:rPr>
          <w:sz w:val="20"/>
          <w:szCs w:val="20"/>
          <w:color w:val="auto"/>
        </w:rPr>
      </w:pPr>
    </w:p>
    <w:p>
      <w:pPr>
        <w:jc w:val="both"/>
        <w:ind w:firstLine="405"/>
        <w:spacing w:after="0" w:line="278" w:lineRule="auto"/>
        <w:rPr>
          <w:sz w:val="20"/>
          <w:szCs w:val="20"/>
          <w:color w:val="auto"/>
        </w:rPr>
      </w:pPr>
      <w:r>
        <w:rPr>
          <w:rFonts w:ascii="Arial" w:cs="Arial" w:eastAsia="Arial" w:hAnsi="Arial"/>
          <w:sz w:val="17"/>
          <w:szCs w:val="17"/>
          <w:color w:val="auto"/>
        </w:rPr>
        <w:t>The foregoing information, including Exhibit 99.1, is being furnished under Item 2.02 and shall not be deemed “filed” for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33"/>
        </w:trPr>
        <w:tc>
          <w:tcPr>
            <w:tcW w:w="2540" w:type="dxa"/>
            <w:vAlign w:val="bottom"/>
            <w:tcBorders>
              <w:bottom w:val="single" w:sz="8" w:color="auto"/>
            </w:tcBorders>
          </w:tcPr>
          <w:p>
            <w:pPr>
              <w:jc w:val="right"/>
              <w:ind w:right="1570"/>
              <w:spacing w:after="0"/>
              <w:rPr>
                <w:sz w:val="20"/>
                <w:szCs w:val="20"/>
                <w:color w:val="auto"/>
              </w:rPr>
            </w:pPr>
            <w:r>
              <w:rPr>
                <w:rFonts w:ascii="Arial" w:cs="Arial" w:eastAsia="Arial" w:hAnsi="Arial"/>
                <w:sz w:val="18"/>
                <w:szCs w:val="18"/>
                <w:color w:val="auto"/>
                <w:w w:val="98"/>
              </w:rPr>
              <w:t>Exhibit No.</w:t>
            </w:r>
          </w:p>
        </w:tc>
        <w:tc>
          <w:tcPr>
            <w:tcW w:w="5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Description</w:t>
            </w:r>
          </w:p>
        </w:tc>
        <w:tc>
          <w:tcPr>
            <w:tcW w:w="40" w:type="dxa"/>
            <w:vAlign w:val="bottom"/>
          </w:tcPr>
          <w:p>
            <w:pPr>
              <w:spacing w:after="0"/>
              <w:rPr>
                <w:sz w:val="24"/>
                <w:szCs w:val="24"/>
                <w:color w:val="auto"/>
              </w:rPr>
            </w:pPr>
          </w:p>
        </w:tc>
      </w:tr>
      <w:tr>
        <w:trPr>
          <w:trHeight w:val="203"/>
        </w:trPr>
        <w:tc>
          <w:tcPr>
            <w:tcW w:w="25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99.1</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60" w:type="dxa"/>
            <w:vAlign w:val="bottom"/>
            <w:tcBorders>
              <w:bottom w:val="single" w:sz="8" w:color="0000FF"/>
            </w:tcBorders>
          </w:tcPr>
          <w:p>
            <w:pPr>
              <w:spacing w:after="0" w:line="202" w:lineRule="exact"/>
              <w:rPr>
                <w:sz w:val="20"/>
                <w:szCs w:val="20"/>
                <w:color w:val="auto"/>
              </w:rPr>
            </w:pPr>
            <w:r>
              <w:rPr>
                <w:rFonts w:ascii="Arial" w:cs="Arial" w:eastAsia="Arial" w:hAnsi="Arial"/>
                <w:sz w:val="18"/>
                <w:szCs w:val="18"/>
                <w:color w:val="0000FF"/>
                <w:w w:val="87"/>
              </w:rPr>
              <w:t>Press Release dated August 11, 2022</w:t>
            </w:r>
          </w:p>
        </w:tc>
        <w:tc>
          <w:tcPr>
            <w:tcW w:w="5500" w:type="dxa"/>
            <w:vAlign w:val="bottom"/>
            <w:gridSpan w:val="2"/>
          </w:tcPr>
          <w:p>
            <w:pPr>
              <w:spacing w:after="0"/>
              <w:rPr>
                <w:sz w:val="17"/>
                <w:szCs w:val="17"/>
                <w:color w:val="auto"/>
              </w:rPr>
            </w:pPr>
          </w:p>
        </w:tc>
      </w:tr>
      <w:tr>
        <w:trPr>
          <w:trHeight w:val="291"/>
        </w:trPr>
        <w:tc>
          <w:tcPr>
            <w:tcW w:w="2540" w:type="dxa"/>
            <w:vAlign w:val="bottom"/>
          </w:tcPr>
          <w:p>
            <w:pPr>
              <w:jc w:val="right"/>
              <w:ind w:right="350"/>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XBRL document)</w:t>
            </w:r>
          </w:p>
        </w:tc>
      </w:tr>
      <w:tr>
        <w:trPr>
          <w:trHeight w:val="1019"/>
        </w:trPr>
        <w:tc>
          <w:tcPr>
            <w:tcW w:w="2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TARSUS PHARMACEUTICALS, INC.</w:t>
      </w:r>
    </w:p>
    <w:p>
      <w:pPr>
        <w:spacing w:after="0" w:line="310" w:lineRule="exact"/>
        <w:rPr>
          <w:sz w:val="20"/>
          <w:szCs w:val="20"/>
          <w:color w:val="auto"/>
        </w:rPr>
      </w:pPr>
    </w:p>
    <w:p>
      <w:pPr>
        <w:ind w:left="40"/>
        <w:spacing w:after="0"/>
        <w:tabs>
          <w:tab w:leader="none" w:pos="1500" w:val="left"/>
          <w:tab w:leader="none" w:pos="3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11, 2022</w:t>
      </w:r>
      <w:r>
        <w:rPr>
          <w:sz w:val="20"/>
          <w:szCs w:val="20"/>
          <w:color w:val="auto"/>
        </w:rPr>
        <w:tab/>
      </w:r>
      <w:r>
        <w:rPr>
          <w:rFonts w:ascii="Arial" w:cs="Arial" w:eastAsia="Arial" w:hAnsi="Arial"/>
          <w:sz w:val="16"/>
          <w:szCs w:val="16"/>
          <w:color w:val="auto"/>
        </w:rPr>
        <w:t>/s/ Leonard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23495</wp:posOffset>
            </wp:positionV>
            <wp:extent cx="4886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4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Leonard M. Greenstein</w:t>
      </w:r>
    </w:p>
    <w:p>
      <w:pPr>
        <w:spacing w:after="0" w:line="50"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358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240"/>
          </w:cols>
          <w:pgMar w:left="320" w:top="1178"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654685</wp:posOffset>
            </wp:positionV>
            <wp:extent cx="1440180" cy="1045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Tarsus Reports Second Quarter 2022 Financial Results and Recent Business Achievements</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TP-03 for the treatment of Demodex blepharitis met all endpoints in the Saturn-2 Phase 3 trial; NDA submission expected this year</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Initiated Ersa Phase 2a trial evaluating TP-03 for the treatment of Meibomian Gland Disease</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Cash runway anticipated into at least 2026 for the commercial launch of TP-03 and continued pipeline development</w:t>
      </w:r>
    </w:p>
    <w:p>
      <w:pPr>
        <w:spacing w:after="0" w:line="22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b w:val="1"/>
          <w:bCs w:val="1"/>
          <w:color w:val="auto"/>
        </w:rPr>
        <w:t xml:space="preserve">IRVINE, Calif., August 11, 2022 (GLOBE NEWSWIRE) </w:t>
      </w:r>
      <w:r>
        <w:rPr>
          <w:rFonts w:ascii="Arial" w:cs="Arial" w:eastAsia="Arial" w:hAnsi="Arial"/>
          <w:sz w:val="18"/>
          <w:szCs w:val="18"/>
          <w:color w:val="auto"/>
        </w:rPr>
        <w:t>-- Tarsus Pharmaceuticals, Inc. (NASDAQ: TARS), whose mission is to focus on unmet needs</w:t>
      </w:r>
      <w:r>
        <w:rPr>
          <w:rFonts w:ascii="Arial" w:cs="Arial" w:eastAsia="Arial" w:hAnsi="Arial"/>
          <w:sz w:val="18"/>
          <w:szCs w:val="18"/>
          <w:b w:val="1"/>
          <w:bCs w:val="1"/>
          <w:color w:val="auto"/>
        </w:rPr>
        <w:t xml:space="preserve"> </w:t>
      </w:r>
      <w:r>
        <w:rPr>
          <w:rFonts w:ascii="Arial" w:cs="Arial" w:eastAsia="Arial" w:hAnsi="Arial"/>
          <w:sz w:val="18"/>
          <w:szCs w:val="18"/>
          <w:color w:val="auto"/>
        </w:rPr>
        <w:t>and apply proven science and new technology to revolutionize treatment for eye diseases, today announced financial results for the second quarter ended June 30, 2022, and recent business achievements.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continued to execute on our top priority of advancing TP-03 for the treatment of Demodex blepharitis, including preparing for NDA submission this year. We are also expanding the commercial team and seeing growing disease awareness as we generate momentum towards a potential commercial launch next year,” said Bobak Azamian, M.D., Ph.D., President and Chief Executive Officer of Tarsus. “Simultaneously, we’ve taken positive steps to advance our pipeline, including initiating our clinical program for MGD, and preparing for the start of two additional Phase 2 studies in Lyme disease prevention and Rosacea. These milestones, along with our strengthened balance sheet, are important steps toward our goal of becoming a leading eye pharmaceutical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Highlights and Corporate Update</w:t>
      </w:r>
    </w:p>
    <w:p>
      <w:pPr>
        <w:spacing w:after="0" w:line="1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NDA submission of TP-03 for </w:t>
      </w:r>
      <w:r>
        <w:rPr>
          <w:rFonts w:ascii="Arial" w:cs="Arial" w:eastAsia="Arial" w:hAnsi="Arial"/>
          <w:sz w:val="18"/>
          <w:szCs w:val="18"/>
          <w:i w:val="1"/>
          <w:iCs w:val="1"/>
          <w:color w:val="auto"/>
        </w:rPr>
        <w:t>Demodex</w:t>
      </w:r>
      <w:r>
        <w:rPr>
          <w:rFonts w:ascii="Arial" w:cs="Arial" w:eastAsia="Arial" w:hAnsi="Arial"/>
          <w:sz w:val="18"/>
          <w:szCs w:val="18"/>
          <w:color w:val="auto"/>
        </w:rPr>
        <w:t xml:space="preserve"> blepharitis (DB) expected this year</w:t>
      </w:r>
    </w:p>
    <w:p>
      <w:pPr>
        <w:ind w:left="660" w:right="40" w:hanging="328"/>
        <w:spacing w:after="0" w:line="22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TP-03 met the primary and all secondary endpoints, resolved DB and was safe and well-tolerated in Saturn-2 Phase 3, the second and final pivotal trial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Initiated Ersa Phase 2a trial evaluating TP-03 for the treatment of Meibomian Gland Disease, another highly prevalent eyelid margin disease</w:t>
      </w:r>
    </w:p>
    <w:p>
      <w:pPr>
        <w:spacing w:after="0" w:line="7" w:lineRule="exact"/>
        <w:rPr>
          <w:rFonts w:ascii="Arial" w:cs="Arial" w:eastAsia="Arial" w:hAnsi="Arial"/>
          <w:sz w:val="17"/>
          <w:szCs w:val="17"/>
          <w:color w:val="auto"/>
        </w:rPr>
      </w:pPr>
    </w:p>
    <w:p>
      <w:pPr>
        <w:ind w:left="660" w:right="200" w:hanging="328"/>
        <w:spacing w:after="0" w:line="23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Data from the Callisto Phase 1b trial of TP-05, a novel, oral, non-vaccine potential therapeutic for the prevention of Lyme disease, expected this year</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runway anticipated into at least 2026</w:t>
      </w:r>
    </w:p>
    <w:p>
      <w:pPr>
        <w:ind w:left="1300" w:right="200" w:hanging="320"/>
        <w:spacing w:after="0" w:line="234" w:lineRule="auto"/>
        <w:tabs>
          <w:tab w:leader="none" w:pos="1296" w:val="left"/>
        </w:tabs>
        <w:numPr>
          <w:ilvl w:val="1"/>
          <w:numId w:val="2"/>
        </w:numPr>
        <w:rPr>
          <w:rFonts w:ascii="Arial" w:cs="Arial" w:eastAsia="Arial" w:hAnsi="Arial"/>
          <w:sz w:val="18"/>
          <w:szCs w:val="18"/>
          <w:color w:val="auto"/>
        </w:rPr>
      </w:pPr>
      <w:r>
        <w:rPr>
          <w:rFonts w:ascii="Arial" w:cs="Arial" w:eastAsia="Arial" w:hAnsi="Arial"/>
          <w:sz w:val="18"/>
          <w:szCs w:val="18"/>
          <w:color w:val="auto"/>
        </w:rPr>
        <w:t>$245 million of cash as of June 30, 2022, including Q2 2022 net proceeds of $74 million from follow-on equity raise and a $15 million milestone from China out-license</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$30 million in expected milestones through 2024 from China out-license with $15 million in H2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Milestones</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1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Program</w:t>
            </w:r>
          </w:p>
        </w:tc>
        <w:tc>
          <w:tcPr>
            <w:tcW w:w="4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Milestone</w:t>
            </w:r>
          </w:p>
        </w:tc>
        <w:tc>
          <w:tcPr>
            <w:tcW w:w="28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Anticipated Indication</w:t>
            </w:r>
          </w:p>
        </w:tc>
        <w:tc>
          <w:tcPr>
            <w:tcW w:w="10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H1 2022</w:t>
            </w:r>
          </w:p>
        </w:tc>
        <w:tc>
          <w:tcPr>
            <w:tcW w:w="1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H2 2022</w:t>
            </w:r>
          </w:p>
        </w:tc>
      </w:tr>
      <w:tr>
        <w:trPr>
          <w:trHeight w:val="22"/>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160" w:type="dxa"/>
            <w:vAlign w:val="bottom"/>
            <w:tcBorders>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TP-03</w:t>
            </w:r>
          </w:p>
        </w:tc>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Topline Pivotal Data (Saturn-2)</w:t>
            </w:r>
          </w:p>
        </w:tc>
        <w:tc>
          <w:tcPr>
            <w:tcW w:w="2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 xml:space="preserve">Demodex </w:t>
            </w:r>
            <w:r>
              <w:rPr>
                <w:rFonts w:ascii="Arial" w:cs="Arial" w:eastAsia="Arial" w:hAnsi="Arial"/>
                <w:sz w:val="18"/>
                <w:szCs w:val="18"/>
                <w:color w:val="auto"/>
              </w:rPr>
              <w:t>blepharitis</w:t>
            </w:r>
          </w:p>
        </w:tc>
        <w:tc>
          <w:tcPr>
            <w:tcW w:w="1000" w:type="dxa"/>
            <w:vAlign w:val="bottom"/>
            <w:tcBorders>
              <w:bottom w:val="single" w:sz="8" w:color="auto"/>
              <w:right w:val="single" w:sz="8" w:color="auto"/>
            </w:tcBorders>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Borders>
              <w:bottom w:val="single" w:sz="8" w:color="auto"/>
              <w:right w:val="single" w:sz="8" w:color="auto"/>
            </w:tcBorders>
          </w:tcPr>
          <w:p>
            <w:pPr>
              <w:spacing w:after="0"/>
              <w:rPr>
                <w:sz w:val="21"/>
                <w:szCs w:val="21"/>
                <w:color w:val="auto"/>
              </w:rPr>
            </w:pPr>
          </w:p>
        </w:tc>
      </w:tr>
      <w:tr>
        <w:trPr>
          <w:trHeight w:val="250"/>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TP-03</w:t>
            </w:r>
          </w:p>
        </w:tc>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Initiate Phase 2 (Ersa)</w:t>
            </w:r>
          </w:p>
        </w:tc>
        <w:tc>
          <w:tcPr>
            <w:tcW w:w="2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Meibomian Gland Disease</w:t>
            </w:r>
          </w:p>
        </w:tc>
        <w:tc>
          <w:tcPr>
            <w:tcW w:w="100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24"/>
        </w:trPr>
        <w:tc>
          <w:tcPr>
            <w:tcW w:w="1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TP-05</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Initiate Ph2a (Carpo)</w:t>
            </w:r>
          </w:p>
        </w:tc>
        <w:tc>
          <w:tcPr>
            <w:tcW w:w="2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Lyme disease prevention</w:t>
            </w:r>
          </w:p>
        </w:tc>
        <w:tc>
          <w:tcPr>
            <w:tcW w:w="100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6"/>
        </w:trPr>
        <w:tc>
          <w:tcPr>
            <w:tcW w:w="1020" w:type="dxa"/>
            <w:vAlign w:val="bottom"/>
            <w:tcBorders>
              <w:left w:val="single" w:sz="8" w:color="auto"/>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24"/>
        </w:trPr>
        <w:tc>
          <w:tcPr>
            <w:tcW w:w="1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TP-03</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NDA Submission</w:t>
            </w:r>
          </w:p>
        </w:tc>
        <w:tc>
          <w:tcPr>
            <w:tcW w:w="286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 xml:space="preserve">Demodex </w:t>
            </w:r>
            <w:r>
              <w:rPr>
                <w:rFonts w:ascii="Arial" w:cs="Arial" w:eastAsia="Arial" w:hAnsi="Arial"/>
                <w:sz w:val="18"/>
                <w:szCs w:val="18"/>
                <w:color w:val="auto"/>
              </w:rPr>
              <w:t>blepharitis</w:t>
            </w:r>
          </w:p>
        </w:tc>
        <w:tc>
          <w:tcPr>
            <w:tcW w:w="100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6"/>
        </w:trPr>
        <w:tc>
          <w:tcPr>
            <w:tcW w:w="1020" w:type="dxa"/>
            <w:vAlign w:val="bottom"/>
            <w:tcBorders>
              <w:left w:val="single" w:sz="8" w:color="auto"/>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24"/>
        </w:trPr>
        <w:tc>
          <w:tcPr>
            <w:tcW w:w="1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TP-04</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Initiate Phase 2 (Galatea)</w:t>
            </w:r>
          </w:p>
        </w:tc>
        <w:tc>
          <w:tcPr>
            <w:tcW w:w="2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Rosacea</w:t>
            </w:r>
          </w:p>
        </w:tc>
        <w:tc>
          <w:tcPr>
            <w:tcW w:w="100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6"/>
        </w:trPr>
        <w:tc>
          <w:tcPr>
            <w:tcW w:w="1020" w:type="dxa"/>
            <w:vAlign w:val="bottom"/>
            <w:tcBorders>
              <w:left w:val="single" w:sz="8" w:color="auto"/>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24"/>
        </w:trPr>
        <w:tc>
          <w:tcPr>
            <w:tcW w:w="1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TP-05</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1b Data (Callisto)</w:t>
            </w:r>
          </w:p>
        </w:tc>
        <w:tc>
          <w:tcPr>
            <w:tcW w:w="2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Lyme disease prevention</w:t>
            </w:r>
          </w:p>
        </w:tc>
        <w:tc>
          <w:tcPr>
            <w:tcW w:w="100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6"/>
        </w:trPr>
        <w:tc>
          <w:tcPr>
            <w:tcW w:w="1020" w:type="dxa"/>
            <w:vAlign w:val="bottom"/>
            <w:tcBorders>
              <w:left w:val="single" w:sz="8" w:color="auto"/>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24"/>
        </w:trPr>
        <w:tc>
          <w:tcPr>
            <w:tcW w:w="1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TP-03</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Initiate Phase 3 trial in China (with LianBio)</w:t>
            </w:r>
          </w:p>
        </w:tc>
        <w:tc>
          <w:tcPr>
            <w:tcW w:w="286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 xml:space="preserve">Demodex </w:t>
            </w:r>
            <w:r>
              <w:rPr>
                <w:rFonts w:ascii="Arial" w:cs="Arial" w:eastAsia="Arial" w:hAnsi="Arial"/>
                <w:sz w:val="18"/>
                <w:szCs w:val="18"/>
                <w:color w:val="auto"/>
              </w:rPr>
              <w:t>blepharitis</w:t>
            </w:r>
          </w:p>
        </w:tc>
        <w:tc>
          <w:tcPr>
            <w:tcW w:w="100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6"/>
        </w:trPr>
        <w:tc>
          <w:tcPr>
            <w:tcW w:w="1020" w:type="dxa"/>
            <w:vAlign w:val="bottom"/>
            <w:tcBorders>
              <w:left w:val="single" w:sz="8" w:color="auto"/>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2022 Financial Results</w:t>
      </w:r>
    </w:p>
    <w:p>
      <w:pPr>
        <w:spacing w:after="0" w:line="243"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Second quarter net loss for 2022 was $5.7 million, compared to net income of $6.3 million for the same period in 2021</w:t>
      </w:r>
    </w:p>
    <w:p>
      <w:pPr>
        <w:sectPr>
          <w:pgSz w:w="11900" w:h="16838" w:orient="portrait"/>
          <w:cols w:equalWidth="0" w:num="1">
            <w:col w:w="11220"/>
          </w:cols>
          <w:pgMar w:left="320" w:top="1440" w:right="359" w:bottom="1440" w:gutter="0" w:footer="0" w:header="0"/>
        </w:sectPr>
      </w:pPr>
    </w:p>
    <w:bookmarkStart w:id="4" w:name="page5"/>
    <w:bookmarkEnd w:id="4"/>
    <w:p>
      <w:pPr>
        <w:ind w:left="660" w:right="20" w:hanging="328"/>
        <w:spacing w:after="0" w:line="24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Second quarter 2022 license fee and collaboration revenue, as part of the strategic partnership with LianBio, was $15.3 million, compared to $22.0 million for the same period in 2021</w:t>
      </w:r>
    </w:p>
    <w:p>
      <w:pPr>
        <w:ind w:left="660" w:right="120" w:hanging="328"/>
        <w:spacing w:after="0" w:line="234" w:lineRule="auto"/>
        <w:tabs>
          <w:tab w:leader="none" w:pos="579"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Second quarter research and development expenses for 2022 were $9.6 million (inclusive of stock-based compensation of $1.0 million), compared to $7.2 million for the same period in 2021</w:t>
      </w:r>
    </w:p>
    <w:p>
      <w:pPr>
        <w:spacing w:after="0" w:line="1" w:lineRule="exact"/>
        <w:rPr>
          <w:rFonts w:ascii="Arial" w:cs="Arial" w:eastAsia="Arial" w:hAnsi="Arial"/>
          <w:sz w:val="18"/>
          <w:szCs w:val="18"/>
          <w:color w:val="auto"/>
        </w:rPr>
      </w:pPr>
    </w:p>
    <w:p>
      <w:pPr>
        <w:ind w:left="660" w:right="760" w:hanging="328"/>
        <w:spacing w:after="0" w:line="234" w:lineRule="auto"/>
        <w:tabs>
          <w:tab w:leader="none" w:pos="579"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Second quarter general and administrative expenses for 2022 were $10.4 million (inclusive of stock-based compensation of $2.5 million), compared to $6.8 million for the same period in 2021</w:t>
      </w:r>
    </w:p>
    <w:p>
      <w:pPr>
        <w:spacing w:after="0" w:line="1" w:lineRule="exact"/>
        <w:rPr>
          <w:rFonts w:ascii="Arial" w:cs="Arial" w:eastAsia="Arial" w:hAnsi="Arial"/>
          <w:sz w:val="18"/>
          <w:szCs w:val="18"/>
          <w:color w:val="auto"/>
        </w:rPr>
      </w:pPr>
    </w:p>
    <w:p>
      <w:pPr>
        <w:ind w:left="560" w:hanging="228"/>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June 30, 2022, cash and cash equivalents were $245.4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Tarsus Pharmaceuticals, Inc.</w:t>
      </w:r>
    </w:p>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Tarsus Pharmaceuticals, Inc. applies proven science and new technology to revolutionize treatment for patients, starting with eye care. Tarsus is advancing its pipeline to address several diseases with high unmet need across a range of therapeutic categories, including eye care, dermatology, and infectious disease prevention. Tarsus is studying two investigational medicines in clinical trials. Its lead product candidate, TP-03, is a novel therapeutic which has demonstrated positive results in two pivotal trials for the treatment of </w:t>
      </w:r>
      <w:r>
        <w:rPr>
          <w:rFonts w:ascii="Arial" w:cs="Arial" w:eastAsia="Arial" w:hAnsi="Arial"/>
          <w:sz w:val="18"/>
          <w:szCs w:val="18"/>
          <w:i w:val="1"/>
          <w:iCs w:val="1"/>
          <w:color w:val="auto"/>
        </w:rPr>
        <w:t>Demodex</w:t>
      </w:r>
      <w:r>
        <w:rPr>
          <w:rFonts w:ascii="Arial" w:cs="Arial" w:eastAsia="Arial" w:hAnsi="Arial"/>
          <w:sz w:val="18"/>
          <w:szCs w:val="18"/>
          <w:color w:val="auto"/>
        </w:rPr>
        <w:t xml:space="preserve"> blepharitis. TP-03 is also being developed for the treatment of Meibomian Gland Disease. In addition, Tarsus is developing TP-05, an oral, non-vaccine therapeutic for the prevention of Lyme disease, which is currently being studied in a Phase 1b clinical trial.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Statements in this press release about future expectations, plans and prospects, as well as any other statements regarding matters that are not historical facts, may constitute “forward-looking statements.” These statements include statements regarding the potential approval and commercialization of TP-03, the initiation of Phase 2 studies for Lyme disease prevention and the treatment of rosacea, cash runway expectations, the terms of the license agreement with LianBio, the ability of LianBio to commercialize TP-03 in the Greater China territory, the market size for TP-03 and TP-05, future events and Tarsus’ plans for and the anticipated benefits of its product candidates including TP-03, TP-04 and TP-05, the timing, objectives and results of the clinical trials, anticipated regulatory and development milestones and the quotations of Tarsus’ management.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Important factors that could cause actual results to differ materially from those in the forward-looking statements include: Tarsus has incurred significant losses and negative cash flows from operations since inception and anticipates that it will continue to incur significant expenses and losses for the foreseeable future; Tarsus may need to obtain additional funding to complete the development and any commercialization of its product candidates, if approved; Tarsus is heavily dependent on the success of its lead product candidate, TP-03 for the treatment of </w:t>
      </w:r>
      <w:r>
        <w:rPr>
          <w:rFonts w:ascii="Arial" w:cs="Arial" w:eastAsia="Arial" w:hAnsi="Arial"/>
          <w:sz w:val="16"/>
          <w:szCs w:val="16"/>
          <w:i w:val="1"/>
          <w:iCs w:val="1"/>
          <w:color w:val="auto"/>
        </w:rPr>
        <w:t>Demodex</w:t>
      </w:r>
      <w:r>
        <w:rPr>
          <w:rFonts w:ascii="Arial" w:cs="Arial" w:eastAsia="Arial" w:hAnsi="Arial"/>
          <w:sz w:val="16"/>
          <w:szCs w:val="16"/>
          <w:color w:val="auto"/>
        </w:rPr>
        <w:t xml:space="preserve"> blepharitis; the COVID-19 pandemic may affect Tarsus’ ability to initiate and complete preclinical studies and clinical trials, disrupt regulatory activities, disrupt manufacturing and supply chain or have other adverse effects on Tarsus’ business and operations; even if TP-03, TP-04, TP-05, or any other product candidate that Tarsus develops receives marketing approval, Tarsus may not be successful in educating healthcare professionals and the market about the need for treatments specifically for </w:t>
      </w:r>
      <w:r>
        <w:rPr>
          <w:rFonts w:ascii="Arial" w:cs="Arial" w:eastAsia="Arial" w:hAnsi="Arial"/>
          <w:sz w:val="16"/>
          <w:szCs w:val="16"/>
          <w:i w:val="1"/>
          <w:iCs w:val="1"/>
          <w:color w:val="auto"/>
        </w:rPr>
        <w:t>Demodex</w:t>
      </w:r>
      <w:r>
        <w:rPr>
          <w:rFonts w:ascii="Arial" w:cs="Arial" w:eastAsia="Arial" w:hAnsi="Arial"/>
          <w:sz w:val="16"/>
          <w:szCs w:val="16"/>
          <w:color w:val="auto"/>
        </w:rPr>
        <w:t xml:space="preserve"> blepharitis, MGD, rosacea, Lyme disease prevention, and/or other diseases or conditions targeted by Tarsus’ products; the development and commercialization of Tarsus products is dependent on intellectual property it licenses from Elanco Tiergesundheit AG; Tarsus will need to develop and expand the company and Tarsus may encounter difficulties in managing its growth, which could disrupt its operations; the sizes of the market opportunity for Tarsus’ product candidates, particularly TP-03 for the treatment of </w:t>
      </w:r>
      <w:r>
        <w:rPr>
          <w:rFonts w:ascii="Arial" w:cs="Arial" w:eastAsia="Arial" w:hAnsi="Arial"/>
          <w:sz w:val="16"/>
          <w:szCs w:val="16"/>
          <w:i w:val="1"/>
          <w:iCs w:val="1"/>
          <w:color w:val="auto"/>
        </w:rPr>
        <w:t>Demodex</w:t>
      </w:r>
      <w:r>
        <w:rPr>
          <w:rFonts w:ascii="Arial" w:cs="Arial" w:eastAsia="Arial" w:hAnsi="Arial"/>
          <w:sz w:val="16"/>
          <w:szCs w:val="16"/>
          <w:color w:val="auto"/>
        </w:rPr>
        <w:t xml:space="preserve"> blepharitis and MGD, TP-04 for the treatment of Rosacea, as well as TP-05 for the prevention of Lyme disease, have not been established with precision and may be smaller than estimated; the results of Tarsus’ earlier studies and trials may not be predictive of future results; any termination or suspension of, or delays in the commencement or completion of, Tarsus’ planned clinical trials could result in increased costs, delay or limit its ability to generate revenue and adversely affect its commercial prospects; and if Tarsus is unable to obtain and maintain sufficient intellectual property protection for its product candidates, or if the scope of the intellectual property protection is not sufficiently broad, Tarsus’ competitors could develop and commercialize products similar or identical to Tarsus’ products. Further, there are other risks and uncertainties that could cause actual results to differ from those set forth in the forward-looking statement and they are detailed from time to time in the reports Tarsus files with the Securities and Exchange Commission, including Tarsus’ Form 10-K for the year ended December 31, 2021 filed on March 14, 2022 and the most recent Form 10-Q quarterly filing filed with the SEC, which Tarsus incorporates by reference into this press release, copies of which are posted on its website and are available from Tarsus without charge. However, new risk factors and uncertainties may emerge from time to time, and it is not possible to predict all risk factors and uncertainties. Accordingly, readers are cautioned</w:t>
      </w:r>
    </w:p>
    <w:p>
      <w:pPr>
        <w:sectPr>
          <w:pgSz w:w="11900" w:h="16838" w:orient="portrait"/>
          <w:cols w:equalWidth="0" w:num="1">
            <w:col w:w="11240"/>
          </w:cols>
          <w:pgMar w:left="320" w:top="1003" w:right="339" w:bottom="1440" w:gutter="0" w:footer="0" w:header="0"/>
        </w:sectPr>
      </w:pPr>
    </w:p>
    <w:bookmarkStart w:id="5" w:name="page6"/>
    <w:bookmarkEnd w:id="5"/>
    <w:p>
      <w:pPr>
        <w:spacing w:after="0" w:line="263" w:lineRule="auto"/>
        <w:rPr>
          <w:sz w:val="20"/>
          <w:szCs w:val="20"/>
          <w:color w:val="auto"/>
        </w:rPr>
      </w:pPr>
      <w:r>
        <w:rPr>
          <w:rFonts w:ascii="Arial" w:cs="Arial" w:eastAsia="Arial" w:hAnsi="Arial"/>
          <w:sz w:val="18"/>
          <w:szCs w:val="18"/>
          <w:color w:val="auto"/>
        </w:rPr>
        <w:t>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Media Contact:</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Adrienne Kemp</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Sr. Director, Corporate Communications</w:t>
      </w:r>
    </w:p>
    <w:p>
      <w:pPr>
        <w:spacing w:after="0" w:line="63" w:lineRule="exact"/>
        <w:rPr>
          <w:sz w:val="20"/>
          <w:szCs w:val="20"/>
          <w:color w:val="auto"/>
        </w:rPr>
      </w:pPr>
    </w:p>
    <w:p>
      <w:pPr>
        <w:ind w:left="20" w:right="9320" w:firstLine="6"/>
        <w:spacing w:after="0" w:line="412" w:lineRule="auto"/>
        <w:tabs>
          <w:tab w:leader="none" w:pos="455" w:val="left"/>
        </w:tabs>
        <w:numPr>
          <w:ilvl w:val="0"/>
          <w:numId w:val="5"/>
        </w:numPr>
        <w:rPr>
          <w:rFonts w:ascii="Arial" w:cs="Arial" w:eastAsia="Arial" w:hAnsi="Arial"/>
          <w:sz w:val="16"/>
          <w:szCs w:val="16"/>
          <w:color w:val="auto"/>
        </w:rPr>
      </w:pPr>
      <w:r>
        <w:rPr>
          <w:rFonts w:ascii="Arial" w:cs="Arial" w:eastAsia="Arial" w:hAnsi="Arial"/>
          <w:sz w:val="16"/>
          <w:szCs w:val="16"/>
          <w:color w:val="auto"/>
        </w:rPr>
        <w:t>922-0801 AKemp@tarsusrx.com</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Investor Contact:</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Nakasone</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Head of Investor Relations</w:t>
      </w:r>
    </w:p>
    <w:p>
      <w:pPr>
        <w:spacing w:after="0" w:line="63" w:lineRule="exact"/>
        <w:rPr>
          <w:sz w:val="20"/>
          <w:szCs w:val="20"/>
          <w:color w:val="auto"/>
        </w:rPr>
      </w:pPr>
    </w:p>
    <w:p>
      <w:pPr>
        <w:ind w:left="20" w:right="9040" w:firstLine="6"/>
        <w:spacing w:after="0" w:line="359" w:lineRule="auto"/>
        <w:tabs>
          <w:tab w:leader="none" w:pos="455" w:val="left"/>
        </w:tabs>
        <w:numPr>
          <w:ilvl w:val="0"/>
          <w:numId w:val="6"/>
        </w:numPr>
        <w:rPr>
          <w:rFonts w:ascii="Arial" w:cs="Arial" w:eastAsia="Arial" w:hAnsi="Arial"/>
          <w:sz w:val="16"/>
          <w:szCs w:val="16"/>
          <w:color w:val="auto"/>
        </w:rPr>
      </w:pPr>
      <w:r>
        <w:rPr>
          <w:rFonts w:ascii="Arial" w:cs="Arial" w:eastAsia="Arial" w:hAnsi="Arial"/>
          <w:sz w:val="16"/>
          <w:szCs w:val="16"/>
          <w:color w:val="auto"/>
        </w:rPr>
        <w:t>620-3223 DNakasone@tarsusrx.com</w:t>
      </w:r>
    </w:p>
    <w:p>
      <w:pPr>
        <w:sectPr>
          <w:pgSz w:w="11900" w:h="16838" w:orient="portrait"/>
          <w:cols w:equalWidth="0" w:num="1">
            <w:col w:w="11000"/>
          </w:cols>
          <w:pgMar w:left="320" w:top="1016" w:right="5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STATEMENTS OF OPERATIONS AND COMPREHENSIVE (LOSS) INCOME (In thousands, except share and per share amounts) (unaudited)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w w:val="83"/>
              </w:rPr>
              <w:t>2021</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360"/>
              <w:spacing w:after="0"/>
              <w:rPr>
                <w:sz w:val="20"/>
                <w:szCs w:val="20"/>
                <w:color w:val="auto"/>
              </w:rPr>
            </w:pPr>
            <w:r>
              <w:rPr>
                <w:rFonts w:ascii="Arial" w:cs="Arial" w:eastAsia="Arial" w:hAnsi="Arial"/>
                <w:sz w:val="16"/>
                <w:szCs w:val="16"/>
                <w:color w:val="auto"/>
              </w:rPr>
              <w:t>License fees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13,893</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19,048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13,893</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52,359</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Collaboration revenue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3,090</w:t>
            </w:r>
          </w:p>
        </w:tc>
        <w:tc>
          <w:tcPr>
            <w:tcW w:w="0" w:type="dxa"/>
            <w:vAlign w:val="bottom"/>
          </w:tcPr>
          <w:p>
            <w:pPr>
              <w:spacing w:after="0"/>
              <w:rPr>
                <w:sz w:val="1"/>
                <w:szCs w:val="1"/>
                <w:color w:val="auto"/>
              </w:rPr>
            </w:pPr>
          </w:p>
        </w:tc>
      </w:tr>
      <w:tr>
        <w:trPr>
          <w:trHeight w:val="207"/>
        </w:trPr>
        <w:tc>
          <w:tcPr>
            <w:tcW w:w="562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revenues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15,816</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55,449</w:t>
            </w:r>
          </w:p>
        </w:tc>
        <w:tc>
          <w:tcPr>
            <w:tcW w:w="0" w:type="dxa"/>
            <w:vAlign w:val="bottom"/>
          </w:tcPr>
          <w:p>
            <w:pPr>
              <w:spacing w:after="0"/>
              <w:rPr>
                <w:sz w:val="1"/>
                <w:szCs w:val="1"/>
                <w:color w:val="auto"/>
              </w:rPr>
            </w:pPr>
          </w:p>
        </w:tc>
      </w:tr>
      <w:tr>
        <w:trPr>
          <w:trHeight w:val="19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360"/>
              <w:spacing w:after="0"/>
              <w:rPr>
                <w:sz w:val="20"/>
                <w:szCs w:val="20"/>
                <w:color w:val="auto"/>
              </w:rPr>
            </w:pPr>
            <w:r>
              <w:rPr>
                <w:rFonts w:ascii="Arial" w:cs="Arial" w:eastAsia="Arial" w:hAnsi="Arial"/>
                <w:sz w:val="16"/>
                <w:szCs w:val="16"/>
                <w:color w:val="auto"/>
              </w:rPr>
              <w:t>Cost of license fees and collaboration revenue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2,034</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21,684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23,465</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18,322</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11,954</w:t>
            </w:r>
          </w:p>
        </w:tc>
        <w:tc>
          <w:tcPr>
            <w:tcW w:w="0" w:type="dxa"/>
            <w:vAlign w:val="bottom"/>
          </w:tcPr>
          <w:p>
            <w:pPr>
              <w:spacing w:after="0"/>
              <w:rPr>
                <w:sz w:val="1"/>
                <w:szCs w:val="1"/>
                <w:color w:val="auto"/>
              </w:rPr>
            </w:pPr>
          </w:p>
        </w:tc>
      </w:tr>
      <w:tr>
        <w:trPr>
          <w:trHeight w:val="213"/>
        </w:trPr>
        <w:tc>
          <w:tcPr>
            <w:tcW w:w="5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20,501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14,735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40,561</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37,453</w:t>
            </w:r>
          </w:p>
        </w:tc>
        <w:tc>
          <w:tcPr>
            <w:tcW w:w="0" w:type="dxa"/>
            <w:vAlign w:val="bottom"/>
          </w:tcPr>
          <w:p>
            <w:pPr>
              <w:spacing w:after="0"/>
              <w:rPr>
                <w:sz w:val="1"/>
                <w:szCs w:val="1"/>
                <w:color w:val="auto"/>
              </w:rPr>
            </w:pPr>
          </w:p>
        </w:tc>
      </w:tr>
      <w:tr>
        <w:trPr>
          <w:trHeight w:val="207"/>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8"/>
              </w:rPr>
              <w:t>(Loss) income from operations before other (expense) income and income taxes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(24,745)</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17,996</w:t>
            </w:r>
          </w:p>
        </w:tc>
        <w:tc>
          <w:tcPr>
            <w:tcW w:w="0" w:type="dxa"/>
            <w:vAlign w:val="bottom"/>
          </w:tcPr>
          <w:p>
            <w:pPr>
              <w:spacing w:after="0"/>
              <w:rPr>
                <w:sz w:val="1"/>
                <w:szCs w:val="1"/>
                <w:color w:val="auto"/>
              </w:rPr>
            </w:pPr>
          </w:p>
        </w:tc>
      </w:tr>
      <w:tr>
        <w:trPr>
          <w:trHeight w:val="19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360"/>
              <w:spacing w:after="0"/>
              <w:rPr>
                <w:sz w:val="20"/>
                <w:szCs w:val="20"/>
                <w:color w:val="auto"/>
              </w:rPr>
            </w:pPr>
            <w:r>
              <w:rPr>
                <w:rFonts w:ascii="Arial" w:cs="Arial" w:eastAsia="Arial" w:hAnsi="Arial"/>
                <w:sz w:val="16"/>
                <w:szCs w:val="16"/>
                <w:color w:val="auto"/>
              </w:rPr>
              <w:t>Interest (expense) income, net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 (expense),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3"/>
        </w:trPr>
        <w:tc>
          <w:tcPr>
            <w:tcW w:w="5620" w:type="dxa"/>
            <w:vAlign w:val="bottom"/>
          </w:tcPr>
          <w:p>
            <w:pPr>
              <w:ind w:left="360"/>
              <w:spacing w:after="0"/>
              <w:rPr>
                <w:sz w:val="20"/>
                <w:szCs w:val="20"/>
                <w:color w:val="auto"/>
              </w:rPr>
            </w:pPr>
            <w:r>
              <w:rPr>
                <w:rFonts w:ascii="Arial" w:cs="Arial" w:eastAsia="Arial" w:hAnsi="Arial"/>
                <w:sz w:val="16"/>
                <w:szCs w:val="16"/>
                <w:color w:val="auto"/>
              </w:rPr>
              <w:t>Unrealized loss on equity investments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fair value of equity warrants issued by licensee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07"/>
        </w:trPr>
        <w:tc>
          <w:tcPr>
            <w:tcW w:w="562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other expense, net</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213"/>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06"/>
        </w:trPr>
        <w:tc>
          <w:tcPr>
            <w:tcW w:w="5620" w:type="dxa"/>
            <w:vAlign w:val="bottom"/>
          </w:tcPr>
          <w:p>
            <w:pPr>
              <w:ind w:left="20"/>
              <w:spacing w:after="0"/>
              <w:rPr>
                <w:sz w:val="20"/>
                <w:szCs w:val="20"/>
                <w:color w:val="auto"/>
              </w:rPr>
            </w:pPr>
            <w:r>
              <w:rPr>
                <w:rFonts w:ascii="Arial" w:cs="Arial" w:eastAsia="Arial" w:hAnsi="Arial"/>
                <w:sz w:val="16"/>
                <w:szCs w:val="16"/>
                <w:color w:val="auto"/>
              </w:rPr>
              <w:t>Net (loss) income and comprehensive (loss) income</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(5,743)</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6,345</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(25,981)</w:t>
            </w:r>
          </w:p>
        </w:tc>
        <w:tc>
          <w:tcPr>
            <w:tcW w:w="12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16,721</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Net (loss) income per share, basic</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0.81</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per share,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shares outstanding, basic</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24,332,531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20,555,258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22,531,384</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20,446,246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Weighted-average shares outstanding, 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2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24,332,531</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21,966,599</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22,531,384</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21,895,304</w:t>
            </w:r>
          </w:p>
        </w:tc>
        <w:tc>
          <w:tcPr>
            <w:tcW w:w="0" w:type="dxa"/>
            <w:vAlign w:val="bottom"/>
          </w:tcPr>
          <w:p>
            <w:pPr>
              <w:spacing w:after="0"/>
              <w:rPr>
                <w:sz w:val="1"/>
                <w:szCs w:val="1"/>
                <w:color w:val="auto"/>
              </w:rPr>
            </w:pPr>
          </w:p>
        </w:tc>
      </w:tr>
      <w:tr>
        <w:trPr>
          <w:trHeight w:val="24"/>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8" w:right="339" w:bottom="1440" w:gutter="0" w:footer="0" w:header="0"/>
        </w:sectPr>
      </w:pPr>
    </w:p>
    <w:bookmarkStart w:id="7" w:name="page8"/>
    <w:bookmarkEnd w:id="7"/>
    <w:p>
      <w:pPr>
        <w:ind w:left="4100"/>
        <w:spacing w:after="0"/>
        <w:rPr>
          <w:sz w:val="20"/>
          <w:szCs w:val="20"/>
          <w:color w:val="auto"/>
        </w:rPr>
      </w:pPr>
      <w:r>
        <w:rPr>
          <w:rFonts w:ascii="Arial" w:cs="Arial" w:eastAsia="Arial" w:hAnsi="Arial"/>
          <w:sz w:val="18"/>
          <w:szCs w:val="18"/>
          <w:b w:val="1"/>
          <w:bCs w:val="1"/>
          <w:color w:val="auto"/>
        </w:rPr>
        <w:t>TARSUS PHARMACEUTICALS, INC.</w:t>
      </w:r>
    </w:p>
    <w:p>
      <w:pPr>
        <w:spacing w:after="0" w:line="18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2022</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26"/>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4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245,363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171,332</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4,045</w:t>
            </w:r>
          </w:p>
        </w:tc>
        <w:tc>
          <w:tcPr>
            <w:tcW w:w="0" w:type="dxa"/>
            <w:vAlign w:val="bottom"/>
          </w:tcPr>
          <w:p>
            <w:pPr>
              <w:spacing w:after="0"/>
              <w:rPr>
                <w:sz w:val="1"/>
                <w:szCs w:val="1"/>
                <w:color w:val="auto"/>
              </w:rPr>
            </w:pPr>
          </w:p>
        </w:tc>
      </w:tr>
      <w:tr>
        <w:trPr>
          <w:trHeight w:val="207"/>
        </w:trPr>
        <w:tc>
          <w:tcPr>
            <w:tcW w:w="848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250,283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175,952</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1,074</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234"/>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252,828</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178,907</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Accounts payable and other accrued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8,938</w:t>
            </w:r>
          </w:p>
        </w:tc>
        <w:tc>
          <w:tcPr>
            <w:tcW w:w="12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8,680</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payroll and benefits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2,798</w:t>
            </w:r>
          </w:p>
        </w:tc>
        <w:tc>
          <w:tcPr>
            <w:tcW w:w="0" w:type="dxa"/>
            <w:vAlign w:val="bottom"/>
          </w:tcPr>
          <w:p>
            <w:pPr>
              <w:spacing w:after="0"/>
              <w:rPr>
                <w:sz w:val="1"/>
                <w:szCs w:val="1"/>
                <w:color w:val="auto"/>
              </w:rPr>
            </w:pPr>
          </w:p>
        </w:tc>
      </w:tr>
      <w:tr>
        <w:trPr>
          <w:trHeight w:val="207"/>
        </w:trPr>
        <w:tc>
          <w:tcPr>
            <w:tcW w:w="8480" w:type="dxa"/>
            <w:vAlign w:val="bottom"/>
          </w:tcPr>
          <w:p>
            <w:pPr>
              <w:ind w:left="24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11,718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11,478</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 net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21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31,323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12,177</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Preferred stock, $0.0001 par value; 10,000,000 shares authorized; no shares issued and outstanding</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84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1"/>
              </w:rPr>
              <w:t>Common stock, $0.0001 par value; 200,000,000 shares authorized; 26,650,078 shares issued and 26,644,252 outstanding, which</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1"/>
              </w:rPr>
              <w:t>excludes 5,826 shares subject to repurchase at June 30, 2022 (unaudited); 20,726,580 shares issued and 20,698,737 outstanding,</w:t>
            </w: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which excludes 27,840 shares subject to repurchase at December 31, 2021</w:t>
            </w:r>
          </w:p>
        </w:tc>
        <w:tc>
          <w:tcPr>
            <w:tcW w:w="1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294,153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213,398</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(72,653)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(46,672)</w:t>
            </w:r>
          </w:p>
        </w:tc>
        <w:tc>
          <w:tcPr>
            <w:tcW w:w="0" w:type="dxa"/>
            <w:vAlign w:val="bottom"/>
          </w:tcPr>
          <w:p>
            <w:pPr>
              <w:spacing w:after="0"/>
              <w:rPr>
                <w:sz w:val="1"/>
                <w:szCs w:val="1"/>
                <w:color w:val="auto"/>
              </w:rPr>
            </w:pPr>
          </w:p>
        </w:tc>
      </w:tr>
      <w:tr>
        <w:trPr>
          <w:trHeight w:val="206"/>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221,505</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166,730</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252,828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178,907</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949"/>
    </w:lvl>
  </w:abstractNum>
  <w:abstractNum w:abstractNumId="5">
    <w:nsid w:val="507ED7AB"/>
    <w:multiLevelType w:val="hybridMultilevel"/>
    <w:lvl w:ilvl="0">
      <w:lvlJc w:val="left"/>
      <w:lvlText w:val="(%1)"/>
      <w:numFmt w:val="decimal"/>
      <w:start w:val="94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2022-08-11T15:26:10Z</dcterms:created>
  <dcterms:modified xsi:type="dcterms:W3CDTF">2022-08-11T15:26:10Z</dcterms:modified>
</cp:coreProperties>
</file>