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93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Neervannan Seshadri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44.54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30,628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30,628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30,628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20,089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-2452370</wp:posOffset>
            </wp:positionV>
            <wp:extent cx="29210" cy="2457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shares shall vest on March 5, 2026, and 1/48th of the option shares shall vest each month thereafter for a period of 3 years,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in four equal annual installments on March 15th of each of 2026, 2027, 2028, and 2029,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2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584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2025-03-07T15:32:48Z</dcterms:created>
  <dcterms:modified xsi:type="dcterms:W3CDTF">2025-03-07T15:32:48Z</dcterms:modified>
</cp:coreProperties>
</file>