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069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6920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Whitfield Dianne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11"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4,462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13,185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03/16/2023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313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12,872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4,462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03/15/2023</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4,462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20"/>
              <w:spacing w:after="0" w:line="130" w:lineRule="exact"/>
              <w:rPr>
                <w:sz w:val="20"/>
                <w:szCs w:val="20"/>
                <w:color w:val="auto"/>
              </w:rPr>
            </w:pPr>
            <w:r>
              <w:rPr>
                <w:rFonts w:ascii="Times New Roman" w:cs="Times New Roman" w:eastAsia="Times New Roman" w:hAnsi="Times New Roman"/>
                <w:sz w:val="13"/>
                <w:szCs w:val="13"/>
                <w:color w:val="0000FF"/>
              </w:rPr>
              <w:t>13,388</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March 9, 2022, under the Tarsus Pharmaceuticals, Inc. 2020 Stock Plan. 25% of the RSUs will vest on March 15th of each of 2023, 2024, 2025, and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Leonard M. Greenstein,</w:t>
            </w:r>
          </w:p>
        </w:tc>
        <w:tc>
          <w:tcPr>
            <w:tcW w:w="3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16"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2023-03-17T19:46:48Z</dcterms:created>
  <dcterms:modified xsi:type="dcterms:W3CDTF">2023-03-17T19:46:48Z</dcterms:modified>
</cp:coreProperties>
</file>