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March 14, 2022</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jc w:val="center"/>
        <w:ind w:right="-19"/>
        <w:spacing w:after="0" w:line="212" w:lineRule="auto"/>
        <w:rPr>
          <w:sz w:val="20"/>
          <w:szCs w:val="20"/>
          <w:color w:val="auto"/>
        </w:rPr>
      </w:pPr>
      <w:r>
        <w:rPr>
          <w:rFonts w:ascii="Arial" w:cs="Arial" w:eastAsia="Arial" w:hAnsi="Arial"/>
          <w:sz w:val="32"/>
          <w:szCs w:val="32"/>
          <w:b w:val="1"/>
          <w:bCs w:val="1"/>
          <w:color w:val="auto"/>
        </w:rPr>
        <w:t>REGISTRATION STATEMENT</w:t>
      </w:r>
    </w:p>
    <w:p>
      <w:pPr>
        <w:jc w:val="center"/>
        <w:ind w:right="-19"/>
        <w:spacing w:after="0" w:line="205"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TARSUS PHARMACEUTICALS, INC.</w:t>
      </w:r>
    </w:p>
    <w:tbl>
      <w:tblPr>
        <w:tblLayout w:type="fixed"/>
        <w:tblInd w:w="1900" w:type="dxa"/>
        <w:tblCellMar>
          <w:top w:w="0" w:type="dxa"/>
          <w:left w:w="0" w:type="dxa"/>
          <w:bottom w:w="0" w:type="dxa"/>
          <w:right w:w="0" w:type="dxa"/>
        </w:tblCellMar>
      </w:tblPr>
      <w:tr>
        <w:trPr>
          <w:trHeight w:val="209"/>
        </w:trPr>
        <w:tc>
          <w:tcPr>
            <w:tcW w:w="5900" w:type="dxa"/>
            <w:vAlign w:val="bottom"/>
          </w:tcPr>
          <w:p>
            <w:pPr>
              <w:ind w:left="172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280" w:type="dxa"/>
            <w:vAlign w:val="bottom"/>
          </w:tcPr>
          <w:p>
            <w:pPr>
              <w:spacing w:after="0"/>
              <w:rPr>
                <w:sz w:val="18"/>
                <w:szCs w:val="18"/>
                <w:color w:val="auto"/>
              </w:rPr>
            </w:pPr>
          </w:p>
        </w:tc>
      </w:tr>
      <w:tr>
        <w:trPr>
          <w:trHeight w:val="225"/>
        </w:trPr>
        <w:tc>
          <w:tcPr>
            <w:tcW w:w="5900" w:type="dxa"/>
            <w:vAlign w:val="bottom"/>
          </w:tcPr>
          <w:p>
            <w:pPr>
              <w:jc w:val="center"/>
              <w:ind w:right="3959"/>
              <w:spacing w:after="0"/>
              <w:rPr>
                <w:sz w:val="20"/>
                <w:szCs w:val="20"/>
                <w:color w:val="auto"/>
              </w:rPr>
            </w:pPr>
            <w:r>
              <w:rPr>
                <w:rFonts w:ascii="Arial" w:cs="Arial" w:eastAsia="Arial" w:hAnsi="Arial"/>
                <w:sz w:val="18"/>
                <w:szCs w:val="18"/>
                <w:b w:val="1"/>
                <w:bCs w:val="1"/>
                <w:color w:val="auto"/>
                <w:w w:val="93"/>
              </w:rPr>
              <w:t>Delaware</w:t>
            </w:r>
          </w:p>
        </w:tc>
        <w:tc>
          <w:tcPr>
            <w:tcW w:w="1280" w:type="dxa"/>
            <w:vAlign w:val="bottom"/>
          </w:tcPr>
          <w:p>
            <w:pPr>
              <w:jc w:val="center"/>
              <w:ind w:left="62"/>
              <w:spacing w:after="0"/>
              <w:rPr>
                <w:sz w:val="20"/>
                <w:szCs w:val="20"/>
                <w:color w:val="auto"/>
              </w:rPr>
            </w:pPr>
            <w:r>
              <w:rPr>
                <w:rFonts w:ascii="Arial" w:cs="Arial" w:eastAsia="Arial" w:hAnsi="Arial"/>
                <w:sz w:val="18"/>
                <w:szCs w:val="18"/>
                <w:b w:val="1"/>
                <w:bCs w:val="1"/>
                <w:color w:val="auto"/>
                <w:w w:val="89"/>
              </w:rPr>
              <w:t>81-4717861</w:t>
            </w:r>
          </w:p>
        </w:tc>
      </w:tr>
      <w:tr>
        <w:trPr>
          <w:trHeight w:val="144"/>
        </w:trPr>
        <w:tc>
          <w:tcPr>
            <w:tcW w:w="5900" w:type="dxa"/>
            <w:vAlign w:val="bottom"/>
          </w:tcPr>
          <w:p>
            <w:pPr>
              <w:jc w:val="center"/>
              <w:ind w:right="3959"/>
              <w:spacing w:after="0" w:line="145" w:lineRule="exact"/>
              <w:rPr>
                <w:sz w:val="20"/>
                <w:szCs w:val="20"/>
                <w:color w:val="auto"/>
              </w:rPr>
            </w:pPr>
            <w:r>
              <w:rPr>
                <w:rFonts w:ascii="Arial" w:cs="Arial" w:eastAsia="Arial" w:hAnsi="Arial"/>
                <w:sz w:val="14"/>
                <w:szCs w:val="14"/>
                <w:b w:val="1"/>
                <w:bCs w:val="1"/>
                <w:color w:val="auto"/>
                <w:w w:val="92"/>
              </w:rPr>
              <w:t>(State or other jurisdiction of</w:t>
            </w:r>
          </w:p>
        </w:tc>
        <w:tc>
          <w:tcPr>
            <w:tcW w:w="1280" w:type="dxa"/>
            <w:vAlign w:val="bottom"/>
          </w:tcPr>
          <w:p>
            <w:pPr>
              <w:jc w:val="center"/>
              <w:ind w:left="8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900" w:type="dxa"/>
            <w:vAlign w:val="bottom"/>
          </w:tcPr>
          <w:p>
            <w:pPr>
              <w:jc w:val="center"/>
              <w:ind w:right="3959"/>
              <w:spacing w:after="0"/>
              <w:rPr>
                <w:sz w:val="20"/>
                <w:szCs w:val="20"/>
                <w:color w:val="auto"/>
              </w:rPr>
            </w:pPr>
            <w:r>
              <w:rPr>
                <w:rFonts w:ascii="Arial" w:cs="Arial" w:eastAsia="Arial" w:hAnsi="Arial"/>
                <w:sz w:val="14"/>
                <w:szCs w:val="14"/>
                <w:b w:val="1"/>
                <w:bCs w:val="1"/>
                <w:color w:val="auto"/>
                <w:w w:val="93"/>
              </w:rPr>
              <w:t>incorporation or organization)</w:t>
            </w:r>
          </w:p>
        </w:tc>
        <w:tc>
          <w:tcPr>
            <w:tcW w:w="1280" w:type="dxa"/>
            <w:vAlign w:val="bottom"/>
          </w:tcPr>
          <w:p>
            <w:pPr>
              <w:jc w:val="center"/>
              <w:ind w:left="6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15440 Laguna Canyon Road, Suite 160</w:t>
      </w:r>
    </w:p>
    <w:p>
      <w:pPr>
        <w:jc w:val="center"/>
        <w:ind w:right="-19"/>
        <w:spacing w:after="0" w:line="203" w:lineRule="auto"/>
        <w:rPr>
          <w:sz w:val="20"/>
          <w:szCs w:val="20"/>
          <w:color w:val="auto"/>
        </w:rPr>
      </w:pPr>
      <w:r>
        <w:rPr>
          <w:rFonts w:ascii="Arial" w:cs="Arial" w:eastAsia="Arial" w:hAnsi="Arial"/>
          <w:sz w:val="18"/>
          <w:szCs w:val="18"/>
          <w:b w:val="1"/>
          <w:bCs w:val="1"/>
          <w:color w:val="auto"/>
        </w:rPr>
        <w:t>Irvine, CA 92618</w:t>
      </w:r>
    </w:p>
    <w:p>
      <w:pPr>
        <w:jc w:val="center"/>
        <w:ind w:right="-19"/>
        <w:spacing w:after="0" w:line="194" w:lineRule="auto"/>
        <w:rPr>
          <w:sz w:val="20"/>
          <w:szCs w:val="20"/>
          <w:color w:val="auto"/>
        </w:rPr>
      </w:pPr>
      <w:r>
        <w:rPr>
          <w:rFonts w:ascii="Arial" w:cs="Arial" w:eastAsia="Arial" w:hAnsi="Arial"/>
          <w:sz w:val="18"/>
          <w:szCs w:val="18"/>
          <w:b w:val="1"/>
          <w:bCs w:val="1"/>
          <w:color w:val="auto"/>
        </w:rPr>
        <w:t>(949) 409-9820</w:t>
      </w: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 2020 Equity Incentive Plan</w:t>
      </w:r>
    </w:p>
    <w:p>
      <w:pPr>
        <w:jc w:val="center"/>
        <w:ind w:right="-19"/>
        <w:spacing w:after="0" w:line="193" w:lineRule="auto"/>
        <w:rPr>
          <w:sz w:val="20"/>
          <w:szCs w:val="20"/>
          <w:color w:val="auto"/>
        </w:rPr>
      </w:pPr>
      <w:r>
        <w:rPr>
          <w:rFonts w:ascii="Arial" w:cs="Arial" w:eastAsia="Arial" w:hAnsi="Arial"/>
          <w:sz w:val="18"/>
          <w:szCs w:val="18"/>
          <w:b w:val="1"/>
          <w:bCs w:val="1"/>
          <w:color w:val="auto"/>
        </w:rPr>
        <w:t>Tarsus Pharmaceuticals, Inc. 2020 Employee Stock Purchase Plan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(Full title of plan)</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Bobak Azamian, M.D., Ph.D.</w:t>
      </w:r>
    </w:p>
    <w:p>
      <w:pPr>
        <w:jc w:val="center"/>
        <w:ind w:right="-19"/>
        <w:spacing w:after="0" w:line="203" w:lineRule="auto"/>
        <w:rPr>
          <w:sz w:val="20"/>
          <w:szCs w:val="20"/>
          <w:color w:val="auto"/>
        </w:rPr>
      </w:pPr>
      <w:r>
        <w:rPr>
          <w:rFonts w:ascii="Arial" w:cs="Arial" w:eastAsia="Arial" w:hAnsi="Arial"/>
          <w:sz w:val="18"/>
          <w:szCs w:val="18"/>
          <w:b w:val="1"/>
          <w:bCs w:val="1"/>
          <w:color w:val="auto"/>
        </w:rPr>
        <w:t>Chief Executive Officer</w:t>
      </w:r>
    </w:p>
    <w:p>
      <w:pPr>
        <w:jc w:val="center"/>
        <w:ind w:right="-19"/>
        <w:spacing w:after="0" w:line="203" w:lineRule="auto"/>
        <w:rPr>
          <w:sz w:val="20"/>
          <w:szCs w:val="20"/>
          <w:color w:val="auto"/>
        </w:rPr>
      </w:pPr>
      <w:r>
        <w:rPr>
          <w:rFonts w:ascii="Arial" w:cs="Arial" w:eastAsia="Arial" w:hAnsi="Arial"/>
          <w:sz w:val="18"/>
          <w:szCs w:val="18"/>
          <w:b w:val="1"/>
          <w:bCs w:val="1"/>
          <w:color w:val="auto"/>
        </w:rPr>
        <w:t>Tarsus Pharmaceuticals, Inc.</w:t>
      </w:r>
    </w:p>
    <w:p>
      <w:pPr>
        <w:jc w:val="center"/>
        <w:ind w:right="-19"/>
        <w:spacing w:after="0" w:line="204" w:lineRule="auto"/>
        <w:rPr>
          <w:sz w:val="20"/>
          <w:szCs w:val="20"/>
          <w:color w:val="auto"/>
        </w:rPr>
      </w:pPr>
      <w:r>
        <w:rPr>
          <w:rFonts w:ascii="Arial" w:cs="Arial" w:eastAsia="Arial" w:hAnsi="Arial"/>
          <w:sz w:val="18"/>
          <w:szCs w:val="18"/>
          <w:b w:val="1"/>
          <w:bCs w:val="1"/>
          <w:color w:val="auto"/>
        </w:rPr>
        <w:t>15440 Laguna Canyon Road, Suite 160</w:t>
      </w:r>
    </w:p>
    <w:p>
      <w:pPr>
        <w:jc w:val="center"/>
        <w:ind w:right="-19"/>
        <w:spacing w:after="0" w:line="194" w:lineRule="auto"/>
        <w:rPr>
          <w:sz w:val="20"/>
          <w:szCs w:val="20"/>
          <w:color w:val="auto"/>
        </w:rPr>
      </w:pPr>
      <w:r>
        <w:rPr>
          <w:rFonts w:ascii="Arial" w:cs="Arial" w:eastAsia="Arial" w:hAnsi="Arial"/>
          <w:sz w:val="18"/>
          <w:szCs w:val="18"/>
          <w:b w:val="1"/>
          <w:bCs w:val="1"/>
          <w:color w:val="auto"/>
        </w:rPr>
        <w:t>Irvine, CA 92618</w:t>
      </w:r>
    </w:p>
    <w:p>
      <w:pPr>
        <w:jc w:val="center"/>
        <w:ind w:right="-1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(949) 409-9820</w:t>
      </w:r>
    </w:p>
    <w:p>
      <w:pPr>
        <w:jc w:val="center"/>
        <w:ind w:right="-1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182" w:lineRule="exact"/>
        <w:rPr>
          <w:sz w:val="24"/>
          <w:szCs w:val="24"/>
          <w:color w:val="auto"/>
        </w:rPr>
      </w:pPr>
    </w:p>
    <w:tbl>
      <w:tblPr>
        <w:tblLayout w:type="fixed"/>
        <w:tblInd w:w="1320" w:type="dxa"/>
        <w:tblCellMar>
          <w:top w:w="0" w:type="dxa"/>
          <w:left w:w="0" w:type="dxa"/>
          <w:bottom w:w="0" w:type="dxa"/>
          <w:right w:w="0" w:type="dxa"/>
        </w:tblCellMar>
      </w:tblPr>
      <w:tr>
        <w:trPr>
          <w:trHeight w:val="225"/>
        </w:trPr>
        <w:tc>
          <w:tcPr>
            <w:tcW w:w="3480" w:type="dxa"/>
            <w:vAlign w:val="bottom"/>
          </w:tcPr>
          <w:p>
            <w:pPr>
              <w:spacing w:after="0"/>
              <w:rPr>
                <w:sz w:val="19"/>
                <w:szCs w:val="19"/>
                <w:color w:val="auto"/>
              </w:rPr>
            </w:pPr>
          </w:p>
        </w:tc>
        <w:tc>
          <w:tcPr>
            <w:tcW w:w="5200" w:type="dxa"/>
            <w:vAlign w:val="bottom"/>
          </w:tcPr>
          <w:p>
            <w:pPr>
              <w:ind w:left="460"/>
              <w:spacing w:after="0"/>
              <w:rPr>
                <w:sz w:val="20"/>
                <w:szCs w:val="20"/>
                <w:color w:val="auto"/>
              </w:rPr>
            </w:pPr>
            <w:r>
              <w:rPr>
                <w:rFonts w:ascii="Arial" w:cs="Arial" w:eastAsia="Arial" w:hAnsi="Arial"/>
                <w:sz w:val="18"/>
                <w:szCs w:val="18"/>
                <w:b w:val="1"/>
                <w:bCs w:val="1"/>
                <w:i w:val="1"/>
                <w:iCs w:val="1"/>
                <w:color w:val="auto"/>
              </w:rPr>
              <w:t>Copies to:</w:t>
            </w:r>
          </w:p>
        </w:tc>
      </w:tr>
      <w:tr>
        <w:trPr>
          <w:trHeight w:val="180"/>
        </w:trPr>
        <w:tc>
          <w:tcPr>
            <w:tcW w:w="3480" w:type="dxa"/>
            <w:vAlign w:val="bottom"/>
          </w:tcPr>
          <w:p>
            <w:pPr>
              <w:jc w:val="center"/>
              <w:ind w:right="370"/>
              <w:spacing w:after="0" w:line="181" w:lineRule="exact"/>
              <w:rPr>
                <w:sz w:val="20"/>
                <w:szCs w:val="20"/>
                <w:color w:val="auto"/>
              </w:rPr>
            </w:pPr>
            <w:r>
              <w:rPr>
                <w:rFonts w:ascii="Arial" w:cs="Arial" w:eastAsia="Arial" w:hAnsi="Arial"/>
                <w:sz w:val="18"/>
                <w:szCs w:val="18"/>
                <w:b w:val="1"/>
                <w:bCs w:val="1"/>
                <w:color w:val="auto"/>
                <w:w w:val="92"/>
              </w:rPr>
              <w:t>Ilan Lovinsky</w:t>
            </w:r>
          </w:p>
        </w:tc>
        <w:tc>
          <w:tcPr>
            <w:tcW w:w="5200" w:type="dxa"/>
            <w:vAlign w:val="bottom"/>
          </w:tcPr>
          <w:p>
            <w:pPr>
              <w:jc w:val="center"/>
              <w:ind w:left="2130"/>
              <w:spacing w:after="0" w:line="181" w:lineRule="exact"/>
              <w:rPr>
                <w:sz w:val="20"/>
                <w:szCs w:val="20"/>
                <w:color w:val="auto"/>
              </w:rPr>
            </w:pPr>
            <w:r>
              <w:rPr>
                <w:rFonts w:ascii="Arial" w:cs="Arial" w:eastAsia="Arial" w:hAnsi="Arial"/>
                <w:sz w:val="18"/>
                <w:szCs w:val="18"/>
                <w:b w:val="1"/>
                <w:bCs w:val="1"/>
                <w:color w:val="auto"/>
                <w:w w:val="90"/>
              </w:rPr>
              <w:t>Leo M. Greenstein</w:t>
            </w:r>
          </w:p>
        </w:tc>
      </w:tr>
      <w:tr>
        <w:trPr>
          <w:trHeight w:val="175"/>
        </w:trPr>
        <w:tc>
          <w:tcPr>
            <w:tcW w:w="3480" w:type="dxa"/>
            <w:vAlign w:val="bottom"/>
          </w:tcPr>
          <w:p>
            <w:pPr>
              <w:jc w:val="center"/>
              <w:ind w:right="370"/>
              <w:spacing w:after="0" w:line="176" w:lineRule="exact"/>
              <w:rPr>
                <w:sz w:val="20"/>
                <w:szCs w:val="20"/>
                <w:color w:val="auto"/>
              </w:rPr>
            </w:pPr>
            <w:r>
              <w:rPr>
                <w:rFonts w:ascii="Arial" w:cs="Arial" w:eastAsia="Arial" w:hAnsi="Arial"/>
                <w:sz w:val="18"/>
                <w:szCs w:val="18"/>
                <w:b w:val="1"/>
                <w:bCs w:val="1"/>
                <w:color w:val="auto"/>
                <w:w w:val="90"/>
              </w:rPr>
              <w:t>Ryan J. Gunderson</w:t>
            </w:r>
          </w:p>
        </w:tc>
        <w:tc>
          <w:tcPr>
            <w:tcW w:w="5200" w:type="dxa"/>
            <w:vAlign w:val="bottom"/>
          </w:tcPr>
          <w:p>
            <w:pPr>
              <w:jc w:val="center"/>
              <w:ind w:left="2130"/>
              <w:spacing w:after="0" w:line="176" w:lineRule="exact"/>
              <w:rPr>
                <w:sz w:val="20"/>
                <w:szCs w:val="20"/>
                <w:color w:val="auto"/>
              </w:rPr>
            </w:pPr>
            <w:r>
              <w:rPr>
                <w:rFonts w:ascii="Arial" w:cs="Arial" w:eastAsia="Arial" w:hAnsi="Arial"/>
                <w:sz w:val="18"/>
                <w:szCs w:val="18"/>
                <w:b w:val="1"/>
                <w:bCs w:val="1"/>
                <w:color w:val="auto"/>
                <w:w w:val="93"/>
              </w:rPr>
              <w:t>Chief Financial Officer</w:t>
            </w:r>
          </w:p>
        </w:tc>
      </w:tr>
      <w:tr>
        <w:trPr>
          <w:trHeight w:val="175"/>
        </w:trPr>
        <w:tc>
          <w:tcPr>
            <w:tcW w:w="3480" w:type="dxa"/>
            <w:vAlign w:val="bottom"/>
          </w:tcPr>
          <w:p>
            <w:pPr>
              <w:jc w:val="center"/>
              <w:ind w:right="370"/>
              <w:spacing w:after="0" w:line="176" w:lineRule="exact"/>
              <w:rPr>
                <w:sz w:val="20"/>
                <w:szCs w:val="20"/>
                <w:color w:val="auto"/>
              </w:rPr>
            </w:pPr>
            <w:r>
              <w:rPr>
                <w:rFonts w:ascii="Arial" w:cs="Arial" w:eastAsia="Arial" w:hAnsi="Arial"/>
                <w:sz w:val="18"/>
                <w:szCs w:val="18"/>
                <w:b w:val="1"/>
                <w:bCs w:val="1"/>
                <w:color w:val="auto"/>
                <w:w w:val="90"/>
              </w:rPr>
              <w:t>Gunderson Dettmer Stough Villeneuve</w:t>
            </w:r>
          </w:p>
        </w:tc>
        <w:tc>
          <w:tcPr>
            <w:tcW w:w="5200" w:type="dxa"/>
            <w:vAlign w:val="bottom"/>
          </w:tcPr>
          <w:p>
            <w:pPr>
              <w:jc w:val="center"/>
              <w:ind w:left="2130"/>
              <w:spacing w:after="0" w:line="176" w:lineRule="exact"/>
              <w:rPr>
                <w:sz w:val="20"/>
                <w:szCs w:val="20"/>
                <w:color w:val="auto"/>
              </w:rPr>
            </w:pPr>
            <w:r>
              <w:rPr>
                <w:rFonts w:ascii="Arial" w:cs="Arial" w:eastAsia="Arial" w:hAnsi="Arial"/>
                <w:sz w:val="18"/>
                <w:szCs w:val="18"/>
                <w:b w:val="1"/>
                <w:bCs w:val="1"/>
                <w:color w:val="auto"/>
                <w:w w:val="94"/>
              </w:rPr>
              <w:t>Bryan Wahl</w:t>
            </w:r>
          </w:p>
        </w:tc>
      </w:tr>
      <w:tr>
        <w:trPr>
          <w:trHeight w:val="175"/>
        </w:trPr>
        <w:tc>
          <w:tcPr>
            <w:tcW w:w="3480" w:type="dxa"/>
            <w:vAlign w:val="bottom"/>
          </w:tcPr>
          <w:p>
            <w:pPr>
              <w:jc w:val="center"/>
              <w:ind w:right="370"/>
              <w:spacing w:after="0" w:line="176" w:lineRule="exact"/>
              <w:rPr>
                <w:sz w:val="20"/>
                <w:szCs w:val="20"/>
                <w:color w:val="auto"/>
              </w:rPr>
            </w:pPr>
            <w:r>
              <w:rPr>
                <w:rFonts w:ascii="Arial" w:cs="Arial" w:eastAsia="Arial" w:hAnsi="Arial"/>
                <w:sz w:val="18"/>
                <w:szCs w:val="18"/>
                <w:b w:val="1"/>
                <w:bCs w:val="1"/>
                <w:color w:val="auto"/>
                <w:w w:val="95"/>
              </w:rPr>
              <w:t>Franklin &amp; Hachigian, LLP</w:t>
            </w:r>
          </w:p>
        </w:tc>
        <w:tc>
          <w:tcPr>
            <w:tcW w:w="5200" w:type="dxa"/>
            <w:vAlign w:val="bottom"/>
          </w:tcPr>
          <w:p>
            <w:pPr>
              <w:jc w:val="center"/>
              <w:ind w:left="2150"/>
              <w:spacing w:after="0" w:line="176" w:lineRule="exact"/>
              <w:rPr>
                <w:sz w:val="20"/>
                <w:szCs w:val="20"/>
                <w:color w:val="auto"/>
              </w:rPr>
            </w:pPr>
            <w:r>
              <w:rPr>
                <w:rFonts w:ascii="Arial" w:cs="Arial" w:eastAsia="Arial" w:hAnsi="Arial"/>
                <w:sz w:val="18"/>
                <w:szCs w:val="18"/>
                <w:b w:val="1"/>
                <w:bCs w:val="1"/>
                <w:color w:val="auto"/>
                <w:w w:val="89"/>
              </w:rPr>
              <w:t>General Counsel</w:t>
            </w:r>
          </w:p>
        </w:tc>
      </w:tr>
      <w:tr>
        <w:trPr>
          <w:trHeight w:val="175"/>
        </w:trPr>
        <w:tc>
          <w:tcPr>
            <w:tcW w:w="3480" w:type="dxa"/>
            <w:vAlign w:val="bottom"/>
          </w:tcPr>
          <w:p>
            <w:pPr>
              <w:jc w:val="center"/>
              <w:ind w:right="370"/>
              <w:spacing w:after="0" w:line="176" w:lineRule="exact"/>
              <w:rPr>
                <w:sz w:val="20"/>
                <w:szCs w:val="20"/>
                <w:color w:val="auto"/>
              </w:rPr>
            </w:pPr>
            <w:r>
              <w:rPr>
                <w:rFonts w:ascii="Arial" w:cs="Arial" w:eastAsia="Arial" w:hAnsi="Arial"/>
                <w:sz w:val="18"/>
                <w:szCs w:val="18"/>
                <w:b w:val="1"/>
                <w:bCs w:val="1"/>
                <w:color w:val="auto"/>
                <w:w w:val="91"/>
              </w:rPr>
              <w:t>3570 Carmel Mountain Road, Suite 200</w:t>
            </w:r>
          </w:p>
        </w:tc>
        <w:tc>
          <w:tcPr>
            <w:tcW w:w="5200" w:type="dxa"/>
            <w:vAlign w:val="bottom"/>
          </w:tcPr>
          <w:p>
            <w:pPr>
              <w:jc w:val="center"/>
              <w:ind w:left="2130"/>
              <w:spacing w:after="0" w:line="176" w:lineRule="exact"/>
              <w:rPr>
                <w:sz w:val="20"/>
                <w:szCs w:val="20"/>
                <w:color w:val="auto"/>
              </w:rPr>
            </w:pPr>
            <w:r>
              <w:rPr>
                <w:rFonts w:ascii="Arial" w:cs="Arial" w:eastAsia="Arial" w:hAnsi="Arial"/>
                <w:sz w:val="18"/>
                <w:szCs w:val="18"/>
                <w:b w:val="1"/>
                <w:bCs w:val="1"/>
                <w:color w:val="auto"/>
                <w:w w:val="89"/>
              </w:rPr>
              <w:t>Tarsus Pharmaceuticals, Inc.</w:t>
            </w:r>
          </w:p>
        </w:tc>
      </w:tr>
      <w:tr>
        <w:trPr>
          <w:trHeight w:val="176"/>
        </w:trPr>
        <w:tc>
          <w:tcPr>
            <w:tcW w:w="3480" w:type="dxa"/>
            <w:vAlign w:val="bottom"/>
          </w:tcPr>
          <w:p>
            <w:pPr>
              <w:jc w:val="center"/>
              <w:ind w:right="370"/>
              <w:spacing w:after="0" w:line="176" w:lineRule="exact"/>
              <w:rPr>
                <w:sz w:val="20"/>
                <w:szCs w:val="20"/>
                <w:color w:val="auto"/>
              </w:rPr>
            </w:pPr>
            <w:r>
              <w:rPr>
                <w:rFonts w:ascii="Arial" w:cs="Arial" w:eastAsia="Arial" w:hAnsi="Arial"/>
                <w:sz w:val="18"/>
                <w:szCs w:val="18"/>
                <w:b w:val="1"/>
                <w:bCs w:val="1"/>
                <w:color w:val="auto"/>
                <w:w w:val="90"/>
              </w:rPr>
              <w:t>San Diego, CA 92130</w:t>
            </w:r>
          </w:p>
        </w:tc>
        <w:tc>
          <w:tcPr>
            <w:tcW w:w="5200" w:type="dxa"/>
            <w:vAlign w:val="bottom"/>
          </w:tcPr>
          <w:p>
            <w:pPr>
              <w:jc w:val="center"/>
              <w:ind w:left="2130"/>
              <w:spacing w:after="0" w:line="176" w:lineRule="exact"/>
              <w:rPr>
                <w:sz w:val="20"/>
                <w:szCs w:val="20"/>
                <w:color w:val="auto"/>
              </w:rPr>
            </w:pPr>
            <w:r>
              <w:rPr>
                <w:rFonts w:ascii="Arial" w:cs="Arial" w:eastAsia="Arial" w:hAnsi="Arial"/>
                <w:sz w:val="18"/>
                <w:szCs w:val="18"/>
                <w:b w:val="1"/>
                <w:bCs w:val="1"/>
                <w:color w:val="auto"/>
                <w:w w:val="90"/>
              </w:rPr>
              <w:t>15440 Laguna Canyon Road, Suite 160</w:t>
            </w:r>
          </w:p>
        </w:tc>
      </w:tr>
      <w:tr>
        <w:trPr>
          <w:trHeight w:val="175"/>
        </w:trPr>
        <w:tc>
          <w:tcPr>
            <w:tcW w:w="3480" w:type="dxa"/>
            <w:vAlign w:val="bottom"/>
          </w:tcPr>
          <w:p>
            <w:pPr>
              <w:jc w:val="center"/>
              <w:ind w:right="370"/>
              <w:spacing w:after="0" w:line="176" w:lineRule="exact"/>
              <w:rPr>
                <w:sz w:val="20"/>
                <w:szCs w:val="20"/>
                <w:color w:val="auto"/>
              </w:rPr>
            </w:pPr>
            <w:r>
              <w:rPr>
                <w:rFonts w:ascii="Arial" w:cs="Arial" w:eastAsia="Arial" w:hAnsi="Arial"/>
                <w:sz w:val="18"/>
                <w:szCs w:val="18"/>
                <w:b w:val="1"/>
                <w:bCs w:val="1"/>
                <w:color w:val="auto"/>
                <w:w w:val="92"/>
              </w:rPr>
              <w:t>(858) 436-8000</w:t>
            </w:r>
          </w:p>
        </w:tc>
        <w:tc>
          <w:tcPr>
            <w:tcW w:w="5200" w:type="dxa"/>
            <w:vAlign w:val="bottom"/>
          </w:tcPr>
          <w:p>
            <w:pPr>
              <w:jc w:val="center"/>
              <w:ind w:left="2150"/>
              <w:spacing w:after="0" w:line="176" w:lineRule="exact"/>
              <w:rPr>
                <w:sz w:val="20"/>
                <w:szCs w:val="20"/>
                <w:color w:val="auto"/>
              </w:rPr>
            </w:pPr>
            <w:r>
              <w:rPr>
                <w:rFonts w:ascii="Arial" w:cs="Arial" w:eastAsia="Arial" w:hAnsi="Arial"/>
                <w:sz w:val="18"/>
                <w:szCs w:val="18"/>
                <w:b w:val="1"/>
                <w:bCs w:val="1"/>
                <w:color w:val="auto"/>
                <w:w w:val="94"/>
              </w:rPr>
              <w:t>Irvine, CA 92618</w:t>
            </w:r>
          </w:p>
        </w:tc>
      </w:tr>
      <w:tr>
        <w:trPr>
          <w:trHeight w:val="234"/>
        </w:trPr>
        <w:tc>
          <w:tcPr>
            <w:tcW w:w="3480" w:type="dxa"/>
            <w:vAlign w:val="bottom"/>
          </w:tcPr>
          <w:p>
            <w:pPr>
              <w:spacing w:after="0"/>
              <w:rPr>
                <w:sz w:val="20"/>
                <w:szCs w:val="20"/>
                <w:color w:val="auto"/>
              </w:rPr>
            </w:pPr>
          </w:p>
        </w:tc>
        <w:tc>
          <w:tcPr>
            <w:tcW w:w="5200" w:type="dxa"/>
            <w:vAlign w:val="bottom"/>
          </w:tcPr>
          <w:p>
            <w:pPr>
              <w:jc w:val="center"/>
              <w:ind w:left="2150"/>
              <w:spacing w:after="0"/>
              <w:rPr>
                <w:sz w:val="20"/>
                <w:szCs w:val="20"/>
                <w:color w:val="auto"/>
              </w:rPr>
            </w:pPr>
            <w:r>
              <w:rPr>
                <w:rFonts w:ascii="Arial" w:cs="Arial" w:eastAsia="Arial" w:hAnsi="Arial"/>
                <w:sz w:val="18"/>
                <w:szCs w:val="18"/>
                <w:b w:val="1"/>
                <w:bCs w:val="1"/>
                <w:color w:val="auto"/>
                <w:w w:val="90"/>
              </w:rPr>
              <w:t>(949) 409-9820</w:t>
            </w:r>
          </w:p>
        </w:tc>
      </w:tr>
    </w:tbl>
    <w:p>
      <w:pPr>
        <w:spacing w:after="0" w:line="291" w:lineRule="exact"/>
        <w:rPr>
          <w:sz w:val="24"/>
          <w:szCs w:val="24"/>
          <w:color w:val="auto"/>
        </w:rPr>
      </w:pPr>
    </w:p>
    <w:p>
      <w:pPr>
        <w:jc w:val="both"/>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560"/>
              <w:spacing w:after="0"/>
              <w:rPr>
                <w:sz w:val="20"/>
                <w:szCs w:val="20"/>
                <w:color w:val="auto"/>
              </w:rPr>
            </w:pPr>
            <w:r>
              <w:rPr>
                <w:rFonts w:ascii="Arial" w:cs="Arial" w:eastAsia="Arial" w:hAnsi="Arial"/>
                <w:sz w:val="18"/>
                <w:szCs w:val="18"/>
                <w:color w:val="auto"/>
              </w:rPr>
              <w:t>Accelerated filer</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14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560"/>
              <w:spacing w:after="0"/>
              <w:rPr>
                <w:sz w:val="20"/>
                <w:szCs w:val="20"/>
                <w:color w:val="auto"/>
              </w:rPr>
            </w:pPr>
            <w:r>
              <w:rPr>
                <w:rFonts w:ascii="Arial" w:cs="Arial" w:eastAsia="Arial" w:hAnsi="Arial"/>
                <w:sz w:val="18"/>
                <w:szCs w:val="18"/>
                <w:color w:val="auto"/>
              </w:rPr>
              <w:t>Smaller reporting company</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300" w:type="dxa"/>
            <w:vAlign w:val="bottom"/>
          </w:tcPr>
          <w:p>
            <w:pPr>
              <w:ind w:left="560"/>
              <w:spacing w:after="0"/>
              <w:rPr>
                <w:sz w:val="20"/>
                <w:szCs w:val="20"/>
                <w:color w:val="auto"/>
              </w:rPr>
            </w:pPr>
            <w:r>
              <w:rPr>
                <w:rFonts w:ascii="Arial" w:cs="Arial" w:eastAsia="Arial" w:hAnsi="Arial"/>
                <w:sz w:val="18"/>
                <w:szCs w:val="18"/>
                <w:color w:val="auto"/>
              </w:rPr>
              <w:t>Emerging growth company</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3" w:lineRule="exact"/>
        <w:rPr>
          <w:sz w:val="20"/>
          <w:szCs w:val="20"/>
          <w:color w:val="auto"/>
        </w:rPr>
      </w:pPr>
    </w:p>
    <w:p>
      <w:pPr>
        <w:jc w:val="both"/>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16"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Pursuant to General Instruction E to Form S-8 under the 1933 Act, this Registration Statement is filed by Tarsus Pharmaceuticals, Inc. (the “Registrant”) for the purpose of registering additional shares of common stock, par value $0.0001 per share, of the Company (the “Common Stock”) under the 2020 Equity Incentive Plan and 2020 Employee Stock Purchase Plan pursuant to the provisions of such plans that provide for automatic annual increases in the number of shares reserved for issuance thereunder. This Registration Statement hereby incorporates by reference the contents of the Registrant’s registration statements on Form S-8 filed with the Commission on October 20, 2020 (File No. 333-249571) and March 31, 2021 (File No. 333-254932) to the extent not superseded hereby.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66"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89"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Tarsus Pharmaceuticals, Inc. hereby incorporates by reference into this Registration Statement the following documents previously filed with the Securities and Exchange Commission (the “SEC”):</w:t>
      </w:r>
    </w:p>
    <w:p>
      <w:pPr>
        <w:spacing w:after="0" w:line="351" w:lineRule="exact"/>
        <w:rPr>
          <w:sz w:val="20"/>
          <w:szCs w:val="20"/>
          <w:color w:val="auto"/>
        </w:rPr>
      </w:pPr>
    </w:p>
    <w:p>
      <w:pPr>
        <w:ind w:left="1060" w:hanging="589"/>
        <w:spacing w:after="0"/>
        <w:tabs>
          <w:tab w:leader="none" w:pos="10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Registrant’s Annual Report on </w:t>
      </w:r>
      <w:hyperlink r:id="rId8">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2021, filed with the SEC on March 14, 2022;</w:t>
      </w:r>
    </w:p>
    <w:p>
      <w:pPr>
        <w:spacing w:after="0" w:line="34" w:lineRule="exact"/>
        <w:rPr>
          <w:rFonts w:ascii="Arial" w:cs="Arial" w:eastAsia="Arial" w:hAnsi="Arial"/>
          <w:sz w:val="17"/>
          <w:szCs w:val="17"/>
          <w:color w:val="auto"/>
        </w:rPr>
      </w:pPr>
    </w:p>
    <w:p>
      <w:pPr>
        <w:ind w:left="1060" w:hanging="589"/>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Current Reports on Form 8-K filed with the SEC on </w:t>
      </w:r>
      <w:hyperlink r:id="rId9">
        <w:r>
          <w:rPr>
            <w:rFonts w:ascii="Arial" w:cs="Arial" w:eastAsia="Arial" w:hAnsi="Arial"/>
            <w:sz w:val="18"/>
            <w:szCs w:val="18"/>
            <w:u w:val="single" w:color="auto"/>
            <w:color w:val="0000FF"/>
          </w:rPr>
          <w:t>January 4,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0">
        <w:r>
          <w:rPr>
            <w:rFonts w:ascii="Arial" w:cs="Arial" w:eastAsia="Arial" w:hAnsi="Arial"/>
            <w:sz w:val="18"/>
            <w:szCs w:val="18"/>
            <w:u w:val="single" w:color="auto"/>
            <w:color w:val="0000FF"/>
          </w:rPr>
          <w:t>February 2, 2022</w:t>
        </w:r>
      </w:hyperlink>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1060" w:right="20" w:hanging="589"/>
        <w:spacing w:after="0" w:line="234"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of 1934, as amended (the “Exchange Act”) since the end of the fiscal year covered by the registrant document referred to in (a) above; and</w:t>
      </w:r>
    </w:p>
    <w:p>
      <w:pPr>
        <w:spacing w:after="0" w:line="1" w:lineRule="exact"/>
        <w:rPr>
          <w:rFonts w:ascii="Arial" w:cs="Arial" w:eastAsia="Arial" w:hAnsi="Arial"/>
          <w:sz w:val="18"/>
          <w:szCs w:val="18"/>
          <w:color w:val="auto"/>
        </w:rPr>
      </w:pPr>
    </w:p>
    <w:p>
      <w:pPr>
        <w:ind w:left="1060" w:right="20" w:hanging="589"/>
        <w:spacing w:after="0" w:line="288"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contained in the Registrant’s Registration Statement on </w:t>
      </w:r>
      <w:hyperlink r:id="rId11">
        <w:r>
          <w:rPr>
            <w:rFonts w:ascii="Arial" w:cs="Arial" w:eastAsia="Arial" w:hAnsi="Arial"/>
            <w:sz w:val="16"/>
            <w:szCs w:val="16"/>
            <w:u w:val="single" w:color="auto"/>
            <w:color w:val="0000FF"/>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 No. 001-39614), filed with the SEC on October 13, 2020, including any amendments or reports filed for the purpose of updating such description.</w:t>
      </w:r>
    </w:p>
    <w:p>
      <w:pPr>
        <w:spacing w:after="0" w:line="273" w:lineRule="exact"/>
        <w:rPr>
          <w:rFonts w:ascii="Arial" w:cs="Arial" w:eastAsia="Arial" w:hAnsi="Arial"/>
          <w:sz w:val="18"/>
          <w:szCs w:val="18"/>
          <w:color w:val="auto"/>
        </w:rPr>
      </w:pPr>
    </w:p>
    <w:p>
      <w:pPr>
        <w:jc w:val="both"/>
        <w:ind w:right="140"/>
        <w:spacing w:after="0" w:line="239" w:lineRule="auto"/>
        <w:rPr>
          <w:sz w:val="20"/>
          <w:szCs w:val="20"/>
          <w:color w:val="auto"/>
        </w:rPr>
      </w:pPr>
      <w:r>
        <w:rPr>
          <w:rFonts w:ascii="Arial" w:cs="Arial" w:eastAsia="Arial" w:hAnsi="Arial"/>
          <w:sz w:val="16"/>
          <w:szCs w:val="16"/>
          <w:color w:val="auto"/>
        </w:rPr>
        <w:t>All other reports and documents filed by the Registrant pursuant to Sections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The Registrant is not, however, incorporating any documents or information that the Registrant is deemed to furnish and not file in accordance with SEC rules. Any statement contained in a document incorporated or deemed incorporated by reference in this Registration Statement will be deemed modified or superseded for purposes of this Registration Statement to the extent that a statement contained in any subsequently filed document that also is deemed incorporated by reference in this Registration Statement modifies or supersedes that statement.</w:t>
      </w:r>
    </w:p>
    <w:p>
      <w:pPr>
        <w:spacing w:after="0" w:line="239" w:lineRule="exact"/>
        <w:rPr>
          <w:rFonts w:ascii="Arial" w:cs="Arial" w:eastAsia="Arial" w:hAnsi="Arial"/>
          <w:sz w:val="18"/>
          <w:szCs w:val="18"/>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0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429" w:right="339" w:bottom="1440" w:gutter="0" w:footer="0" w:header="0"/>
        </w:sectPr>
      </w:pPr>
    </w:p>
    <w:bookmarkStart w:id="2" w:name="page3"/>
    <w:bookmarkEnd w:id="2"/>
    <w:p>
      <w:pPr>
        <w:spacing w:after="0" w:line="18"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8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“Securities Act”).</w:t>
      </w:r>
    </w:p>
    <w:p>
      <w:pPr>
        <w:spacing w:after="0" w:line="190"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244" w:lineRule="exact"/>
        <w:rPr>
          <w:sz w:val="20"/>
          <w:szCs w:val="20"/>
          <w:color w:val="auto"/>
        </w:rPr>
      </w:pPr>
    </w:p>
    <w:p>
      <w:pPr>
        <w:ind w:left="1080" w:hanging="501"/>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3" w:lineRule="exact"/>
        <w:rPr>
          <w:rFonts w:ascii="Arial" w:cs="Arial" w:eastAsia="Arial" w:hAnsi="Arial"/>
          <w:sz w:val="18"/>
          <w:szCs w:val="18"/>
          <w:color w:val="auto"/>
        </w:rPr>
      </w:pPr>
    </w:p>
    <w:p>
      <w:pPr>
        <w:ind w:left="1080" w:hanging="501"/>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2" w:lineRule="exact"/>
        <w:rPr>
          <w:rFonts w:ascii="Arial" w:cs="Arial" w:eastAsia="Arial" w:hAnsi="Arial"/>
          <w:sz w:val="18"/>
          <w:szCs w:val="18"/>
          <w:color w:val="auto"/>
        </w:rPr>
      </w:pPr>
    </w:p>
    <w:p>
      <w:pPr>
        <w:ind w:left="1080" w:right="20" w:hanging="501"/>
        <w:spacing w:after="0" w:line="234"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Delaware General Corporation Law; or</w:t>
      </w:r>
    </w:p>
    <w:p>
      <w:pPr>
        <w:spacing w:after="0" w:line="1" w:lineRule="exact"/>
        <w:rPr>
          <w:rFonts w:ascii="Arial" w:cs="Arial" w:eastAsia="Arial" w:hAnsi="Arial"/>
          <w:sz w:val="18"/>
          <w:szCs w:val="18"/>
          <w:color w:val="auto"/>
        </w:rPr>
      </w:pPr>
    </w:p>
    <w:p>
      <w:pPr>
        <w:ind w:left="1080" w:hanging="501"/>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30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63"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65"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and certain other key employees.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currently carry and intend to continue to carry liability insurance for our directors and officers.</w:t>
      </w:r>
    </w:p>
    <w:p>
      <w:pPr>
        <w:spacing w:after="0" w:line="262"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herein by reference.</w:t>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96"/>
              </w:rPr>
              <w:t>Incorporated by Reference</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100" w:type="dxa"/>
            <w:vAlign w:val="bottom"/>
            <w:gridSpan w:val="2"/>
          </w:tcPr>
          <w:p>
            <w:pPr>
              <w:ind w:left="280"/>
              <w:spacing w:after="0" w:line="131"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700" w:type="dxa"/>
            <w:vAlign w:val="bottom"/>
            <w:gridSpan w:val="10"/>
            <w:vMerge w:val="restart"/>
          </w:tcPr>
          <w:p>
            <w:pPr>
              <w:ind w:left="90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1"/>
                <w:szCs w:val="11"/>
                <w:color w:val="auto"/>
              </w:rPr>
            </w:pPr>
          </w:p>
        </w:tc>
        <w:tc>
          <w:tcPr>
            <w:tcW w:w="10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1"/>
                <w:szCs w:val="11"/>
                <w:color w:val="auto"/>
              </w:rPr>
            </w:pPr>
          </w:p>
        </w:tc>
        <w:tc>
          <w:tcPr>
            <w:tcW w:w="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100" w:type="dxa"/>
            <w:vAlign w:val="bottom"/>
          </w:tcPr>
          <w:p>
            <w:pPr>
              <w:jc w:val="center"/>
              <w:ind w:right="55"/>
              <w:spacing w:after="0" w:line="131" w:lineRule="exact"/>
              <w:rPr>
                <w:sz w:val="20"/>
                <w:szCs w:val="20"/>
                <w:color w:val="auto"/>
              </w:rPr>
            </w:pPr>
            <w:r>
              <w:rPr>
                <w:rFonts w:ascii="Arial" w:cs="Arial" w:eastAsia="Arial" w:hAnsi="Arial"/>
                <w:sz w:val="14"/>
                <w:szCs w:val="14"/>
                <w:b w:val="1"/>
                <w:bCs w:val="1"/>
                <w:color w:val="auto"/>
                <w:w w:val="96"/>
              </w:rPr>
              <w:t>Filing</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8"/>
        </w:trPr>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10"/>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78"/>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rFonts w:ascii="Arial" w:cs="Arial" w:eastAsia="Arial" w:hAnsi="Arial"/>
                <w:sz w:val="18"/>
                <w:szCs w:val="18"/>
                <w:color w:val="0000EE"/>
              </w:rPr>
            </w:pPr>
            <w:hyperlink r:id="rId12">
              <w:r>
                <w:rPr>
                  <w:rFonts w:ascii="Arial" w:cs="Arial" w:eastAsia="Arial" w:hAnsi="Arial"/>
                  <w:sz w:val="18"/>
                  <w:szCs w:val="18"/>
                  <w:color w:val="0000EE"/>
                </w:rPr>
                <w:t>Amended and Restated Certificate of Incorporation of the</w:t>
              </w:r>
            </w:hyperlink>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8-K</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001-39614</w:t>
            </w:r>
          </w:p>
        </w:tc>
        <w:tc>
          <w:tcPr>
            <w:tcW w:w="100" w:type="dxa"/>
            <w:vAlign w:val="bottom"/>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restart"/>
          </w:tcPr>
          <w:p>
            <w:pPr>
              <w:jc w:val="center"/>
              <w:ind w:right="35"/>
              <w:spacing w:after="0"/>
              <w:rPr>
                <w:sz w:val="20"/>
                <w:szCs w:val="20"/>
                <w:color w:val="auto"/>
              </w:rPr>
            </w:pPr>
            <w:r>
              <w:rPr>
                <w:rFonts w:ascii="Arial" w:cs="Arial" w:eastAsia="Arial" w:hAnsi="Arial"/>
                <w:sz w:val="18"/>
                <w:szCs w:val="18"/>
                <w:color w:val="auto"/>
                <w:w w:val="90"/>
              </w:rPr>
              <w:t>10/20/2020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EE"/>
            </w:tcBorders>
            <w:gridSpan w:val="7"/>
          </w:tcPr>
          <w:p>
            <w:pPr>
              <w:spacing w:after="0" w:line="156" w:lineRule="exact"/>
              <w:rPr>
                <w:rFonts w:ascii="Arial" w:cs="Arial" w:eastAsia="Arial" w:hAnsi="Arial"/>
                <w:sz w:val="18"/>
                <w:szCs w:val="18"/>
                <w:color w:val="0000EE"/>
              </w:rPr>
            </w:pPr>
            <w:hyperlink r:id="rId12">
              <w:r>
                <w:rPr>
                  <w:rFonts w:ascii="Arial" w:cs="Arial" w:eastAsia="Arial" w:hAnsi="Arial"/>
                  <w:sz w:val="18"/>
                  <w:szCs w:val="18"/>
                  <w:color w:val="0000EE"/>
                </w:rPr>
                <w:t>Registrant.</w:t>
              </w:r>
            </w:hyperlink>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rFonts w:ascii="Arial" w:cs="Arial" w:eastAsia="Arial" w:hAnsi="Arial"/>
                <w:sz w:val="18"/>
                <w:szCs w:val="18"/>
                <w:color w:val="0000EE"/>
              </w:rPr>
            </w:pPr>
            <w:hyperlink r:id="rId13">
              <w:r>
                <w:rPr>
                  <w:rFonts w:ascii="Arial" w:cs="Arial" w:eastAsia="Arial" w:hAnsi="Arial"/>
                  <w:sz w:val="18"/>
                  <w:szCs w:val="18"/>
                  <w:color w:val="0000EE"/>
                </w:rPr>
                <w:t>Amended and Restated Bylaws of the Registrant.</w:t>
              </w:r>
            </w:hyperlink>
          </w:p>
        </w:tc>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001-39614</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35"/>
              <w:spacing w:after="0"/>
              <w:rPr>
                <w:sz w:val="20"/>
                <w:szCs w:val="20"/>
                <w:color w:val="auto"/>
              </w:rPr>
            </w:pPr>
            <w:r>
              <w:rPr>
                <w:rFonts w:ascii="Arial" w:cs="Arial" w:eastAsia="Arial" w:hAnsi="Arial"/>
                <w:sz w:val="18"/>
                <w:szCs w:val="18"/>
                <w:color w:val="auto"/>
                <w:w w:val="90"/>
              </w:rPr>
              <w:t>10/20/2020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rFonts w:ascii="Arial" w:cs="Arial" w:eastAsia="Arial" w:hAnsi="Arial"/>
                <w:sz w:val="18"/>
                <w:szCs w:val="18"/>
                <w:color w:val="0000EE"/>
              </w:rPr>
            </w:pPr>
            <w:hyperlink r:id="rId14">
              <w:r>
                <w:rPr>
                  <w:rFonts w:ascii="Arial" w:cs="Arial" w:eastAsia="Arial" w:hAnsi="Arial"/>
                  <w:sz w:val="18"/>
                  <w:szCs w:val="18"/>
                  <w:color w:val="0000EE"/>
                </w:rPr>
                <w:t>Specimen common stock certificate of the Registrant.</w:t>
              </w:r>
            </w:hyperlink>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333-249076</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35"/>
              <w:spacing w:after="0"/>
              <w:rPr>
                <w:sz w:val="20"/>
                <w:szCs w:val="20"/>
                <w:color w:val="auto"/>
              </w:rPr>
            </w:pPr>
            <w:r>
              <w:rPr>
                <w:rFonts w:ascii="Arial" w:cs="Arial" w:eastAsia="Arial" w:hAnsi="Arial"/>
                <w:sz w:val="18"/>
                <w:szCs w:val="18"/>
                <w:color w:val="auto"/>
                <w:w w:val="90"/>
              </w:rPr>
              <w:t>10/09/2020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Opinion of Gunderson Dettmer Stough Villeneuve Franklin &amp;</w:t>
              </w:r>
            </w:hyperlink>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Hachigian, LLP.</w:t>
              </w:r>
            </w:hyperlink>
          </w:p>
        </w:tc>
        <w:tc>
          <w:tcPr>
            <w:tcW w:w="3300" w:type="dxa"/>
            <w:vAlign w:val="bottom"/>
            <w:tcBorders>
              <w:top w:val="single" w:sz="8" w:color="0000EE"/>
            </w:tcBorders>
            <w:gridSpan w:val="8"/>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Consent of Independent Registered Public Accounting Firm.</w:t>
              </w:r>
            </w:hyperlink>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Consent of Gunderson Dettmer Stough Villeneuve Franklin &amp;</w:t>
              </w:r>
            </w:hyperlink>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Hachigian, LLP (contained in Exhibit 5.1).</w:t>
              </w:r>
            </w:hyperlink>
          </w:p>
        </w:tc>
        <w:tc>
          <w:tcPr>
            <w:tcW w:w="1380" w:type="dxa"/>
            <w:vAlign w:val="bottom"/>
            <w:tcBorders>
              <w:top w:val="single" w:sz="8" w:color="0000EE"/>
            </w:tcBorders>
            <w:gridSpan w:val="6"/>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Power of Attorney (contained in the signature page hereto).</w:t>
              </w:r>
            </w:hyperlink>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rFonts w:ascii="Arial" w:cs="Arial" w:eastAsia="Arial" w:hAnsi="Arial"/>
                <w:sz w:val="18"/>
                <w:szCs w:val="18"/>
                <w:color w:val="0000EE"/>
                <w:w w:val="96"/>
              </w:rPr>
            </w:pPr>
            <w:hyperlink r:id="rId15">
              <w:r>
                <w:rPr>
                  <w:rFonts w:ascii="Arial" w:cs="Arial" w:eastAsia="Arial" w:hAnsi="Arial"/>
                  <w:sz w:val="18"/>
                  <w:szCs w:val="18"/>
                  <w:color w:val="0000EE"/>
                  <w:w w:val="96"/>
                </w:rPr>
                <w:t>2020 Equity Incentive Plan and forms of agreements thereunder.</w:t>
              </w:r>
            </w:hyperlink>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S-8</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333-249571</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35"/>
              <w:spacing w:after="0"/>
              <w:rPr>
                <w:sz w:val="20"/>
                <w:szCs w:val="20"/>
                <w:color w:val="auto"/>
              </w:rPr>
            </w:pPr>
            <w:r>
              <w:rPr>
                <w:rFonts w:ascii="Arial" w:cs="Arial" w:eastAsia="Arial" w:hAnsi="Arial"/>
                <w:sz w:val="18"/>
                <w:szCs w:val="18"/>
                <w:color w:val="auto"/>
                <w:w w:val="90"/>
              </w:rPr>
              <w:t>10/20/2020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2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r:id="rId16">
              <w:r>
                <w:rPr>
                  <w:rFonts w:ascii="Arial" w:cs="Arial" w:eastAsia="Arial" w:hAnsi="Arial"/>
                  <w:sz w:val="18"/>
                  <w:szCs w:val="18"/>
                  <w:color w:val="0000EE"/>
                  <w:w w:val="88"/>
                </w:rPr>
                <w:t>2020 Employee Stock Purchase Plan.</w:t>
              </w:r>
            </w:hyperlink>
          </w:p>
        </w:tc>
        <w:tc>
          <w:tcPr>
            <w:tcW w:w="1940" w:type="dxa"/>
            <w:vAlign w:val="bottom"/>
            <w:tcBorders>
              <w:top w:val="single" w:sz="8" w:color="0000EE"/>
            </w:tcBorders>
            <w:gridSpan w:val="8"/>
          </w:tcPr>
          <w:p>
            <w:pPr>
              <w:spacing w:after="0"/>
              <w:rPr>
                <w:sz w:val="24"/>
                <w:szCs w:val="24"/>
                <w:color w:val="auto"/>
              </w:rPr>
            </w:pPr>
          </w:p>
        </w:tc>
        <w:tc>
          <w:tcPr>
            <w:tcW w:w="340" w:type="dxa"/>
            <w:vAlign w:val="bottom"/>
            <w:gridSpan w:val="2"/>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S-8</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333-249571</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35"/>
              <w:spacing w:after="0"/>
              <w:rPr>
                <w:sz w:val="20"/>
                <w:szCs w:val="20"/>
                <w:color w:val="auto"/>
              </w:rPr>
            </w:pPr>
            <w:r>
              <w:rPr>
                <w:rFonts w:ascii="Arial" w:cs="Arial" w:eastAsia="Arial" w:hAnsi="Arial"/>
                <w:sz w:val="18"/>
                <w:szCs w:val="18"/>
                <w:color w:val="auto"/>
                <w:w w:val="90"/>
              </w:rPr>
              <w:t>10/20/2020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Filing Fee Table</w:t>
              </w:r>
            </w:hyperlink>
          </w:p>
        </w:tc>
        <w:tc>
          <w:tcPr>
            <w:tcW w:w="3800" w:type="dxa"/>
            <w:vAlign w:val="bottom"/>
            <w:gridSpan w:val="11"/>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858"/>
        </w:trPr>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Item 9.</w:t>
            </w:r>
          </w:p>
        </w:tc>
        <w:tc>
          <w:tcPr>
            <w:tcW w:w="20" w:type="dxa"/>
            <w:vAlign w:val="bottom"/>
          </w:tcPr>
          <w:p>
            <w:pPr>
              <w:spacing w:after="0"/>
              <w:rPr>
                <w:sz w:val="24"/>
                <w:szCs w:val="24"/>
                <w:color w:val="auto"/>
              </w:rPr>
            </w:pPr>
          </w:p>
        </w:tc>
        <w:tc>
          <w:tcPr>
            <w:tcW w:w="4980" w:type="dxa"/>
            <w:vAlign w:val="bottom"/>
            <w:gridSpan w:val="13"/>
          </w:tcPr>
          <w:p>
            <w:pPr>
              <w:ind w:left="40"/>
              <w:spacing w:after="0"/>
              <w:rPr>
                <w:sz w:val="20"/>
                <w:szCs w:val="20"/>
                <w:color w:val="auto"/>
              </w:rPr>
            </w:pPr>
            <w:r>
              <w:rPr>
                <w:rFonts w:ascii="Arial" w:cs="Arial" w:eastAsia="Arial" w:hAnsi="Arial"/>
                <w:sz w:val="18"/>
                <w:szCs w:val="18"/>
                <w:b w:val="1"/>
                <w:bCs w:val="1"/>
                <w:color w:val="auto"/>
              </w:rPr>
              <w:t>Undertakings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374" w:lineRule="exact"/>
        <w:rPr>
          <w:sz w:val="20"/>
          <w:szCs w:val="20"/>
          <w:color w:val="auto"/>
        </w:rPr>
      </w:pPr>
    </w:p>
    <w:p>
      <w:pPr>
        <w:ind w:left="1060" w:hanging="584"/>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98"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76" w:lineRule="exact"/>
        <w:rPr>
          <w:rFonts w:ascii="Arial" w:cs="Arial" w:eastAsia="Arial" w:hAnsi="Arial"/>
          <w:sz w:val="18"/>
          <w:szCs w:val="18"/>
          <w:color w:val="auto"/>
        </w:rPr>
      </w:pPr>
    </w:p>
    <w:p>
      <w:pPr>
        <w:jc w:val="both"/>
        <w:ind w:firstLine="8"/>
        <w:spacing w:after="0" w:line="241" w:lineRule="auto"/>
        <w:tabs>
          <w:tab w:leader="none" w:pos="302"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52" w:lineRule="exact"/>
        <w:rPr>
          <w:rFonts w:ascii="Arial" w:cs="Arial" w:eastAsia="Arial" w:hAnsi="Arial"/>
          <w:sz w:val="16"/>
          <w:szCs w:val="16"/>
          <w:color w:val="auto"/>
        </w:rPr>
      </w:pPr>
    </w:p>
    <w:p>
      <w:pPr>
        <w:ind w:firstLine="8"/>
        <w:spacing w:after="0" w:line="235" w:lineRule="auto"/>
        <w:tabs>
          <w:tab w:leader="none" w:pos="33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ectPr>
          <w:pgSz w:w="11900" w:h="16838" w:orient="portrait"/>
          <w:cols w:equalWidth="0" w:num="1">
            <w:col w:w="11240"/>
          </w:cols>
          <w:pgMar w:left="320" w:top="1404" w:right="339" w:bottom="1440" w:gutter="0" w:footer="0" w:header="0"/>
        </w:sectPr>
      </w:pPr>
    </w:p>
    <w:bookmarkStart w:id="4" w:name="page5"/>
    <w:bookmarkEnd w:id="4"/>
    <w:p>
      <w:pPr>
        <w:spacing w:after="0" w:line="7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clauses A(1)(i) and A(1)(ii) above shall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w:t>
      </w:r>
    </w:p>
    <w:p>
      <w:pPr>
        <w:spacing w:after="0" w:line="244" w:lineRule="exact"/>
        <w:rPr>
          <w:sz w:val="20"/>
          <w:szCs w:val="20"/>
          <w:color w:val="auto"/>
        </w:rPr>
      </w:pPr>
    </w:p>
    <w:p>
      <w:pPr>
        <w:jc w:val="both"/>
        <w:ind w:left="1060" w:right="20" w:hanging="589"/>
        <w:spacing w:after="0" w:line="224" w:lineRule="auto"/>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 w:lineRule="exact"/>
        <w:rPr>
          <w:rFonts w:ascii="Arial" w:cs="Arial" w:eastAsia="Arial" w:hAnsi="Arial"/>
          <w:sz w:val="18"/>
          <w:szCs w:val="18"/>
          <w:color w:val="auto"/>
        </w:rPr>
      </w:pPr>
    </w:p>
    <w:p>
      <w:pPr>
        <w:ind w:left="1060" w:right="20" w:hanging="589"/>
        <w:spacing w:after="0" w:line="234" w:lineRule="auto"/>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Registrant’s offering.</w:t>
      </w:r>
    </w:p>
    <w:p>
      <w:pPr>
        <w:spacing w:after="0" w:line="200" w:lineRule="exact"/>
        <w:rPr>
          <w:rFonts w:ascii="Arial" w:cs="Arial" w:eastAsia="Arial" w:hAnsi="Arial"/>
          <w:sz w:val="18"/>
          <w:szCs w:val="18"/>
          <w:color w:val="auto"/>
        </w:rPr>
      </w:pPr>
    </w:p>
    <w:p>
      <w:pPr>
        <w:spacing w:after="0" w:line="354" w:lineRule="exact"/>
        <w:rPr>
          <w:rFonts w:ascii="Arial" w:cs="Arial" w:eastAsia="Arial" w:hAnsi="Arial"/>
          <w:sz w:val="18"/>
          <w:szCs w:val="18"/>
          <w:color w:val="auto"/>
        </w:rPr>
      </w:pPr>
    </w:p>
    <w:p>
      <w:pPr>
        <w:jc w:val="both"/>
        <w:ind w:firstLine="8"/>
        <w:spacing w:after="0" w:line="249" w:lineRule="auto"/>
        <w:tabs>
          <w:tab w:leader="none" w:pos="22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6"/>
          <w:szCs w:val="16"/>
          <w:color w:val="auto"/>
        </w:rPr>
      </w:pPr>
    </w:p>
    <w:p>
      <w:pPr>
        <w:jc w:val="both"/>
        <w:ind w:firstLine="8"/>
        <w:spacing w:after="0" w:line="239" w:lineRule="auto"/>
        <w:tabs>
          <w:tab w:leader="none" w:pos="213"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440" w:right="339" w:bottom="1440" w:gutter="0" w:footer="0" w:header="0"/>
        </w:sectPr>
      </w:pPr>
    </w:p>
    <w:bookmarkStart w:id="5" w:name="page6"/>
    <w:bookmarkEnd w:id="5"/>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Irvine, State of California on this 14th day of March, 2022.</w:t>
      </w:r>
    </w:p>
    <w:p>
      <w:pPr>
        <w:ind w:left="5080"/>
        <w:spacing w:after="0" w:line="223" w:lineRule="auto"/>
        <w:rPr>
          <w:sz w:val="20"/>
          <w:szCs w:val="20"/>
          <w:color w:val="auto"/>
        </w:rPr>
      </w:pPr>
      <w:r>
        <w:rPr>
          <w:rFonts w:ascii="Arial" w:cs="Arial" w:eastAsia="Arial" w:hAnsi="Arial"/>
          <w:sz w:val="18"/>
          <w:szCs w:val="18"/>
          <w:b w:val="1"/>
          <w:bCs w:val="1"/>
          <w:color w:val="auto"/>
        </w:rPr>
        <w:t>TARSUS</w:t>
      </w:r>
    </w:p>
    <w:p>
      <w:pPr>
        <w:ind w:left="5080"/>
        <w:spacing w:after="0"/>
        <w:rPr>
          <w:sz w:val="20"/>
          <w:szCs w:val="20"/>
          <w:color w:val="auto"/>
        </w:rPr>
      </w:pPr>
      <w:r>
        <w:rPr>
          <w:rFonts w:ascii="Arial" w:cs="Arial" w:eastAsia="Arial" w:hAnsi="Arial"/>
          <w:sz w:val="18"/>
          <w:szCs w:val="18"/>
          <w:b w:val="1"/>
          <w:bCs w:val="1"/>
          <w:color w:val="auto"/>
        </w:rPr>
        <w:t>PHARMACEUTICALS, INC.</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Bobak Azamian, M.D.,</w:t>
      </w:r>
    </w:p>
    <w:p>
      <w:pPr>
        <w:ind w:left="5480"/>
        <w:spacing w:after="0"/>
        <w:rPr>
          <w:sz w:val="20"/>
          <w:szCs w:val="20"/>
          <w:color w:val="auto"/>
        </w:rPr>
      </w:pPr>
      <w:r>
        <w:rPr>
          <w:rFonts w:ascii="Arial" w:cs="Arial" w:eastAsia="Arial" w:hAnsi="Arial"/>
          <w:sz w:val="18"/>
          <w:szCs w:val="18"/>
          <w:color w:val="auto"/>
        </w:rPr>
        <w:t>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4445</wp:posOffset>
            </wp:positionV>
            <wp:extent cx="13798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8"/>
          <w:szCs w:val="18"/>
          <w:color w:val="auto"/>
        </w:rPr>
        <w:t>Bobak Azamian, M.D., Ph.D.</w:t>
      </w:r>
    </w:p>
    <w:p>
      <w:pPr>
        <w:spacing w:after="0" w:line="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President, Chief Executive</w:t>
      </w:r>
    </w:p>
    <w:p>
      <w:pPr>
        <w:ind w:left="5480"/>
        <w:spacing w:after="0"/>
        <w:rPr>
          <w:sz w:val="20"/>
          <w:szCs w:val="20"/>
          <w:color w:val="auto"/>
        </w:rPr>
      </w:pPr>
      <w:r>
        <w:rPr>
          <w:rFonts w:ascii="Arial" w:cs="Arial" w:eastAsia="Arial" w:hAnsi="Arial"/>
          <w:sz w:val="18"/>
          <w:szCs w:val="18"/>
          <w:color w:val="auto"/>
        </w:rPr>
        <w:t>Officer and Director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Bobak Azamian, M.D., Ph.D., Leo M. Greenstein and Bryan Wahl, M.D.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Power of Attorney as of the date indicated.</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bookmarkStart w:id="6" w:name="page7"/>
    <w:bookmarkEnd w:id="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gridSpan w:val="2"/>
          </w:tcPr>
          <w:p>
            <w:pPr>
              <w:ind w:left="1820"/>
              <w:spacing w:after="0"/>
              <w:rPr>
                <w:sz w:val="20"/>
                <w:szCs w:val="20"/>
                <w:color w:val="auto"/>
              </w:rPr>
            </w:pPr>
            <w:r>
              <w:rPr>
                <w:rFonts w:ascii="Arial" w:cs="Arial" w:eastAsia="Arial" w:hAnsi="Arial"/>
                <w:sz w:val="14"/>
                <w:szCs w:val="14"/>
                <w:b w:val="1"/>
                <w:bCs w:val="1"/>
                <w:color w:val="auto"/>
              </w:rPr>
              <w:t>Signature</w:t>
            </w:r>
          </w:p>
        </w:tc>
        <w:tc>
          <w:tcPr>
            <w:tcW w:w="49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175"/>
        </w:trPr>
        <w:tc>
          <w:tcPr>
            <w:tcW w:w="4240" w:type="dxa"/>
            <w:vAlign w:val="bottom"/>
            <w:tcBorders>
              <w:top w:val="single" w:sz="8" w:color="auto"/>
            </w:tcBorders>
          </w:tcPr>
          <w:p>
            <w:pPr>
              <w:ind w:left="40"/>
              <w:spacing w:after="0" w:line="175" w:lineRule="exact"/>
              <w:rPr>
                <w:sz w:val="20"/>
                <w:szCs w:val="20"/>
                <w:color w:val="auto"/>
              </w:rPr>
            </w:pPr>
            <w:r>
              <w:rPr>
                <w:rFonts w:ascii="Arial" w:cs="Arial" w:eastAsia="Arial" w:hAnsi="Arial"/>
                <w:sz w:val="18"/>
                <w:szCs w:val="18"/>
                <w:color w:val="auto"/>
              </w:rPr>
              <w:t>/s/ Bobak Azamian, M.D., Ph.D.</w:t>
            </w:r>
          </w:p>
        </w:tc>
        <w:tc>
          <w:tcPr>
            <w:tcW w:w="140" w:type="dxa"/>
            <w:vAlign w:val="bottom"/>
          </w:tcPr>
          <w:p>
            <w:pPr>
              <w:spacing w:after="0"/>
              <w:rPr>
                <w:sz w:val="15"/>
                <w:szCs w:val="15"/>
                <w:color w:val="auto"/>
              </w:rPr>
            </w:pPr>
          </w:p>
        </w:tc>
        <w:tc>
          <w:tcPr>
            <w:tcW w:w="49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8"/>
                <w:szCs w:val="18"/>
                <w:color w:val="auto"/>
                <w:w w:val="92"/>
              </w:rPr>
              <w:t>President, Chief Executive Officer and Director</w:t>
            </w:r>
          </w:p>
        </w:tc>
      </w:tr>
      <w:tr>
        <w:trPr>
          <w:trHeight w:val="230"/>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Bobak Azamian, M.D., Ph.D.</w:t>
            </w: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296"/>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/s/ Leo M. Greenstein</w:t>
            </w: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Leo M. Greenstein</w:t>
            </w: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Officer and Principal Accounting Officer)</w:t>
            </w:r>
          </w:p>
        </w:tc>
      </w:tr>
      <w:tr>
        <w:trPr>
          <w:trHeight w:val="296"/>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/s/ Michael Ackermann, Ph.D.</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Chairman</w:t>
            </w:r>
          </w:p>
        </w:tc>
      </w:tr>
      <w:tr>
        <w:trPr>
          <w:trHeight w:val="230"/>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Michael Ackermann, Ph.D.</w:t>
            </w:r>
          </w:p>
        </w:tc>
        <w:tc>
          <w:tcPr>
            <w:tcW w:w="4900" w:type="dxa"/>
            <w:vAlign w:val="bottom"/>
          </w:tcPr>
          <w:p>
            <w:pPr>
              <w:spacing w:after="0"/>
              <w:rPr>
                <w:sz w:val="20"/>
                <w:szCs w:val="20"/>
                <w:color w:val="auto"/>
              </w:rPr>
            </w:pPr>
          </w:p>
        </w:tc>
      </w:tr>
      <w:tr>
        <w:trPr>
          <w:trHeight w:val="283"/>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/s/ Bhaskar Chaudhuri, Ph.D.</w:t>
            </w:r>
          </w:p>
        </w:tc>
        <w:tc>
          <w:tcPr>
            <w:tcW w:w="49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30"/>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Bhaskar Chaudhuri, Ph.D.</w:t>
            </w:r>
          </w:p>
        </w:tc>
        <w:tc>
          <w:tcPr>
            <w:tcW w:w="4900" w:type="dxa"/>
            <w:vAlign w:val="bottom"/>
          </w:tcPr>
          <w:p>
            <w:pPr>
              <w:spacing w:after="0"/>
              <w:rPr>
                <w:sz w:val="20"/>
                <w:szCs w:val="20"/>
                <w:color w:val="auto"/>
              </w:rPr>
            </w:pPr>
          </w:p>
        </w:tc>
      </w:tr>
      <w:tr>
        <w:trPr>
          <w:trHeight w:val="283"/>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/s/ Rosemary Crane</w:t>
            </w:r>
          </w:p>
        </w:tc>
        <w:tc>
          <w:tcPr>
            <w:tcW w:w="49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30"/>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Rosemary Crane</w:t>
            </w:r>
          </w:p>
        </w:tc>
        <w:tc>
          <w:tcPr>
            <w:tcW w:w="4900" w:type="dxa"/>
            <w:vAlign w:val="bottom"/>
          </w:tcPr>
          <w:p>
            <w:pPr>
              <w:spacing w:after="0"/>
              <w:rPr>
                <w:sz w:val="20"/>
                <w:szCs w:val="20"/>
                <w:color w:val="auto"/>
              </w:rPr>
            </w:pPr>
          </w:p>
        </w:tc>
      </w:tr>
      <w:tr>
        <w:trPr>
          <w:trHeight w:val="283"/>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/s/ Andrew Goldberg, M.D.</w:t>
            </w:r>
          </w:p>
        </w:tc>
        <w:tc>
          <w:tcPr>
            <w:tcW w:w="49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30"/>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Andrew Goldberg, M.D.</w:t>
            </w:r>
          </w:p>
        </w:tc>
        <w:tc>
          <w:tcPr>
            <w:tcW w:w="4900" w:type="dxa"/>
            <w:vAlign w:val="bottom"/>
          </w:tcPr>
          <w:p>
            <w:pPr>
              <w:spacing w:after="0"/>
              <w:rPr>
                <w:sz w:val="20"/>
                <w:szCs w:val="20"/>
                <w:color w:val="auto"/>
              </w:rPr>
            </w:pPr>
          </w:p>
        </w:tc>
      </w:tr>
      <w:tr>
        <w:trPr>
          <w:trHeight w:val="283"/>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/s/ William J. Link, Ph.D.</w:t>
            </w:r>
          </w:p>
        </w:tc>
        <w:tc>
          <w:tcPr>
            <w:tcW w:w="49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30"/>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William J. Link, Ph.D.</w:t>
            </w:r>
          </w:p>
        </w:tc>
        <w:tc>
          <w:tcPr>
            <w:tcW w:w="4900" w:type="dxa"/>
            <w:vAlign w:val="bottom"/>
          </w:tcPr>
          <w:p>
            <w:pPr>
              <w:spacing w:after="0"/>
              <w:rPr>
                <w:sz w:val="20"/>
                <w:szCs w:val="20"/>
                <w:color w:val="auto"/>
              </w:rPr>
            </w:pPr>
          </w:p>
        </w:tc>
      </w:tr>
      <w:tr>
        <w:trPr>
          <w:trHeight w:val="283"/>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/s/ Wendy Yarno</w:t>
            </w:r>
          </w:p>
        </w:tc>
        <w:tc>
          <w:tcPr>
            <w:tcW w:w="49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30"/>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Wendy Yarno</w:t>
            </w:r>
          </w:p>
        </w:tc>
        <w:tc>
          <w:tcPr>
            <w:tcW w:w="4900" w:type="dxa"/>
            <w:vAlign w:val="bottom"/>
          </w:tcPr>
          <w:p>
            <w:pPr>
              <w:spacing w:after="0"/>
              <w:rPr>
                <w:sz w:val="20"/>
                <w:szCs w:val="20"/>
                <w:color w:val="auto"/>
              </w:rPr>
            </w:pPr>
          </w:p>
        </w:tc>
      </w:tr>
      <w:tr>
        <w:trPr>
          <w:trHeight w:val="283"/>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/s/ Elizabeth Yeu-Lin</w:t>
            </w:r>
          </w:p>
        </w:tc>
        <w:tc>
          <w:tcPr>
            <w:tcW w:w="49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30"/>
        </w:trPr>
        <w:tc>
          <w:tcPr>
            <w:tcW w:w="4380" w:type="dxa"/>
            <w:vAlign w:val="bottom"/>
            <w:gridSpan w:val="2"/>
          </w:tcPr>
          <w:p>
            <w:pPr>
              <w:ind w:left="40"/>
              <w:spacing w:after="0"/>
              <w:rPr>
                <w:sz w:val="20"/>
                <w:szCs w:val="20"/>
                <w:color w:val="auto"/>
              </w:rPr>
            </w:pPr>
            <w:r>
              <w:rPr>
                <w:rFonts w:ascii="Arial" w:cs="Arial" w:eastAsia="Arial" w:hAnsi="Arial"/>
                <w:sz w:val="18"/>
                <w:szCs w:val="18"/>
                <w:color w:val="auto"/>
              </w:rPr>
              <w:t>Elizabeth Yeu-Lin</w:t>
            </w:r>
          </w:p>
        </w:tc>
        <w:tc>
          <w:tcPr>
            <w:tcW w:w="4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23495</wp:posOffset>
            </wp:positionV>
            <wp:extent cx="11398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217805</wp:posOffset>
            </wp:positionV>
            <wp:extent cx="11398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209550</wp:posOffset>
            </wp:positionV>
            <wp:extent cx="11398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200660</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200660</wp:posOffset>
            </wp:positionV>
            <wp:extent cx="1139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200660</wp:posOffset>
            </wp:positionV>
            <wp:extent cx="1139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200660</wp:posOffset>
            </wp:positionV>
            <wp:extent cx="1139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200660</wp:posOffset>
            </wp:positionV>
            <wp:extent cx="1139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200660</wp:posOffset>
            </wp:positionV>
            <wp:extent cx="11398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March 14, 2022</w:t>
      </w:r>
    </w:p>
    <w:p>
      <w:pPr>
        <w:sectPr>
          <w:pgSz w:w="11900" w:h="16838" w:orient="portrait"/>
          <w:cols w:equalWidth="0" w:num="2">
            <w:col w:w="9280" w:space="480"/>
            <w:col w:w="1140"/>
          </w:cols>
          <w:pgMar w:left="320" w:top="1440" w:right="679" w:bottom="1440" w:gutter="0" w:footer="0" w:header="0"/>
        </w:sectPr>
      </w:pPr>
    </w:p>
    <w:bookmarkStart w:id="7" w:name="page8"/>
    <w:bookmarkEnd w:id="7"/>
    <w:p>
      <w:pPr>
        <w:jc w:val="right"/>
        <w:ind w:right="20"/>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Calculation of Filing Fee Tables</w:t>
      </w:r>
    </w:p>
    <w:p>
      <w:pPr>
        <w:spacing w:after="0" w:line="122" w:lineRule="exact"/>
        <w:rPr>
          <w:sz w:val="20"/>
          <w:szCs w:val="20"/>
          <w:color w:val="auto"/>
        </w:rPr>
      </w:pPr>
    </w:p>
    <w:p>
      <w:pPr>
        <w:ind w:left="5360"/>
        <w:spacing w:after="0"/>
        <w:rPr>
          <w:sz w:val="20"/>
          <w:szCs w:val="20"/>
          <w:color w:val="auto"/>
        </w:rPr>
      </w:pPr>
      <w:r>
        <w:rPr>
          <w:rFonts w:ascii="Arial" w:cs="Arial" w:eastAsia="Arial" w:hAnsi="Arial"/>
          <w:sz w:val="14"/>
          <w:szCs w:val="14"/>
          <w:u w:val="single" w:color="auto"/>
          <w:color w:val="auto"/>
        </w:rPr>
        <w:t>Form S-8</w:t>
      </w:r>
    </w:p>
    <w:p>
      <w:pPr>
        <w:jc w:val="center"/>
        <w:ind w:right="20"/>
        <w:spacing w:after="0"/>
        <w:rPr>
          <w:sz w:val="20"/>
          <w:szCs w:val="20"/>
          <w:color w:val="auto"/>
        </w:rPr>
      </w:pPr>
      <w:r>
        <w:rPr>
          <w:rFonts w:ascii="Arial" w:cs="Arial" w:eastAsia="Arial" w:hAnsi="Arial"/>
          <w:sz w:val="14"/>
          <w:szCs w:val="14"/>
          <w:u w:val="single" w:color="auto"/>
          <w:color w:val="auto"/>
        </w:rPr>
        <w:t>(Form Type)</w:t>
      </w: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4"/>
          <w:szCs w:val="14"/>
          <w:u w:val="single" w:color="auto"/>
          <w:color w:val="auto"/>
        </w:rPr>
        <w:t>Tarsus Pharmaceuticals, Inc.</w:t>
      </w:r>
    </w:p>
    <w:p>
      <w:pPr>
        <w:jc w:val="center"/>
        <w:ind w:right="20"/>
        <w:spacing w:after="0"/>
        <w:rPr>
          <w:sz w:val="20"/>
          <w:szCs w:val="20"/>
          <w:color w:val="auto"/>
        </w:rPr>
      </w:pPr>
      <w:r>
        <w:rPr>
          <w:rFonts w:ascii="Arial" w:cs="Arial" w:eastAsia="Arial" w:hAnsi="Arial"/>
          <w:sz w:val="14"/>
          <w:szCs w:val="14"/>
          <w:u w:val="single" w:color="auto"/>
          <w:color w:val="auto"/>
        </w:rPr>
        <w:t>(Exact name of Registrant as Specified in its Charter)</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4"/>
          <w:szCs w:val="14"/>
          <w:u w:val="single" w:color="auto"/>
          <w:color w:val="auto"/>
        </w:rPr>
        <w:t>Table 1: Newly Registered Securities</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940" w:type="dxa"/>
            <w:vAlign w:val="bottom"/>
            <w:tcBorders>
              <w:top w:val="single" w:sz="8" w:color="auto"/>
              <w:left w:val="single" w:sz="8" w:color="auto"/>
              <w:right w:val="single" w:sz="8" w:color="auto"/>
            </w:tcBorders>
          </w:tcPr>
          <w:p>
            <w:pPr>
              <w:spacing w:after="0"/>
              <w:rPr>
                <w:sz w:val="17"/>
                <w:szCs w:val="17"/>
                <w:color w:val="auto"/>
              </w:rPr>
            </w:pPr>
          </w:p>
        </w:tc>
        <w:tc>
          <w:tcPr>
            <w:tcW w:w="216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spacing w:after="0"/>
              <w:rPr>
                <w:sz w:val="17"/>
                <w:szCs w:val="17"/>
                <w:color w:val="auto"/>
              </w:rPr>
            </w:pPr>
          </w:p>
        </w:tc>
        <w:tc>
          <w:tcPr>
            <w:tcW w:w="1340" w:type="dxa"/>
            <w:vAlign w:val="bottom"/>
            <w:tcBorders>
              <w:top w:val="single" w:sz="8" w:color="auto"/>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Proposed Maximum</w:t>
            </w:r>
          </w:p>
        </w:tc>
        <w:tc>
          <w:tcPr>
            <w:tcW w:w="1500" w:type="dxa"/>
            <w:vAlign w:val="bottom"/>
            <w:tcBorders>
              <w:top w:val="single" w:sz="8" w:color="auto"/>
              <w:right w:val="single" w:sz="8" w:color="auto"/>
            </w:tcBorders>
          </w:tcPr>
          <w:p>
            <w:pPr>
              <w:spacing w:after="0"/>
              <w:rPr>
                <w:sz w:val="17"/>
                <w:szCs w:val="17"/>
                <w:color w:val="auto"/>
              </w:rPr>
            </w:pPr>
          </w:p>
        </w:tc>
        <w:tc>
          <w:tcPr>
            <w:tcW w:w="1220" w:type="dxa"/>
            <w:vAlign w:val="bottom"/>
            <w:tcBorders>
              <w:top w:val="single" w:sz="8" w:color="auto"/>
              <w:right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w w:val="92"/>
              </w:rPr>
              <w:t>Fee Calculation</w:t>
            </w:r>
          </w:p>
        </w:tc>
        <w:tc>
          <w:tcPr>
            <w:tcW w:w="13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Amount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Offering Price Per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Maximum Aggregate</w:t>
            </w:r>
          </w:p>
        </w:tc>
        <w:tc>
          <w:tcPr>
            <w:tcW w:w="12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Amount of</w:t>
            </w:r>
          </w:p>
        </w:tc>
        <w:tc>
          <w:tcPr>
            <w:tcW w:w="0" w:type="dxa"/>
            <w:vAlign w:val="bottom"/>
          </w:tcPr>
          <w:p>
            <w:pPr>
              <w:spacing w:after="0"/>
              <w:rPr>
                <w:sz w:val="1"/>
                <w:szCs w:val="1"/>
                <w:color w:val="auto"/>
              </w:rPr>
            </w:pPr>
          </w:p>
        </w:tc>
      </w:tr>
      <w:tr>
        <w:trPr>
          <w:trHeight w:val="182"/>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Security Type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Security Class Title</w:t>
            </w:r>
          </w:p>
        </w:tc>
        <w:tc>
          <w:tcPr>
            <w:tcW w:w="180" w:type="dxa"/>
            <w:vAlign w:val="bottom"/>
          </w:tcPr>
          <w:p>
            <w:pPr>
              <w:spacing w:after="0"/>
              <w:rPr>
                <w:sz w:val="15"/>
                <w:szCs w:val="15"/>
                <w:color w:val="auto"/>
              </w:rPr>
            </w:pPr>
          </w:p>
        </w:tc>
        <w:tc>
          <w:tcPr>
            <w:tcW w:w="114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color w:val="auto"/>
                <w:w w:val="95"/>
              </w:rPr>
              <w:t>Rule(3)</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Registered(1)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Offering Price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Fee Rate</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Registration Fee(5)</w:t>
            </w: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Equity</w:t>
            </w:r>
          </w:p>
        </w:tc>
        <w:tc>
          <w:tcPr>
            <w:tcW w:w="216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Common Stock, par value $0.0001</w:t>
            </w:r>
          </w:p>
        </w:tc>
        <w:tc>
          <w:tcPr>
            <w:tcW w:w="180" w:type="dxa"/>
            <w:vAlign w:val="bottom"/>
          </w:tcPr>
          <w:p>
            <w:pPr>
              <w:spacing w:after="0"/>
              <w:rPr>
                <w:sz w:val="13"/>
                <w:szCs w:val="13"/>
                <w:color w:val="auto"/>
              </w:rPr>
            </w:pPr>
          </w:p>
        </w:tc>
        <w:tc>
          <w:tcPr>
            <w:tcW w:w="1140" w:type="dxa"/>
            <w:vAlign w:val="bottom"/>
            <w:tcBorders>
              <w:right w:val="single" w:sz="8" w:color="auto"/>
            </w:tcBorders>
          </w:tcPr>
          <w:p>
            <w:pPr>
              <w:jc w:val="center"/>
              <w:ind w:right="128"/>
              <w:spacing w:after="0" w:line="155" w:lineRule="exact"/>
              <w:rPr>
                <w:sz w:val="20"/>
                <w:szCs w:val="20"/>
                <w:color w:val="auto"/>
              </w:rPr>
            </w:pPr>
            <w:r>
              <w:rPr>
                <w:rFonts w:ascii="Arial" w:cs="Arial" w:eastAsia="Arial" w:hAnsi="Arial"/>
                <w:sz w:val="14"/>
                <w:szCs w:val="14"/>
                <w:color w:val="auto"/>
                <w:w w:val="95"/>
              </w:rPr>
              <w:t>Rule 457(h)</w:t>
            </w:r>
          </w:p>
        </w:tc>
        <w:tc>
          <w:tcPr>
            <w:tcW w:w="13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827,949(2)</w:t>
            </w:r>
          </w:p>
        </w:tc>
        <w:tc>
          <w:tcPr>
            <w:tcW w:w="1400" w:type="dxa"/>
            <w:vAlign w:val="bottom"/>
            <w:tcBorders>
              <w:right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$19.16(4)</w:t>
            </w:r>
          </w:p>
        </w:tc>
        <w:tc>
          <w:tcPr>
            <w:tcW w:w="15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$15,863,502.84</w:t>
            </w:r>
          </w:p>
        </w:tc>
        <w:tc>
          <w:tcPr>
            <w:tcW w:w="122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0"/>
              </w:rPr>
              <w:t>0.0000927</w:t>
            </w:r>
          </w:p>
        </w:tc>
        <w:tc>
          <w:tcPr>
            <w:tcW w:w="138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$1,470.55</w:t>
            </w:r>
          </w:p>
        </w:tc>
        <w:tc>
          <w:tcPr>
            <w:tcW w:w="0" w:type="dxa"/>
            <w:vAlign w:val="bottom"/>
          </w:tcPr>
          <w:p>
            <w:pPr>
              <w:spacing w:after="0"/>
              <w:rPr>
                <w:sz w:val="1"/>
                <w:szCs w:val="1"/>
                <w:color w:val="auto"/>
              </w:rPr>
            </w:pPr>
          </w:p>
        </w:tc>
      </w:tr>
      <w:tr>
        <w:trPr>
          <w:trHeight w:val="175"/>
        </w:trPr>
        <w:tc>
          <w:tcPr>
            <w:tcW w:w="9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7"/>
              </w:rPr>
              <w:t>per share</w:t>
            </w:r>
          </w:p>
        </w:tc>
        <w:tc>
          <w:tcPr>
            <w:tcW w:w="180" w:type="dxa"/>
            <w:vAlign w:val="bottom"/>
          </w:tcPr>
          <w:p>
            <w:pPr>
              <w:spacing w:after="0"/>
              <w:rPr>
                <w:sz w:val="15"/>
                <w:szCs w:val="15"/>
                <w:color w:val="auto"/>
              </w:rPr>
            </w:pPr>
          </w:p>
        </w:tc>
        <w:tc>
          <w:tcPr>
            <w:tcW w:w="114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color w:val="auto"/>
                <w:w w:val="93"/>
              </w:rPr>
              <w:t>Rule 457(c)</w:t>
            </w: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940" w:type="dxa"/>
            <w:vAlign w:val="bottom"/>
            <w:tcBorders>
              <w:left w:val="single" w:sz="8" w:color="auto"/>
              <w:right w:val="single" w:sz="8" w:color="auto"/>
            </w:tcBorders>
          </w:tcPr>
          <w:p>
            <w:pPr>
              <w:spacing w:after="0"/>
              <w:rPr>
                <w:sz w:val="3"/>
                <w:szCs w:val="3"/>
                <w:color w:val="auto"/>
              </w:rPr>
            </w:pPr>
          </w:p>
        </w:tc>
        <w:tc>
          <w:tcPr>
            <w:tcW w:w="216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Equity</w:t>
            </w:r>
          </w:p>
        </w:tc>
        <w:tc>
          <w:tcPr>
            <w:tcW w:w="216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Common Stock, par value $0.0001</w:t>
            </w:r>
          </w:p>
        </w:tc>
        <w:tc>
          <w:tcPr>
            <w:tcW w:w="180" w:type="dxa"/>
            <w:vAlign w:val="bottom"/>
          </w:tcPr>
          <w:p>
            <w:pPr>
              <w:spacing w:after="0"/>
              <w:rPr>
                <w:sz w:val="13"/>
                <w:szCs w:val="13"/>
                <w:color w:val="auto"/>
              </w:rPr>
            </w:pPr>
          </w:p>
        </w:tc>
        <w:tc>
          <w:tcPr>
            <w:tcW w:w="1140" w:type="dxa"/>
            <w:vAlign w:val="bottom"/>
            <w:tcBorders>
              <w:right w:val="single" w:sz="8" w:color="auto"/>
            </w:tcBorders>
          </w:tcPr>
          <w:p>
            <w:pPr>
              <w:jc w:val="center"/>
              <w:ind w:right="128"/>
              <w:spacing w:after="0" w:line="155" w:lineRule="exact"/>
              <w:rPr>
                <w:sz w:val="20"/>
                <w:szCs w:val="20"/>
                <w:color w:val="auto"/>
              </w:rPr>
            </w:pPr>
            <w:r>
              <w:rPr>
                <w:rFonts w:ascii="Arial" w:cs="Arial" w:eastAsia="Arial" w:hAnsi="Arial"/>
                <w:sz w:val="14"/>
                <w:szCs w:val="14"/>
                <w:color w:val="auto"/>
                <w:w w:val="95"/>
              </w:rPr>
              <w:t>Rule 457(h)</w:t>
            </w:r>
          </w:p>
        </w:tc>
        <w:tc>
          <w:tcPr>
            <w:tcW w:w="13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206,987(3)</w:t>
            </w:r>
          </w:p>
        </w:tc>
        <w:tc>
          <w:tcPr>
            <w:tcW w:w="1400" w:type="dxa"/>
            <w:vAlign w:val="bottom"/>
            <w:tcBorders>
              <w:right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16.29(4)</w:t>
            </w:r>
          </w:p>
        </w:tc>
        <w:tc>
          <w:tcPr>
            <w:tcW w:w="15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$3,371,818.23</w:t>
            </w:r>
          </w:p>
        </w:tc>
        <w:tc>
          <w:tcPr>
            <w:tcW w:w="122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0"/>
              </w:rPr>
              <w:t>0.0000927</w:t>
            </w:r>
          </w:p>
        </w:tc>
        <w:tc>
          <w:tcPr>
            <w:tcW w:w="138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$312.57</w:t>
            </w:r>
          </w:p>
        </w:tc>
        <w:tc>
          <w:tcPr>
            <w:tcW w:w="0" w:type="dxa"/>
            <w:vAlign w:val="bottom"/>
          </w:tcPr>
          <w:p>
            <w:pPr>
              <w:spacing w:after="0"/>
              <w:rPr>
                <w:sz w:val="1"/>
                <w:szCs w:val="1"/>
                <w:color w:val="auto"/>
              </w:rPr>
            </w:pPr>
          </w:p>
        </w:tc>
      </w:tr>
      <w:tr>
        <w:trPr>
          <w:trHeight w:val="176"/>
        </w:trPr>
        <w:tc>
          <w:tcPr>
            <w:tcW w:w="9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7"/>
              </w:rPr>
              <w:t>per share</w:t>
            </w:r>
          </w:p>
        </w:tc>
        <w:tc>
          <w:tcPr>
            <w:tcW w:w="180" w:type="dxa"/>
            <w:vAlign w:val="bottom"/>
          </w:tcPr>
          <w:p>
            <w:pPr>
              <w:spacing w:after="0"/>
              <w:rPr>
                <w:sz w:val="15"/>
                <w:szCs w:val="15"/>
                <w:color w:val="auto"/>
              </w:rPr>
            </w:pPr>
          </w:p>
        </w:tc>
        <w:tc>
          <w:tcPr>
            <w:tcW w:w="114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color w:val="auto"/>
                <w:w w:val="93"/>
              </w:rPr>
              <w:t>Rule 457(c)</w:t>
            </w: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940" w:type="dxa"/>
            <w:vAlign w:val="bottom"/>
            <w:tcBorders>
              <w:left w:val="single" w:sz="8" w:color="auto"/>
              <w:right w:val="single" w:sz="8" w:color="auto"/>
            </w:tcBorders>
          </w:tcPr>
          <w:p>
            <w:pPr>
              <w:spacing w:after="0"/>
              <w:rPr>
                <w:sz w:val="3"/>
                <w:szCs w:val="3"/>
                <w:color w:val="auto"/>
              </w:rPr>
            </w:pPr>
          </w:p>
        </w:tc>
        <w:tc>
          <w:tcPr>
            <w:tcW w:w="216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gridSpan w:val="2"/>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940" w:type="dxa"/>
            <w:vAlign w:val="bottom"/>
            <w:tcBorders>
              <w:left w:val="single" w:sz="8" w:color="auto"/>
            </w:tcBorders>
          </w:tcPr>
          <w:p>
            <w:pPr>
              <w:spacing w:after="0"/>
              <w:rPr>
                <w:sz w:val="17"/>
                <w:szCs w:val="17"/>
                <w:color w:val="auto"/>
              </w:rPr>
            </w:pPr>
          </w:p>
        </w:tc>
        <w:tc>
          <w:tcPr>
            <w:tcW w:w="348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94"/>
              </w:rPr>
              <w:t>Total Offering Amounts</w:t>
            </w:r>
          </w:p>
        </w:tc>
        <w:tc>
          <w:tcPr>
            <w:tcW w:w="13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$19,235,321.07</w:t>
            </w:r>
          </w:p>
        </w:tc>
        <w:tc>
          <w:tcPr>
            <w:tcW w:w="12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$1,783.11</w:t>
            </w: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940" w:type="dxa"/>
            <w:vAlign w:val="bottom"/>
            <w:tcBorders>
              <w:left w:val="single" w:sz="8" w:color="auto"/>
            </w:tcBorders>
          </w:tcPr>
          <w:p>
            <w:pPr>
              <w:spacing w:after="0"/>
              <w:rPr>
                <w:sz w:val="17"/>
                <w:szCs w:val="17"/>
                <w:color w:val="auto"/>
              </w:rPr>
            </w:pPr>
          </w:p>
        </w:tc>
        <w:tc>
          <w:tcPr>
            <w:tcW w:w="348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91"/>
              </w:rPr>
              <w:t>Total Fee Offsets</w:t>
            </w:r>
          </w:p>
        </w:tc>
        <w:tc>
          <w:tcPr>
            <w:tcW w:w="13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940" w:type="dxa"/>
            <w:vAlign w:val="bottom"/>
            <w:tcBorders>
              <w:left w:val="single" w:sz="8" w:color="auto"/>
            </w:tcBorders>
          </w:tcPr>
          <w:p>
            <w:pPr>
              <w:spacing w:after="0"/>
              <w:rPr>
                <w:sz w:val="17"/>
                <w:szCs w:val="17"/>
                <w:color w:val="auto"/>
              </w:rPr>
            </w:pPr>
          </w:p>
        </w:tc>
        <w:tc>
          <w:tcPr>
            <w:tcW w:w="2340" w:type="dxa"/>
            <w:vAlign w:val="bottom"/>
            <w:gridSpan w:val="2"/>
          </w:tcPr>
          <w:p>
            <w:pPr>
              <w:jc w:val="center"/>
              <w:ind w:left="1468"/>
              <w:spacing w:after="0"/>
              <w:rPr>
                <w:sz w:val="20"/>
                <w:szCs w:val="20"/>
                <w:color w:val="auto"/>
              </w:rPr>
            </w:pPr>
            <w:r>
              <w:rPr>
                <w:rFonts w:ascii="Arial" w:cs="Arial" w:eastAsia="Arial" w:hAnsi="Arial"/>
                <w:sz w:val="14"/>
                <w:szCs w:val="14"/>
                <w:b w:val="1"/>
                <w:bCs w:val="1"/>
                <w:color w:val="auto"/>
                <w:w w:val="93"/>
              </w:rPr>
              <w:t>Net Fee Due</w:t>
            </w:r>
          </w:p>
        </w:tc>
        <w:tc>
          <w:tcPr>
            <w:tcW w:w="114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$1,783.11</w:t>
            </w: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400" w:right="120" w:hanging="374"/>
        <w:spacing w:after="0" w:line="229"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Pursuant to Rule 416(a) under the Securities Act of 1933, as amended (the “Securities Act”), this Registration Statement shall also cover any additional shares of Registrant’s common stock, par value $0.0001 per share (the “Common Stock”), that become issuable under (a) the Registrant’s 2020 Equity Incentive Plan (the “2020 Plan”) and (b) the Registrant’s 2020 Employee Stock Purchase Plan (the “2020 ESPP”), as a result of any stock dividend, stock split, recapitalization, or other similar transaction effected without the receipt of consideration that results in an increase to the number of outstanding shares of Registrant’s Common Stock, as applicable. Common Stock issuable under the 2020 Plan and 2020 ESPP were previously registered on Registration Statements on Form S-8 filed by the Registrant with the Securities and Exchange Commission on October 20, 2020 (File No. 333-249571) and March 31, 2021 (File No. 333-254932).</w:t>
      </w:r>
    </w:p>
    <w:p>
      <w:pPr>
        <w:spacing w:after="0" w:line="23" w:lineRule="exact"/>
        <w:rPr>
          <w:rFonts w:ascii="Arial" w:cs="Arial" w:eastAsia="Arial" w:hAnsi="Arial"/>
          <w:sz w:val="14"/>
          <w:szCs w:val="14"/>
          <w:color w:val="auto"/>
        </w:rPr>
      </w:pPr>
    </w:p>
    <w:p>
      <w:pPr>
        <w:ind w:left="400" w:right="100" w:hanging="374"/>
        <w:spacing w:after="0" w:line="233"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shares of Common Stock that were automatically added to the shares reserved for issuance under the 2020 Plan on January 1, 2022 pursuant to an “evergreen” provision contained in the 2020 Plan (the “2020 Plan Evergreen Shares”). The number of shares of Common Stock available for issuance under the 2020 Plan is subject to an automatic annual increase on the first day of each fiscal year of the Registrant through 2030 equal to the lowest of (a) 4% of the total number of shares of Common Stock actually issued and outstanding on the last day of the prior fiscal year, or (b) a number of shares of Common Stock determined by the Registrant’s Board of Directors.</w:t>
      </w:r>
    </w:p>
    <w:p>
      <w:pPr>
        <w:spacing w:after="0" w:line="22" w:lineRule="exact"/>
        <w:rPr>
          <w:rFonts w:ascii="Arial" w:cs="Arial" w:eastAsia="Arial" w:hAnsi="Arial"/>
          <w:sz w:val="14"/>
          <w:szCs w:val="14"/>
          <w:color w:val="auto"/>
        </w:rPr>
      </w:pPr>
    </w:p>
    <w:p>
      <w:pPr>
        <w:ind w:left="400" w:right="100" w:hanging="374"/>
        <w:spacing w:after="0" w:line="231"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shares of Common Stock that were automatically added to the shares reserved for issuance under the 2020 ESPP on January 1, 2022 pursuant to an “evergreen” provision contained in the 2020 ESPP (the “2020 ESPP Evergreen Shares”). The number of shares of Common Stock available for issuance under the 2020 ESPP is subject to an automatic annual increase on the first day of each fiscal year of the Registrant through 2040 equal to the lowest of (a) 1% of the total number of shares of Common Stock actually issued and outstanding on the last day of the prior fiscal year, (b) 2,300,000 shares of Common Stock (subject to proportionate adjustment in the event of a stock split, stock dividend, reverse stock split, etc.), or (c) a number of shares of Common Stock determined by the Registrant’s Board of Directors.</w:t>
      </w:r>
    </w:p>
    <w:p>
      <w:pPr>
        <w:spacing w:after="0" w:line="21" w:lineRule="exact"/>
        <w:rPr>
          <w:rFonts w:ascii="Arial" w:cs="Arial" w:eastAsia="Arial" w:hAnsi="Arial"/>
          <w:sz w:val="14"/>
          <w:szCs w:val="14"/>
          <w:color w:val="auto"/>
        </w:rPr>
      </w:pPr>
    </w:p>
    <w:p>
      <w:pPr>
        <w:ind w:left="400" w:right="160" w:hanging="374"/>
        <w:spacing w:after="0" w:line="251" w:lineRule="auto"/>
        <w:tabs>
          <w:tab w:leader="none" w:pos="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This estimate is made pursuant to Rule 457(h)(1) and Rule 457(c) of the Securities Act solely for purposes of calculating the registration fee. The price per share and aggregate offering price of the 2020 Plan Evergreen Shares are based upon the average of the high and low prices of the Common Stock on March 7, 2022, as reported on the Nasdaq Global Select Market, which date is within five business days prior to the filing of this Registration Statement. The price per share and aggregate offering price of the 2020 ESPP Evergreen Shares are based upon the average of the high and low prices of the Common Stock on March 7, 2022, as reported on the Nasdaq Global Select Market, which date is within five business days prior to the filing of this Registration Statement, multiplied by 85%, which is the percentage of the price per share applicable to purchasers under the 2020 ESPP.</w:t>
      </w:r>
    </w:p>
    <w:p>
      <w:pPr>
        <w:spacing w:after="0" w:line="28" w:lineRule="exact"/>
        <w:rPr>
          <w:rFonts w:ascii="Arial" w:cs="Arial" w:eastAsia="Arial" w:hAnsi="Arial"/>
          <w:sz w:val="13"/>
          <w:szCs w:val="13"/>
          <w:color w:val="auto"/>
        </w:rPr>
      </w:pPr>
    </w:p>
    <w:p>
      <w:pPr>
        <w:ind w:left="400" w:hanging="374"/>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Registrant does not have any fee offsets.</w:t>
      </w:r>
    </w:p>
    <w:p>
      <w:pPr>
        <w:sectPr>
          <w:pgSz w:w="11900" w:h="16838" w:orient="portrait"/>
          <w:cols w:equalWidth="0" w:num="1">
            <w:col w:w="11260"/>
          </w:cols>
          <w:pgMar w:left="320" w:top="108" w:right="3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123190</wp:posOffset>
            </wp:positionV>
            <wp:extent cx="6172200" cy="1234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March 14, 2022</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Tarsus Pharmaceuticals, Inc.</w:t>
      </w:r>
    </w:p>
    <w:p>
      <w:pPr>
        <w:spacing w:after="0" w:line="197" w:lineRule="auto"/>
        <w:rPr>
          <w:sz w:val="20"/>
          <w:szCs w:val="20"/>
          <w:color w:val="auto"/>
        </w:rPr>
      </w:pPr>
      <w:r>
        <w:rPr>
          <w:rFonts w:ascii="Arial" w:cs="Arial" w:eastAsia="Arial" w:hAnsi="Arial"/>
          <w:sz w:val="20"/>
          <w:szCs w:val="20"/>
          <w:color w:val="auto"/>
        </w:rPr>
        <w:t>15440 Laguna Canyon Road</w:t>
      </w:r>
    </w:p>
    <w:p>
      <w:pPr>
        <w:spacing w:after="0" w:line="197" w:lineRule="auto"/>
        <w:rPr>
          <w:sz w:val="20"/>
          <w:szCs w:val="20"/>
          <w:color w:val="auto"/>
        </w:rPr>
      </w:pPr>
      <w:r>
        <w:rPr>
          <w:rFonts w:ascii="Arial" w:cs="Arial" w:eastAsia="Arial" w:hAnsi="Arial"/>
          <w:sz w:val="20"/>
          <w:szCs w:val="20"/>
          <w:color w:val="auto"/>
        </w:rPr>
        <w:t>Suite 160</w:t>
      </w:r>
    </w:p>
    <w:p>
      <w:pPr>
        <w:spacing w:after="0"/>
        <w:rPr>
          <w:sz w:val="20"/>
          <w:szCs w:val="20"/>
          <w:color w:val="auto"/>
        </w:rPr>
      </w:pPr>
      <w:r>
        <w:rPr>
          <w:rFonts w:ascii="Arial" w:cs="Arial" w:eastAsia="Arial" w:hAnsi="Arial"/>
          <w:sz w:val="20"/>
          <w:szCs w:val="20"/>
          <w:color w:val="auto"/>
        </w:rPr>
        <w:t>Irvine, CA 92618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7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We refer to the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to be filed by Tarsus Pharmaceuticals,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in connection with the registration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of an aggregate of 1,034,936 shares of the Company’s common stock, $0.0001 par value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that are subject to issuance by the Company (i) upon the exercise or settlement of awards granted or to be granted under the Company’s 2020 Equity Incentive Plan and (ii) the exercise of purchase rights to acquire shares of common stock granted or to be granted under the Company’s 2020 Employee Stock Purchase Plan. The Company’s 2020 Equity Incentive Plan and 2020 Employee Stock Purchase Plan are collectively referred to in this letter as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15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 connection with this opinion, we have reviewed the actions proposed to be taken by you in connection with the issuance and sale of the Shares to be issued under the Plans. We have also examined and relied upon the Registration Statement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w:t>
      </w:r>
    </w:p>
    <w:p>
      <w:pPr>
        <w:spacing w:after="0" w:line="157" w:lineRule="exact"/>
        <w:rPr>
          <w:sz w:val="20"/>
          <w:szCs w:val="20"/>
          <w:color w:val="auto"/>
        </w:rPr>
      </w:pPr>
    </w:p>
    <w:p>
      <w:pPr>
        <w:jc w:val="both"/>
        <w:spacing w:after="0" w:line="216" w:lineRule="auto"/>
        <w:rPr>
          <w:sz w:val="20"/>
          <w:szCs w:val="20"/>
          <w:color w:val="auto"/>
        </w:rPr>
      </w:pPr>
      <w:r>
        <w:rPr>
          <w:rFonts w:ascii="Arial" w:cs="Arial" w:eastAsia="Arial" w:hAnsi="Arial"/>
          <w:sz w:val="19"/>
          <w:szCs w:val="19"/>
          <w:color w:val="auto"/>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(the “</w:t>
      </w:r>
      <w:r>
        <w:rPr>
          <w:rFonts w:ascii="Arial" w:cs="Arial" w:eastAsia="Arial" w:hAnsi="Arial"/>
          <w:sz w:val="19"/>
          <w:szCs w:val="19"/>
          <w:b w:val="1"/>
          <w:bCs w:val="1"/>
          <w:i w:val="1"/>
          <w:iCs w:val="1"/>
          <w:color w:val="auto"/>
        </w:rPr>
        <w:t>DGCL</w:t>
      </w:r>
      <w:r>
        <w:rPr>
          <w:rFonts w:ascii="Arial" w:cs="Arial" w:eastAsia="Arial" w:hAnsi="Arial"/>
          <w:sz w:val="19"/>
          <w:szCs w:val="19"/>
          <w:color w:val="auto"/>
        </w:rPr>
        <w:t>”).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p>
    <w:p>
      <w:pPr>
        <w:spacing w:after="0" w:line="15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Based upon and subject to the foregoing, we advise you that, in our opinion, when the Shares have been issued and sold by the Company pursuant to the applicable provisions of the Plans and pursuant to the agreements which accompany the Plans, and in accordance with the Registration Statement, such Shares will be validly issued, fully paid and nonassessable.</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We hereby consent to the filing of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39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Sincerely,</w:t>
      </w:r>
    </w:p>
    <w:p>
      <w:pPr>
        <w:spacing w:after="0" w:line="15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Gunderson Dettmer Stough</w:t>
      </w:r>
    </w:p>
    <w:p>
      <w:pPr>
        <w:ind w:left="4140"/>
        <w:spacing w:after="0"/>
        <w:rPr>
          <w:sz w:val="20"/>
          <w:szCs w:val="20"/>
          <w:color w:val="auto"/>
        </w:rPr>
      </w:pPr>
      <w:r>
        <w:rPr>
          <w:rFonts w:ascii="Arial" w:cs="Arial" w:eastAsia="Arial" w:hAnsi="Arial"/>
          <w:sz w:val="20"/>
          <w:szCs w:val="20"/>
          <w:color w:val="auto"/>
        </w:rPr>
        <w:t>Villeneuve Franklin &amp; Hachigian, LLP</w:t>
      </w:r>
    </w:p>
    <w:p>
      <w:pPr>
        <w:spacing w:after="0" w:line="3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GUNDERSON DETTMER STOUGH</w:t>
      </w:r>
    </w:p>
    <w:p>
      <w:pPr>
        <w:ind w:left="3900"/>
        <w:spacing w:after="0"/>
        <w:rPr>
          <w:sz w:val="20"/>
          <w:szCs w:val="20"/>
          <w:color w:val="auto"/>
        </w:rPr>
      </w:pPr>
      <w:r>
        <w:rPr>
          <w:rFonts w:ascii="Arial" w:cs="Arial" w:eastAsia="Arial" w:hAnsi="Arial"/>
          <w:sz w:val="20"/>
          <w:szCs w:val="20"/>
          <w:color w:val="auto"/>
        </w:rPr>
        <w:t>VILLENEUVE FRANKLIN &amp; HACHIGIAN, LLP</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23.1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81" w:lineRule="exact"/>
        <w:rPr>
          <w:sz w:val="20"/>
          <w:szCs w:val="20"/>
          <w:color w:val="auto"/>
        </w:rPr>
      </w:pPr>
    </w:p>
    <w:p>
      <w:pPr>
        <w:ind w:right="40"/>
        <w:spacing w:after="0" w:line="224" w:lineRule="auto"/>
        <w:rPr>
          <w:sz w:val="20"/>
          <w:szCs w:val="20"/>
          <w:color w:val="auto"/>
        </w:rPr>
      </w:pPr>
      <w:r>
        <w:rPr>
          <w:rFonts w:ascii="Arial" w:cs="Arial" w:eastAsia="Arial" w:hAnsi="Arial"/>
          <w:sz w:val="19"/>
          <w:szCs w:val="19"/>
          <w:color w:val="auto"/>
        </w:rPr>
        <w:t>We consent to the incorporation by reference in the Registration Statement (Form S-8) pertaining to the Tarsus Pharmaceuticals, Inc. 2020 Equity Incentive Plan and the Tarsus Pharmaceuticals, Inc. 2020 Employee Stock Purchase Plan of Tarsus Pharmaceuticals, Inc. of our report dated March 14, 2022, with respect to the financial statements of Tarsus Pharmaceuticals, Inc. included in its Annual Report (Form 10-K) for the year ended December 31, 2021, filed with the Securities and Exchange Commission.</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Irvine,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14, 2022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Roman"/>
      <w:start w:val="1"/>
    </w:lvl>
    <w:lvl w:ilvl="1">
      <w:lvlJc w:val="left"/>
      <w:lvlText w:val="(%2)"/>
      <w:numFmt w:val="decimal"/>
      <w:start w:val="1"/>
    </w:lvl>
  </w:abstractNum>
  <w:abstractNum w:abstractNumId="3">
    <w:nsid w:val="3D1B58BA"/>
    <w:multiLevelType w:val="hybridMultilevel"/>
    <w:lvl w:ilvl="0">
      <w:lvlJc w:val="left"/>
      <w:lvlText w:val="(%1)"/>
      <w:numFmt w:val="lowerRoman"/>
      <w:start w:val="1"/>
    </w:lvl>
    <w:lvl w:ilvl="1">
      <w:lvlJc w:val="left"/>
      <w:lvlText w:val="%2"/>
      <w:numFmt w:val="decimal"/>
      <w:start w:val="1"/>
    </w:lvl>
  </w:abstractNum>
  <w:abstractNum w:abstractNumId="4">
    <w:nsid w:val="507ED7AB"/>
    <w:multiLevelType w:val="hybridMultilevel"/>
    <w:lvl w:ilvl="0">
      <w:lvlJc w:val="left"/>
      <w:lvlText w:val="%1"/>
      <w:numFmt w:val="upperLetter"/>
      <w:start w:val="1"/>
    </w:lvl>
    <w:lvl w:ilvl="1">
      <w:lvlJc w:val="left"/>
      <w:lvlText w:val="(%2)"/>
      <w:numFmt w:val="decimal"/>
      <w:start w:val="2"/>
    </w:lvl>
  </w:abstractNum>
  <w:abstractNum w:abstractNumId="5">
    <w:nsid w:val="2EB141F2"/>
    <w:multiLevelType w:val="hybridMultilevel"/>
    <w:lvl w:ilvl="0">
      <w:lvlJc w:val="left"/>
      <w:lvlText w:val="%1."/>
      <w:numFmt w:val="upperLetter"/>
      <w:start w:val="2"/>
    </w:lvl>
    <w:lvl w:ilvl="1">
      <w:lvlJc w:val="left"/>
      <w:lvlText w:val="%2"/>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jpeg"/><Relationship Id="rId8" Type="http://schemas.openxmlformats.org/officeDocument/2006/relationships/hyperlink" Target="http://www.sec.gov/ix?doc=/Archives/edgar/data/1819790/000181979022000010/tars-20211231.htm" TargetMode="External"/><Relationship Id="rId9" Type="http://schemas.openxmlformats.org/officeDocument/2006/relationships/hyperlink" Target="http://www.sec.gov/ix?doc=/Archives/edgar/data/1819790/000181979022000002/tars-20211231.htm" TargetMode="External"/><Relationship Id="rId10" Type="http://schemas.openxmlformats.org/officeDocument/2006/relationships/hyperlink" Target="http://www.sec.gov/ix?doc=/Archives/edgar/data/1819790/000181979022000004/tars-20220202.htm" TargetMode="External"/><Relationship Id="rId11" Type="http://schemas.openxmlformats.org/officeDocument/2006/relationships/hyperlink" Target="http://www.sec.gov/Archives/edgar/data/1819790/000119312520267409/d68419d8a12b.htm" TargetMode="External"/><Relationship Id="rId12" Type="http://schemas.openxmlformats.org/officeDocument/2006/relationships/hyperlink" Target="http://www.sec.gov/Archives/edgar/data/1819790/000119312520272900/d11649dex31.htm" TargetMode="External"/><Relationship Id="rId13" Type="http://schemas.openxmlformats.org/officeDocument/2006/relationships/hyperlink" Target="http://www.sec.gov/Archives/edgar/data/1819790/000119312520272900/d11649dex32.htm" TargetMode="External"/><Relationship Id="rId14" Type="http://schemas.openxmlformats.org/officeDocument/2006/relationships/hyperlink" Target="http://www.sec.gov/Archives/edgar/data/1819790/000119312520267327/d30607dex41.htm" TargetMode="External"/><Relationship Id="rId15" Type="http://schemas.openxmlformats.org/officeDocument/2006/relationships/hyperlink" Target="http://www.sec.gov/Archives/edgar/data/0001819790/000119312520272944/d55477dex992.htm" TargetMode="External"/><Relationship Id="rId16" Type="http://schemas.openxmlformats.org/officeDocument/2006/relationships/hyperlink" Target="http://www.sec.gov/Archives/edgar/data/0001819790/000119312520272944/d55477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2022-03-14T15:53:37Z</dcterms:created>
  <dcterms:modified xsi:type="dcterms:W3CDTF">2022-03-14T15:53:37Z</dcterms:modified>
</cp:coreProperties>
</file>