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64" w:before="300" w:after="283"/>
        <w:ind w:left="0" w:right="0" w:firstLine="54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pPr>
      <w:r>
        <w:rPr>
          <w:rFonts w:ascii="Times New Roman;sans-serif" w:hAnsi="Times New Roman;sans-serif"/>
          <w:b/>
          <w:color w:val="000000"/>
          <w:sz w:val="18"/>
        </w:rPr>
        <w:t>For the transition period from _____</w:t>
      </w:r>
      <w:r>
        <w:rPr>
          <w:color w:val="000000"/>
          <w:u w:val="single"/>
        </w:rPr>
        <w:t> </w:t>
      </w:r>
      <w:r>
        <w:rPr>
          <w:rFonts w:ascii="Times New Roman;sans-serif" w:hAnsi="Times New Roman;sans-serif"/>
          <w:b/>
          <w:color w:val="000000"/>
          <w:sz w:val="18"/>
        </w:rPr>
        <w:t>to ____</w:t>
      </w:r>
      <w:r>
        <w:rPr>
          <w:color w:val="000000"/>
          <w:u w:val="single"/>
        </w:rPr>
        <w:t> </w:t>
      </w:r>
      <w:r>
        <w:rPr>
          <w:rFonts w:ascii="Times New Roman;sans-serif" w:hAnsi="Times New Roman;sans-serif"/>
          <w:b/>
          <w:color w:val="000000"/>
          <w:sz w:val="18"/>
        </w:rPr>
        <w:t>.</w:t>
      </w:r>
      <w:r>
        <w:rPr>
          <w:color w:val="000000"/>
        </w:rPr>
        <w:t> </w:t>
      </w:r>
    </w:p>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001-39614</w:t>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52" w:type="dxa"/>
        <w:jc w:val="center"/>
        <w:tblInd w:w="0" w:type="dxa"/>
        <w:tblLayout w:type="fixed"/>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92618</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418-1801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8"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May 2, 2024, the number of outstanding shares of the registrant's common stock, par value $0.0001 per share, was 37,781,693.</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a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only recently obtained regulatory approval for XDEMVY in the U.S. and we have limited experience as a commercial company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may not be successful in educating eye care providers ("ECPs"),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sizes of the market opportunity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TP-03 for the treatment of Meibomian Gland Disease ("MGD"),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commercialization of our products, including XDEMVY,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TP-03 for the potential treatment of MGD, TP-04 for the potential treatment of rosacea and TP-05 for potential Lyme disease prophylaxis and 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contract with third parties for the commercial manufacture of XDEMVY and for the manufacture of our product candidates for preclinical studies, clinical trials and for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15" w:type="dxa"/>
        <w:jc w:val="center"/>
        <w:tblInd w:w="0" w:type="dxa"/>
        <w:tblLayout w:type="fixed"/>
        <w:tblCellMar>
          <w:top w:w="28" w:type="dxa"/>
          <w:left w:w="28" w:type="dxa"/>
          <w:bottom w:w="28" w:type="dxa"/>
          <w:right w:w="28" w:type="dxa"/>
        </w:tblCellMar>
      </w:tblPr>
      <w:tblGrid>
        <w:gridCol w:w="2877"/>
        <w:gridCol w:w="2529"/>
        <w:gridCol w:w="2543"/>
        <w:gridCol w:w="136"/>
        <w:gridCol w:w="136"/>
        <w:gridCol w:w="194"/>
      </w:tblGrid>
      <w:tr>
        <w:trPr/>
        <w:tc>
          <w:tcPr>
            <w:tcW w:w="287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0">
              <w:r>
                <w:rPr>
                  <w:rStyle w:val="InternetLink"/>
                  <w:rFonts w:ascii="Times New Roman;sans-serif" w:hAnsi="Times New Roman;sans-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0">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3">
              <w:r>
                <w:rPr>
                  <w:rStyle w:val="InternetLink"/>
                  <w:rFonts w:ascii="Times New Roman;sans-serif" w:hAnsi="Times New Roman;sans-serif"/>
                  <w:b w:val="false"/>
                  <w:color w:val="0000FF"/>
                  <w:sz w:val="20"/>
                  <w:u w:val="single"/>
                </w:rPr>
                <w:t>Item 1. Financial Statements (Unaudited)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6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67">
              <w:r>
                <w:rPr>
                  <w:rStyle w:val="InternetLink"/>
                  <w:rFonts w:ascii="Times New Roman;sans-serif" w:hAnsi="Times New Roman;sans-serif"/>
                  <w:b w:val="false"/>
                  <w:strike w:val="false"/>
                  <w:dstrike w:val="false"/>
                  <w:color w:val="000000"/>
                  <w:sz w:val="20"/>
                  <w:u w:val="none"/>
                  <w:effect w:val="non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73">
              <w:r>
                <w:rPr>
                  <w:rStyle w:val="InternetLink"/>
                  <w:rFonts w:ascii="Times New Roman;sans-serif" w:hAnsi="Times New Roman;sans-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73">
              <w:r>
                <w:rPr>
                  <w:rStyle w:val="InternetLink"/>
                  <w:rFonts w:ascii="Times New Roman;sans-serif" w:hAnsi="Times New Roman;sans-serif"/>
                  <w:b w:val="false"/>
                  <w:strike w:val="false"/>
                  <w:dstrike w:val="false"/>
                  <w:color w:val="000000"/>
                  <w:sz w:val="20"/>
                  <w:u w:val="none"/>
                  <w:effect w:val="none"/>
                </w:rPr>
                <w:t>42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76">
              <w:r>
                <w:rPr>
                  <w:rStyle w:val="InternetLink"/>
                  <w:rFonts w:ascii="Times New Roman;sans-serif" w:hAnsi="Times New Roman;sans-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76">
              <w:r>
                <w:rPr>
                  <w:rStyle w:val="InternetLink"/>
                  <w:rFonts w:ascii="Times New Roman;sans-serif" w:hAnsi="Times New Roman;sans-serif"/>
                  <w:b w:val="false"/>
                  <w:strike w:val="false"/>
                  <w:dstrike w:val="false"/>
                  <w:color w:val="000000"/>
                  <w:sz w:val="20"/>
                  <w:u w:val="none"/>
                  <w:effect w:val="none"/>
                </w:rPr>
                <w:t>42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79">
              <w:r>
                <w:rPr>
                  <w:rStyle w:val="InternetLink"/>
                  <w:rFonts w:ascii="Times New Roman;sans-serif" w:hAnsi="Times New Roman;sans-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79">
              <w:r>
                <w:rPr>
                  <w:rStyle w:val="InternetLink"/>
                  <w:rFonts w:ascii="Times New Roman;sans-serif" w:hAnsi="Times New Roman;sans-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82">
              <w:r>
                <w:rPr>
                  <w:rStyle w:val="InternetLink"/>
                  <w:rFonts w:ascii="Times New Roman;sans-serif" w:hAnsi="Times New Roman;sans-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82">
              <w:r>
                <w:rPr>
                  <w:rStyle w:val="InternetLink"/>
                  <w:rFonts w:ascii="Times New Roman;sans-serif" w:hAnsi="Times New Roman;sans-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85">
              <w:r>
                <w:rPr>
                  <w:rStyle w:val="InternetLink"/>
                  <w:rFonts w:ascii="Times New Roman;sans-serif" w:hAnsi="Times New Roman;sans-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85">
              <w:r>
                <w:rPr>
                  <w:rStyle w:val="InternetLink"/>
                  <w:rFonts w:ascii="Times New Roman;sans-serif" w:hAnsi="Times New Roman;sans-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88">
              <w:r>
                <w:rPr>
                  <w:rStyle w:val="InternetLink"/>
                  <w:rFonts w:ascii="Times New Roman;sans-serif" w:hAnsi="Times New Roman;sans-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88">
              <w:r>
                <w:rPr>
                  <w:rStyle w:val="InternetLink"/>
                  <w:rFonts w:ascii="Times New Roman;sans-serif" w:hAnsi="Times New Roman;sans-serif"/>
                  <w:b w:val="false"/>
                  <w:strike w:val="false"/>
                  <w:dstrike w:val="false"/>
                  <w:color w:val="000000"/>
                  <w:sz w:val="20"/>
                  <w:u w:val="none"/>
                  <w:effect w:val="none"/>
                </w:rPr>
                <w:t>101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91">
              <w:r>
                <w:rPr>
                  <w:rStyle w:val="InternetLink"/>
                  <w:rFonts w:ascii="Times New Roman;sans-serif" w:hAnsi="Times New Roman;sans-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91">
              <w:r>
                <w:rPr>
                  <w:rStyle w:val="InternetLink"/>
                  <w:rFonts w:ascii="Times New Roman;sans-serif" w:hAnsi="Times New Roman;sans-serif"/>
                  <w:b w:val="false"/>
                  <w:strike w:val="false"/>
                  <w:dstrike w:val="false"/>
                  <w:color w:val="000000"/>
                  <w:sz w:val="20"/>
                  <w:u w:val="none"/>
                  <w:effect w:val="none"/>
                </w:rPr>
                <w:t>102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94">
              <w:r>
                <w:rPr>
                  <w:rStyle w:val="InternetLink"/>
                  <w:rFonts w:ascii="Times New Roman;sans-serif" w:hAnsi="Times New Roman;sans-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94">
              <w:r>
                <w:rPr>
                  <w:rStyle w:val="InternetLink"/>
                  <w:rFonts w:ascii="Times New Roman;sans-serif" w:hAnsi="Times New Roman;sans-serif"/>
                  <w:b w:val="false"/>
                  <w:strike w:val="false"/>
                  <w:dstrike w:val="false"/>
                  <w:color w:val="000000"/>
                  <w:sz w:val="20"/>
                  <w:u w:val="none"/>
                  <w:effect w:val="none"/>
                </w:rPr>
                <w:t>102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97">
              <w:r>
                <w:rPr>
                  <w:rStyle w:val="InternetLink"/>
                  <w:rFonts w:ascii="Times New Roman;sans-serif" w:hAnsi="Times New Roman;sans-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97">
              <w:r>
                <w:rPr>
                  <w:rStyle w:val="InternetLink"/>
                  <w:rFonts w:ascii="Times New Roman;sans-serif" w:hAnsi="Times New Roman;sans-serif"/>
                  <w:b w:val="false"/>
                  <w:strike w:val="false"/>
                  <w:dstrike w:val="false"/>
                  <w:color w:val="000000"/>
                  <w:sz w:val="20"/>
                  <w:u w:val="none"/>
                  <w:effect w:val="none"/>
                </w:rPr>
                <w:t>102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00">
              <w:r>
                <w:rPr>
                  <w:rStyle w:val="InternetLink"/>
                  <w:rFonts w:ascii="Times New Roman;sans-serif" w:hAnsi="Times New Roman;sans-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00">
              <w:r>
                <w:rPr>
                  <w:rStyle w:val="InternetLink"/>
                  <w:rFonts w:ascii="Times New Roman;sans-serif" w:hAnsi="Times New Roman;sans-serif"/>
                  <w:b w:val="false"/>
                  <w:strike w:val="false"/>
                  <w:dstrike w:val="false"/>
                  <w:color w:val="000000"/>
                  <w:sz w:val="20"/>
                  <w:u w:val="none"/>
                  <w:effect w:val="none"/>
                </w:rPr>
                <w:t>103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03">
              <w:r>
                <w:rPr>
                  <w:rStyle w:val="InternetLink"/>
                  <w:rFonts w:ascii="Times New Roman;sans-serif" w:hAnsi="Times New Roman;sans-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03">
              <w:r>
                <w:rPr>
                  <w:rStyle w:val="InternetLink"/>
                  <w:rFonts w:ascii="Times New Roman;sans-serif" w:hAnsi="Times New Roman;sans-serif"/>
                  <w:b w:val="false"/>
                  <w:strike w:val="false"/>
                  <w:dstrike w:val="false"/>
                  <w:color w:val="000000"/>
                  <w:sz w:val="20"/>
                  <w:u w:val="none"/>
                  <w:effect w:val="none"/>
                </w:rPr>
                <w:t>104</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I.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19">
              <w:r>
                <w:rPr>
                  <w:rStyle w:val="InternetLink"/>
                  <w:rFonts w:ascii="Times New Roman;sans-serif" w:hAnsi="Times New Roman;sans-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22">
              <w:r>
                <w:rPr>
                  <w:rStyle w:val="InternetLink"/>
                  <w:rFonts w:ascii="Times New Roman;sans-serif" w:hAnsi="Times New Roman;sans-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25">
              <w:r>
                <w:rPr>
                  <w:rStyle w:val="InternetLink"/>
                  <w:rFonts w:ascii="Times New Roman;sans-serif" w:hAnsi="Times New Roman;sans-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28">
              <w:r>
                <w:rPr>
                  <w:rStyle w:val="InternetLink"/>
                  <w:rFonts w:ascii="Times New Roman;sans-serif" w:hAnsi="Times New Roman;sans-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aefa27e57f4135a048e6322fd4812b_31">
              <w:r>
                <w:rPr>
                  <w:rStyle w:val="InternetLink"/>
                  <w:rFonts w:ascii="Times New Roman;sans-serif" w:hAnsi="Times New Roman;sans-serif"/>
                  <w:b w:val="false"/>
                  <w:color w:val="0000FF"/>
                  <w:sz w:val="20"/>
                  <w:u w:val="single"/>
                </w:rPr>
                <w:t>Notes to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80"/>
        <w:gridCol w:w="2344"/>
        <w:gridCol w:w="2226"/>
        <w:gridCol w:w="214"/>
        <w:gridCol w:w="804"/>
        <w:gridCol w:w="119"/>
        <w:gridCol w:w="109"/>
        <w:gridCol w:w="109"/>
        <w:gridCol w:w="109"/>
        <w:gridCol w:w="232"/>
        <w:gridCol w:w="873"/>
        <w:gridCol w:w="186"/>
      </w:tblGrid>
      <w:tr>
        <w:trPr/>
        <w:tc>
          <w:tcPr>
            <w:tcW w:w="288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7</w:t>
            </w:r>
            <w:r>
              <w:rPr>
                <w:rFonts w:ascii="Times New Roman;sans-serif" w:hAnsi="Times New Roman;sans-serif"/>
                <w:b/>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37,749,468 shares issued and outstanding at March 31, 2024 (unaudited); 34,211,190 shares issued and outstanding at December 31, 2023</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349,278 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7432" w:type="dxa"/>
        <w:jc w:val="center"/>
        <w:tblInd w:w="0" w:type="dxa"/>
        <w:tblLayout w:type="fixed"/>
        <w:tblCellMar>
          <w:top w:w="28" w:type="dxa"/>
          <w:left w:w="28" w:type="dxa"/>
          <w:bottom w:w="28" w:type="dxa"/>
          <w:right w:w="28" w:type="dxa"/>
        </w:tblCellMar>
      </w:tblPr>
      <w:tblGrid>
        <w:gridCol w:w="1781"/>
        <w:gridCol w:w="1564"/>
        <w:gridCol w:w="1575"/>
        <w:gridCol w:w="219"/>
        <w:gridCol w:w="742"/>
        <w:gridCol w:w="109"/>
        <w:gridCol w:w="109"/>
        <w:gridCol w:w="109"/>
        <w:gridCol w:w="109"/>
        <w:gridCol w:w="219"/>
        <w:gridCol w:w="742"/>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marketable securities and cash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35,300,655 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26,742,023 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915"/>
        <w:gridCol w:w="604"/>
        <w:gridCol w:w="606"/>
        <w:gridCol w:w="480"/>
        <w:gridCol w:w="481"/>
        <w:gridCol w:w="171"/>
        <w:gridCol w:w="109"/>
        <w:gridCol w:w="109"/>
        <w:gridCol w:w="109"/>
        <w:gridCol w:w="204"/>
        <w:gridCol w:w="252"/>
        <w:gridCol w:w="115"/>
        <w:gridCol w:w="109"/>
        <w:gridCol w:w="109"/>
        <w:gridCol w:w="109"/>
        <w:gridCol w:w="226"/>
        <w:gridCol w:w="850"/>
        <w:gridCol w:w="126"/>
        <w:gridCol w:w="109"/>
        <w:gridCol w:w="109"/>
        <w:gridCol w:w="109"/>
        <w:gridCol w:w="415"/>
        <w:gridCol w:w="733"/>
        <w:gridCol w:w="232"/>
        <w:gridCol w:w="109"/>
        <w:gridCol w:w="109"/>
        <w:gridCol w:w="109"/>
        <w:gridCol w:w="196"/>
        <w:gridCol w:w="765"/>
        <w:gridCol w:w="109"/>
        <w:gridCol w:w="109"/>
        <w:gridCol w:w="109"/>
        <w:gridCol w:w="109"/>
        <w:gridCol w:w="196"/>
        <w:gridCol w:w="736"/>
        <w:gridCol w:w="158"/>
      </w:tblGrid>
      <w:tr>
        <w:trPr/>
        <w:tc>
          <w:tcPr>
            <w:tcW w:w="9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34,211,190 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 of $6.7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pre-funded warrants, net of issuance costs of $0.6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37,749,468 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555,655 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275,211 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9"/>
        <w:gridCol w:w="601"/>
        <w:gridCol w:w="602"/>
        <w:gridCol w:w="480"/>
        <w:gridCol w:w="481"/>
        <w:gridCol w:w="171"/>
        <w:gridCol w:w="109"/>
        <w:gridCol w:w="109"/>
        <w:gridCol w:w="109"/>
        <w:gridCol w:w="204"/>
        <w:gridCol w:w="252"/>
        <w:gridCol w:w="115"/>
        <w:gridCol w:w="109"/>
        <w:gridCol w:w="109"/>
        <w:gridCol w:w="109"/>
        <w:gridCol w:w="227"/>
        <w:gridCol w:w="853"/>
        <w:gridCol w:w="126"/>
        <w:gridCol w:w="109"/>
        <w:gridCol w:w="109"/>
        <w:gridCol w:w="109"/>
        <w:gridCol w:w="417"/>
        <w:gridCol w:w="737"/>
        <w:gridCol w:w="234"/>
        <w:gridCol w:w="109"/>
        <w:gridCol w:w="109"/>
        <w:gridCol w:w="109"/>
        <w:gridCol w:w="196"/>
        <w:gridCol w:w="765"/>
        <w:gridCol w:w="109"/>
        <w:gridCol w:w="109"/>
        <w:gridCol w:w="109"/>
        <w:gridCol w:w="109"/>
        <w:gridCol w:w="196"/>
        <w:gridCol w:w="736"/>
        <w:gridCol w:w="159"/>
      </w:tblGrid>
      <w:tr>
        <w:trPr/>
        <w:tc>
          <w:tcPr>
            <w:tcW w:w="9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26,800,512 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305,651 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8378" w:type="dxa"/>
        <w:jc w:val="center"/>
        <w:tblInd w:w="0" w:type="dxa"/>
        <w:tblLayout w:type="fixed"/>
        <w:tblCellMar>
          <w:top w:w="28" w:type="dxa"/>
          <w:left w:w="28" w:type="dxa"/>
          <w:bottom w:w="28" w:type="dxa"/>
          <w:right w:w="28" w:type="dxa"/>
        </w:tblCellMar>
      </w:tblPr>
      <w:tblGrid>
        <w:gridCol w:w="2149"/>
        <w:gridCol w:w="1892"/>
        <w:gridCol w:w="1898"/>
        <w:gridCol w:w="196"/>
        <w:gridCol w:w="736"/>
        <w:gridCol w:w="109"/>
        <w:gridCol w:w="109"/>
        <w:gridCol w:w="109"/>
        <w:gridCol w:w="109"/>
        <w:gridCol w:w="196"/>
        <w:gridCol w:w="721"/>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term loan-related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amortization/accretion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from transactions denominated in a foreign currency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pre-funded warrants,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Noncash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obtained in exchange for operating lease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Offering costs included within accounts payable and accrued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(lotilaner ophthalmic solution) 0.25%,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completed a follow-on public offering under its shelf registration statement on Form S-3 (the "2021 Shelf Registration Statement") of 5,714,285 shares of common stock at a public offering price of $17.50 per share. In September 2023, the underwriters partially exercised the underwriters option to purchase additional shares resulting in the Company's issuance of an additional 355,164 shares of common stock at the public offering price of $17.50 per share. The aggregate net proceeds received by the Company were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filed an automatic shelf registration on Form S-3 ASR (the "2024 Shelf Registration Statement"). On March 5,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March 31, 2024, 312,500 of pre-funded warrants are exercisable. The Company also granted the underwriters a 30-day option to purchase up to 468,750 additional shares of its common stock at the public offering price of $32.00 per share, which the underwriters exercised in full and was completed on March 5, 2024. The aggregate net proceeds received by the Company were $107.7 million, after deducting underwriting discounts, commissions, and other estimated offering-related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 xml:space="preserve">(the "2021 ATM Prospectus"). Under the terms of the 2023 ATM Prospectus, Jefferies will act as the Company's sales agent and is entitled to compensation for its services equal to 3% of the gross proceeds of any shares of common stock sold.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sales of the Company's common stock pursuant to the 2023 ATM Prospectus. During the year ended December 31, 2023, the Company sold 1,000,000 shares of common stock under the 2023 ATM Prospectus for net proceeds of $19.2 million, after deducting broker commissions and offering-related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limited operating history, limited history of product sales and has accumulated losses and negative cash flows from operations since inception. The Company has funded its inception-to-date operations through its Initial Public Offering ("IPO"), subsequent follow-on public offerings, and the 2023 ATM Prospectus, as well as from proceeds from product sales, the development and license agreement (the "China Out-License") with LianBio Ophthalmology Limited ("LianBio"), and draws on the loan and security agreements with Hercules Capital, Inc. ("Hercules") and Silicon Valley Bank, a division of First-Citizens Bank &amp; Trust Company ("SVB") (the "Credit Facility"). The Company estimates that its existing capital resources will be sufficient to meet projected operating expense requirements for at least 12 months from the issuance date of the accompanying Condensed Financial Statements that have been prepared on a going-concern basis.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Segment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one reportable operating segment focused on the development and commercialization of therapeutics. To date, the Company has operated, managed and organized its business and financial information on an aggregate basis for the purpose of evaluating financial performance and the allocation of capital and personnel resources. The Company’s chief operating decision-maker, its Chief Executive Officer, reviews its operating results for the purpose of allocating resources and evaluating financial performance.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ans-serif" w:hAnsi="Times New Roman;sans-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2023, as filed with the SEC on February 27,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Condensed Balance Sheet as of March 31, 2024, the Condensed Statements of Operations and Comprehensive Loss, and the Condensed Statements of Stockholders’ Equity for the three months ended March 31, 2024 and 2023, and the Condensed Statements of Cash Flows for the three months ended March 31, 2024 and 2023 are unaudited. These unaudited interim financial statements have been prepared on the same basis as the Company’s annual financial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reflect all adjustments, which consist of only normal and recurring adjustments for the fair presentation of its financial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related to the three-month periods are also unaudited. The Condensed Balance Sheet as of December 31, 2023 has been derived from the audited financial statements at that date but does not include all information and footnotes required by GAAP for annual financial statements. The condensed interim operating results for three months ended March 31, 2024 are not necessarily indicative of results to be expected for the year ending December 31, 2024 or any other interim or annual period.</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and with the rules and regulations of the SEC requires management to make informed estimates and assumptions that affect the amounts reported in these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Condensed Financial Statements as of and for the three months ended March 31, 2024, reflect the Company’s estimates of the impact of the macroeconomic and geopolitical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and estimates that most significantly impact the presented amounts within these accompanying Condensed Financial Statements are further described below:</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are recorded at fair value with unrealized gains and losses reported as a component of accumulated other comprehensive loss within the accompanying Condensed Statements of Stockholders' Equity until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on the accompanying Condensed Statements of Operations and Comprehensive Loss. The Company evaluated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Company's holdings of common stock in the parent company of LianBio was included as marketable securities. As of December 31, 2023, this LianBio common stock was classified as long-term investments due to the Company's intent at that time to hold these shares for longer than one year. These equity securities are designated as available-for-sale with associated unrealized gains or losses reported in other income (expense) within the Condensed Statements of Operations and Comprehensive Loss for each reported period.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months ended March 31, 2024.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valued at the lower-of-cost or net realizable value, with cost determined on a first-in, first-out basis. The Company performs an assessment of the recoverability of capitalized inventory during each reporting period, and adjusts the value for any excess and obsolete inventory to net realizable value in the period in which the impairment is first identified and such charges are recorded as a component of cost of sales in the Condensed Statements of Operations and Comprehensive Loss. The determination of whether inventory costs will be realizable requires estimates by management. If actual market conditions are less favorable than projected by management, additional write-downs of inventory may be required. 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Prior to FDA approval of XDEMVY in July 2023, costs related to the production of inventory were recorded as research and development expense on the Condensed Statements of Operations and Comprehensive Loss in the period incurred.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The carrying value of intangible assets as a result of achieving certain commercial milestones was $4.0 million as of March 31, 2024, and are amortized to cost of sales over their useful life of 10 years from the date of first commercial sale (see </w:t>
      </w:r>
      <w:r>
        <w:rPr>
          <w:rFonts w:ascii="Times New Roman;sans-serif" w:hAnsi="Times New Roman;sans-serif"/>
          <w:b w:val="false"/>
          <w:i/>
          <w:color w:val="000000"/>
          <w:sz w:val="20"/>
        </w:rPr>
        <w:t>Note 7</w:t>
      </w:r>
      <w:r>
        <w:rPr>
          <w:rFonts w:ascii="Times New Roman;sans-serif" w:hAnsi="Times New Roman;sans-serif"/>
          <w:b w:val="false"/>
          <w:color w:val="000000"/>
          <w:sz w:val="20"/>
        </w:rPr>
        <w:t>). Amortization expense for the three months ended March 31, 2024 was $0.1 million; no amortization expense was recorded for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expected future amortization expense for the Company's intangible assets is as follows:</w:t>
      </w:r>
    </w:p>
    <w:tbl>
      <w:tblPr>
        <w:tblW w:w="3497"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196"/>
        <w:gridCol w:w="55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intangibles, are evaluated for impairment whenever events or changes in circumstance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 There have been no impairments of intangible assets for the three months ended March 31,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carrying amounts for financial instruments consisting of cash, cash equivalents, accounts receivable, net,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three months ended March 31,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variable lease costs, consisting primarily of real estate taxes, insurance costs, and common area maintenance, are expensed as incurred and excluded from the reported ROU assets and lease liabilities amounts presented in the accompanying Condensed Balance Sheets. The current and noncurrent portion of the operating lease liability are included in accounts payable and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Risk </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significant concentrations of credit risk consist primarily of cash, cash equivalents, marketable securities and accounts receivable. The Company maintains cash held on deposit at financial institutions in the U.S., including SVB.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agreements with certain limited specialty pharmacies and specialty distributors for the sale of XDEMVY in the U.S. The following table summarizes the percentage of the Company's product sales from its largest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4167"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598"/>
        <w:gridCol w:w="598"/>
        <w:gridCol w:w="16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amounts due from these five customers each exceeded 10% of gross accounts receivable and accounted for approximately 100% of the accounts receivable balance on a combined basis.</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Suppliers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currently own manufacturing facilities and depends on an outsourced manufacturing strategy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 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product sales, net of XDEMVY when a customer obtains control of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XDEMVY to customers in the U.S., which became available for commercial sale during the third quarter of 2023. The Company sells XDEMVY to a limited number of specialty pharmacies and distributors (i.e., its 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product sales are recorded at the net sales price, or the transaction price, which may include fixed or variable consideration for (i) invoice discounts for prompt payment and distribution service fees, (ii) government and private payer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 xml:space="preserve">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The Company's customers are contractually permitted to return the product within the contractual allowable time before and 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 and Discounts:</w:t>
      </w:r>
      <w:r>
        <w:rPr>
          <w:color w:val="000000"/>
        </w:rPr>
        <w:t xml:space="preserve"> </w:t>
      </w:r>
      <w:r>
        <w:rPr>
          <w:rFonts w:ascii="Times New Roman;sans-serif" w:hAnsi="Times New Roman;sans-serif"/>
          <w:b w:val="false"/>
          <w:color w:val="000000"/>
          <w:sz w:val="20"/>
        </w:rPr>
        <w:t>The Company accrues rebates for contractually agreed-upon discounts with commercial insurance companies and mandated discounts under government programs such as the Medicaid Drug Rebate Program, Medicare Part D Prescription Drug Program,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(ii) License Fees and Collaboration Revenue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China Out-License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fees and collaboration revenue in the accompanying Condensed Statements of Operations and Comprehensive Loss has historically primarily related to the China Out-License that allows the third-party licensee to market the Company's TP-03 product candidate (representing functional intellectual property) in the People's Republic of China, Hong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pPr>
      <w:r>
        <w:rPr>
          <w:rFonts w:ascii="Times New Roman;sans-serif" w:hAnsi="Times New Roman;sans-serif"/>
          <w:b w:val="false"/>
          <w:color w:val="000000"/>
          <w:sz w:val="20"/>
        </w:rPr>
        <w:t xml:space="preserve">Kong, Macau, and Taiwan (the "China Territory")— see </w:t>
      </w:r>
      <w:r>
        <w:rPr>
          <w:rFonts w:ascii="Times New Roman;sans-serif" w:hAnsi="Times New Roman;sans-serif"/>
          <w:b w:val="false"/>
          <w:i/>
          <w:color w:val="000000"/>
          <w:sz w:val="20"/>
        </w:rPr>
        <w:t>Note 8</w:t>
      </w:r>
      <w:r>
        <w:rPr>
          <w:rFonts w:ascii="Times New Roman;sans-serif" w:hAnsi="Times New Roman;sans-serif"/>
          <w:b w:val="false"/>
          <w:color w:val="000000"/>
          <w:sz w:val="20"/>
        </w:rPr>
        <w:t xml:space="preserve">.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China Out-License arrangement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(viii) a one-time termination payment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terms that establish the Company’s right to collect specified amounts from its customers and that require contemporaneous evaluation and documentation under GAAP for the corresponding timing and amount of revenue recognition, are as follows: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Regulatory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Threshold Milestones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re-evaluates the measure of progress to each performance obligation in each reporting period as uncertain events are resolved and other changes in circumstances occur.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collaboration revenue also includes revenue recognized from satisfaction of performance obligations under an existing clinical supply agreement. The Company recognizes revenue when a customer obtains control of the promised good or service. There was no revenue recognized under this arrangement for the three months ended March 31, 2024 and 2023,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of direct and indirect costs related to the manufacturing and distribution of XDEMVY, including raw materials, third-party manufacturing costs, packaging services, freight, third-party royalties payable on the Company’s product sales, net and amortization of capitalized intangible assets associated with XDEMVY. Cost of sales may also include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 Therefore, cost of sales of XDEMVY will reflect a lower average per unit cost until the related inventory is sold.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our commercial launch, consulting fees, legal services, rent and other facilities costs, patient assistance donations, and other general operating expenses not otherwise classified as research and development expenses. Advertising costs are expensed as incurred.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employee-related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prior to the IPO, (b) the expected term of the stock option until its exercise by the recipient, (c) stock price volatility over the expected term, (d) the prevailing risk-free interest rate over the expected term, and (e) expected dividend payments over the expected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represents (i) net loss for the periods presented, and (ii) unrealized gains or losses on the Company's reported available-for-sale debt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Outside of the pronouncement below, other recent accounting pronouncements not 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December 2023, the FASB issued Accounting Standards Update ("ASU") No. 2023-09, </w:t>
      </w:r>
      <w:r>
        <w:rPr>
          <w:rFonts w:ascii="Times New Roman;sans-serif" w:hAnsi="Times New Roman;sans-serif"/>
          <w:b w:val="false"/>
          <w:i/>
          <w:color w:val="000000"/>
          <w:sz w:val="20"/>
        </w:rPr>
        <w:t>Income Taxes (Topic 740): Improvements to Income Tax Disclosure</w:t>
      </w:r>
      <w:r>
        <w:rPr>
          <w:color w:val="000000"/>
        </w:rPr>
        <w:t xml:space="preserve"> </w:t>
      </w:r>
      <w:r>
        <w:rPr>
          <w:rFonts w:ascii="Times New Roman;sans-serif" w:hAnsi="Times New Roman;sans-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the 2025 Annual Report on Form 10-K. Early adoption is permitted. ASU 2023-09 should be applied prospectively. Retrospective adoption is permitted. The Company is currently assessing the impact this standard will have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35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24" w:type="dxa"/>
        <w:jc w:val="left"/>
        <w:tblInd w:w="0" w:type="dxa"/>
        <w:tblLayout w:type="fixed"/>
        <w:tblCellMar>
          <w:top w:w="28" w:type="dxa"/>
          <w:left w:w="28" w:type="dxa"/>
          <w:bottom w:w="28" w:type="dxa"/>
          <w:right w:w="28" w:type="dxa"/>
        </w:tblCellMar>
      </w:tblPr>
      <w:tblGrid>
        <w:gridCol w:w="986"/>
        <w:gridCol w:w="870"/>
        <w:gridCol w:w="873"/>
        <w:gridCol w:w="196"/>
        <w:gridCol w:w="736"/>
        <w:gridCol w:w="109"/>
        <w:gridCol w:w="109"/>
        <w:gridCol w:w="109"/>
        <w:gridCol w:w="109"/>
        <w:gridCol w:w="196"/>
        <w:gridCol w:w="55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contemporaneous with the China Out-License transaction, the Company and LianBio, executed a warrant agreement for the Company to purchase, in three tranches, common shares in LianBio at an exercise price equal to common stock par value, which converted into warrants of the parent company of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exercised, and converted into 156,746 shares of LianBio common stock as of December 31, 2022 and are recognized at fair value within long-term investments in the Condensed Balance Sheets as of March 31, 2024 and December 31, 2023.</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13, 2024, LianBio announced its plan to wind down its operations. On March 14, 2024, LianBio's Board of Directors made a special cash dividend payment to the Company for $0.7 million (equivalent to $4.80 per share), which was recorded to other income (expense) in the Condensed Statements of Operations and Comprehensive Loss for the three months ended March 31, 2024, and cash and cash equivalents in the Condensed Balance Sheets as of March 31, 2024. LianBio was delisted from NASDAQ in March 2024 and now trades on the over-the-counter markets. As of March 31, 2024 and December 31, 2023, LianBio common stock is classified within Level 1 of the fair value hierarchy, given its publicly reported price.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On March 26, 2024, the Company executed an agreement with LianBio to terminate the unvested third warrant tranche (the "Warrant Termination Agreement") for a cancellation payment of $0.4 million (see </w:t>
      </w:r>
      <w:r>
        <w:rPr>
          <w:rFonts w:ascii="Times New Roman;sans-serif" w:hAnsi="Times New Roman;sans-serif"/>
          <w:b w:val="false"/>
          <w:i/>
          <w:color w:val="000000"/>
          <w:sz w:val="20"/>
        </w:rPr>
        <w:t>Note 8</w:t>
      </w:r>
      <w:r>
        <w:rPr>
          <w:rFonts w:ascii="Times New Roman;sans-serif" w:hAnsi="Times New Roman;sans-serif"/>
          <w:b w:val="false"/>
          <w:color w:val="000000"/>
          <w:sz w:val="20"/>
        </w:rPr>
        <w:t>). Upon execution of the Warrant Termination Agreement the Company recorded the final change in fair value of the equity warrant to other income (expense) in the Condensed Statements of Operations and Comprehensive Loss for the three months ended March 31, 2024, and removed the equity warrant from other assets in the Condensed Balance Sheet as of March 31, 2024. The third tranche of the equity warrant was classified as Level 3 in the fair value hierarchy and presented within other assets in the accompanying Condensed Balance Sheets as of December 31, 2023. The most significant assumptions used in the option pricing valuation model as of each balance sheet date to determine its fair value included observable and unobservable inputs: LianBio common stock volatility (based on the historical volatility of similar companies); the probability of regulatory milestone achievement for vesting; and the application of an assumed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equity warrants were remeasured each reporting period with adjustments reported within other income (expense) on the accompanying Condensed Statements of Operations and Comprehensive Loss, until exercised, expired or terminated. These equity warrants are valued in the accompanying Condensed Financial Statements as follows:</w:t>
      </w:r>
    </w:p>
    <w:tbl>
      <w:tblPr>
        <w:tblW w:w="6281" w:type="dxa"/>
        <w:jc w:val="center"/>
        <w:tblInd w:w="0" w:type="dxa"/>
        <w:tblLayout w:type="fixed"/>
        <w:tblCellMar>
          <w:top w:w="28" w:type="dxa"/>
          <w:left w:w="28" w:type="dxa"/>
          <w:bottom w:w="28" w:type="dxa"/>
          <w:right w:w="28" w:type="dxa"/>
        </w:tblCellMar>
      </w:tblPr>
      <w:tblGrid>
        <w:gridCol w:w="1445"/>
        <w:gridCol w:w="1270"/>
        <w:gridCol w:w="1274"/>
        <w:gridCol w:w="109"/>
        <w:gridCol w:w="109"/>
        <w:gridCol w:w="109"/>
        <w:gridCol w:w="499"/>
        <w:gridCol w:w="1071"/>
        <w:gridCol w:w="395"/>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 prior to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Termination of equity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tbl>
      <w:tblPr>
        <w:tblW w:w="5066" w:type="dxa"/>
        <w:jc w:val="center"/>
        <w:tblInd w:w="0" w:type="dxa"/>
        <w:tblLayout w:type="fixed"/>
        <w:tblCellMar>
          <w:top w:w="28" w:type="dxa"/>
          <w:left w:w="28" w:type="dxa"/>
          <w:bottom w:w="28" w:type="dxa"/>
          <w:right w:w="28" w:type="dxa"/>
        </w:tblCellMar>
      </w:tblPr>
      <w:tblGrid>
        <w:gridCol w:w="1005"/>
        <w:gridCol w:w="883"/>
        <w:gridCol w:w="886"/>
        <w:gridCol w:w="109"/>
        <w:gridCol w:w="109"/>
        <w:gridCol w:w="109"/>
        <w:gridCol w:w="499"/>
        <w:gridCol w:w="1071"/>
        <w:gridCol w:w="39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equivalents and available-for-sale investments by major security type are presented in the following table:</w:t>
      </w:r>
    </w:p>
    <w:tbl>
      <w:tblPr>
        <w:tblW w:w="9002"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9"/>
        <w:gridCol w:w="744"/>
        <w:gridCol w:w="201"/>
        <w:gridCol w:w="109"/>
        <w:gridCol w:w="109"/>
        <w:gridCol w:w="109"/>
        <w:gridCol w:w="276"/>
        <w:gridCol w:w="890"/>
        <w:gridCol w:w="153"/>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193,705 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105,945 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104,819 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5"/>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val="false"/>
          <w:color w:val="000000"/>
          <w:sz w:val="10"/>
        </w:rPr>
        <w:t xml:space="preserve">(1 ) </w:t>
      </w:r>
      <w:r>
        <w:rPr>
          <w:rFonts w:ascii="Times New Roman;sans-serif" w:hAnsi="Times New Roman;sans-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substantially all available-for-sale debt securities had a maturity of 12 months or less. Four securities have a contractual maturity between one and two years, with an estimated fair market value of $20.6 million and amortized cost of $20.6 million. As of December 31, 2023, all available-for-sale debt securities had a maturity of 12 months or less. As of March 31, 2024 and December 31, 2023, the Company had twenty-six available-for-sale debt securities and one available-for-sale debt security, respectively, in a continuous gross unrealized loss position for less than one year. As of March 31, 2024 and December 31, 2023, unrealized credit losses on these securities were not material. Further, the Company does not intend to sell these investments prior to maturity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Condensed Balance Sheets are summarized below: </w:t>
      </w:r>
    </w:p>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4421" w:type="dxa"/>
        <w:jc w:val="left"/>
        <w:tblInd w:w="0" w:type="dxa"/>
        <w:tblLayout w:type="fixed"/>
        <w:tblCellMar>
          <w:top w:w="28" w:type="dxa"/>
          <w:left w:w="28" w:type="dxa"/>
          <w:bottom w:w="28" w:type="dxa"/>
          <w:right w:w="28" w:type="dxa"/>
        </w:tblCellMar>
      </w:tblPr>
      <w:tblGrid>
        <w:gridCol w:w="467"/>
        <w:gridCol w:w="411"/>
        <w:gridCol w:w="412"/>
        <w:gridCol w:w="287"/>
        <w:gridCol w:w="814"/>
        <w:gridCol w:w="159"/>
        <w:gridCol w:w="109"/>
        <w:gridCol w:w="109"/>
        <w:gridCol w:w="109"/>
        <w:gridCol w:w="334"/>
        <w:gridCol w:w="948"/>
        <w:gridCol w:w="262"/>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6835" w:type="dxa"/>
        <w:jc w:val="center"/>
        <w:tblInd w:w="0" w:type="dxa"/>
        <w:tblLayout w:type="fixed"/>
        <w:tblCellMar>
          <w:top w:w="28" w:type="dxa"/>
          <w:left w:w="28" w:type="dxa"/>
          <w:bottom w:w="28" w:type="dxa"/>
          <w:right w:w="28" w:type="dxa"/>
        </w:tblCellMar>
      </w:tblPr>
      <w:tblGrid>
        <w:gridCol w:w="1340"/>
        <w:gridCol w:w="1178"/>
        <w:gridCol w:w="1186"/>
        <w:gridCol w:w="287"/>
        <w:gridCol w:w="814"/>
        <w:gridCol w:w="159"/>
        <w:gridCol w:w="109"/>
        <w:gridCol w:w="109"/>
        <w:gridCol w:w="109"/>
        <w:gridCol w:w="334"/>
        <w:gridCol w:w="948"/>
        <w:gridCol w:w="262"/>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March 31, 2024 and 2023 was $0.2 million and $0.1 million,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tbl>
      <w:tblPr>
        <w:tblW w:w="6475" w:type="dxa"/>
        <w:jc w:val="center"/>
        <w:tblInd w:w="0" w:type="dxa"/>
        <w:tblLayout w:type="fixed"/>
        <w:tblCellMar>
          <w:top w:w="28" w:type="dxa"/>
          <w:left w:w="28" w:type="dxa"/>
          <w:bottom w:w="28" w:type="dxa"/>
          <w:right w:w="28" w:type="dxa"/>
        </w:tblCellMar>
      </w:tblPr>
      <w:tblGrid>
        <w:gridCol w:w="1208"/>
        <w:gridCol w:w="1064"/>
        <w:gridCol w:w="1072"/>
        <w:gridCol w:w="259"/>
        <w:gridCol w:w="856"/>
        <w:gridCol w:w="144"/>
        <w:gridCol w:w="109"/>
        <w:gridCol w:w="109"/>
        <w:gridCol w:w="109"/>
        <w:gridCol w:w="304"/>
        <w:gridCol w:w="1002"/>
        <w:gridCol w:w="239"/>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sales deductions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clinical studies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37,749,468 shares of common stock issued and outstanding, which excludes 312,500 of pre-funded warrants that remain exercisable at period end and are reserved for future issuance. As of December 31, 2023 the Company had 34,211,190 shares of common stock issued and outstanding, respectively. Each share of common stock is entitled to one vote.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equity awards and shares reserved for future issuance under its 2020 and 2016 Equity Incentive Plans and 2020 Employee Stock Purchase Plan are summarized below:</w:t>
      </w:r>
    </w:p>
    <w:tbl>
      <w:tblPr>
        <w:tblW w:w="10205" w:type="dxa"/>
        <w:jc w:val="center"/>
        <w:tblInd w:w="0" w:type="dxa"/>
        <w:tblLayout w:type="fixed"/>
        <w:tblCellMar>
          <w:top w:w="28" w:type="dxa"/>
          <w:left w:w="28" w:type="dxa"/>
          <w:bottom w:w="28" w:type="dxa"/>
          <w:right w:w="28" w:type="dxa"/>
        </w:tblCellMar>
      </w:tblPr>
      <w:tblGrid>
        <w:gridCol w:w="2525"/>
        <w:gridCol w:w="2198"/>
        <w:gridCol w:w="2217"/>
        <w:gridCol w:w="479"/>
        <w:gridCol w:w="482"/>
        <w:gridCol w:w="400"/>
        <w:gridCol w:w="109"/>
        <w:gridCol w:w="109"/>
        <w:gridCol w:w="109"/>
        <w:gridCol w:w="498"/>
        <w:gridCol w:w="463"/>
        <w:gridCol w:w="616"/>
      </w:tblGrid>
      <w:tr>
        <w:trPr/>
        <w:tc>
          <w:tcPr>
            <w:tcW w:w="252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2020 and 2016 Equity Incentive Plans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7,435,442 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7,054,222 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2,859,434 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2,859,434 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5,217,617 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2020 Equity Incentive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1,981,673 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17,494,166 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16,382,747 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recognized in the accompanying Condensed Statements of Operations and Comprehensive Loss as follows:</w:t>
      </w:r>
    </w:p>
    <w:tbl>
      <w:tblPr>
        <w:tblW w:w="4990" w:type="dxa"/>
        <w:jc w:val="center"/>
        <w:tblInd w:w="0" w:type="dxa"/>
        <w:tblLayout w:type="fixed"/>
        <w:tblCellMar>
          <w:top w:w="28" w:type="dxa"/>
          <w:left w:w="28" w:type="dxa"/>
          <w:bottom w:w="28" w:type="dxa"/>
          <w:right w:w="28" w:type="dxa"/>
        </w:tblCellMar>
      </w:tblPr>
      <w:tblGrid>
        <w:gridCol w:w="918"/>
        <w:gridCol w:w="810"/>
        <w:gridCol w:w="821"/>
        <w:gridCol w:w="228"/>
        <w:gridCol w:w="649"/>
        <w:gridCol w:w="127"/>
        <w:gridCol w:w="127"/>
        <w:gridCol w:w="127"/>
        <w:gridCol w:w="127"/>
        <w:gridCol w:w="228"/>
        <w:gridCol w:w="649"/>
        <w:gridCol w:w="179"/>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tbl>
      <w:tblPr>
        <w:tblW w:w="6475" w:type="dxa"/>
        <w:jc w:val="left"/>
        <w:tblInd w:w="0" w:type="dxa"/>
        <w:tblLayout w:type="fixed"/>
        <w:tblCellMar>
          <w:top w:w="28" w:type="dxa"/>
          <w:left w:w="28" w:type="dxa"/>
          <w:bottom w:w="28" w:type="dxa"/>
          <w:right w:w="28" w:type="dxa"/>
        </w:tblCellMar>
      </w:tblPr>
      <w:tblGrid>
        <w:gridCol w:w="1458"/>
        <w:gridCol w:w="1286"/>
        <w:gridCol w:w="1290"/>
        <w:gridCol w:w="200"/>
        <w:gridCol w:w="569"/>
        <w:gridCol w:w="262"/>
        <w:gridCol w:w="111"/>
        <w:gridCol w:w="111"/>
        <w:gridCol w:w="111"/>
        <w:gridCol w:w="200"/>
        <w:gridCol w:w="569"/>
        <w:gridCol w:w="308"/>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risk-free interest rate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volatility</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71.23 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during the three months ended March 31, 2024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02" w:type="dxa"/>
        <w:jc w:val="left"/>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215"/>
        <w:gridCol w:w="610"/>
        <w:gridCol w:w="119"/>
        <w:gridCol w:w="109"/>
        <w:gridCol w:w="109"/>
        <w:gridCol w:w="109"/>
        <w:gridCol w:w="359"/>
        <w:gridCol w:w="359"/>
        <w:gridCol w:w="361"/>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(1)</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2024</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5,217,617 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March 31, 2024</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2,972,207 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65,826 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Unvested—March 31, 2024</w:t>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2,245,410 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options and the fair value of the Company’s common stock as of March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approximately $33.0 million of unrecognized compensation expense related to unvested stock options, which the Company expects to recognize over a weighted average period of 2.6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during the three months ended March 31, 2024 was as follows:</w:t>
      </w:r>
    </w:p>
    <w:tbl>
      <w:tblPr>
        <w:tblW w:w="5019" w:type="dxa"/>
        <w:jc w:val="left"/>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214"/>
        <w:gridCol w:w="608"/>
        <w:gridCol w:w="168"/>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596,726 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(116,060)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2024</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1,981,673 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was approximately $41.0 million of unrecognized compensation expense related to unvested restricted stock units, which the Company expects to recognize over a weighted average period of 3.5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the ESPP was $0.2 million and $0.1 million, respectively, for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NET LOSS PER SHARE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tbl>
      <w:tblPr>
        <w:tblW w:w="9277" w:type="dxa"/>
        <w:jc w:val="center"/>
        <w:tblInd w:w="0" w:type="dxa"/>
        <w:tblLayout w:type="fixed"/>
        <w:tblCellMar>
          <w:top w:w="28" w:type="dxa"/>
          <w:left w:w="28" w:type="dxa"/>
          <w:bottom w:w="28" w:type="dxa"/>
          <w:right w:w="28" w:type="dxa"/>
        </w:tblCellMar>
      </w:tblPr>
      <w:tblGrid>
        <w:gridCol w:w="2447"/>
        <w:gridCol w:w="2146"/>
        <w:gridCol w:w="2171"/>
        <w:gridCol w:w="219"/>
        <w:gridCol w:w="742"/>
        <w:gridCol w:w="109"/>
        <w:gridCol w:w="109"/>
        <w:gridCol w:w="109"/>
        <w:gridCol w:w="109"/>
        <w:gridCol w:w="219"/>
        <w:gridCol w:w="742"/>
        <w:gridCol w:w="155"/>
      </w:tblGrid>
      <w:tr>
        <w:trPr/>
        <w:tc>
          <w:tcPr>
            <w:tcW w:w="2447"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Weighted-average shares outstanding—basic and diluted</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share—basic and diluted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Weighted-average shares outstanding includes pre-funded warrants issued on March 5, 2024.</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pStyle w:val="TextBody"/>
        <w:bidi w:val="0"/>
        <w:spacing w:before="0" w:after="0"/>
        <w:jc w:val="left"/>
        <w:rPr/>
      </w:pPr>
      <w:r>
        <w:rPr/>
      </w:r>
    </w:p>
    <w:tbl>
      <w:tblPr>
        <w:tblW w:w="6161" w:type="dxa"/>
        <w:jc w:val="left"/>
        <w:tblInd w:w="0" w:type="dxa"/>
        <w:tblLayout w:type="fixed"/>
        <w:tblCellMar>
          <w:top w:w="28" w:type="dxa"/>
          <w:left w:w="28" w:type="dxa"/>
          <w:bottom w:w="28" w:type="dxa"/>
          <w:right w:w="28" w:type="dxa"/>
        </w:tblCellMar>
      </w:tblPr>
      <w:tblGrid>
        <w:gridCol w:w="1315"/>
        <w:gridCol w:w="1155"/>
        <w:gridCol w:w="1160"/>
        <w:gridCol w:w="435"/>
        <w:gridCol w:w="436"/>
        <w:gridCol w:w="156"/>
        <w:gridCol w:w="140"/>
        <w:gridCol w:w="140"/>
        <w:gridCol w:w="140"/>
        <w:gridCol w:w="435"/>
        <w:gridCol w:w="436"/>
        <w:gridCol w:w="213"/>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5,217,617 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4,596,414 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1,128,373 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7,199,290 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5,724,787 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COMMITMENTS &amp;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Agreements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lease agreements with unaffiliated third parties for its facilities and office equipment. On March 20, 2024, the Company executed an amendment for an additional office suite. This amendment was accounted for as a lease modification and resulted in the recognition of an operating lease right-of-use asset valued at $0.4 million as of the execution date. As of March 31, 2024, the Company had six active leases for adjacent office and laboratory suites in Irvine, California with a lease term through January 2027. </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components of total lease expense:</w:t>
      </w:r>
    </w:p>
    <w:tbl>
      <w:tblPr>
        <w:tblW w:w="4271" w:type="dxa"/>
        <w:jc w:val="left"/>
        <w:tblInd w:w="0" w:type="dxa"/>
        <w:tblLayout w:type="fixed"/>
        <w:tblCellMar>
          <w:top w:w="28" w:type="dxa"/>
          <w:left w:w="28" w:type="dxa"/>
          <w:bottom w:w="28" w:type="dxa"/>
          <w:right w:w="28" w:type="dxa"/>
        </w:tblCellMar>
      </w:tblPr>
      <w:tblGrid>
        <w:gridCol w:w="662"/>
        <w:gridCol w:w="582"/>
        <w:gridCol w:w="585"/>
        <w:gridCol w:w="262"/>
        <w:gridCol w:w="564"/>
        <w:gridCol w:w="146"/>
        <w:gridCol w:w="146"/>
        <w:gridCol w:w="146"/>
        <w:gridCol w:w="146"/>
        <w:gridCol w:w="262"/>
        <w:gridCol w:w="564"/>
        <w:gridCol w:w="20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expense</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Company's facility leases had a remaining lease term of 2.8 years and a weighted-average incremental borrowing rate of 10%.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(i) minimum lease payments over the next five years and thereafter, (ii) lease arrangement imputed interest, and (iii) present value of future lease payments:</w:t>
      </w:r>
    </w:p>
    <w:tbl>
      <w:tblPr>
        <w:tblW w:w="4721" w:type="dxa"/>
        <w:jc w:val="left"/>
        <w:tblInd w:w="0" w:type="dxa"/>
        <w:tblLayout w:type="fixed"/>
        <w:tblCellMar>
          <w:top w:w="28" w:type="dxa"/>
          <w:left w:w="28" w:type="dxa"/>
          <w:bottom w:w="28" w:type="dxa"/>
          <w:right w:w="28" w:type="dxa"/>
        </w:tblCellMar>
      </w:tblPr>
      <w:tblGrid>
        <w:gridCol w:w="1119"/>
        <w:gridCol w:w="984"/>
        <w:gridCol w:w="987"/>
        <w:gridCol w:w="109"/>
        <w:gridCol w:w="109"/>
        <w:gridCol w:w="109"/>
        <w:gridCol w:w="282"/>
        <w:gridCol w:w="801"/>
        <w:gridCol w:w="221"/>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In-License Agreements for Lotilaner</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a clinical milestone was triggered to Elanco under the Eye and Derm Elanco Agreement upon enrollment of the first patient in the Phase 2a Galatea trial, evaluating the potential treatment of rosacea. The related milestone payment of $1.0 million was included in research and development expense in the accompanying Condensed Statements of Operations and Comprehensive Loss for the three months ended March 31, 2023.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 During 2023, a milestone of $4.0 million was achieved and paid to Elanco upon the first commercial sale of XDEMVY in the U.S., which was recorded as an intangible asset in the Balance Sheet as of December 31, 2023. The Company is amortizing the intangible asset to cost of sales over its useful life of 10 years from the date of the first commercial sale.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further cash payments to Elanco of $2.0 million under the Eye and Derm Elanco Agreement upon achievement of the last clinical milestone in the treatment of human skin diseases using lotilaner and a maximum of $75.0 million for various commercial and sales threshold milestones for the treatment of human skin diseases and the treatment of blepharitis in humans using lotilaner.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obligated to pay tiered contractual royalties to Elanco in the mid to high single digits of its net sales. If the Company received certain types of payments from its sublicensees, it was obligated to pay Elanco a variable percentage in the low to mid double-digits of such proceeds, until achievement of the first applicable regulatory approval of a product covered under the license, which occurred in July 2023 with FDA approval of XDEMVY. As a result of the commercialization of XDEMVY, the Company began accruing royalties payable to Elanco during the third quarter of 2023, which are recorded to cost of sales in the accompanying Condensed Statement of Operations and Comprehensive Loss for the three months ended March 31, 2024, and accounts payable and other accrued liabilities in the accompanying Condensed Balance Sheets as of March 31, 2024. Royalty expense during the three months ended March 31, 2024 was $1.2 million.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with an estimated fair value of $3.1 million ($14.0003 per share, approximating the issuance price of the Company's Series C preferred stock in September 2020).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including severance and change in control agreements, with six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OUT-LICENSE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LianBio was contractually responsible for all clinical development and commercialization activities and costs within the China Territory.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event was triggered based upon the signing of an agreement for which the Company has no ongoing obligations, resulting in $2.5 million recognized as license fees and collaboration revenue in the accompanying Condensed Statements of Operations and Comprehensive Loss for the three months ended March 31, 2023. </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On February 13, 2024, LianBio announced its plan to wind down its operations and on March 14, 2024 made a special cash dividend payment to the Company for $0.7 million (equivalent to $4.80 per share -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xml:space="preserve">). On March 26, 2024, the Company executed an agreement with Xi An Grand Chang An Pharmaceutical Co., Ltd. ("GrandPharma"), a subsidiary of Grand Pharmaceutical Group Limited,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from LianBio to GrandPharma (the "Novation Agreement"). Upon execution of the Novation Agreement, the China Out-License agreement with LianBio was assigned to GrandPharma and a one-time payment of $2.5 million (the "Termination Payment) was triggered and due to the Company from LianBio within fifteen days. This Termination Payment was recorded to license fees and collaboration revenue in the Condensed Statements of Operations and Comprehensive Loss for the three months ended March 31, 2024 and to other receivables in the Condensed Balance Sheets as of March 31, 2024, as the $2.5 million cash payment was not yet received by the Company until April 5, 2024. The Novation Agreement amended the $15.0 million future development milestone payable on China regulatory approval of the China Out-License agreement with a combined condition of patent issuance related to TP-03 in China.</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 with the execution of the Novation Agreement, the Company entered into an agreement with LianBio to terminate the unvested third tranche of the equity warrants related to the purchase of 78,373 shares of LianBio common stock for a total cancellation payment of $0.4 million (the "Warrant Cancellation Payment"). This Warrant Cancellation Payment was recorded to license fees and collaboration revenue in the Condensed Statements of Operations and Comprehensive Loss for the three months ended March 31, 2024 and other receivables in the Condensed Balance Sheets as of March 31, 2024.</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Through March 31, 2024, the Company received aggregate payments from LianBio totaling $83.2 million, comprised of (i) initial consideration of $15.0 million, (ii) $67.5 million for the achievement of specified milestones, and (iii) $0.7 million related to a special cash dividend.</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is eligible to receive further consideration from GrandPharma upon the achievement of additional TP-03 events, including: (i) additional regulatory and/or patent milestones of up to an aggregate of $20.0 million; (ii) China-based TP-03 sales threshold milestone payments of up to an aggregate of $100.0 million; and (iii) tiered low-to-high-teen royalties for China Territory TP-03 product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CREDIT FACILITY AGREEMENT</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2022, the Company executed the Credit Facility with Hercules and SVB that expires on February 2, 2027. As security for the obligations under the agreement, the Company granted a continuing security interest in substantially all of the Company's assets, excluding intellectual property on which there is a negative pledge. Concurrent with the execution of the Credit Facility, the Company made a $20.0 million draw.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2023, the Company entered into an amendment to the loan and security agreement (the "First Amendment"). The First Amendment set a maximum interest rate, and updated the terms of prepayment under the Credit Facility and other certain specific conditions, including an extended period for the Company to drawdown the $25.0 million tranche associated with the New Drug Application ("NDA") submission from March 15, 2023 to March 15, 2024, provided at least $5.0 million was drawn on or before March 15, 2023 and at least an additional $5.0 million was drawn on or before September 15, 2023. The Company did not incur any lender fees as part of this First Amendment.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23, 2023, the Company entered into a second amendment to the loan and security agreement (the "Second Amendment"). The Second Amendment updated the terms of the amount and proportion of the Company’s cash required to be maintained at SVB or affiliates of SVB. The Company did not incur any lender fees as part of this Second Amendment.</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March 15, 2023 and September 15, 2023, respectively, the Company made separate draws of $5.0 million (including SVB's commitment of $1.25 million) from the $25.0 million tranche that became available upon submission of the NDA. On March 15, 2024, the $15.0 million tranche related to the Company's NDA submission with the FDA for TP-03 in September 2022 and the $35.0 million tranche related to the FDA approval of XDEMVY in July 2023 both expired and were no longer available to be drawn as of period end. As of March 31, 2024, the Credit Facility provides for a remaining aggregate principal amount of up to $75.0 million with tranched availability as follows: $50.0 million available upon achievement of product sales, net thresholds; and $25.0 million available upon lender approval.</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First Amendment, the outstanding principal draws accrue interest at a floating interest rate per annum equal to the greater of either (i) The Wall Street Journal ("WSJ") prime rate plus 4.45% with an aggregate cap of 11.45%, or (ii) 8.45%. At the execution date of the Credit Facility, the WSJ prime rate was 3.25% and increased to 8.50% as of March 31, 2024.</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specified fee upon the earlier of (i) February 2, 2027 or (ii) the date the Company prepays, in full or in part, the outstanding principal balance of the Credit Facility ("End of Term Charge"). The current End of Term Charge of $1.4 million was derived by multiplying 4.75% by the $30.0 million outstanding principal balance as of March 31, 2024 and is accreted to interest expense through maturity.</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2023, the effective interest rate for the full term of the Credit Facility was 11.96% and 12.12%, respectively. The Company recognized interest expense on the accompanying Condensed Statements of Operations and Comprehensive Loss in connection with the Credit Facility as follows:</w:t>
      </w:r>
    </w:p>
    <w:tbl>
      <w:tblPr>
        <w:tblW w:w="5487" w:type="dxa"/>
        <w:jc w:val="left"/>
        <w:tblInd w:w="0" w:type="dxa"/>
        <w:tblLayout w:type="fixed"/>
        <w:tblCellMar>
          <w:top w:w="28" w:type="dxa"/>
          <w:left w:w="28" w:type="dxa"/>
          <w:bottom w:w="28" w:type="dxa"/>
          <w:right w:w="28" w:type="dxa"/>
        </w:tblCellMar>
      </w:tblPr>
      <w:tblGrid>
        <w:gridCol w:w="1101"/>
        <w:gridCol w:w="970"/>
        <w:gridCol w:w="974"/>
        <w:gridCol w:w="262"/>
        <w:gridCol w:w="564"/>
        <w:gridCol w:w="146"/>
        <w:gridCol w:w="146"/>
        <w:gridCol w:w="146"/>
        <w:gridCol w:w="146"/>
        <w:gridCol w:w="262"/>
        <w:gridCol w:w="564"/>
        <w:gridCol w:w="206"/>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term loan</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related to term loan</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Credit Facility consists of principal outstanding less legal and administrative issuance costs that were recorded as a debt discount to the term loan, net and will continue to be accreted to interest expense using the effective interest method during its term. The principal balance of this Credit Facility and related accretion and amortization are reported on a combined basis as term loan, net on the accompanying Condensed Balance Sheets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6686" w:type="dxa"/>
        <w:jc w:val="left"/>
        <w:tblInd w:w="0" w:type="dxa"/>
        <w:tblLayout w:type="fixed"/>
        <w:tblCellMar>
          <w:top w:w="28" w:type="dxa"/>
          <w:left w:w="28" w:type="dxa"/>
          <w:bottom w:w="28" w:type="dxa"/>
          <w:right w:w="28" w:type="dxa"/>
        </w:tblCellMar>
      </w:tblPr>
      <w:tblGrid>
        <w:gridCol w:w="1284"/>
        <w:gridCol w:w="1131"/>
        <w:gridCol w:w="1140"/>
        <w:gridCol w:w="259"/>
        <w:gridCol w:w="856"/>
        <w:gridCol w:w="144"/>
        <w:gridCol w:w="109"/>
        <w:gridCol w:w="109"/>
        <w:gridCol w:w="109"/>
        <w:gridCol w:w="304"/>
        <w:gridCol w:w="1002"/>
        <w:gridCol w:w="239"/>
      </w:tblGrid>
      <w:tr>
        <w:trPr/>
        <w:tc>
          <w:tcPr>
            <w:tcW w:w="128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gross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Term loan, net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Consulting Agreements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preexisting consulting agreement with a board member who was appointed in December 2021. During the year ended December 31, 2023, this consulting agreement provided for annual cash compensation of approximately $0.2 million and option grants to purchase 45,134 shares of the Company’s common stock, with exercise prices ranging from $2.01 to $34.72 per share.</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30, 2024, this consulting agreement with the board member was amended to provide for annual cash compensation of approximately $0.4 million and an additional option grant to purchase 10,000 shares of the Company’s common stock, with exercise price of $27.49 per share. This amended consulting agreement may be terminated by either party with ten days' notice and contains standard confidentiality, indemnification, and intellectual property assignment provisions in favor of the Company.</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recorded $0.1 million and $0.1 million, respectively, of selling, general and administrative expenses in the accompanying Condensed Statements of Operations and Comprehensive Loss related to this amended consulting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Sponsorship Activities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a board member of the Company was appointed president of the American Society of Cataract and Refractive Surgery ("ASCRS"), a society dedicated to meeting the needs of anterior segment ophthalmic surgeons.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recorded $0.1 million of selling, general and administrative expenses in the accompanying Condensed Statement of Operations and Comprehensive Loss for sponsorship and event-related activities associated with ASCRS.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SUBSEQUENT EVENTS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Credit Facility with Pharmakon Advisors, LP</w:t>
      </w:r>
    </w:p>
    <w:p>
      <w:pPr>
        <w:pStyle w:val="TextBody"/>
        <w:bidi w:val="0"/>
        <w:spacing w:lineRule="auto" w:line="288" w:before="240" w:after="283"/>
        <w:ind w:left="0" w:right="0" w:firstLine="10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19, 2024, the Company executed a loan and security agreement (the "Pharmakon Credit Facility") with funds associated with Pharmakon Advisors, LP. The Company drew $75.0 million in the initial tranche of the term loan in April 2024, a portion of which was utilized to repay all outstanding indebtedness on the existing Credit Facility term loan, resulting in total net proceeds of $39.8 million. The agreement provides for three potential additional term loan tranches in principal amounts up to $25.0 million, $50.0 million, and $50.0 million, respectively, subject to customary conditions to funding and, in the case of the last two tranches, achieving minimum net sales milestones. The three potential additional term loan tranches may be requested on or prior to December 31, 2024, June 30, 2025 and December 31, 2025, respectively. The Pharmakon Credit Facility matures on April 19, 2029.</w:t>
      </w:r>
    </w:p>
    <w:p>
      <w:pPr>
        <w:pStyle w:val="TextBody"/>
        <w:bidi w:val="0"/>
        <w:spacing w:lineRule="auto" w:line="288" w:before="240" w:after="283"/>
        <w:ind w:left="0" w:right="0" w:firstLine="10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loan bears interest at a floating rate based upon the secured overnight financing rate ("SOFR"), plus a margin of 6.75% per annum, and the SOFR is subject to a 3.75% floor. The agreement contains representations and warranties, and affirmative and negative covenants in each case. There is also no warrant coverage to the lenders and no financial covenants associated with the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Investment in Privately-held Eye Care Company</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shd w:fill="FFFFFF" w:val="clear"/>
        </w:rPr>
        <w:t xml:space="preserve">On April 5, 2024, the Company </w:t>
      </w:r>
      <w:r>
        <w:rPr>
          <w:rFonts w:ascii="Times New Roman;sans-serif" w:hAnsi="Times New Roman;sans-serif"/>
          <w:b w:val="false"/>
          <w:color w:val="000000"/>
          <w:sz w:val="20"/>
        </w:rPr>
        <w:t>participated in an equity round of an early clinical-stage private eye care company. Pursuant to the terms of a Preferred Stock Purchase Agreement the Company purchased</w:t>
      </w:r>
      <w:r>
        <w:rPr>
          <w:color w:val="000000"/>
          <w:shd w:fill="FFFFFF" w:val="clear"/>
        </w:rPr>
        <w:t xml:space="preserve"> </w:t>
      </w:r>
      <w:r>
        <w:rPr>
          <w:rFonts w:ascii="Times New Roman;sans-serif" w:hAnsi="Times New Roman;sans-serif"/>
          <w:b w:val="false"/>
          <w:color w:val="000000"/>
          <w:sz w:val="20"/>
          <w:shd w:fill="FFFFFF" w:val="clear"/>
        </w:rPr>
        <w:t xml:space="preserve">$3.0 million </w:t>
      </w:r>
      <w:r>
        <w:rPr>
          <w:rFonts w:ascii="Times New Roman;sans-serif" w:hAnsi="Times New Roman;sans-serif"/>
          <w:b w:val="false"/>
          <w:color w:val="000000"/>
          <w:sz w:val="20"/>
        </w:rPr>
        <w:t>of preferred stock. Drs. Azamian and Link are board members and the Company's former director, Michael Ackermann, is an executive and board member of this private company. The Company owns a small minority of this private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successfully commercialize XDEMVY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shd w:fill="FFFFFF" w:val="clear"/>
        </w:rPr>
        <w:t>our plans relating to commercializing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timing or likelihood of regulatory filings and approval for our product candidates </w:t>
      </w:r>
      <w:r>
        <w:rPr>
          <w:rFonts w:ascii="Times New Roman;sans-serif" w:hAnsi="Times New Roman;sans-serif"/>
          <w:b w:val="false"/>
          <w:color w:val="000000"/>
          <w:sz w:val="20"/>
          <w:shd w:fill="FFFFFF" w:val="clear"/>
        </w:rPr>
        <w:t>and our ability to meet existing or future regulatory standards or comply with post-approval requirements</w:t>
      </w:r>
      <w:r>
        <w:rPr>
          <w:rFonts w:ascii="Times New Roman;sans-serif" w:hAnsi="Times New Roman;sans-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estimates of the number of patients in the United States ("U.S.") or globally, as applicable,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Meibomian Gland Disease ("MGD"),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and ability to obtain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competitive position;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expectations regarding the period during which we will qualify as an emerging growth company under the Jumpstart Our Business Startups Act of 2012 (the "JOBS Act");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and March 2024 (the "March 2024 Public Offering", collectively the “Follow-On Public Offerings”), as well as proceeds from our sales agreement prospectus (the "2023 ATM Prospectus"), and drawdowns from our loan and security agreement (the "Pharmakon Credit Facility") with funds associated with Pharmakon Advisors, LP ("Pharmakon").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are a commercial stage biopharmaceutical company focused on the development and commercialization of therapeutics, starting with eye care. </w:t>
      </w:r>
      <w:r>
        <w:rPr>
          <w:rFonts w:ascii="Times New Roman;sans-serif" w:hAnsi="Times New Roman;sans-serif"/>
          <w:b w:val="false"/>
          <w:color w:val="000000"/>
          <w:sz w:val="20"/>
          <w:shd w:fill="FFFFFF" w:val="clear"/>
        </w:rPr>
        <w:t>Our lead product, XDEMVY (lotilaner ophthalmic solution) 0.25%, formerly known as TP-03,</w:t>
      </w:r>
      <w:r>
        <w:rPr>
          <w:color w:val="000000"/>
        </w:rPr>
        <w:t xml:space="preserve"> </w:t>
      </w:r>
      <w:r>
        <w:rPr>
          <w:rFonts w:ascii="Times New Roman;sans-serif" w:hAnsi="Times New Roman;sans-serif"/>
          <w:b w:val="false"/>
          <w:color w:val="000000"/>
          <w:sz w:val="20"/>
          <w:shd w:fill="FFFFFF" w:val="clear"/>
        </w:rPr>
        <w:t xml:space="preserve">was approved by the </w:t>
      </w:r>
      <w:r>
        <w:rPr>
          <w:rFonts w:ascii="Times New Roman;sans-serif" w:hAnsi="Times New Roman;sans-serif"/>
          <w:b w:val="false"/>
          <w:color w:val="000000"/>
          <w:sz w:val="20"/>
        </w:rPr>
        <w:t xml:space="preserve">U.S. Food and Drug Administration ("FDA") in July 2023 for the treatment of </w:t>
      </w:r>
      <w:r>
        <w:rPr>
          <w:rFonts w:ascii="Times New Roman;sans-serif" w:hAnsi="Times New Roman;sans-serif"/>
          <w:b w:val="false"/>
          <w:color w:val="000000"/>
          <w:sz w:val="20"/>
          <w:shd w:fill="FFFFFF" w:val="clear"/>
        </w:rPr>
        <w:t>blepharitis</w:t>
      </w:r>
      <w:r>
        <w:rPr>
          <w:color w:val="000000"/>
        </w:rPr>
        <w:t xml:space="preserve"> </w:t>
      </w:r>
      <w:r>
        <w:rPr>
          <w:rFonts w:ascii="Times New Roman;sans-serif" w:hAnsi="Times New Roman;sans-serif"/>
          <w:b w:val="false"/>
          <w:color w:val="000000"/>
          <w:sz w:val="20"/>
        </w:rPr>
        <w:t xml:space="preserve">caused by the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which is referred to as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the first and only therapeutic approved by the FDA and we believe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GABA-Cl") channels with no GABA-Cl inhibition in humans.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all of which met their primary, secondary and/or certain exploratory endpoints, with the drug well tolerated throughout each trial. We have also completed, and/or have ongoing clinical trials for TP-03 for the potential treatment of MGD, TP-04 for the potential treatment of rosacea and TP-05 for potential Lyme disease prophylaxis, among others.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 Business and Clinical Highlights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XDEMVY</w:t>
      </w:r>
      <w:r>
        <w:rPr>
          <w:rFonts w:ascii="Times New Roman;sans-serif" w:hAnsi="Times New Roman;sans-serif"/>
          <w:b w:val="false"/>
          <w:color w:val="000000"/>
          <w:sz w:val="20"/>
        </w:rPr>
        <w:t xml:space="preserve">: In July 2023, XDEMVY was approved by the FDA as the first and only approved therapeutic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targets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in pivotal trials demonstrated significant improvement in eyelids (reduction of collarettes, the pathognomonic sign of the disease, to no more than two collarettes per upper lid), mite eradication (mite density of zero mites per lash) and erythema cure (grade zero). We launched XDEMVY on August 24, 2023.</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During the first quarter of 2024 we recognized $24.7 million in net product sales, an increase of 89% compared to the fourth quarter of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26,000 bottles of XDEMVY were delivered to patients during the first quarter of 2024, an increase of 65% compared to the fourth quarter of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8,000 ECPs have started patients on XDEMVY with more than 50% of ECPs prescribing XDEMVY to multiple patients as of May 3,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Gross-to-net discounts remained consistent at approximately 55% given the impact of expected first quarter dynamics on net sales.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launched the "Mite Party" campaign, dynamic, multi-channel campaigns for XDEMVY, that was designed to elevate consumer awareness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through relatable messaging and compelling visuals.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continued to expand payer coverage of XDEMVY.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Secured several contracts, including two major commercial plans with approximately 18 million covered lives that placed XDEMVY on preferred status, and expect to begin recognizing the benefits of these contracts in the second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continue to be actively engaged in contracting discussions with all the key commercial and Medicare accounts and we remain on track for expected broad commercial coverage by the end of 2024 and broad Medicare coverage beginning in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On track with plans to deploy approximately 50 additional sales force representatives and leaders by the end of the third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Two additional independent meta-analyses of randomized controlled trials (Akhtar et al. and Talha et al.), demonstrating the efficacy of XDEMVY were published in peer-reviewed journals. To date, we are aware of four independent meta-analyses in total that have been published.</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TP-03 Meibomian Gland Disease, Ersa Trial</w:t>
      </w:r>
      <w:r>
        <w:rPr>
          <w:rFonts w:ascii="Times New Roman;sans-serif" w:hAnsi="Times New Roman;sans-serif"/>
          <w:b w:val="false"/>
          <w:color w:val="000000"/>
          <w:sz w:val="20"/>
        </w:rPr>
        <w:t xml:space="preserve">: In December 2023, we announced positive topline results of the Ersa Phase 2a clinical trial evaluating TP-03 (lotilaner ophthalmic solution, 0.25%) administered twice daily or three times a day for 12 weeks for the treatment of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TP-03 demonstrated statistically significant and clinically meaningful improvements compared to baseline in two objective measures of the disease – the presence and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liquid secretion as measured by the Meibomian Gland Secretion Score and the number of glands secreting normal (clear) liquid and was well tolerated. We plan to discuss and determine the potential regulatory path with the FDA by the end of 2024.</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TP-04 Rosacea, Galatea Trial</w:t>
      </w:r>
      <w:r>
        <w:rPr>
          <w:rFonts w:ascii="Times New Roman;sans-serif" w:hAnsi="Times New Roman;sans-serif"/>
          <w:b w:val="false"/>
          <w:color w:val="000000"/>
          <w:sz w:val="20"/>
        </w:rPr>
        <w:t>: On February 27, 2024, we announced positive topline results from the Galatea trial evaluating TP-04, a novel gel formulation of lotilaner, for the treatment of rosacea which demonstrated statistically significant improvements (p&lt;0.05) in inflammatory lesions and Investigator's Global Assessment score (change in baseline and success rate) were observed compared to vehicle at week 12. TP-04 was generally well tolerated. We plan to discuss and determine the potential regulatory path with the FDA by the end of 2024.</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TP-05 Lyme Disease, Carpo Trial</w:t>
      </w:r>
      <w:r>
        <w:rPr>
          <w:rFonts w:ascii="Times New Roman;sans-serif" w:hAnsi="Times New Roman;sans-serif"/>
          <w:b w:val="false"/>
          <w:color w:val="000000"/>
          <w:sz w:val="20"/>
        </w:rPr>
        <w:t>: On February 22, 2024, we announced positive topline results from the Carpo trial, which demonstrated statistical significance in the mortality of ticks compared to vehicle (p&lt;0.001), regardless of treatment arm, and was well tolerated. The Carpo trial is designed to evaluate TP-05, a novel investigative oral,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 We plan to discuss and determine the potential regulatory path with the FDA by the end of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TP-03 China Territory Out-License</w:t>
      </w:r>
      <w:r>
        <w:rPr>
          <w:rFonts w:ascii="Times New Roman;sans-serif" w:hAnsi="Times New Roman;sans-serif"/>
          <w:b w:val="false"/>
          <w:color w:val="000000"/>
          <w:sz w:val="20"/>
        </w:rPr>
        <w:t>: On February 13, 2024, LianBio Ophthalmology Limited ("LianBio") announced its plan to wind down its operations. On March 14, 2024, LianBio's Board of Directors made a special cash dividend payment to the Company of $0.7 million (equivalent to $4.80 per share, the fair value of the LianBio common stock).</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On March 26, 2024, we executed an agreement with Xi An Grand Chang An Pharmaceutical Co., Ltd. ("GrandPharma"), a subsidiary of Grand Pharmaceutical Group Limited,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"Novation Agreement"). Upon execution of the Novation Agreement, the development and license agreement with LianBio (the "China Out-License"), was assigned to GrandPharma and a one-time payment of $2.5 million (the "Termination Payment") was triggered, which was received on April 5, 2024. Additionally, the Novation Agreement amended the $15.0 million future development milestone related to the approval of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the China Territory, as defined in the China Out-License, with a combined condition of issuance of a patent related to TP-03. All references to the China Out-License in this Quarterly Report on Form 10-Q shall refer to the China Out-License, as assigned from LianBio to GrandPharma, pursuant to the Novation Agreement.</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 with the execution of the Novation Agreement, we entered into an agreement with LianBio to terminate the third tranche of the equity warrants related to the purchase of 78,373 shares of LianBio common stock for a total cancellation payment of $0.4 million (the "Warrant Termination Payment"), which was received on April 5,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through private placements of preferred stock, convertible promissory notes, net proceeds from issuance of common stock in our IPO, our subsequent follow-on public offerings in May 2022, August 2023, and March 2024, and our 2023 sales agreement prospectus, as well as proceeds from net product sales, our China Out-License, and drawdowns from the Credit Facility and the Pharmakon Credit Facility.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incurred significant net operating losses in every year since our inception and expect to continue to incur significant operating expenses as we commercialize XDEMVY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as we advance our other product candidates through clinical trials, regulatory submissions, and potential commercialization. Our net loss was $35.7 million and $23.4 million for the three months ended March 31, 2024 and 2023, respectively. Our net losses may fluctuate significantly from quarter to quarter and year to year and could be substantial. We anticipate that our operating expenses will increase significantly as we: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commercialize XDEMVY</w:t>
      </w:r>
      <w:r>
        <w:rPr>
          <w:color w:val="000000"/>
        </w:rPr>
        <w:t xml:space="preserve"> </w:t>
      </w:r>
      <w:r>
        <w:rPr>
          <w:rFonts w:ascii="Times New Roman;sans-serif" w:hAnsi="Times New Roman;sans-serif"/>
          <w:b w:val="false"/>
          <w:color w:val="000000"/>
          <w:sz w:val="20"/>
        </w:rPr>
        <w:t>and our other products for which we obtain regulatory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the clinical development of TP-03 for the potential treatment of MGD, TP-04 for the potential treatment of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hire additional staff, including clinical, scientific, technical, regulatory, marketing,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 information systems and personnel to support our product development and commercialization efforts, and to enable us to operate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generating product sales during the three months ended September 30, 2023 following the FDA approval of XDEMVY in July 2023 and our subsequent commercial launch in August 2023. Our reported revenue within license fees and collaboration revenue is from our China Out-License and clinical supply agreement; we expect to report additional revenue under this caption in future periods from GrandPharma related to the Novation Agreement.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product sales, net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of March 31, 2024, our aggregate cash, cash equivalents and marketable securities was $298.5 million – see the section below titled “</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Recently, </w:t>
      </w:r>
      <w:r>
        <w:rPr>
          <w:rFonts w:ascii="Times New Roman;sans-serif" w:hAnsi="Times New Roman;sans-serif"/>
          <w:b w:val="false"/>
          <w:color w:val="000000"/>
          <w:sz w:val="20"/>
          <w:shd w:fill="FFFFFF" w:val="clear"/>
        </w:rPr>
        <w:t>the economy has experienced downward pressure, and together with high rates of inflation and energy supply issues experienced in certain regions, war and geopolitical conflicts, have led to regional and/or global macroeconomic challenges, the effects of which may be of an extended duration.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maintain cash held in deposit at financial institutions in the U.S., including SVB, a division of First Citizens Bank.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 and the types of accounts we hold, but we will continue to monitor regularly and adjust, if needed, to mitigate risk, including any ongoing or new events involving limited liquidity, defaults, non-performance or other adverse developments that affect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w:t>
      </w:r>
    </w:p>
    <w:tbl>
      <w:tblPr>
        <w:tblW w:w="7996" w:type="dxa"/>
        <w:jc w:val="left"/>
        <w:tblInd w:w="0" w:type="dxa"/>
        <w:tblLayout w:type="fixed"/>
        <w:tblCellMar>
          <w:top w:w="28" w:type="dxa"/>
          <w:left w:w="28" w:type="dxa"/>
          <w:bottom w:w="28" w:type="dxa"/>
          <w:right w:w="28" w:type="dxa"/>
        </w:tblCellMar>
      </w:tblPr>
      <w:tblGrid>
        <w:gridCol w:w="1523"/>
        <w:gridCol w:w="1335"/>
        <w:gridCol w:w="1342"/>
        <w:gridCol w:w="197"/>
        <w:gridCol w:w="727"/>
        <w:gridCol w:w="110"/>
        <w:gridCol w:w="110"/>
        <w:gridCol w:w="110"/>
        <w:gridCol w:w="110"/>
        <w:gridCol w:w="197"/>
        <w:gridCol w:w="727"/>
        <w:gridCol w:w="110"/>
        <w:gridCol w:w="109"/>
        <w:gridCol w:w="109"/>
        <w:gridCol w:w="109"/>
        <w:gridCol w:w="196"/>
        <w:gridCol w:w="72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meaningful for further disclosure.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recognized revenue of $24.7 million from product sales, net of rebates, chargebacks, discounts, and other adjustments driven by approximately 26,000 prescriptions of XDEMVY to patients. During the three months ended March 31, 2023, there were no product sales, net recognized.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Fees and Collaboration Revenue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recognized $2.9 million of license fees and collaboration revenue including (i) $2.5 million for the Termination Payment related to the Novation Agreement and (ii) $0.4 million for the Warrant Termination Payment. During three months ended March 31, 2023 we recognized $2.5 million related to the achievement of a contractual milestone under the China Out License.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under the Novation Agreement to the extent other events occur, specifically related to (i) milestone achievement of certain regulatory events in the China Territory, and (ii) royalties and milestones from our licensee's product sales of TP-03 in the China Territory.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recognized $1.7 million in cost of sales for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During the three months ended March 31, 2023, there were no cost of sales recognized.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615" w:type="dxa"/>
        <w:jc w:val="left"/>
        <w:tblInd w:w="0" w:type="dxa"/>
        <w:tblLayout w:type="fixed"/>
        <w:tblCellMar>
          <w:top w:w="28" w:type="dxa"/>
          <w:left w:w="28" w:type="dxa"/>
          <w:bottom w:w="28" w:type="dxa"/>
          <w:right w:w="28" w:type="dxa"/>
        </w:tblCellMar>
      </w:tblPr>
      <w:tblGrid>
        <w:gridCol w:w="1101"/>
        <w:gridCol w:w="971"/>
        <w:gridCol w:w="973"/>
        <w:gridCol w:w="211"/>
        <w:gridCol w:w="695"/>
        <w:gridCol w:w="117"/>
        <w:gridCol w:w="117"/>
        <w:gridCol w:w="117"/>
        <w:gridCol w:w="117"/>
        <w:gridCol w:w="211"/>
        <w:gridCol w:w="695"/>
        <w:gridCol w:w="117"/>
        <w:gridCol w:w="109"/>
        <w:gridCol w:w="109"/>
        <w:gridCol w:w="109"/>
        <w:gridCol w:w="196"/>
        <w:gridCol w:w="49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Compensation and personnel-related </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$0.3 million for the three months ended March 31, 2024, as compared to the prior year period. This decrease was primarily due to (i) $1.6 million of decreased TP-05 program expenses including $1.0 million for the food effect study and $0.5 million for the Carpo trial, and (ii) $1.0 million of prior period milestone expense related to our in-license agreement with Elanco. These decreases were partially offset by (i) $1.5 million of increased payroll and personnel-related costs (including increased stock-based compensation expense of $0.3 million) related to 20 employee additions period over period to drive our product development initiatives, (ii) $0.5 million of other indirect expenses, and (iii) $0.5 million of increased TP-03 program expenses primarily due to Phase 4 studies, which was partially offset by completion of the Ersa Phase 2a trial.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$36.5 million for the three months ended March 31, 2024, as compared to the prior year period. The increase was primarily due to (i) $11.3 million of increased payroll and personnel-related costs (including increased stock-based compensation expense of $1.2 million) for 122 corporate employee additions, period over period, to support our business growth and commercial leadership hires for our recent commercial launch of XDEMVY, (ii) $12.2 million of increased commercial and market research costs as we continued our commercial expansion for the recent commercial launch of XDEMVY, and (iii) $12.7 million of increased IT applications, legal, professional and other corporate expenses. We expect our field sales headcount and associated vendor expenses to continue to increase during 2024 due to further growth and expansion of our commercial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$0.4 million primarily due to (i) $0.8 million of increased interest income earned on our cash, cash equivalents and marketable securities, and (ii) $0.6 million of other income, net substantially related to dividend income from LianBio. These increases were partially offset by decreases in other income, net including (i) $0.5 million change in fair value of the LianBio common stock (ii) increased interest expense of $0.3 million on the Credit Facility, and (iii) $0.2 million change in fair value related to the final mark-to-market adjustment on the unvested third tranche equity warrant.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financed our operations substantially through private placements of preferred stock, net proceeds from the issuance of common stock through our IPO, Follow-on Public Offerings, and the 2023 ATM Prospectus, as well as proceeds from net product sales, the China Out-License, and drawdowns from the Credit Facility and the Pharmakon Credit Facility. As of March 31, 2024, we had cash, cash equivalents and marketable securities of $298.5 million.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completed the August 2023 Public Offering in which 5,714,285 shares of our common stock were sold at a public offering price of $17.50 per share. In September 2023, the underwriters partially exercised an option to purchase an additional 355,164 shares of our common stock at the public offering price of $17.50 per share. After giving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exercise of the underwriters' option, we sold a total of 6,069,449 shares and received aggregate net proceeds of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an automatic shelf registration statement on Form S-3 ASR (the "2024 Shelf Registration Statement"). On March 5, 2024 we completed an underwritten follow-on public offering under the 2024 Shelf Registration Statement on Form S-3 of 2,812,500 shares of our common stock, par value $0.0001 per share, and, in lieu of common stock to a certain investor, pre-funded warrants to purchase 312,500 shares of our common stock (the “March 2024 Public Offering”).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its common stock at the public offering price of $32.00 per share, which the underwriters exercised in full on March 1, 2024. We received approximately $107.7 million in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During the year ended December 31, 2023, we sold 1,000,000 shares of our common stock for $20.00 per share under a sales agreement prospectus filed in November 2023, pursuant to the 2023 Shelf Registration Statement (defined below)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(the "2023 ATM Prospectus") with Jefferies LLC ("Jefferies"). This resulted in net proceeds of $19.2 million, after deducting broker commissions and offering 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sales of our common stock pursuant to the 2023 ATM Prospectus.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the Warrant Termination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is eligible to receive further consideration from GrandPharma upon the achievement of additional TP-03 events, including: (i) $20.0 million of potential future regulatory and/or patent milestones; (ii) $100.0 million of potential future China-Based TP-03 sales threshold milestones; and (iii) tiered low-to-high-teen royalties for China Territory TP-03 product sales.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executed the Credit Facility with Hercules and SVB. Concurrent with the execution of the Credit Facility we drew $20.0 million. This Credit Facility was amended in January 2023 and August 2023. The Credit Facility, as amended, set a maximum interest rate, updated the terms of prepayment under the Credit Facility and includes an extended period to drawdown the tranche associated with the New Drug Application("NDA") submission, from March 15, 2023 to March 15, 2024 provided at least $5.0 million was drawn on or before March 15, 2023 and at least an additional $5.0 million was drawn on or before September 15, 2023. On March 15, 2023 and September 15, 2023, respectively, we made draws of $5.0 million (including SVB's commitment of $1.25 million) from the $25.0 million tranche associated with the NDA submission of TP-03. The balance on the Credit Facility was $29.9 million as of March 31, 2024 and included a four-year period of interest-only payments. The agreement was extendable for a fifth year to February 2027 maturity, upon our expected achievement of required conditions. As of March 31, 2024, we had $75.0 million of remaining tranched availability.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On April 19, 2024 the Company executed the Pharmakon Credit Facility with Pharmakon. The Pharmakon Credit Facility provides a $75.0 million initial term loan which was drawn in April 2024, a portion of which was utilized to repay all outstanding indebtedness associated with the prior Credit Facility, for total net proceeds of $39.8 million. The Pharmakon Credit Facility provides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ans-serif" w:hAnsi="Times New Roman;sans-serif"/>
          <w:b w:val="false"/>
          <w:color w:val="000000"/>
          <w:sz w:val="20"/>
        </w:rPr>
        <w:t>achieving minimum net sales milestones. The three additional tranches may be requested on or prior to December 31, 2024, June 30, 2025 and December 31, 2025, respectively. The Pharmakon Credit Facility matures on April 19,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 xml:space="preserve">The Pharmakon Credit Facility will bear interest at a floating rate based upon the secured overnight financing rate (“SOFR”), plus a margin of 6.75% per annum. The SOFR is subject to a 3.75% floor. </w:t>
      </w:r>
      <w:r>
        <w:rPr>
          <w:rFonts w:ascii="Times New Roman;sans-serif" w:hAnsi="Times New Roman;sans-serif"/>
          <w:b w:val="false"/>
          <w:color w:val="000000"/>
          <w:sz w:val="20"/>
        </w:rPr>
        <w:t xml:space="preserve">The Pharmakon Credit Facility contains representations and warranties, affirmative and negative covenants in each case. </w:t>
      </w:r>
      <w:r>
        <w:rPr>
          <w:rFonts w:ascii="Times New Roman;sans-serif" w:hAnsi="Times New Roman;sans-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$280.4 million as of March 31, 2024. </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$298.5 million as of March 31, 2024 is sufficient to fund our current and planned operations for at least the next twelve months from this Quarterly Report on Form 10-Q. We also anticipate having additional availability from our Pharmakon Credit Facility of at least $25.0 million on or prior to December 31, 2024 and another $100 million contingent on reaching certain sales milestones.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filed a shelf registration statement on Form S-3 that was declared effective by the SEC on November 21, 2023, (the "2023 Shelf Registration Statement"), which replaced the November 2021 Shelf Registration Statement, as defined below, and permits us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2023 Shelf Registration Statement, we concurrently filed the 2023 ATM Prospectus with Jefferies. Under the terms of the 2023 ATM Prospectus, Jefferies will act as the Company's sales agent and is entitled to compensation for its services equal to 3% of the gross proceeds of any shares of common stock sold. In December 2023, we sold 1,000,000 shares of our common stock under the 2023 ATM Prospectus for $20.00 per share and received net proceeds of $19.2 million, after deducting broker commission and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2021, we filed a shelf registration statement on Form S-3 that was declared effective by the SEC on November 5, 2021 (the “2021 Shelf Registration Statement”), which permitted us to offer up to $300.0 million of common stock, preferred stock, debt securities and warrants in one or more offerings and in any combination, including in units from time to time. The 2023 Shelf Registration Statement replaced the 2021 Shelf Registration Statement.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Also, as part of the 2021 Shelf Registration Statement, we concurrently filed a sales agreement prospectus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(the “2021 ATM Prospectus”) with Jefferies LLC. We did not sell any shares of our common stock under the 2021 ATM Prospectus. On July 31, 2023, in connection with the August 2023 Public Offering, we terminated the sales agreement prospectus relating to the 2021 ATM Prospectus.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Other Liquidity Risks</w:t>
      </w:r>
      <w:r>
        <w:rPr>
          <w:color w:val="00000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incur significant operating losses for the foreseeable future, and for these losses to further increase, as we expand our clinical development programs for our other product candidates and given the recent commercial launch of XDEMVY. We may also encounter unforeseen expenses, difficulties, complications, delays and other currently unknown factors that could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 and availability of our Pharmakon Credit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Statements of 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tbl>
      <w:tblPr>
        <w:tblW w:w="5484" w:type="dxa"/>
        <w:jc w:val="center"/>
        <w:tblInd w:w="0" w:type="dxa"/>
        <w:tblLayout w:type="fixed"/>
        <w:tblCellMar>
          <w:top w:w="28" w:type="dxa"/>
          <w:left w:w="28" w:type="dxa"/>
          <w:bottom w:w="28" w:type="dxa"/>
          <w:right w:w="28" w:type="dxa"/>
        </w:tblCellMar>
      </w:tblPr>
      <w:tblGrid>
        <w:gridCol w:w="1107"/>
        <w:gridCol w:w="970"/>
        <w:gridCol w:w="983"/>
        <w:gridCol w:w="196"/>
        <w:gridCol w:w="721"/>
        <w:gridCol w:w="109"/>
        <w:gridCol w:w="109"/>
        <w:gridCol w:w="109"/>
        <w:gridCol w:w="109"/>
        <w:gridCol w:w="196"/>
        <w:gridCol w:w="72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$37.8 million for the three months ended March 31, 2024, which primarily consisted of our net loss of $35.7 million and a net decrease in net operating assets and liabilities of $8.6 million, partially offset by a net increase in non-cash and other changes of $6.5 million. The net decrease in net operating assets and liabilities was primarily due to an increase in accounts receivable of $13.3 million and a decrease in accrued payroll and benefits of $7.3 million, partially offset by an increase in accounts payable and other accrued liabilities of $12.3 million. The net non-cash and other charges were primarily related to stock-based compensation expense of $5.5 million and unrealized loss on equity investments of $0.6 million.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$22.0 million for the three months ended March 31, 2023, which primarily consisted of our net loss of $23.4 million and net decrease in net operating assets and liabilities of $1.4 million, partially offset by a net increase in non-cash and other changes of $2.9 million. The net decrease in net operating assets and liabilities was primarily due to an increase in accounts receivable of $2.5 million, a decrease in accrued payroll and benefits of $1.3 million, and a decrease in accounts payable and other accrued liabilities of $1.0 million, partially offset by a decrease in other receivables of $3.2 million. The net increase in non-cash and other charges were primarily related to stock-based compensation expense of $3.9 million, partially offset by net amortization/accretion on marketable securities of $1.5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Provided by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$102.2 million for the three months ended March 31, 2024, and primarily relates to $104.6 million of purchased investments and $0.2 million of purchased furniture, fixtures, office equipment and leasehold improvements for our laboratory and administrative offices, partially offset by $2.5 million of proceeds from maturities of investments.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$11.3 million for the three months ended March 31, 2023, and primarily related to $40.3 million of proceeds from maturities of investments, partially offset by $28.7 million of purchased investments and $0.3 million of purchased furniture, fixtures and leasehold improvements for our laboratory and administrative offices.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$108.8 million for the three months ended March 31, 2024, and primarily relates to $98.6 million of net proceeds from the issuance of common stock and $9.4 million of net proceeds from the issuance of pre-funded warrants related to the March 2024 Public Offering, and $0.8 million of proceeds from employee stock option exercises.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$5.0 million for the three months ended March 31, 2023, which substantially relates to proceeds from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financial condition and results of operations is based on our Condensed Financial Statements, which have been prepared in conformity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A summary of our critical accounting policies is presented in our filed Annual Report on Form 10-K for the year ended December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the notes to our financial statements also included in this Annual Report on Form 10-Q, we believe these critical accounting policies are the most important to understanding and evaluating our reported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will remain an emerging growth company until the </w:t>
      </w:r>
      <w:r>
        <w:rPr>
          <w:rFonts w:ascii="Times New Roman;sans-serif" w:hAnsi="Times New Roman;sans-serif"/>
          <w:b w:val="false"/>
          <w:i/>
          <w:color w:val="000000"/>
          <w:sz w:val="20"/>
        </w:rPr>
        <w:t>earliest of</w:t>
      </w:r>
      <w:r>
        <w:rPr>
          <w:color w:val="000000"/>
        </w:rPr>
        <w:t xml:space="preserve"> </w:t>
      </w:r>
      <w:r>
        <w:rPr>
          <w:rFonts w:ascii="Times New Roman;sans-serif" w:hAnsi="Times New Roman;sans-serif"/>
          <w:b w:val="false"/>
          <w:color w:val="000000"/>
          <w:sz w:val="20"/>
        </w:rPr>
        <w:t>(1)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June 30th and (3)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Securities Exchange Act of 1934, as amended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system of disclosure controls and procedures that are designed to provide reasonable assurance that information required to be disclosed in the reports that we file or submit under the Exchange Act, is processed, recorded, summarized and reported within the time periods specified in the SEC’s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March 31, 2024. Based upon that evaluation, our Chief Executive Officer and Chief Financial Officer have concluded that, as of March 31, 2024,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79"/>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We are an early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one product, XDEMVY, which recently obtained FDA approval for the treatment of </w:t>
      </w:r>
      <w:r>
        <w:rPr>
          <w:rFonts w:ascii="Times New Roman;sans-serif" w:hAnsi="Times New Roman;sans-serif"/>
          <w:b w:val="false"/>
          <w:i/>
          <w:color w:val="000000"/>
          <w:sz w:val="20"/>
        </w:rPr>
        <w:t>Demode</w:t>
      </w:r>
      <w:r>
        <w:rPr>
          <w:rFonts w:ascii="Times New Roman;sans-serif" w:hAnsi="Times New Roman;sans-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Facility and Pharmakon Credit Facility. For the three months ended March 31, 2024 and 2023 our net losses were $35.7 million and $23.4 million, respectively. As of March 31, 2024 and December 31, 2023, we had an accumulated deficit of $280.4 million and $244.7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expect to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incurring significant expenses and increasing operating losses for the foreseeable future. We expect that our expenses will increase substantially if and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 or add additional manufacturers or suppliers, some of which may require additional permits or other governmental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are any third-party challenges to our intellectual property or we need to defend against any intellectual property-related claim.</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operational, financial and management controls, reporting systems and procedures.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employees, consultants and advisors and to attract, retain and motivate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 ("CMO"), and other contractors and consultants are potentially vulnerable to breakdown or other damage or interruption from service interruptions, system malfunction, natural disasters, interruptions or cyber incidents resulting from the conflict between Russia and Ukraine,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specific coverage to mitigate losses associated with certain cybersecurity incidents that impact our or our third parties’ systems, networks, and technologies.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inability or delay of our efforts to commercialize XDEMVY or any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decreased demand for XDEMVY or any product candidates or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withdrawal of regulatory approval, recall, restriction on the approval or a black box warning or contraindication for XDEMVY or any future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recalls, withdrawals or new labeling requirements, marketing or promotional restrictions;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revenue.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disruptions that could severely impact our business, preclinical studies, and clinical trials,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disruptions;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to our sourced discovery and clinical activities.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Unfavorable global and geopolitical economic conditions could adversely affect our business, financial condition or results of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Israel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before="0" w:after="0"/>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significant portfolio of investments disclosed as cash equivalents and marketable securities on our accompanying Balance Sheets. The value of our investments may be adversely affected by interest rate fluctuations, inflation, downgrades in credit ratings, illiquidity in the capital markets, health epidemics and other factors that may result in other-than-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declines in the value of our investments. Any of those events could cause us to record impairment charges with respect to our investment portfolio or to realize losses on sales of investments.</w:t>
      </w:r>
    </w:p>
    <w:p>
      <w:pPr>
        <w:pStyle w:val="TextBody"/>
        <w:bidi w:val="0"/>
        <w:spacing w:before="0" w:after="0"/>
        <w:ind w:left="0" w:right="0" w:firstLine="979"/>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only recently obtained regulatory approval for XDEMVY in the U.S. and commenced the commercial launch of XDEMVY.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recently received approval by the FDA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ECPs and third-party payers. Further, our commercial success is dependent on our ability to educate ECPs, patients and others in the medical community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We currently have one product approved for commercial sale, XDEMVY (lotilaner ophthalmic solution) 0.25%, which was approved by the FDA in July 2023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in the U.S. The success of our business, including our ability to generate revenue from product sales in the future, will primarily depend on the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and timely completion of preclinical and clinical development of our product candidates;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successfully educating ECPs about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related diagnosis;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commercial acceptance of XDEMVY and any of our other product candidates by patients, the medical community and third-party payers;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making any required post-marketing approval commitments to applicable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an IND prior to commencing clinical trials in the U.S. for drug for a particular indication, such as TP-04 for the potential treatment of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approved prescription therapeutic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may require significant resources and may not be 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Although XDEMVY is approved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ECPs and potential patients may not have sufficient information about, or recognize the need for a treatment specifically targeting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It is possible that ECPs may continue to rely on other treatments for treating symptoms consistent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 key tenet of our continued commercialization strategy is to educate ECPs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how to diagnose it with a simple slit lamp examination as well as raise patient awareness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 xml:space="preserve">willing to adopt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because of the possibility that the disease will recur despite mite eradication and the potential for periodic use of XDEMVY.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perception by patients or physicians that the diseases we are targeting, including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sales, marketing, and distribution of XDEMVY or any future approved products may be unsuccessful or less successful than anticipated. If we are unable to establish sales and marketing capabilities or enter into agreements with third parties to sell and market XDEMVY or any future approved products on acceptable terms, we may be unable to successfully commercialize XDEMVY or any future approved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recently began commercializing our first product, XDEMVY, in the U.S.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incur significant expenses.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sizes of the market opportunities for our product or product candidates, particularly XDEMVY for the treatment of Demodex blepharitis and TP-03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Due to the patients presenting at ECP clinics with multiple ocular surface diseases, there is overlap in market size estimates for blepharitis and MGD. Therefore, if XDEMVY receives regulatory approval for the treatment of both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our opportunity could be less than our forecasts because the actual market for XDEMVY might be significantly smaller than our estimates.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Even though we obtained regulatory approval with respect to XDEMVY for Demodex blepharitis, we may not be able to obtain regulatory approval for additional indications, such as MGD, or we may be required to conduct additional trials, which would limit our ability to realize the full market potential of XDEMVY or increase the costs of developing TP-03 for MGD.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exploring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we will obtain approval for any other indication, including MGD or for any broadened indication beyond the treatment of Demodex blepharitis. If we fail to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face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compete may be affected in many cases by insurers or other third-party payers, particularly Medicare and the competent authorities of the individual European Union Member States (collectively the "EU Member States"),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Additionally, while XDEMVY is approved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including XDEMVY, outside of the U.S., we will need to comply with additional onerous but varying regulatory requirements of other countries regarding safety and efficacy on a country-by-country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Approval by the FDA in the U.S.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change the way the product is administered or conduct additional clinical trials or post-approval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create and implement a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reputation may suffer and there may be resulting harm to physician or patient acceptance of our product.</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ans-serif" w:hAnsi="Times New Roman;sans-serif"/>
          <w:b w:val="false"/>
          <w:color w:val="000000"/>
          <w:sz w:val="20"/>
        </w:rPr>
        <w:t>CMS could also decide to terminate our Medicaid drug rebate agreement,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of 2010 ("ACA") (addressed further above in the section on “Business – Government Regulatory – Coverage and Reimbursement”)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managers ("PBM") “accumulator” programs were invalidated by a court, such programs may continue to negatively affect us in other ways. Our failure to comply with these price reporting and rebate payment options, as well as PBM “accumulator” programs, could negatively impact our financial results.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Inflation Reduction Act of 2022 ("IRA") establishes a Medicare Part D inflation rebate scheme (the first rebate period is in fourth quarter 2022 through third quarter 2023) and a drug price negotiation program, with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rebates for contractually agreed-upon discounts with commercial insurance companies and mandated discounts under government programs such as the Medicaid Drug Rebate Program, Medicare Part D Prescription Drug Program,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the Company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 xml:space="preserve">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and other product candidates may not yield any commercially viable products. If we do not accurately evaluate the commercial potential or target market for XDEMVY, TP-03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pStyle w:val="TextBody"/>
        <w:bidi w:val="0"/>
        <w:spacing w:lineRule="auto" w:line="276" w:before="240" w:after="283"/>
        <w:jc w:val="left"/>
        <w:rPr/>
      </w:pPr>
      <w:r>
        <w:rPr>
          <w:rFonts w:ascii="Times New Roman;sans-serif" w:hAnsi="Times New Roman;sans-serif"/>
          <w:b/>
          <w:i/>
          <w:color w:val="000000"/>
          <w:sz w:val="20"/>
        </w:rPr>
        <w:t>If XDEMVY</w:t>
      </w:r>
      <w:r>
        <w:rPr>
          <w:color w:val="000000"/>
        </w:rPr>
        <w:t xml:space="preserve"> </w:t>
      </w:r>
      <w:r>
        <w:rPr>
          <w:rFonts w:ascii="Times New Roman;sans-serif" w:hAnsi="Times New Roman;sans-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before="0" w:after="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we are not permitted to promote XDEMVY for any other uses, unless and until such uses are approved.</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are early in our development efforts for our product candidates and indications, including TP-03 for the treatment of MGD, TP-04 for the treatment of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to satisfy the preclinical study requirements for TP-03 for the treatment of MGD, and TP-04 and TP-05 and other indications. For MGD, we announced the enrollment of our first patient in the Phase 2a Ersa trial studying TP-03 for the potential treatment of MGD and in December 2023 reported positive topline results. For rosacea, we conducted the Phase 1 Galatea trial with TP-04 and initiated the Phase 2a Galatea trial, for the treatment of rosacea in March 2023. In February 2024, we announced positive topline results and plan to discuss and determine the potential regulatory path with the FDA. With respect to Lyme disease, in December 2022 we announced positive topline results from the completed Callisto trial and enrollment of the first patient in the Carpo trial. The Carpo trial, evaluating TP-05, a novel investigative oral,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and plan to discuss and determine the potential regulatory path with the FDA. The FDA may reject our use of data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 xml:space="preserve">TP-03 preclinical studies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recently experienced delays related to our Carpo trial with topline results pushed out to February 2024 as a result of patient enrollment delays. The enrollment of patients depends on many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may compete with other clinical trials for product candidates that are in the same therapeutic areas as our product candidates, and this competition would reduce the number and types of</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interpretation of contractual provisions governed by foreign laws in the event of a contract dispute.</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on February 13,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blepharitis.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conducted a number of our completed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two license agreements with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eye or skin), as amended in June 2022 (the "All Human Uses Elanco Agreement" and with the Eye and Derm Elanco Agreement, the "Elanco Agreements"), and have also entered into the China Out-License as discussed elsewhere herein. We also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before="0" w:after="0"/>
        <w:ind w:left="0" w:right="0" w:firstLine="979"/>
        <w:jc w:val="left"/>
        <w:rPr/>
      </w:pPr>
      <w:r>
        <w:rPr/>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 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Facility and Pharmakon Credit Facility.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$298.5 million as of March 31, 2024 and expected sales of XDEMVY is sufficient to fund our current and planned operations for at least the next twelve months from the date of filing this Quarterly Report on Form 10-Q. </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to raise substantial additional capital to complete the development and commercialization of XDEMVY and our other product candidates through one or more of: equity offerings, draws from our Pharmakon Credit Facility,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manufacturing development and commercial manufacturing activities and our ability to scale them up;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Demodex 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and March 2024, we completed the Follow-On Public Offerings, in which we received total net proceeds of $74.2 million, $99.3 million, and $107.7 million, respectively (after deducting underwriting discounts, commissions and other estimated offering-related expenses) through the issuance of 5,889,832 shares of our common stock in the May 2022 Public Offering, 6,069,449 shares of our common stock in the August 2023 Public Offering, and 2,812,500 shares of common stock, and in lieu of common stock to a certain investor, pre-funded warrants to purchase 312,500 shares of our common stock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2024 Public Offering. Debt financing, if available, may involve agreements that include covenants limiting or restricting our ability to take specific actions. For example, the Pharmakon Credit Facility restricts our ability to pursue certain transactions that we may believe to be in our best interests without the prior written consent of Pharmakon, including but not limited to: disposing of assets, engaging in mergers, acquisitions, and similar transactions,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SVB was closed by the California Department of Financial Protection and Innovation, which appointed the FDIC, as receiver, and SVB was subsequently transferred into a new entity, SVBB.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Silicon Valley Bridge Bank has assumed the obligations and commitments of former SVB and commitments to advance under existing credit agreements with former SVB will be honored by SVBB in accordance with and pursuant to the terms of such credit agreements. In March 2023, First Citizens Bank assumed all of SVBB’s obligations and commitments, and SVBB began operating as SVB,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On April 19, 2024 we entered into the Pharmakon Credit Facility with Pharmakon. The Pharmakon Credit Facility provides a $75.0 million initial term loan which was drawn in April 2024, a portion of which was utilized to repay all outstanding indebtedness, for total net proceeds of $39.8 million. The Pharmakon Credit Facility provides for three potential additional term loan tranches in principal amounts up to $25.0 million, $50.0 million, and $50.0 million, respectively, subject to customary conditions to funding and, in the case of the last two tranches, achieving minimum net sales milestones, which may be requested on or prior to December 31, 2024, June 30, 2025 and December 31, 2025, respectively. The Pharmakon Credit Facility contains representations and warranties, affirmative and negative covenants in each case, which is customary for financings of this type. However, there are no financial covenants. The Pharmakon Credit Facility contains representations and warranties, affirmative and negative covenants in each case customary for financings of this type. Certain of the customary negative covenants limit our ability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Such restrictions could limit our ability to take certain actions and could reduce our flexibility to run and manage our business which could have an adverse effect on our results of operations. Our obligations under the Pharmakon Credit Facility are secured by a lien in substantially all of our assets, subject to certain exclusions. If we were unable to repay amounts due under the Pharmakon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engage in acquisitions or strategic partnerships that could disrupt our business, cause dilution to our stockholders, reduce our financial resources, cause or to incur debt or assume contingent liabilities, and subject us to other risks.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our Pharmakon Credit Facility may restrict our ability to pursue certain mergers, acquisitions or consolidations without obtaining the prior consent of Pharmakon or repaying our outstanding loan amounts.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76" w:before="0" w:after="0"/>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adverse legislative or regulatory tax changes that could negatively impact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Reliance on Third Parties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commercial manufacture of XDEMVY and for the manufacture of our product candidates for preclinical studies, clinical trials and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We currently have limited manufacturing arrangements and expect that XDEMVY and each of our product candidates will only be covered by single source suppliers for the foreseeable future. For example, we purchase our API for XDEMVY, lotilaner, from Elanco, who sources through a single source supplier. This reliance increases the risk that we will not have sufficient quantities of XDEMVY or our product candidates or any future approved products, or such quantities at an acceptable cost or quality,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requirements to cease development or to recall batches of XDEMVY or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 inability to initiate or continue clinical trials of our product candidates under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the cooperation of an existing or future collaborator, including by Elanco Agreements;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 xml:space="preserve">patent by USPTO administered post-grant proceedings, including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development and commercialization of our products, including our lead product XDEMVY, for the treatment of Demodex blepharitis, TP-03 for the potential treatment of MGD, TP-04 for the potential treatment of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agreement with a combined condition of patent issuance related to TP-03 in China. If we are not able to obtain the aforementioned patent issuance in China, the likelihood we achieve the associated milestone, as well as commercialization in the China Territory would be substantially decreased. </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candidates, our competitive position, business, financial condition, results of operations and prospects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plan to utilize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and market conditions generally.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impede, or delay or prohibit the further development or commercialization of one or more product candidates that rely on such agreements.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pending U.S. and foreign patent applications in our portfolio, we cannot predict: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protection of any patent issuing based on our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for any product candidates we may develop, our business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protect or enforce our patents and other intellectual property rights, which could be expensive, time-consuming and unsuccessful.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 xml:space="preserve">examination,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Because of the expense and uncertainty of litigation, we may not be in a position to enforce our intellectual property rights against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to compete with us. If any of our trade secrets were to be disclosed to or independently developed by a competitor or other third party, our competitive position would be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our commercial activities or product candidates will not infringe upon the patents of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and preclinical programs for an adequate amount of time.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negative or inconclusive results from a preclinical study or clinical trial or adverse events during a clinical trial could cause a preclinical study or clinical trial to be repeated or a development program to be terminated,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European Union,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ACA substantially changed the way healthcare is financed by both the government and private insurers, and significantly impacts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CMS to test innovative payment and service delivery models to lower Medicare and Medicaid spending, potentially including prescription drug spending.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percent to 70 percent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ans-serif" w:hAnsi="Times New Roman;sans-serif"/>
          <w:b w:val="false"/>
          <w:color w:val="000000"/>
          <w:sz w:val="20"/>
        </w:rPr>
        <w:t>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scheme,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 FAMP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established Prescription Drug Affordability Boards (or similar entities) to review high-cost drugs and, in some cases, set upper payment limits.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European Union, coverage and reimbursement status of any product candidates for which we obtain regulatory approval are provided for by the national laws of EU Member States. The requirements may differ across the EU Member States. In markets outside of the U.S. and the European Union,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in the U.S., the European Union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clinical trial investigators, contract research organizations, consultants, vendors and any potential commercial partners may engage in misconduct or other improper activities, including non-compliance with regulatory standards and requirements and insider trading.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 These laws are further described in the section titled “Business - Government Regulation - Other Regulatory Matters.”</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each of these laws is uncertain and subject to rapid change in the current environment of healthcare reform. Various state and federal regulatory and enforcement agencies continue actively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("FTC")),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ans-serif" w:hAnsi="Times New Roman;sans-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Standard Contractual Clauses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European Union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ans-serif" w:hAnsi="Times New Roman;sans-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European/UK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stock price of our common stock may be volatile or may decline regardless of our operating performance and you could lose all or part of your investment.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rPr>
        <w:t>our failure to achieve product development or commercialization goals or regulatory approval milestones in the timeframe we announce;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of our market float;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"smaller reporting company" and we cannot be certain if the reduced reporting requirements applicable to emerging growth companies will make our common stock less attractive to investors.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and we intend to take advantage of some of the exemptions from reporting requirements that are applicable to other public companies that are not emerging growth companies,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the auditor attestation requirements of Section 404(b) of the Sarbanes-Oxley Act of 2002, as amended (the "Sarbanes-Oxley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disclose certain executive compensation-related items such as the correlation between executive compensation and performance and comparisons of the chief executive officer’s compensation to median employee compensation;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submit certain executive compensation matters to stockholder advisory votes, such as "say-on-pay," "say-on-frequency," and "say-on-golden parachutes."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IPO, (b) the last day of the fiscal year (a) in which we have total annual gross revenue of at least $1.235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could cause the price of our common stock to fall.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2024, we had 37,749,468 shares of common stock outstanding. Shares held by directors, executive officers and other affiliates will be subject to volume limitations under Rule 144 under the Securities Act of 1933 (the Securities Act") and various vesting agreements.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ATM program, convertible securities or other equity securities in one or more transactions at prices and in a manner we determine from time to time. For example, in March 2024 we completed a follow-on public offering of 2.8 million shares of our common stock at a public offering price of $32.00 per share and, in lieu of common stock to a certain investor, pre-funded warrants to purchase 312,500 shares of our common stock at a price of $31.9999 per pre-funded warrant, for aggregate net proceeds of approximately $107.7 million (after deducting underwriting discounts, commissions and other estimated offering-related expenses) and in the fourth quarter of 2023 we raised approximately $19.2 million, after deducting broker commissions and fees, through sales under our ATM program.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Requirements associated with being a public company will increase our costs significantly, as well as divert significant company resources and management attention.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difficult for us to attract and retain qualified personnel to serve on our board of directors, our board committees or as executive officers.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and the rules and regulations of The Nasdaq Global Market LLC.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ans-serif" w:hAnsi="Times New Roman;sans-serif"/>
          <w:b w:val="false"/>
          <w:color w:val="000000"/>
          <w:sz w:val="20"/>
          <w:shd w:fill="FFFFFF" w:val="clear"/>
        </w:rPr>
        <w:t xml:space="preserve">Our Pharmakon Credit Facility also contains a negative covenant that prohibits us from paying dividends subject to limited exceptions. </w:t>
      </w:r>
      <w:r>
        <w:rPr>
          <w:rFonts w:ascii="Times New Roman;sans-serif" w:hAnsi="Times New Roman;sans-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level of demand for XDEMVY or our product candidates should they receive approval, which may vary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changing and volatile U.S., European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Bobak Azamian, Chief Executive Officer, adopted a Rule 10b5-1 trading plan to satisfy the affirmative defense of Rule 10b5-1(c) under the Exchange Act. The plan provided for the sale of up to 291,000 shares of common stock held by Dr. Azamian between August 23, 2023 and July 24, 2024. Dr. Azamian terminated the trading plan effective January 8,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Jose Trevejo, former Chief Medical Officer, adopted a Rule 10b5-1 trading plan to satisfy the affirmative defense of Rule 10b5-1(c) under the Exchange Act. The plan provided for the sale of up to 6,107 shares of common stock held by Dr. Trevejo between August 17, 2023 and May 16, 2024. Dr. Trevejo terminated the trading plan effective January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804"/>
        <w:gridCol w:w="1577"/>
        <w:gridCol w:w="1583"/>
        <w:gridCol w:w="170"/>
        <w:gridCol w:w="170"/>
        <w:gridCol w:w="171"/>
        <w:gridCol w:w="259"/>
        <w:gridCol w:w="259"/>
        <w:gridCol w:w="260"/>
        <w:gridCol w:w="500"/>
        <w:gridCol w:w="500"/>
        <w:gridCol w:w="501"/>
        <w:gridCol w:w="150"/>
        <w:gridCol w:w="150"/>
        <w:gridCol w:w="151"/>
        <w:gridCol w:w="275"/>
        <w:gridCol w:w="275"/>
        <w:gridCol w:w="395"/>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osetrevejo-tarsussepara.htm">
              <w:r>
                <w:rPr>
                  <w:rStyle w:val="InternetLink"/>
                  <w:rFonts w:ascii="Times New Roman;sans-serif" w:hAnsi="Times New Roman;sans-serif"/>
                  <w:b w:val="false"/>
                  <w:color w:val="000080"/>
                  <w:sz w:val="18"/>
                  <w:u w:val="single"/>
                </w:rPr>
                <w:t>S</w:t>
              </w:r>
            </w:hyperlink>
            <w:hyperlink w:anchor="josetrevejo-tarsussepara.htm">
              <w:r>
                <w:rPr>
                  <w:rStyle w:val="InternetLink"/>
                  <w:rFonts w:ascii="Times New Roman;sans-serif" w:hAnsi="Times New Roman;sans-serif"/>
                  <w:b w:val="false"/>
                  <w:color w:val="000080"/>
                  <w:sz w:val="18"/>
                  <w:u w:val="single"/>
                </w:rPr>
                <w:t>ep</w:t>
              </w:r>
            </w:hyperlink>
            <w:hyperlink w:anchor="josetrevejo-tarsussepara.htm">
              <w:r>
                <w:rPr>
                  <w:rStyle w:val="InternetLink"/>
                  <w:rFonts w:ascii="Times New Roman;sans-serif" w:hAnsi="Times New Roman;sans-serif"/>
                  <w:b w:val="false"/>
                  <w:color w:val="000080"/>
                  <w:sz w:val="18"/>
                  <w:u w:val="single"/>
                </w:rPr>
                <w:t>a</w:t>
              </w:r>
            </w:hyperlink>
            <w:hyperlink w:anchor="josetrevejo-tarsussepara.htm">
              <w:r>
                <w:rPr>
                  <w:rStyle w:val="InternetLink"/>
                  <w:rFonts w:ascii="Times New Roman;sans-serif" w:hAnsi="Times New Roman;sans-serif"/>
                  <w:b w:val="false"/>
                  <w:color w:val="000080"/>
                  <w:sz w:val="18"/>
                  <w:u w:val="single"/>
                </w:rPr>
                <w:t>r</w:t>
              </w:r>
            </w:hyperlink>
            <w:hyperlink w:anchor="josetrevejo-tarsussepara.htm">
              <w:r>
                <w:rPr>
                  <w:rStyle w:val="InternetLink"/>
                  <w:rFonts w:ascii="Times New Roman;sans-serif" w:hAnsi="Times New Roman;sans-serif"/>
                  <w:b w:val="false"/>
                  <w:color w:val="000080"/>
                  <w:sz w:val="18"/>
                  <w:u w:val="single"/>
                </w:rPr>
                <w:t xml:space="preserve">ation Agreement, dated </w:t>
              </w:r>
            </w:hyperlink>
            <w:hyperlink w:anchor="josetrevejo-tarsussepara.htm">
              <w:r>
                <w:rPr>
                  <w:rStyle w:val="InternetLink"/>
                  <w:rFonts w:ascii="Times New Roman;sans-serif" w:hAnsi="Times New Roman;sans-serif"/>
                  <w:b w:val="false"/>
                  <w:color w:val="000080"/>
                  <w:sz w:val="18"/>
                  <w:u w:val="single"/>
                </w:rPr>
                <w:t>February</w:t>
              </w:r>
            </w:hyperlink>
            <w:hyperlink w:anchor="josetrevejo-tarsussepara.htm">
              <w:r>
                <w:rPr>
                  <w:rStyle w:val="InternetLink"/>
                  <w:rFonts w:ascii="Times New Roman;sans-serif" w:hAnsi="Times New Roman;sans-serif"/>
                  <w:b w:val="false"/>
                  <w:color w:val="000080"/>
                  <w:sz w:val="18"/>
                  <w:u w:val="single"/>
                </w:rPr>
                <w:t xml:space="preserve"> </w:t>
              </w:r>
            </w:hyperlink>
            <w:hyperlink w:anchor="josetrevejo-tarsussepara.htm">
              <w:r>
                <w:rPr>
                  <w:rStyle w:val="InternetLink"/>
                  <w:rFonts w:ascii="Times New Roman;sans-serif" w:hAnsi="Times New Roman;sans-serif"/>
                  <w:b w:val="false"/>
                  <w:color w:val="000080"/>
                  <w:sz w:val="18"/>
                  <w:u w:val="single"/>
                </w:rPr>
                <w:t>21</w:t>
              </w:r>
            </w:hyperlink>
            <w:hyperlink w:anchor="josetrevejo-tarsussepara.htm">
              <w:r>
                <w:rPr>
                  <w:rStyle w:val="InternetLink"/>
                  <w:rFonts w:ascii="Times New Roman;sans-serif" w:hAnsi="Times New Roman;sans-serif"/>
                  <w:b w:val="false"/>
                  <w:color w:val="000080"/>
                  <w:sz w:val="18"/>
                  <w:u w:val="single"/>
                </w:rPr>
                <w:t xml:space="preserve">, 2024, </w:t>
              </w:r>
            </w:hyperlink>
            <w:hyperlink w:anchor="josetrevejo-tarsussepara.htm">
              <w:r>
                <w:rPr>
                  <w:rStyle w:val="InternetLink"/>
                  <w:rFonts w:ascii="Times New Roman;sans-serif" w:hAnsi="Times New Roman;sans-serif"/>
                  <w:b w:val="false"/>
                  <w:color w:val="000080"/>
                  <w:sz w:val="18"/>
                  <w:u w:val="single"/>
                </w:rPr>
                <w:t>by and between Registr</w:t>
              </w:r>
            </w:hyperlink>
            <w:hyperlink w:anchor="josetrevejo-tarsussepara.htm">
              <w:r>
                <w:rPr>
                  <w:rStyle w:val="InternetLink"/>
                  <w:rFonts w:ascii="Times New Roman;sans-serif" w:hAnsi="Times New Roman;sans-serif"/>
                  <w:b w:val="false"/>
                  <w:color w:val="000080"/>
                  <w:sz w:val="18"/>
                  <w:u w:val="single"/>
                </w:rPr>
                <w:t>ant and Jose Trevejo</w:t>
              </w:r>
            </w:hyperlink>
            <w:hyperlink w:anchor="josetrevejo-tarsussepara.htm">
              <w:r>
                <w:rPr>
                  <w:rStyle w:val="InternetLink"/>
                  <w:rFonts w:ascii="Times New Roman;sans-serif" w:hAnsi="Times New Roman;sans-serif"/>
                  <w:b w:val="false"/>
                  <w:color w:val="000080"/>
                  <w:sz w:val="18"/>
                  <w:u w:val="single"/>
                </w:rPr>
                <w:t>.</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3124.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33124.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33124.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33124.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9aefa27e57f4135a048e6322fd4812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p>
      <w:pPr>
        <w:pStyle w:val="TextBody"/>
        <w:bidi w:val="0"/>
        <w:spacing w:before="0" w:after="0"/>
        <w:ind w:left="0" w:right="0" w:firstLine="990"/>
        <w:jc w:val="left"/>
        <w:rPr/>
      </w:pPr>
      <w:r>
        <w:rPr/>
      </w:r>
    </w:p>
    <w:tbl>
      <w:tblPr>
        <w:tblW w:w="749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379"/>
        <w:gridCol w:w="379"/>
        <w:gridCol w:w="381"/>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spacing w:before="0" w:after="0"/>
        <w:jc w:val="center"/>
        <w:rPr/>
      </w:pPr>
      <w:bookmarkStart w:id="0" w:name="josetrevejo-tarsussepara.htm"/>
      <w:bookmarkStart w:id="1" w:name="ksjosetrevejotarsussepara"/>
      <w:bookmarkEnd w:id="0"/>
      <w:bookmarkEnd w:id="1"/>
      <w:r>
        <w:rPr/>
        <w:drawing>
          <wp:inline distT="0" distB="0" distL="0" distR="0">
            <wp:extent cx="10048875" cy="13001625"/>
            <wp:effectExtent l="0" t="0" r="0" b="0"/>
            <wp:docPr id="10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73685"/>
                <wp:effectExtent l="0" t="0" r="0" b="0"/>
                <wp:wrapNone/>
                <wp:docPr id="109"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jc w:val="center"/>
        <w:rPr>
          <w:color w:val="FFFFFF"/>
          <w:sz w:val="2"/>
        </w:rPr>
      </w:pPr>
      <w:r>
        <w:rPr>
          <w:color w:val="FFFFFF"/>
          <w:sz w:val="2"/>
        </w:rPr>
        <w:t xml:space="preserve">1 Separation Agreement The following agreement (“Agreement”) between José M. Trevejo (“you”) and Tarsus Pharmaceuticals, Inc. (the “Company” and, together with you, the “Parties”) confirms your separation from employment and offers you certain benefits to which you would not otherwise be entitled, conditioned upon your provision of a general release of claims and the obligations set forth in this Agreement. WHEREAS, you have served as the Chief Medical Officer of the Company since February 7, 2022; WHEREAS, the Company notified you on January 11, 2024 that you would be separating from the Company; and WHEREAS, you desire to fully and finally resolve any and all disputes and to set forth your complete agreement and release of claims. NOW, THEREFORE, with the intent to be legally bound hereby, and in consideration of the mutual promises contained herein, the receipt and adequacy of which is hereby acknowledged, the Parties agree as follows: 1. Separation from Employment: Your last day of employment with the Company will be February 17, 2024 (the “Separation Date”). 2. Final Pay and Benefits: You acknowledge and agree that the Company has provided you with your final pay, less lawful deductions (the “Final Pay”) through the Separation Date, in a timely manner and in accordance with your state’s or commonwealth’s law. Whether or not you execute this Agreement, you will be entitled to, and are not releasing your rights to, any benefits required to be provided to you pursuant to any employee benefit plans in which you are a participant. You may also have rights to continue your group health coverage under the federal law commonly called “COBRA,” or a state or commonwealth law equivalent. 3. Severance Benefits: a. Severance Pay: The Company will pay you severance in the form of a lump sum cash severance payment equal to twelve (12) months of your current annualized salary (“Severance Pay”). The payments will be made pursuant to the Company’s standard payroll procedures within fourteen (14) calendar days of the Effective Date (defined below). The Severance Pay will be treated as taxable compensation, but is not intended by either party to be treated, and will not be treated, as compensation for purposes of eligibility or benefits under any benefit plan of the Company. The Company will apply standard tax and other applicable withholdings to payments made to you. b. Severance Bonus: The Company will also pay your 2023 annual target bonus, based 90% on the fiscal year 2023 Company performance score, and based 10% on individual performance in the Company’s complete and absolute discretion (the “Severance Bonus”) approved by the Compensation Committee (the “Committee”) of the Company’s Board of Directors (the “Board”). This Severance Bonus will be paid in a lump sum by March 22, 2024. The determinations of the Board or the Committee with respect to the 2023 Bonus Amount will be final and binding. The Severance Bonus will be treated as taxable compensation, but is not intended by either party to be treated, and will not be treated, as compensation for purposes of eligibility or benefits under any benefit plan of the Company. The Company will apply standard tax and other applicable withholdings to payments made to you.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COBRA Premiums: The Company will also pay the COBRA premiums for you and, if applicable, your dependents, for your continued group health coverage to the appropriate health insurer, for up to twelve (12) months after your Separation Date, provided you elect COBRA coverage. However, the Company will discontinue any such payment of COBRA premiums upon the earlier of (i) the date when you become eligible for substantially equivalent health insurance in connection with new employment, or (ii) the expiration of your continuation coverage under COBRA. You agree to immediately notify the Company in the event of (i) above. d. Additional Equity Benefits: The Company will provide the additional equity benefits described in the Equity paragraph below. e. Paid Administrative Leave: The Company will place you on paid garden leave from January 18, 2024, to February 17, 2024. During this period, the Company will continue to pay your full salary and the employer portion of your health insurance or COBRA premiums, and you will continue to vest in your equity awards. Further, during this period, you will be expected to provide services to assist in the transition of your responsibilities as reasonably requested by the Company (the “Garden Leave Services”). f. Acknowledgement &amp; Consideration: You acknowledge the above benefits (“Severance Benefits”) include some benefit you would not have been entitled to if had you not signed this Agreement. 4. Equity: a. Stock Options. You were granted the options set forth in the table below (each, an “Option” and collectively, the “Options”) to purchase shares of the Company’s common stock (“Common Stock”) under the Company’s 2020 Equity Incentive Plan (the “2020 Plan”). You acknowledge and agree that vesting of your Options will cease as of your Separation Date, and your rights to exercise your Options will be in accordance with the 2020 Plan and your Stock Option Agreements. The table below sets forth the number of vested and unvested shares subject to each Option as of your Separation Date. As consideration for entering into this Agreement, the Company will accelerate the vesting of your Options such that following the Effective Date, you will be vested in an additional number of shares subject to each of the Options as if you remained in continuous service with the Company through March 31, 2024 (as further set forth in the table below). Date of Grant Number of Option Shares Granted Exercise Price Per Share Vested Option Shares Outstanding as of the Separation Date Unvested Option Shares Outstanding as of the Separation Date Number of Option Shares Eligible for Acceleration Remaining Unvested Option Shares Post- Acceleration 2/1/2022 116,424 $20.64 58,212 58,212 2,425 55,787 3/8/2023 45,459 $15.00 0 45,459 11,364 34,095 All unvested shares subject to the Options that are not eligible for acceleration as set forth in the table above will be forfeited to the Company on the Separation Date, in accordance with the terms and conditions set forth in the Stock Option Agreement governing each of the Options.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As additional consideration, your Options, to the extent vested as of the Separation Date or which are eligible for vesting acceleration as of the Effective Date and as set forth in the table above, will remain exercisable until the 12-month anniversary of your Separation Date, subject to their earlier termination in accordance with the 2020 Plan. To the extent the extension of the post-termination exercise period applies to an Option that is an incentive stock option with an exercise price that is lower than the current fair market value of the Company’s Common Stock, you understand that the effect of the extension will be to disqualify the Option as an incentive stock option. To the extent the extension of the post-termination exercise period applies to an Option that is an incentive stock option with an exercise price that is equal to or greater than the current fair market value of the Company’s Common Stock, the extension will not immediately disqualify the Option as an incentive stock option; however, such Option will automatically become a nonstatutory stock option three (3) months after the Separation Date. If you exercise an Option that is not an incentive stock option at the time of exercise, you will be required to make arrangements satisfactory to the Company to satisfy all applicable withholding obligations. The Stock Option Agreements governing the Options will remain in full force and effect, and you agree to remain bound by those agreements. b. Restricted Stock Units. You were granted the awards of restricted stock units (“RSUs”) set forth in the table below pursuant to the 2020 Plan. You acknowledge and agree that vesting of your RSUs will cease as of your Separation Date. The table below sets forth the number of vested and unvested shares subject to each award of RSUs as of your Separation Date. Date of Grant Number of RSUs Granted Number of RSUs Vested as of the Separation Date Number of RSUs Unvested as of the Separation Date 2/1/2022 30,197 7,549 22,648 3/8/2023 30,792 0 30,792 All unvested RSUs will be forfeited to the Company on the Separation Date, in accordance with the terms and conditions set forth in the Restricted Stock Unit Agreement governing each of the awards of RSUs. c. Except as set forth in (a) and (b) above, you acknowledge and agree that you do not have any other rights to receive, acquire, possess or vest into any additional shares of Common Stock or any other shares, warrants, securities, derivative securities or other class of capital stock of the Company or any of its parent, subsidiary or affiliated entities, in connection with your service with the Company. 5. Employee Representations: You acknowledge that the Company relies on these representations by you entering into this Agreement: a. You do not have any claim against the Company or the Releasees (defined below), or otherwise have not made internal, administrative, or judicial complaints, claims, or actions against or regarding the Company or the Releasees, for claims you are releasing in this Agreement; b. You have reported to the Company any work-related injuries or occupational illnesses sustained by you during your employment with the Company; c. To your knowledge, you have been properly provided any leaves of absence requested and available to you based on your or your family members’ health or medical condition or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military service, and have not been subjected to any improper treatment, conduct, or actions due to a request for or taking such leave; d. You have received all compensation due to date because of services you performed for the Company; e. You have been properly provided paid time off and, consistent with the Company’s non-accrual vacation policy, you will not have any accrued, but unused vacation time or paid time off as of the Separation Date for which you are entitled to payment; and f. You are not aware of any conduct by any person that violates Company policy or the Company’s legal, compliance, or regulatory obligations, or any other suspected ethical or compliance issues by the Company or the other Releasees, which you have not brought to the attention of the Company. 6. Return of Company Property: You acknowledge and agree that as a condition precedent for the Severance Benefits, you must return to the Company all of its property and data of any type in your possession, custody, or control including, but not limited to keys, access codes or devices, physical or electronically stored documents or files, computer equipment, cell phone, and passwords. You further agree to return all the Company’s property and data in substantially the same working condition in which they were issued to you, normal wear and tear excepted. Notwithstanding the foregoing, (i) an inadvertent failure by you to return such property, if immaterial, will not constitute a breach of this Agreement; and (ii) you may retain compensation-related and personnel documents pertaining to your employment, and materials distributed to shareholders generally. 7. Proprietary Information: You acknowledge that you are bound and continue to be bound by the Company’s Proprietary Information and Inventions Agreement (the “Confidentiality Agreement”), a copy of which is attached as Exhibit A. 8. General Release and Waiver of Claims by You: To the fullest extent permitted by law, you on behalf of yourself, your heirs, family members, executors, estates, agents and assigns, or any controlled affiliate and any trust or other entity of which you or your heirs, estates or family directly or indirectly hold a majority beneficial interest, fully, finally, and forever release and discharge the Company and its owners, agents, officers, shareholders, employees, directors, attorneys, subsidiaries, affiliates, successors, investors, and assigns (collectively “Releasees”), of and from all claims and potential claims, which may legally be waived by private agreement, whether known or unknown, which you have asserted or could assert against the Company, arising out of or relating in any way to acts, circumstances, facts, transactions, or omissions based on facts, occurring up to and including the date you sign this Agreement (the “Released Claims”). The Released Claims specifically include, but are not limited to: claims under common law or equity; claims for additional compensation or benefits arising out of your employment or your separation from employment; wage and hour claims; unlawful discharge; breach of contract; breach of the covenant of good faith and fair dealing; fraud; violation of public policy; defamation; physical injury; emotional distress; negligence; claims under Title VII of the 1964 Civil Rights Act; the Age Discrimination in Employment Act (“ADEA”); Older Workers Benefit Protection Act (“OWBPA”); the Employee Retirement Income Security Act of 1974 (“ERISA”); the Americans with Disabilities Act; the Workers Adjustment and Retraining Notification Act; the Equal Pay Act; the Family Medical Leave Act; the Civil Rights Act of 1866; the Pregnancy Discrimination Act; the Massachusetts Wage Act, the Massachusetts Fair Employment Practices Act; the California Fair Employment and Housing Act, or the California Labor Code, and any other federal, state, or local laws, constitution, rule, ordinance, order, and/or regulations, including their amendments and respective implementing regulations. Notwithstanding the foregoing, nothing in this Agreement is a waiver of any claims (i) to enforce this Agreement; (ii) for any obligation of the Company pursuant to this Agreement; or (iii) regarding any rights of indemnification, rights to receipt of legal fees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and expenses, rights of insurance coverage, or rights to obtain contribution in the event of the entry of a judgment against you as a result of any act or failure to act for which both you and the Company are jointly responsible, to which you may be entitled. By signing below, you expressly waive any benefits of Section 1542 of the Civil Code of the State of California,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9. Protected Rights: a. You understand that nothing in this Agreement limits your ability to file a charge or complaint with, to provide documents or information voluntarily or in response to a subpoena or other information request to, or to participate in an investigation or proceeding conducted by, the Equal Employment Opportunity Commission, the National Labor Relations Board, the Occupational Safety and Health Administration, the Securities and Exchange Commission, or any other federal, state, or local government agency or commission (each, a “Government Agency”). You further understand this Agreement does not limit your ability to communicate with any Government Agency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Agency. You understand that nothing in this Agreement: (i) applies to claims for unemployment or workers’ compensation benefits; (ii) applies to claims arising after the date you sign this Agreement; (iii) applies to claims for reimbursement of expenses under the Company’s expense reimbursement policies; (iv) applies to claims for any vested rights under the Company’s ERISA-covered employee benefit plans as applicable on the date you sign this Agreement; (v) applies to claims that controlling law clearly states may not be released by private agreement; (vi) limits or affects your right, if any, to challenge the validity of this Agreement under the ADEA or the OWBPA; (vii) applies to a non-disclosure or non-disparagement clause agreed to before a dispute arises involving a nonconsensual sexual act or sexual contact, including when the victim lacks capacity to consent, or relating to conduct that is alleged to constitute sexual harassment; (viii) precludes you from exercising your rights, if any, under Section 7 of the National Labor Relations Act (“NLRA”) or under similar state law to engage in protected, concerted activity with other employees, including discussing your compensation or terms and conditions of employment; or (ix) prevents you from discussing or disclosing information about unlawful or criminal acts in the workplace, such as harassment or discrimination or any other conduct that you have reason to believe is unlawful or waives your right to testify in an administrative, legislative, or judicial proceeding concerning alleged criminal conduct or alleged sexual harassment on the part of the Company, or on the part of the agents or employees of the Company, when you have been required or requested to attend such a proceeding pursuant to a court order, subpoena, or written request from an administrative agency or the legislature. However, by signing this Agreement, you are waiving your right to recover any individual relief, including any backpay, frontpay,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said Government Agency and except as provided under applicable law.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Notwithstanding your confidentiality obligations to the Company under the Confidentiality Agreement, this Agreement, and otherwise, you understand that as provided by the Federal Defend Trade Secrets Act, you will not be held criminally or civilly liable under any federal or state trade secret law for the disclosure 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 c. You understand that upon the Effective Date, this Agreement will be final and binding. You promise not to pursue any claim released by this Agreement. If approached by anyone for counsel or assistance in the presentation or prosecution of any disputes, differences, grievances, claims, charges, or complaints against the Releasees, you shall do no more than simply say you cannot provide counsel or assistance. If you break this promise, or otherwise breach your obligations under the Agreement, you agree to pay the Company’s costs and expenses, including reasonable attorneys’ fees, related to the defense of any claims covered by this Agreement or any Releasee’s efforts to enforce this Agreement. Notwithstanding the foregoing, although you are releasing claims you may have under the ADEA and the OWBPA, you may challenge the knowing and voluntary nature of this release before a court, the Equal Employment Opportunity Commission, or any other Government Agency charged with the enforcement of any employment laws. 10. Confidentiality: Except as required by law and subject to the Protected Rights paragraph above, you must keep the existence, contents, terms, and conditions of this Agreement confidential and may not disclose them except to your immediate family, accountant(s), attorneys, financial or tax advisers, or under subpoena or court order. If asked for information about this Agreement, you will simply respond that you and the Company have separated on agreed terms. Any breach of this Confidentiality paragraph shall be deemed a material breach of this Agreement. 11. Cooperation: You agree to reasonably cooperate with the Company relating to matters within your knowledge or responsibility. Without limiting this commitment, you agree (i) to meet with Company representatives, its counsel, or other designees at mutually convenient times and places with respect to any items within the scope of this provision; (ii) to provide truthful testimony regarding same to any court, agency, or other adjudicatory body; and (iii) to provide the Company with notice of contact by any non-governmental adverse party or such adverse party’s representative, except as may be required by law. The Company will reimburse you for reasonable expenses in connection with the cooperation described in this paragraph. Any request for cooperation by the Company pursuant to this paragraph will not interfere with your pursuit, acceptance, or performance of duties in respect of other employment (including self- employment). In connection with any cooperation pursuant to this paragraph, the Parties shall each use their good-faith best efforts to reconcile and accommodate any conflicts in scheduling related to such cooperation, and the Company shall minimize, to the extent reasonably possible, the time required of you in connection with such requested cooperation. 12. No Disparagement: Subject to the Protected Rights paragraph above, you agree that you will never make any disparaging, defamatory, or negative statements public or privately, online or offline, orally or in writing about the Company or its directors, officers, products, services or business practices, your employment with the Company, or the termination of that employment. Similarly, the Company shall instruct the Company’s current executive team members: Bobak Azamian, Jeff Farrow, Aziz Mottiwala, Sesha Neervannan, Dianne Whitfield, Bryan Wahl, and Cara Miller to not make any disparaging, defamatory, or negative statements, public or privately, online or offline, orally or in writing, about you, your employment with the Company, or the termination of that employment. Notwithstanding the foregoing, nothing in this Agreement prohibits you from (i) providing truthful testimony or information necessary to enforce any agreement between you and the Company or pursuant to a subpoena, court order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or other legal process; (ii) correcting or refuting any incorrect, defamatory, disparaging, or derogatory statements, made against you; or (iii) making truthful non-defamatory, non-disparaging, or non-derogatory statements in the context of seeking new employment or as part of your employment with any succeeding employer during normal competition. 13. No Admission of Liability: This Agreement shall not be construed or contended by you to be an admission or evidence of any wrongdoing, unlawful conduct, or liability by the Company or the Releasees. This Agreement shall be afforded the maximum protection allowable under Federal Rule of Evidence 408 and/or any other state or federal law of similar effect. However, the Parties agree that this Agreement may be used as evidence in a subsequent proceeding in which any of the Parties allege a breach of this Agreement or as a complete defense to any lawsuit brought by any party. 14. Headings; Sub-Headings: Headings and sub-headings of the paragraphs and sub- paragraphs of this Agreement are intended solely for convenience of reference and no provision of this Agreement is to be construed based upon the heading or sub-heading of any paragraph or sub-paragraph. 15. Complete and Voluntary Agreement: This Agreement, including its exhibits, constitutes the entire agreement between you and the Company regarding the subject hereof and supersedes all prior negotiations and agreements, whether written or oral, relating to such subject. Notwithstanding the foregoing, this Agreement shall not supersede obligations you may have under any agreements with the Company regarding the non-disclosure of trade secrets and confidential or proprietary information, prohibiting solicitation of customers, suppliers, or employees, prohibiting competition with the Company, assigning intellectual property, or providing for a dispute resolution mechanism. You acknowledge that neither the Company, the Releasees, nor their agents or attorneys have made any promise, representation or warranty, either express or implied, written or oral, which is not contained in this Agreement to induce you to execute the Agreement. You acknowledge that you have executed this Agreement in reliance only upon the promises, representations and warranties herein, and that you are executing this Agreement voluntarily and free of any duress or coercion. This Agreement is binding on and is for the benefit of the Parties and their respective successors, assigns, heirs, personal representatives, executors, administrators, and other legal representatives. 16. Severability: The provisions of this Agreement are severable, and if any part of the Agreement is found to be invalid or unenforceable, the other parts shall remain valid and enforceable. 17. Modification; Counterparts; Electronic/PDF Signatures: You agree this Agreement may not be altered, amended, modified, or otherwise changed, except by another written agreement that specifically refers to this Agreement, executed by authorized representatives of each party to this Agreement. This Agreement may be executed in several counterparts, each of which shall constitute an original and all of which together shall constitute the same instrument. Counterparts may be delivered via facsimile, electronic mail, or other electronic transmission method, and may be executed using any electronic signature method complying with the United States ESIGN Act of 2000 (e.g., www.docusign.com). Any such counterpart so delivered shall be deemed to have been duly and validly delivered and be valid and effective for all purposes. 18. Interpretation and Construction of Agreement: This Agreement shall be construed and interpreted under the laws of the state or commonwealth where you were last employed by the Company (Massachusetts) without regard to conflict-of-laws principles. Moreover, this Agreement shall not be construed against either Party as the author or drafter of the Agreement.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19. Review of Separation Agreement; Effective Date: You understand that you must sign this agreement no earlier than your Separation Date (February 17, 2024) and deliver it to me at email bobby@tarsusrx.com no later than February 23, 2024 (the “Consideration Period”). You also agree that you have had at least twenty-one (21) calendar days to consider this Agreement, and that changes to this Agreement, whether material or immaterial, do not toll or restart the Consideration Period. If you choose to sign this Agreement before the Consideration Period ends, you represent: (i) you freely chose to do so after carefully considering its terms; (ii) you are knowingly and voluntarily waiving the remainder of the Consideration Period; and (iii) your decision to waive the remainder of the Consideration Period was not induced by the Company through fraud, misrepresentation, or a threat to withdraw or alter the offer prior to the expiration of the Consideration Period, or by providing different terms to you for signing this Agreement prior to the expiration of the Consideration Period. You affirm that you were advised to consult with an attorney before signing this Agreement. You also understand you may revoke this Agreement within seven (7) calendar days of signing (the “Revocation Period”) and that the Company will only provide you with the Severance Benefits after that Revocation Period has expired. Any revocation must be made in writing and delivered to me at email bobby@tarsusrx.com. This Agreement is effective on the eighth (8th) calendar day after you sign it, provided that you have not revoked it (the “Effective Date”). (Remainder of Page Intentionally Left Blank; Signatures Follow Below)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Parties have read this agreement and understand its legal and binding effect. The Parties are acting voluntarily, deliberately, and of their own free will in signing this agreement. By:______________________________________ Bobak Azamian Chief Executive Officer Tarsus Pharmaceuticals, Inc. Date: __________________________ _______________________________ José M. Trevejo Date: __________________________ *** Do not sign before February 17, 2024 *** Exhibit Exhibit A: Confidentiality Agreement DocuSign Envelope ID: 1E8C611B-1CC2-44DE-A435-3A5161905519 2/20/2024 6DD3AC07-AC3A-4C96-B3D1-C704959A028D 2/21/2024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Confidentiality Agreement DocuSign Envelope ID: 1E8C611B-1CC2-44DE-A435-3A51619055196DD3AC07-AC3A-4C96-B3D1-C704959A028D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GDSVF&amp;H\3797916.1 PROPRIETARY INFORMATION AND INVENTIONS AGREEMENT The following confirms and memorializes an agreement that Tarsus Pharmaceuticals, Inc., a Delaware corporation (the “Company”) and I (José Trevejo) have had since the commencement of my employment (which term, for purposes of this agreement, shall be deemed to include any relationship of service to the Company that I may have had prior to actually becoming an employee) with the Company in any capacity and that is and has been a material part of the consideration for my employment by Company: 1. I have not entered into, and I agree I will not enter into, any agreement either written or oral in conflict with this Agreement or my employment with Company. I will not violate any agreement with or rights of any third party or, except as expressly authorized by Company in writing hereafter, use or disclose my own or any third party’s confidential information or intellectual property when acting within the scope of my employment or otherwise on behalf of Company. Further, I have not retained anything containing any confidential information of a prior employer or other third party, whether or not created by me. 2. Company shall own all right, title and interest (including patent rights, copyrights, trade secret rights, mask work rights, sui generis database rights and all other intellectual property rights of any sort throughout the world) relating to any and all inventions (whether or not patentable), works of authorship, mask works, designs, know-how, ideas and information made or conceived or reduced to practice, in whole or in part, by me during the term of my employment with Company to and only to the fullest extent allowed by California Labor Code Section 2870 (which is attached as Appendix A) (collectively “Inventions”) and I will promptly disclose all Inventions to Company. Without disclosing any third party confidential information, I will also disclose anything I believe is excluded by Section 2870 so that the Company can make an independent assessment. I hereby make all assignments necessary to accomplish the foregoing. I shall further assist Company, at Company’s expense, to further evidence, record and perfect such assignments, and to perfect, obtain, maintain, enforce, and defend any rights specified to be so owned or assigned. I hereby irrevocably designate and appoint Company as my agent and attorney-in-fact, coupled with an interest and with full power of substitution, to act for and in my behalf to execute and file any document and to do all other lawfully permitted acts to further the purposes of the foregoing with the same legal force and effect as if executed by me. If anything created by me prior to my employment relates to Company’s actual or proposed business, I have listed it on Appendix B in a manner that does not violate any third party rights or disclose any confidential information. Without limiting Section 1 or Company’s other rights and remedies, if, when acting within the scope of my employment or otherwise on behalf of Company, I use or disclose my own or any third party’s confidential information or intellectual property (or if any Invention cannot be fully made, used, reproduced, distributed and otherwise exploited without using or violating the foregoing), Company will have and I hereby grant Company a perpetual, irrevocable, worldwide royalty-free, non-exclusive, sublicensable right and license to exploit and exercise all such confidential information and intellectual property rights. 3. I grant permission to Company (inclusive of any person or entity acting in the Company’s behalf) to take and use visual and/or audio images (“Images”) of me. Images include any type of recording, including but not limited to photographs, digital images, drawings, DocuSign Envelope ID: 4E8AC6F3-813B-4439-91B1-B2748BAB94001 C611B 1CC2- DE-A435-3A51619055196DD3AC07-AC3A- C 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GDSVF&amp;H\3797916.1 renderings, voices, sounds, video recordings, audio clips or accompanying written descriptions, in any tangible form. Company shall own the Images and all rights relating thereto, and I hereby assign all right, title, and interest to the foregoing to the Company. I shall further assist Company, at Company’s expense, to further evidence, record and perfect such assignments, and to perfect, obtain, maintain, enforce, and defend any rights specified to be so owned or assigned. I hereby irrevocably designate and appoint Company as my agent and attorney-in-fact, coupled with an interest and with full power of substitution, to act for and in my behalf to execute and file any document and to do all other lawfully permitted acts to further the purposes of the foregoing with the same legal force and effect as if executed by me. The Images may be used for any legal purpose, and in any manner or media without notifying me, non-limiting examples of which include Company websites, publications, promotions, broadcasts, advertisements, social media, posters and theater slides. I waive any right to inspect or approve the finished images or any printed or electronic matter that may be used with them, or to be compensated for them. I release Company and its employees and agents, including any entity authorized to publish, broadcast and/or distribute a finished product containing the Images, from any claims, damages, or liability which I may ever have in connection with the taking, use, or distribution of the Images. 4. To the extent allowed by law, paragraphs 2 and 3 includes all rights of paternity, integrity, disclosure and withdrawal and any other rights that may be known as or referred to as “moral rights,” “artist’s rights,” “droit moral,” or the like (collectively “Moral Rights”). To the extent I retain any such Moral Rights under applicable law, I hereby ratify and consent to any action that may be taken with respect to such Moral Rights by or authorized by Company and agree not to assert any Moral Rights with respect thereto. I will confirm any such ratifications, consents and agreements from time to time as requested by Company. 5. I agree that all Inventions and all other business, technical and financial information (including, without limitation, the identity of and information relating to customers or employees) I develop, learn or obtain during the term of my employment that relate to Company or the business or demonstrably anticipated business of Company or that are received by or for Company in confidence, constitute “Proprietary Information.” I will hold in confidence and not disclose or, except within the scope of my employment, use any Proprietary Information. However, I shall not be obligated under this paragraph with respect to information I can document is or becomes readily publicly available without restriction through no fault of mine. Upon termination of my employment, I will promptly return to Company all items containing or embodying Proprietary Information (including all copies), except that I may keep my personal copies of (i) my compensation records, (ii) materials distributed to shareholders generally and (iii) this Agreement. I also recognize and agree that I have no expectation of privacy with respect to Company’s telecommunications, networking or information processing systems (including, without limitation, stored computer files, email messages and voice messages) and that my activity and any files or messages on or using any of those systems may be monitored at any time without notice. 6. Until one year after the term of my employment, I will not encourage or solicit any employee or consultant of Company to leave Company for any reason (except for the bona fide firing of Company personnel within the scope of my employment). DocuSign Envelope ID: 4E8AC6F3-813B-4439-91B1-B2748BAB94001 C611B 1CC2- DE-A435-3A51619055196DD3AC07-AC3A- C 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GDSVF&amp;H\3797916.1 7. I agree that during the term of my employment with Company (whether or not during business hours), I will not engage in any activity that is in any way competitive with the business or demonstrably anticipated business of Company, and I will not assist any other person or organization in competing or in preparing to compete with any business or demonstrably anticipated business of Company. 8. I agree that this Agreement is not an employment contract for any particular term and that I have the right to resign and Company has the right to terminate my employment at will, at any time, for any or no reason, with or without cause. In addition, this Agreement does not purport to set forth all of the terms and conditions of my employment, and, as an employee of Company, I have obligations to Company which are not set forth in this Agreement. However, the terms of this Agreement govern over any inconsistent terms and can only be changed by a subsequent written agreement signed by the President of Company. 9. I agree that my obligations under paragraphs 2, 3, 4, 5 and 6 of this Agreement shall continue in effect after termination of my employment, regardless of the reason or reasons for termination, and whether such termination is voluntary or involuntary on my part, and that Company is entitled to communicate my obligations under this Agreement to any future employer or potential employer of mine. My obligations under paragraphs 2, 3, 4 and 5 also shall be binding upon my heirs, executors, assigns, and administrators and shall inure to the benefit of Company, its subsidiaries, successors and assigns. 10. Any dispute in the meaning, effect or validity of this Agreement shall be resolved in accordance with the laws of the State of California without regard to the conflict of laws provisions thereof. I further agree that if one or more provisions of this Agreement are held to be illegal or unenforceable under applicable California law, such illegal or unenforceable portion(s) shall be limited or excluded from this Agreement to the minimum extent required so that this Agreement shall otherwise remain in full force and effect and enforceable in accordance with its terms. This Agreement is fully assignable and transferable by Company, but any purported assignment or transfer by me is void. I also understand that any breach of this Agreement will cause irreparable harm to Company for which damages would not be an adequate remedy, and, therefore, Company will be entitled to injunctive relief with respect thereto in addition to any other remedies and without any requirement to post bond. NOTICE: This agreement does not affect any immunity under 18 USC Sections 1833(b) (1) or (2), which read as follows (note that for purposes of this statute only, individuals performing work as contractors or consultants are considered to be employees):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(2) An individual who files a lawsuit for retaliation by an employer for reporting a suspected violation of law may disclose the trade secret to the attorney of the DocuSign Envelope ID: 4E8AC6F3-813B-4439-91B1-B2748BAB94001 C611B 1CC2- DE-A435-3A51619055196DD3AC07-AC3A- C 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GDSVF&amp;H\3797916.1 individual and use the trade secret information in the court proceeding, if the individual (A) files any document containing the trade secret under seal; and (B) does not disclose the trade secret, except pursuant to court order. DocuSign Envelope ID: 4E8AC6F3-813B-4439-91B1-B2748BAB94001 C611B 1CC2- DE-A435-3A51619055196DD3AC07-AC3A- C 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GDSVF&amp;H\3797916.1 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THE COMPANY WILL RETAIN ONE COUNTERPART AND THE OTHER COUNTERPART WILL BE RETAINED BY ME. Date: Employee: Signature Name (Printed) Accepted and Agreed to: TARSUS PHARMACEUTICALS, INC. By: Name: Title: DocuSign Envelope ID: 4E8AC6F3-813B-4439-91B1-B2748BAB9400 1/18/2022 Jose Trevejo CEO Bobby Azamian 1 C611B 1CC2- DE-A435-3A51619055196DD3AC07-AC3A- C 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GDSVF&amp;H\3797916.1 APPENDIX A California Labor Code Section 2870. Application of provision providing that employee shall assign or offer to assign rights in invention to employer.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his employer. (b) To the extent a provision in an employment agreement purports to require an employee to assign an invention otherwise excluded from being required to be assigned under subdivision (a), the provision is against the public policy of this state and is unenforceable. DocuSign Envelope ID: 4E8AC6F3-813B-4439-91B1-B2748BAB94001 C611B 1CC2- DE-A435-3A51619055196DD3AC07-AC3A- C 6-B3D1-C704959A028D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GDSVF&amp;H\3797916.1 APPENDIX B PRIOR MATTER DocuSign Envelope ID: 4E8AC6F3-813B-4439-91B1-B2748BAB94001 C611B 1CC2- DE-A435-3A51619055196DD3AC07-AC3A- C 6-B3D1-C704959A028D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265" w:type="dxa"/>
        <w:jc w:val="left"/>
        <w:tblInd w:w="0" w:type="dxa"/>
        <w:tblLayout w:type="fixed"/>
        <w:tblCellMar>
          <w:top w:w="28" w:type="dxa"/>
          <w:left w:w="28" w:type="dxa"/>
          <w:bottom w:w="28" w:type="dxa"/>
          <w:right w:w="28" w:type="dxa"/>
        </w:tblCellMar>
      </w:tblPr>
      <w:tblGrid>
        <w:gridCol w:w="205"/>
        <w:gridCol w:w="181"/>
        <w:gridCol w:w="181"/>
        <w:gridCol w:w="181"/>
        <w:gridCol w:w="181"/>
        <w:gridCol w:w="181"/>
        <w:gridCol w:w="181"/>
        <w:gridCol w:w="181"/>
        <w:gridCol w:w="181"/>
        <w:gridCol w:w="109"/>
        <w:gridCol w:w="109"/>
        <w:gridCol w:w="109"/>
        <w:gridCol w:w="109"/>
        <w:gridCol w:w="109"/>
        <w:gridCol w:w="109"/>
        <w:gridCol w:w="109"/>
        <w:gridCol w:w="109"/>
        <w:gridCol w:w="109"/>
        <w:gridCol w:w="492"/>
        <w:gridCol w:w="492"/>
        <w:gridCol w:w="492"/>
        <w:gridCol w:w="492"/>
        <w:gridCol w:w="492"/>
        <w:gridCol w:w="492"/>
        <w:gridCol w:w="492"/>
        <w:gridCol w:w="492"/>
        <w:gridCol w:w="695"/>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16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4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962" w:type="dxa"/>
        <w:jc w:val="left"/>
        <w:tblInd w:w="0" w:type="dxa"/>
        <w:tblLayout w:type="fixed"/>
        <w:tblCellMar>
          <w:top w:w="28" w:type="dxa"/>
          <w:left w:w="28" w:type="dxa"/>
          <w:bottom w:w="28" w:type="dxa"/>
          <w:right w:w="28" w:type="dxa"/>
        </w:tblCellMar>
      </w:tblPr>
      <w:tblGrid>
        <w:gridCol w:w="205"/>
        <w:gridCol w:w="181"/>
        <w:gridCol w:w="181"/>
        <w:gridCol w:w="181"/>
        <w:gridCol w:w="181"/>
        <w:gridCol w:w="181"/>
        <w:gridCol w:w="181"/>
        <w:gridCol w:w="181"/>
        <w:gridCol w:w="181"/>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16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Jeffrey Farrow</w:t>
            </w:r>
          </w:p>
          <w:p>
            <w:pPr>
              <w:pStyle w:val="TableContents"/>
              <w:bidi w:val="0"/>
              <w:spacing w:lineRule="auto" w:line="276"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March 31, 2024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p>
      <w:pPr>
        <w:pStyle w:val="TextBody"/>
        <w:bidi w:val="0"/>
        <w:spacing w:before="0" w:after="0"/>
        <w:jc w:val="left"/>
        <w:rPr/>
      </w:pPr>
      <w:r>
        <w:rPr/>
      </w:r>
    </w:p>
    <w:tbl>
      <w:tblPr>
        <w:tblW w:w="7266" w:type="dxa"/>
        <w:jc w:val="left"/>
        <w:tblInd w:w="0" w:type="dxa"/>
        <w:tblLayout w:type="fixed"/>
        <w:tblCellMar>
          <w:top w:w="28" w:type="dxa"/>
          <w:left w:w="28" w:type="dxa"/>
          <w:bottom w:w="28" w:type="dxa"/>
          <w:right w:w="28" w:type="dxa"/>
        </w:tblCellMar>
      </w:tblPr>
      <w:tblGrid>
        <w:gridCol w:w="206"/>
        <w:gridCol w:w="181"/>
        <w:gridCol w:w="181"/>
        <w:gridCol w:w="181"/>
        <w:gridCol w:w="181"/>
        <w:gridCol w:w="181"/>
        <w:gridCol w:w="181"/>
        <w:gridCol w:w="181"/>
        <w:gridCol w:w="181"/>
        <w:gridCol w:w="109"/>
        <w:gridCol w:w="109"/>
        <w:gridCol w:w="109"/>
        <w:gridCol w:w="109"/>
        <w:gridCol w:w="109"/>
        <w:gridCol w:w="109"/>
        <w:gridCol w:w="109"/>
        <w:gridCol w:w="109"/>
        <w:gridCol w:w="109"/>
        <w:gridCol w:w="718"/>
        <w:gridCol w:w="718"/>
        <w:gridCol w:w="718"/>
        <w:gridCol w:w="718"/>
        <w:gridCol w:w="718"/>
        <w:gridCol w:w="1041"/>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March 31, 2024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7945" w:type="dxa"/>
        <w:jc w:val="left"/>
        <w:tblInd w:w="0" w:type="dxa"/>
        <w:tblLayout w:type="fixed"/>
        <w:tblCellMar>
          <w:top w:w="28" w:type="dxa"/>
          <w:left w:w="28" w:type="dxa"/>
          <w:bottom w:w="28" w:type="dxa"/>
          <w:right w:w="28" w:type="dxa"/>
        </w:tblCellMar>
      </w:tblPr>
      <w:tblGrid>
        <w:gridCol w:w="206"/>
        <w:gridCol w:w="181"/>
        <w:gridCol w:w="181"/>
        <w:gridCol w:w="181"/>
        <w:gridCol w:w="181"/>
        <w:gridCol w:w="181"/>
        <w:gridCol w:w="181"/>
        <w:gridCol w:w="181"/>
        <w:gridCol w:w="181"/>
        <w:gridCol w:w="109"/>
        <w:gridCol w:w="109"/>
        <w:gridCol w:w="109"/>
        <w:gridCol w:w="109"/>
        <w:gridCol w:w="109"/>
        <w:gridCol w:w="109"/>
        <w:gridCol w:w="109"/>
        <w:gridCol w:w="109"/>
        <w:gridCol w:w="109"/>
        <w:gridCol w:w="827"/>
        <w:gridCol w:w="827"/>
        <w:gridCol w:w="827"/>
        <w:gridCol w:w="827"/>
        <w:gridCol w:w="827"/>
        <w:gridCol w:w="1175"/>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80970</Words>
  <Characters>454602</Characters>
  <CharactersWithSpaces>533586</CharactersWithSpaces>
  <Paragraphs>2871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josetrevejo-tarsussepara</dc:title>
</cp:coreProperties>
</file>