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Greenstein Leonard M.</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line="335" w:lineRule="auto"/>
        <w:rPr>
          <w:sz w:val="20"/>
          <w:szCs w:val="20"/>
          <w:color w:val="auto"/>
        </w:rPr>
      </w:pPr>
      <w:r>
        <w:rPr>
          <w:rFonts w:ascii="Arial" w:cs="Arial" w:eastAsia="Arial" w:hAnsi="Arial"/>
          <w:sz w:val="16"/>
          <w:szCs w:val="16"/>
          <w:color w:val="0000FF"/>
        </w:rPr>
        <w:t>C/O TARSUS PHARMACEUTICALS, INC. 15440 LAGUNA CANYON ROAD, SUITE 160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Tarsus Pharmaceuticals,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TARS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9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11/17/2022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65"/>
        <w:spacing w:after="0"/>
        <w:rPr>
          <w:sz w:val="20"/>
          <w:szCs w:val="20"/>
          <w:color w:val="auto"/>
        </w:rPr>
      </w:pPr>
      <w:r>
        <w:rPr>
          <w:rFonts w:ascii="Arial" w:cs="Arial" w:eastAsia="Arial" w:hAnsi="Arial"/>
          <w:sz w:val="17"/>
          <w:szCs w:val="17"/>
          <w:color w:val="0000FF"/>
        </w:rPr>
        <w:t>Chief Financial Officer</w:t>
      </w:r>
    </w:p>
    <w:p>
      <w:pPr>
        <w:spacing w:after="0" w:line="452" w:lineRule="exact"/>
        <w:rPr>
          <w:sz w:val="24"/>
          <w:szCs w:val="24"/>
          <w:color w:val="auto"/>
        </w:rPr>
      </w:pPr>
    </w:p>
    <w:p>
      <w:pPr>
        <w:sectPr>
          <w:pgSz w:w="11900" w:h="16838" w:orient="portrait"/>
          <w:cols w:equalWidth="0" w:num="3">
            <w:col w:w="3540" w:space="380"/>
            <w:col w:w="3160" w:space="65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840" w:type="dxa"/>
            <w:vAlign w:val="bottom"/>
            <w:tcBorders>
              <w:bottom w:val="single" w:sz="8" w:color="9A9A9A"/>
            </w:tcBorders>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3540" w:type="dxa"/>
            <w:vAlign w:val="bottom"/>
            <w:gridSpan w:val="6"/>
          </w:tcPr>
          <w:p>
            <w:pPr>
              <w:ind w:left="140"/>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3760" w:type="dxa"/>
            <w:vAlign w:val="bottom"/>
            <w:gridSpan w:val="9"/>
          </w:tcPr>
          <w:p>
            <w:pPr>
              <w:ind w:left="42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spacing w:after="0"/>
              <w:rPr>
                <w:sz w:val="20"/>
                <w:szCs w:val="20"/>
                <w:color w:val="auto"/>
              </w:rPr>
            </w:pPr>
            <w:r>
              <w:rPr>
                <w:rFonts w:ascii="Arial" w:cs="Arial" w:eastAsia="Arial" w:hAnsi="Arial"/>
                <w:sz w:val="17"/>
                <w:szCs w:val="17"/>
                <w:color w:val="0000FF"/>
              </w:rPr>
              <w:t>IRVINE</w:t>
            </w:r>
          </w:p>
        </w:tc>
        <w:tc>
          <w:tcPr>
            <w:tcW w:w="840" w:type="dxa"/>
            <w:vAlign w:val="bottom"/>
            <w:vMerge w:val="restart"/>
          </w:tcPr>
          <w:p>
            <w:pPr>
              <w:ind w:left="58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92618</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vMerge w:val="restart"/>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66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7"/>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00"/>
              <w:spacing w:after="0"/>
              <w:rPr>
                <w:sz w:val="20"/>
                <w:szCs w:val="20"/>
                <w:color w:val="auto"/>
              </w:rPr>
            </w:pPr>
            <w:r>
              <w:rPr>
                <w:rFonts w:ascii="Arial" w:cs="Arial" w:eastAsia="Arial" w:hAnsi="Arial"/>
                <w:sz w:val="17"/>
                <w:szCs w:val="17"/>
                <w:color w:val="0000FF"/>
              </w:rPr>
              <w:t>11/17/2022</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5,000</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0000FF"/>
                <w:w w:val="97"/>
              </w:rPr>
              <w:t>16.54</w:t>
            </w:r>
            <w:r>
              <w:rPr>
                <w:rFonts w:ascii="Arial" w:cs="Arial" w:eastAsia="Arial" w:hAnsi="Arial"/>
                <w:sz w:val="22"/>
                <w:szCs w:val="22"/>
                <w:color w:val="008000"/>
                <w:w w:val="97"/>
                <w:vertAlign w:val="superscript"/>
              </w:rPr>
              <w:t>(2)</w:t>
            </w:r>
          </w:p>
        </w:tc>
        <w:tc>
          <w:tcPr>
            <w:tcW w:w="120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49,289</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by an automatic sale pursuant to a Rule 10b5-1 trading plan adopted by the Reporting Person on June 14, 2022.</w:t>
      </w:r>
    </w:p>
    <w:p>
      <w:pPr>
        <w:spacing w:after="0" w:line="50" w:lineRule="exact"/>
        <w:rPr>
          <w:rFonts w:ascii="Arial" w:cs="Arial" w:eastAsia="Arial" w:hAnsi="Arial"/>
          <w:sz w:val="13"/>
          <w:szCs w:val="13"/>
          <w:color w:val="008000"/>
        </w:rPr>
      </w:pPr>
    </w:p>
    <w:p>
      <w:pPr>
        <w:ind w:left="40" w:right="3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 shares were pooled and sold in multiple transactions at prices ranging from $16.22 to $16.91.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Leonard M. Greenstein</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11/18/2022</w:t>
            </w:r>
          </w:p>
        </w:tc>
      </w:tr>
      <w:tr>
        <w:trPr>
          <w:trHeight w:val="20"/>
        </w:trPr>
        <w:tc>
          <w:tcPr>
            <w:tcW w:w="1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19692" TargetMode="External"/><Relationship Id="rId13" Type="http://schemas.openxmlformats.org/officeDocument/2006/relationships/hyperlink" Target="http://www.sec.gov/cgi-bin/browse-edgar?action=getcompany&amp;CIK=00018197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2022-11-18T15:22:16Z</dcterms:created>
  <dcterms:modified xsi:type="dcterms:W3CDTF">2022-11-18T15:22:16Z</dcterms:modified>
</cp:coreProperties>
</file>