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2026</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transition period from _____ to 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001-39614</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81-4717861</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0" w:type="dxa"/>
        <w:jc w:val="center"/>
        <w:tblInd w:w="0" w:type="dxa"/>
        <w:tblLayout w:type="fixed"/>
        <w:tblCellMar>
          <w:top w:w="28" w:type="dxa"/>
          <w:left w:w="28" w:type="dxa"/>
          <w:bottom w:w="28" w:type="dxa"/>
          <w:right w:w="28" w:type="dxa"/>
        </w:tblCellMar>
      </w:tblPr>
      <w:tblGrid>
        <w:gridCol w:w="1058"/>
        <w:gridCol w:w="931"/>
        <w:gridCol w:w="935"/>
        <w:gridCol w:w="109"/>
        <w:gridCol w:w="109"/>
        <w:gridCol w:w="109"/>
        <w:gridCol w:w="272"/>
        <w:gridCol w:w="272"/>
        <w:gridCol w:w="385"/>
      </w:tblGrid>
      <w:t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c>
          <w:tcPr>
            <w:tcW w:w="292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17700 Laguna Canyon Road, Floor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92618</w:t>
            </w:r>
          </w:p>
        </w:tc>
      </w:tr>
      <w:t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6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Yes ☒ No ☐</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October 29, 2026, the number of outstanding shares of the registrant’s common stock, par value $0.0001 per share, was 49,305,552.</w:t>
      </w:r>
    </w:p>
    <w:p>
      <w:pPr>
        <w:pStyle w:val="TextBody"/>
        <w:bidi w:val="0"/>
        <w:spacing w:before="0" w:after="0"/>
        <w:ind w:left="0" w:right="0" w:firstLine="99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Although we have generated revenue from the launch of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(lotilaner ophthalmic solution) 0.25% and have recently generated positive cash flows from operations, we have continued to incur losses and historically generated negative cash flows from operations since our inception. We anticipate that we could continue to incur significant expenses and potential losses in future periods.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obtained regulatory approval for XDEMVY in the U.S. in July 2023 and commenced the commercial launch of XDEMVY in August 2023. We have limited experience as a commercial company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are heavily dependent on the continued successful commercialization of XDEMVY and the successful development, regulatory approvals,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We may not ultimately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The sizes of the market opportunity for our product or product candidates, particularly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development and commercialization of our product,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or certain of our product candidates, including TP-04 for the potential treatment of ocular rosacea and TP-05 for potential Lyme disease prophylaxis and community malaria reduction, is dependent on intellectual property we in-license from Elanco Tiergesundheit AG (“Elanco”). The development and potential commercialization of our other product candidates, IRX-101 for the potential use as an ocular antiseptic and ALK-001 for the potential treatment of Stargardt disease, are also dependent on intellectual property we license from third parties. If we breach our agreements with Elanco or other third parties or the agreements are terminated, we could lose license rights that are important to our business.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our product candidates, compounds, or related components or that such supply will not be available to us at an acceptable cost, which could delay, prevent or impair our commercialization or development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efforts, as we expect XDEMVY and each of our product candidates will continue to rely on single-source suppliers for the foreseeable future.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Unfavorable global and geopolitical economic conditions, including tariffs, could adversely affect our business, financial condition or results of operations.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recently completed the acquisitions of iRenix and Alkeus and may pursue additional acquisitions or strategic partnerships in the future. We many not successfully integrate the acquired businesses and programs or realize their anticipated benefits, and these transactions have resulted in, and future transactions could result in, substantial contingent milestone and royalty payment obligations, dilution to our stockholders from shares issued as consideration or to satisfy milestone payments, reduced financial resources, the incurrence of debt or assumption of liabilities, and the diversion of management’s attention, any of which could disrupt our business and adversely affect our results of operations.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46" w:type="dxa"/>
        <w:jc w:val="center"/>
        <w:tblInd w:w="0" w:type="dxa"/>
        <w:tblLayout w:type="fixed"/>
        <w:tblCellMar>
          <w:top w:w="28" w:type="dxa"/>
          <w:left w:w="28" w:type="dxa"/>
          <w:bottom w:w="28" w:type="dxa"/>
          <w:right w:w="28" w:type="dxa"/>
        </w:tblCellMar>
      </w:tblPr>
      <w:tblGrid>
        <w:gridCol w:w="2887"/>
        <w:gridCol w:w="2540"/>
        <w:gridCol w:w="2553"/>
        <w:gridCol w:w="136"/>
        <w:gridCol w:w="136"/>
        <w:gridCol w:w="194"/>
      </w:tblGrid>
      <w:tr>
        <w:tc>
          <w:tcPr>
            <w:tcW w:w="2887"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
              <w:r>
                <w:rPr>
                  <w:rStyle w:val="InternetLink"/>
                  <w:rFonts w:ascii="Times New Roman;serif" w:hAnsi="Times New Roman;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
              <w:r>
                <w:rPr>
                  <w:rStyle w:val="InternetLink"/>
                  <w:rFonts w:ascii="Times New Roman;serif" w:hAnsi="Times New Roman;serif"/>
                  <w:b w:val="false"/>
                  <w:strike w:val="false"/>
                  <w:dstrike w:val="false"/>
                  <w:color w:val="000000"/>
                  <w:sz w:val="20"/>
                  <w:u w:val="none"/>
                  <w:effect w:val="none"/>
                </w:rPr>
                <w:t>1</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3">
              <w:r>
                <w:rPr>
                  <w:rStyle w:val="InternetLink"/>
                  <w:rFonts w:ascii="Times New Roman;serif" w:hAnsi="Times New Roman;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3">
              <w:r>
                <w:rPr>
                  <w:rStyle w:val="InternetLink"/>
                  <w:rFonts w:ascii="Times New Roman;serif" w:hAnsi="Times New Roman;serif"/>
                  <w:b w:val="false"/>
                  <w:strike w:val="false"/>
                  <w:dstrike w:val="false"/>
                  <w:color w:val="000000"/>
                  <w:sz w:val="20"/>
                  <w:u w:val="none"/>
                  <w:effect w:val="none"/>
                </w:rPr>
                <w:t>1</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73">
              <w:r>
                <w:rPr>
                  <w:rStyle w:val="InternetLink"/>
                  <w:rFonts w:ascii="Times New Roman;serif" w:hAnsi="Times New Roman;serif"/>
                  <w:b w:val="false"/>
                  <w:strike w:val="false"/>
                  <w:dstrike w:val="false"/>
                  <w:color w:val="000000"/>
                  <w:sz w:val="20"/>
                  <w:u w:val="none"/>
                  <w:effect w:val="none"/>
                </w:rPr>
                <w:t>40</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79">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79">
              <w:r>
                <w:rPr>
                  <w:rStyle w:val="InternetLink"/>
                  <w:rFonts w:ascii="Times New Roman;serif" w:hAnsi="Times New Roman;serif"/>
                  <w:b w:val="false"/>
                  <w:strike w:val="false"/>
                  <w:dstrike w:val="false"/>
                  <w:color w:val="000000"/>
                  <w:sz w:val="20"/>
                  <w:u w:val="none"/>
                  <w:effect w:val="none"/>
                </w:rPr>
                <w:t>56</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2">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2">
              <w:r>
                <w:rPr>
                  <w:rStyle w:val="InternetLink"/>
                  <w:rFonts w:ascii="Times New Roman;serif" w:hAnsi="Times New Roman;serif"/>
                  <w:b w:val="false"/>
                  <w:strike w:val="false"/>
                  <w:dstrike w:val="false"/>
                  <w:color w:val="000000"/>
                  <w:sz w:val="20"/>
                  <w:u w:val="none"/>
                  <w:effect w:val="none"/>
                </w:rPr>
                <w:t>56</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5">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5">
              <w:r>
                <w:rPr>
                  <w:rStyle w:val="InternetLink"/>
                  <w:rFonts w:ascii="Times New Roman;serif" w:hAnsi="Times New Roman;serif"/>
                  <w:b w:val="false"/>
                  <w:strike w:val="false"/>
                  <w:dstrike w:val="false"/>
                  <w:color w:val="000000"/>
                  <w:sz w:val="20"/>
                  <w:u w:val="none"/>
                  <w:effect w:val="none"/>
                </w:rPr>
                <w:t>58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8">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88">
              <w:r>
                <w:rPr>
                  <w:rStyle w:val="InternetLink"/>
                  <w:rFonts w:ascii="Times New Roman;serif" w:hAnsi="Times New Roman;serif"/>
                  <w:b w:val="false"/>
                  <w:strike w:val="false"/>
                  <w:dstrike w:val="false"/>
                  <w:color w:val="000000"/>
                  <w:sz w:val="20"/>
                  <w:u w:val="none"/>
                  <w:effect w:val="none"/>
                </w:rPr>
                <w:t>58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1">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1">
              <w:r>
                <w:rPr>
                  <w:rStyle w:val="InternetLink"/>
                  <w:rFonts w:ascii="Times New Roman;serif" w:hAnsi="Times New Roman;serif"/>
                  <w:b w:val="false"/>
                  <w:strike w:val="false"/>
                  <w:dstrike w:val="false"/>
                  <w:color w:val="000000"/>
                  <w:sz w:val="20"/>
                  <w:u w:val="none"/>
                  <w:effect w:val="none"/>
                </w:rPr>
                <w:t>58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4">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4">
              <w:r>
                <w:rPr>
                  <w:rStyle w:val="InternetLink"/>
                  <w:rFonts w:ascii="Times New Roman;serif" w:hAnsi="Times New Roman;serif"/>
                  <w:b w:val="false"/>
                  <w:strike w:val="false"/>
                  <w:dstrike w:val="false"/>
                  <w:color w:val="000000"/>
                  <w:sz w:val="20"/>
                  <w:u w:val="none"/>
                  <w:effect w:val="none"/>
                </w:rPr>
                <w:t>118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7">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97">
              <w:r>
                <w:rPr>
                  <w:rStyle w:val="InternetLink"/>
                  <w:rFonts w:ascii="Times New Roman;serif" w:hAnsi="Times New Roman;serif"/>
                  <w:b w:val="false"/>
                  <w:strike w:val="false"/>
                  <w:dstrike w:val="false"/>
                  <w:color w:val="000000"/>
                  <w:sz w:val="20"/>
                  <w:u w:val="none"/>
                  <w:effect w:val="none"/>
                </w:rPr>
                <w:t>118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0">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0">
              <w:r>
                <w:rPr>
                  <w:rStyle w:val="InternetLink"/>
                  <w:rFonts w:ascii="Times New Roman;serif" w:hAnsi="Times New Roman;serif"/>
                  <w:b w:val="false"/>
                  <w:strike w:val="false"/>
                  <w:dstrike w:val="false"/>
                  <w:color w:val="000000"/>
                  <w:sz w:val="20"/>
                  <w:u w:val="none"/>
                  <w:effect w:val="none"/>
                </w:rPr>
                <w:t>118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3">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3">
              <w:r>
                <w:rPr>
                  <w:rStyle w:val="InternetLink"/>
                  <w:rFonts w:ascii="Times New Roman;serif" w:hAnsi="Times New Roman;serif"/>
                  <w:b w:val="false"/>
                  <w:strike w:val="false"/>
                  <w:dstrike w:val="false"/>
                  <w:color w:val="000000"/>
                  <w:sz w:val="20"/>
                  <w:u w:val="none"/>
                  <w:effect w:val="none"/>
                </w:rPr>
                <w:t>118</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9">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09">
              <w:r>
                <w:rPr>
                  <w:rStyle w:val="InternetLink"/>
                  <w:rFonts w:ascii="Times New Roman;serif" w:hAnsi="Times New Roman;serif"/>
                  <w:b w:val="false"/>
                  <w:strike w:val="false"/>
                  <w:dstrike w:val="false"/>
                  <w:color w:val="000000"/>
                  <w:sz w:val="20"/>
                  <w:u w:val="none"/>
                  <w:effect w:val="none"/>
                </w:rPr>
                <w:t>119</w:t>
              </w:r>
            </w:hyperlink>
          </w:p>
        </w:tc>
      </w:tr>
      <w:t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12">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12">
              <w:r>
                <w:rPr>
                  <w:rStyle w:val="InternetLink"/>
                  <w:rFonts w:ascii="Times New Roman;serif" w:hAnsi="Times New Roman;serif"/>
                  <w:b w:val="false"/>
                  <w:strike w:val="false"/>
                  <w:dstrike w:val="false"/>
                  <w:color w:val="000000"/>
                  <w:sz w:val="20"/>
                  <w:u w:val="none"/>
                  <w:effect w:val="none"/>
                </w:rPr>
                <w:t>120</w:t>
              </w:r>
            </w:hyperlink>
          </w:p>
        </w:tc>
      </w:tr>
    </w:tbl>
    <w:p>
      <w:pPr>
        <w:pStyle w:val="TextBody"/>
        <w:bidi w:val="0"/>
        <w:spacing w:before="240" w:after="283"/>
        <w:ind w:left="0" w:right="0" w:firstLine="99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w:t>
      </w:r>
    </w:p>
    <w:tbl>
      <w:tblPr>
        <w:tblW w:w="6900" w:type="dxa"/>
        <w:jc w:val="center"/>
        <w:tblInd w:w="0" w:type="dxa"/>
        <w:tblLayout w:type="fixed"/>
        <w:tblCellMar>
          <w:top w:w="28" w:type="dxa"/>
          <w:left w:w="28" w:type="dxa"/>
          <w:bottom w:w="28" w:type="dxa"/>
          <w:right w:w="28" w:type="dxa"/>
        </w:tblCellMar>
      </w:tblPr>
      <w:tblGrid>
        <w:gridCol w:w="2290"/>
        <w:gridCol w:w="2015"/>
        <w:gridCol w:w="2024"/>
        <w:gridCol w:w="167"/>
        <w:gridCol w:w="167"/>
        <w:gridCol w:w="237"/>
      </w:tblGrid>
      <w:tr>
        <w:tc>
          <w:tcPr>
            <w:tcW w:w="229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19">
              <w:r>
                <w:rPr>
                  <w:rStyle w:val="InternetLink"/>
                  <w:rFonts w:ascii="Times New Roman;serif" w:hAnsi="Times New Roman;serif"/>
                  <w:b w:val="false"/>
                  <w:color w:val="000080"/>
                  <w:sz w:val="20"/>
                  <w:u w:val="single"/>
                </w:rPr>
                <w:t xml:space="preserve">Condensed </w:t>
              </w:r>
            </w:hyperlink>
            <w:hyperlink w:anchor="i417bd27758a048f4a4f8ec017ed23bda_19">
              <w:r>
                <w:rPr>
                  <w:rStyle w:val="InternetLink"/>
                  <w:rFonts w:ascii="Times New Roman;serif" w:hAnsi="Times New Roman;serif"/>
                  <w:b w:val="false"/>
                  <w:color w:val="000080"/>
                  <w:sz w:val="20"/>
                  <w:u w:val="single"/>
                </w:rPr>
                <w:t>Consol</w:t>
              </w:r>
            </w:hyperlink>
            <w:hyperlink w:anchor="i417bd27758a048f4a4f8ec017ed23bda_19">
              <w:r>
                <w:rPr>
                  <w:rStyle w:val="InternetLink"/>
                  <w:rFonts w:ascii="Times New Roman;serif" w:hAnsi="Times New Roman;serif"/>
                  <w:b w:val="false"/>
                  <w:color w:val="000080"/>
                  <w:sz w:val="20"/>
                  <w:u w:val="single"/>
                </w:rPr>
                <w:t xml:space="preserve">idated </w:t>
              </w:r>
            </w:hyperlink>
            <w:hyperlink w:anchor="i417bd27758a048f4a4f8ec017ed23bda_19">
              <w:r>
                <w:rPr>
                  <w:rStyle w:val="InternetLink"/>
                  <w:rFonts w:ascii="Times New Roman;serif" w:hAnsi="Times New Roman;serif"/>
                  <w:b w:val="false"/>
                  <w:color w:val="000080"/>
                  <w:sz w:val="20"/>
                  <w:u w:val="single"/>
                </w:rPr>
                <w:t>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pPr>
            <w:hyperlink w:anchor="i417bd27758a048f4a4f8ec017ed23bda_19">
              <w:r>
                <w:rPr>
                  <w:rStyle w:val="InternetLink"/>
                  <w:rFonts w:ascii="Times New Roman;serif" w:hAnsi="Times New Roman;serif"/>
                  <w:b w:val="false"/>
                  <w:color w:val="0000FF"/>
                  <w:sz w:val="20"/>
                  <w:u w:val="single"/>
                </w:rPr>
                <w:t>F-2</w:t>
              </w:r>
            </w:hyperlink>
          </w:p>
        </w:tc>
      </w:tr>
      <w:t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22">
              <w:r>
                <w:rPr>
                  <w:rStyle w:val="InternetLink"/>
                  <w:rFonts w:ascii="Times New Roman;serif" w:hAnsi="Times New Roman;serif"/>
                  <w:b w:val="false"/>
                  <w:color w:val="000080"/>
                  <w:sz w:val="20"/>
                  <w:u w:val="single"/>
                </w:rPr>
                <w:t xml:space="preserve">Condensed </w:t>
              </w:r>
            </w:hyperlink>
            <w:hyperlink w:anchor="i417bd27758a048f4a4f8ec017ed23bda_22">
              <w:r>
                <w:rPr>
                  <w:rStyle w:val="InternetLink"/>
                  <w:rFonts w:ascii="Times New Roman;serif" w:hAnsi="Times New Roman;serif"/>
                  <w:b w:val="false"/>
                  <w:color w:val="000080"/>
                  <w:sz w:val="20"/>
                  <w:u w:val="single"/>
                </w:rPr>
                <w:t>Consol</w:t>
              </w:r>
            </w:hyperlink>
            <w:hyperlink w:anchor="i417bd27758a048f4a4f8ec017ed23bda_22">
              <w:r>
                <w:rPr>
                  <w:rStyle w:val="InternetLink"/>
                  <w:rFonts w:ascii="Times New Roman;serif" w:hAnsi="Times New Roman;serif"/>
                  <w:b w:val="false"/>
                  <w:color w:val="000080"/>
                  <w:sz w:val="20"/>
                  <w:u w:val="single"/>
                </w:rPr>
                <w:t xml:space="preserve">idated </w:t>
              </w:r>
            </w:hyperlink>
            <w:hyperlink w:anchor="i417bd27758a048f4a4f8ec017ed23bda_22">
              <w:r>
                <w:rPr>
                  <w:rStyle w:val="InternetLink"/>
                  <w:rFonts w:ascii="Times New Roman;serif" w:hAnsi="Times New Roman;serif"/>
                  <w:b w:val="false"/>
                  <w:color w:val="000080"/>
                  <w:sz w:val="20"/>
                  <w:u w:val="single"/>
                </w:rPr>
                <w:t>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17bd27758a048f4a4f8ec017ed23bda_22">
              <w:r>
                <w:rPr>
                  <w:rStyle w:val="InternetLink"/>
                  <w:rFonts w:ascii="Times New Roman;serif" w:hAnsi="Times New Roman;serif"/>
                  <w:b w:val="false"/>
                  <w:color w:val="0000FF"/>
                  <w:sz w:val="20"/>
                  <w:u w:val="single"/>
                </w:rPr>
                <w:t>F-3</w:t>
              </w:r>
            </w:hyperlink>
          </w:p>
        </w:tc>
      </w:tr>
      <w:t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25">
              <w:r>
                <w:rPr>
                  <w:rStyle w:val="InternetLink"/>
                  <w:rFonts w:ascii="Times New Roman;serif" w:hAnsi="Times New Roman;serif"/>
                  <w:b w:val="false"/>
                  <w:color w:val="000080"/>
                  <w:sz w:val="20"/>
                  <w:u w:val="single"/>
                </w:rPr>
                <w:t xml:space="preserve">Condensed </w:t>
              </w:r>
            </w:hyperlink>
            <w:hyperlink w:anchor="i417bd27758a048f4a4f8ec017ed23bda_25">
              <w:r>
                <w:rPr>
                  <w:rStyle w:val="InternetLink"/>
                  <w:rFonts w:ascii="Times New Roman;serif" w:hAnsi="Times New Roman;serif"/>
                  <w:b w:val="false"/>
                  <w:color w:val="000080"/>
                  <w:sz w:val="20"/>
                  <w:u w:val="single"/>
                </w:rPr>
                <w:t>Consol</w:t>
              </w:r>
            </w:hyperlink>
            <w:hyperlink w:anchor="i417bd27758a048f4a4f8ec017ed23bda_25">
              <w:r>
                <w:rPr>
                  <w:rStyle w:val="InternetLink"/>
                  <w:rFonts w:ascii="Times New Roman;serif" w:hAnsi="Times New Roman;serif"/>
                  <w:b w:val="false"/>
                  <w:color w:val="000080"/>
                  <w:sz w:val="20"/>
                  <w:u w:val="single"/>
                </w:rPr>
                <w:t xml:space="preserve">idated </w:t>
              </w:r>
            </w:hyperlink>
            <w:hyperlink w:anchor="i417bd27758a048f4a4f8ec017ed23bda_25">
              <w:r>
                <w:rPr>
                  <w:rStyle w:val="InternetLink"/>
                  <w:rFonts w:ascii="Times New Roman;serif" w:hAnsi="Times New Roman;serif"/>
                  <w:b w:val="false"/>
                  <w:color w:val="000080"/>
                  <w:sz w:val="20"/>
                  <w:u w:val="single"/>
                </w:rPr>
                <w:t>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17bd27758a048f4a4f8ec017ed23bda_25">
              <w:r>
                <w:rPr>
                  <w:rStyle w:val="InternetLink"/>
                  <w:rFonts w:ascii="Times New Roman;serif" w:hAnsi="Times New Roman;serif"/>
                  <w:b w:val="false"/>
                  <w:color w:val="0000FF"/>
                  <w:sz w:val="20"/>
                  <w:u w:val="single"/>
                </w:rPr>
                <w:t>F-4</w:t>
              </w:r>
            </w:hyperlink>
          </w:p>
        </w:tc>
      </w:tr>
      <w:t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28">
              <w:r>
                <w:rPr>
                  <w:rStyle w:val="InternetLink"/>
                  <w:rFonts w:ascii="Times New Roman;serif" w:hAnsi="Times New Roman;serif"/>
                  <w:b w:val="false"/>
                  <w:color w:val="000080"/>
                  <w:sz w:val="20"/>
                  <w:u w:val="single"/>
                </w:rPr>
                <w:t xml:space="preserve">Condensed </w:t>
              </w:r>
            </w:hyperlink>
            <w:hyperlink w:anchor="i417bd27758a048f4a4f8ec017ed23bda_28">
              <w:r>
                <w:rPr>
                  <w:rStyle w:val="InternetLink"/>
                  <w:rFonts w:ascii="Times New Roman;serif" w:hAnsi="Times New Roman;serif"/>
                  <w:b w:val="false"/>
                  <w:color w:val="000080"/>
                  <w:sz w:val="20"/>
                  <w:u w:val="single"/>
                </w:rPr>
                <w:t xml:space="preserve">Consolidated </w:t>
              </w:r>
            </w:hyperlink>
            <w:hyperlink w:anchor="i417bd27758a048f4a4f8ec017ed23bda_28">
              <w:r>
                <w:rPr>
                  <w:rStyle w:val="InternetLink"/>
                  <w:rFonts w:ascii="Times New Roman;serif" w:hAnsi="Times New Roman;serif"/>
                  <w:b w:val="false"/>
                  <w:color w:val="000080"/>
                  <w:sz w:val="20"/>
                  <w:u w:val="single"/>
                </w:rPr>
                <w:t>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17bd27758a048f4a4f8ec017ed23bda_28">
              <w:r>
                <w:rPr>
                  <w:rStyle w:val="InternetLink"/>
                  <w:rFonts w:ascii="Times New Roman;serif" w:hAnsi="Times New Roman;serif"/>
                  <w:b w:val="false"/>
                  <w:color w:val="0000FF"/>
                  <w:sz w:val="20"/>
                  <w:u w:val="single"/>
                </w:rPr>
                <w:t>F-5</w:t>
              </w:r>
            </w:hyperlink>
          </w:p>
        </w:tc>
      </w:tr>
      <w:t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417bd27758a048f4a4f8ec017ed23bda_31">
              <w:r>
                <w:rPr>
                  <w:rStyle w:val="InternetLink"/>
                  <w:rFonts w:ascii="Times New Roman;serif" w:hAnsi="Times New Roman;serif"/>
                  <w:b w:val="false"/>
                  <w:color w:val="000080"/>
                  <w:sz w:val="20"/>
                  <w:u w:val="single"/>
                </w:rPr>
                <w:t xml:space="preserve">Notes to the Condensed </w:t>
              </w:r>
            </w:hyperlink>
            <w:hyperlink w:anchor="i417bd27758a048f4a4f8ec017ed23bda_31">
              <w:r>
                <w:rPr>
                  <w:rStyle w:val="InternetLink"/>
                  <w:rFonts w:ascii="Times New Roman;serif" w:hAnsi="Times New Roman;serif"/>
                  <w:b w:val="false"/>
                  <w:color w:val="000080"/>
                  <w:sz w:val="20"/>
                  <w:u w:val="single"/>
                </w:rPr>
                <w:t xml:space="preserve">Consolidated </w:t>
              </w:r>
            </w:hyperlink>
            <w:hyperlink w:anchor="i417bd27758a048f4a4f8ec017ed23bda_31">
              <w:r>
                <w:rPr>
                  <w:rStyle w:val="InternetLink"/>
                  <w:rFonts w:ascii="Times New Roman;serif" w:hAnsi="Times New Roman;serif"/>
                  <w:b w:val="false"/>
                  <w:color w:val="000080"/>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417bd27758a048f4a4f8ec017ed23bda_31">
              <w:r>
                <w:rPr>
                  <w:rStyle w:val="InternetLink"/>
                  <w:rFonts w:ascii="Times New Roman;serif" w:hAnsi="Times New Roman;serif"/>
                  <w:b w:val="false"/>
                  <w:color w:val="0000FF"/>
                  <w:sz w:val="20"/>
                  <w:u w:val="single"/>
                </w:rPr>
                <w:t>F-6</w:t>
              </w:r>
            </w:hyperlink>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4"/>
        <w:gridCol w:w="2314"/>
        <w:gridCol w:w="2183"/>
        <w:gridCol w:w="236"/>
        <w:gridCol w:w="887"/>
        <w:gridCol w:w="130"/>
        <w:gridCol w:w="109"/>
        <w:gridCol w:w="109"/>
        <w:gridCol w:w="109"/>
        <w:gridCol w:w="231"/>
        <w:gridCol w:w="867"/>
        <w:gridCol w:w="186"/>
      </w:tblGrid>
      <w:tr>
        <w:tc>
          <w:tcPr>
            <w:tcW w:w="284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505,499 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Commitments and contingencies (</w:t>
            </w:r>
            <w:r>
              <w:rPr>
                <w:rFonts w:ascii="Times New Roman;serif" w:hAnsi="Times New Roman;serif"/>
                <w:b/>
                <w:i/>
                <w:color w:val="000000"/>
                <w:sz w:val="18"/>
              </w:rPr>
              <w:t>Note 9</w:t>
            </w:r>
            <w:r>
              <w:rPr>
                <w:rFonts w:ascii="Times New Roman;serif" w:hAnsi="Times New Roman;serif"/>
                <w:b/>
                <w:color w:val="000000"/>
                <w:sz w:val="18"/>
              </w:rPr>
              <w:t>)</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49,303,413 shares issued and outstanding at September 30, 2026 (unaudited); 42,553,931 shares issued and outstanding at December 31, 2025</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1,225,416 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(1,120,480)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104,029 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505,499 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750"/>
        <w:gridCol w:w="1524"/>
        <w:gridCol w:w="1534"/>
        <w:gridCol w:w="196"/>
        <w:gridCol w:w="809"/>
        <w:gridCol w:w="109"/>
        <w:gridCol w:w="109"/>
        <w:gridCol w:w="109"/>
        <w:gridCol w:w="109"/>
        <w:gridCol w:w="202"/>
        <w:gridCol w:w="759"/>
        <w:gridCol w:w="109"/>
        <w:gridCol w:w="109"/>
        <w:gridCol w:w="109"/>
        <w:gridCol w:w="109"/>
        <w:gridCol w:w="196"/>
        <w:gridCol w:w="809"/>
        <w:gridCol w:w="109"/>
        <w:gridCol w:w="109"/>
        <w:gridCol w:w="109"/>
        <w:gridCol w:w="109"/>
        <w:gridCol w:w="202"/>
        <w:gridCol w:w="759"/>
        <w:gridCol w:w="157"/>
      </w:tblGrid>
      <w:tr>
        <w:tc>
          <w:tcPr>
            <w:tcW w:w="175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initial consolidation of variable interest entity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10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46,421,382 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42,607,717 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44,270,023 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41,457,027 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95"/>
        <w:gridCol w:w="543"/>
        <w:gridCol w:w="545"/>
        <w:gridCol w:w="480"/>
        <w:gridCol w:w="481"/>
        <w:gridCol w:w="171"/>
        <w:gridCol w:w="109"/>
        <w:gridCol w:w="109"/>
        <w:gridCol w:w="109"/>
        <w:gridCol w:w="204"/>
        <w:gridCol w:w="252"/>
        <w:gridCol w:w="115"/>
        <w:gridCol w:w="109"/>
        <w:gridCol w:w="109"/>
        <w:gridCol w:w="109"/>
        <w:gridCol w:w="209"/>
        <w:gridCol w:w="932"/>
        <w:gridCol w:w="116"/>
        <w:gridCol w:w="109"/>
        <w:gridCol w:w="109"/>
        <w:gridCol w:w="109"/>
        <w:gridCol w:w="353"/>
        <w:gridCol w:w="786"/>
        <w:gridCol w:w="197"/>
        <w:gridCol w:w="109"/>
        <w:gridCol w:w="109"/>
        <w:gridCol w:w="109"/>
        <w:gridCol w:w="196"/>
        <w:gridCol w:w="895"/>
        <w:gridCol w:w="109"/>
        <w:gridCol w:w="109"/>
        <w:gridCol w:w="109"/>
        <w:gridCol w:w="109"/>
        <w:gridCol w:w="196"/>
        <w:gridCol w:w="736"/>
        <w:gridCol w:w="159"/>
      </w:tblGrid>
      <w:tr>
        <w:tc>
          <w:tcPr>
            <w:tcW w:w="89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091" w:type="dxa"/>
            <w:gridSpan w:val="3"/>
            <w:vMerge w:val="continue"/>
            <w:tcBorders/>
            <w:tcMar>
              <w:top w:w="0" w:type="dxa"/>
              <w:left w:w="0" w:type="dxa"/>
              <w:bottom w:w="0" w:type="dxa"/>
              <w:right w:w="0" w:type="dxa"/>
            </w:tcMar>
            <w:vAlign w:val="center"/>
          </w:tcPr>
          <w:p>
            <w:pPr>
              <w:pStyle w:val="Normal"/>
              <w:bidi w:val="0"/>
              <w:jc w:val="left"/>
            </w:p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42,553,931 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769,667 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43,021,312 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348,951 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(18,551)</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43,271,347 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(668,334)</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private placement, net of issuance costs of $4.6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private placement, net of issuance costs of $0.3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acquisition of Alkeus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2,908,692 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securityholders of iRenix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607,093 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49,303,413 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1,225,416 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104,029 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1"/>
        <w:gridCol w:w="562"/>
        <w:gridCol w:w="564"/>
        <w:gridCol w:w="480"/>
        <w:gridCol w:w="481"/>
        <w:gridCol w:w="171"/>
        <w:gridCol w:w="109"/>
        <w:gridCol w:w="109"/>
        <w:gridCol w:w="109"/>
        <w:gridCol w:w="204"/>
        <w:gridCol w:w="252"/>
        <w:gridCol w:w="115"/>
        <w:gridCol w:w="109"/>
        <w:gridCol w:w="109"/>
        <w:gridCol w:w="109"/>
        <w:gridCol w:w="225"/>
        <w:gridCol w:w="846"/>
        <w:gridCol w:w="125"/>
        <w:gridCol w:w="109"/>
        <w:gridCol w:w="109"/>
        <w:gridCol w:w="109"/>
        <w:gridCol w:w="402"/>
        <w:gridCol w:w="867"/>
        <w:gridCol w:w="225"/>
        <w:gridCol w:w="109"/>
        <w:gridCol w:w="109"/>
        <w:gridCol w:w="109"/>
        <w:gridCol w:w="196"/>
        <w:gridCol w:w="764"/>
        <w:gridCol w:w="109"/>
        <w:gridCol w:w="109"/>
        <w:gridCol w:w="109"/>
        <w:gridCol w:w="109"/>
        <w:gridCol w:w="196"/>
        <w:gridCol w:w="736"/>
        <w:gridCol w:w="159"/>
      </w:tblGrid>
      <w:tr>
        <w:tc>
          <w:tcPr>
            <w:tcW w:w="89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1069"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38,349,826 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 of $9.0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41,995,537 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727,697 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(20,340)</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42,210,972 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(12,585)</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42,447,882 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753,042 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335,082 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TARSUS PHARMACEUTICALS,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bl>
      <w:tblPr>
        <w:tblW w:w="9548" w:type="dxa"/>
        <w:jc w:val="center"/>
        <w:tblInd w:w="0" w:type="dxa"/>
        <w:tblLayout w:type="fixed"/>
        <w:tblCellMar>
          <w:top w:w="28" w:type="dxa"/>
          <w:left w:w="28" w:type="dxa"/>
          <w:bottom w:w="28" w:type="dxa"/>
          <w:right w:w="28" w:type="dxa"/>
        </w:tblCellMar>
      </w:tblPr>
      <w:tblGrid>
        <w:gridCol w:w="2539"/>
        <w:gridCol w:w="2232"/>
        <w:gridCol w:w="2248"/>
        <w:gridCol w:w="196"/>
        <w:gridCol w:w="811"/>
        <w:gridCol w:w="109"/>
        <w:gridCol w:w="109"/>
        <w:gridCol w:w="109"/>
        <w:gridCol w:w="109"/>
        <w:gridCol w:w="196"/>
        <w:gridCol w:w="736"/>
        <w:gridCol w:w="154"/>
      </w:tblGrid>
      <w:tr>
        <w:tc>
          <w:tcPr>
            <w:tcW w:w="253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br/>
              <w:t>September 30,</w:t>
            </w:r>
          </w:p>
        </w:tc>
      </w:tr>
      <w:t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debt-related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exchange of long-term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IPR&amp;D expenses of iRenix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IPR&amp;D expenses of Alkeus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inventory expensed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initial consolidation of variable interest entity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amortization/accretion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from transactions denominated in a foreign currency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the acquisition of Alkeus,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the acquisition of iRenix,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net of paid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pre-funded warrants, net of paid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common stock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(decrease)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beginning of period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From Noncash, Investing and Financing Activities: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 obtained in exchange for operating lease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common stock issued in connection to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consideration included within accrued payroll and benefits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investment exchanged for preferred units of privately-held company</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of intangible assets included within other accrued liabilities</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of property and equipment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Offering costs included within other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center"/>
        <w:rPr>
          <w:rFonts w:ascii="Times New Roman;serif" w:hAnsi="Times New Roman;serif"/>
          <w:b w:val="false"/>
          <w:i/>
          <w:color w:val="000000"/>
          <w:sz w:val="16"/>
        </w:rPr>
      </w:pPr>
      <w:r>
        <w:rPr>
          <w:rFonts w:ascii="Times New Roman;serif" w:hAnsi="Times New Roman;serif"/>
          <w:b w:val="false"/>
          <w:i/>
          <w:color w:val="000000"/>
          <w:sz w:val="16"/>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pPr>
      <w:r>
        <w:rPr>
          <w:rFonts w:ascii="Times New Roman;serif" w:hAnsi="Times New Roman;serif"/>
          <w:b w:val="false"/>
          <w:color w:val="000000"/>
          <w:sz w:val="20"/>
        </w:rPr>
        <w:t>Tarsus Pharmaceuticals, Inc. (together with its subsidiaries, hereinafter referred to as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August 2023, after receiving United States (“U.S.”) Food and Drug Administration (“FDA”) approval in July 2023. The Company expanded its pipeline into retina through the acquisitions of iRenix Medical, Inc. (“iRenix”, and the “iRenix Acquisition”) in July 2026, and Alkeus Pharmaceuticals, Inc. (“Alkeus”, and the “Alkeus Acquisition”) in September 2026 (see </w:t>
      </w:r>
      <w:r>
        <w:rPr>
          <w:rFonts w:ascii="Times New Roman;serif" w:hAnsi="Times New Roman;serif"/>
          <w:b w:val="false"/>
          <w:i/>
          <w:color w:val="000000"/>
          <w:sz w:val="20"/>
        </w:rPr>
        <w:t>Note 8</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Private Placement of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completed a private placement (the “2026 Private Placement”), pursuant to which the Company sold an aggregate of 2,098,519 shares of its common stock at a purchase price of $56.00 per share and pre-funded warrants to purchase an aggregate of 133,625 shares of the Company’s common stock at a purchase price of $55.9999 per pre-funded warrant (the purchase price per share less $0.0001, the exercise price of the pre-funded warrants), which resulted in net proceeds of approximately $120.1 million, after deducting placement agent fees and other offering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240" w:after="283"/>
        <w:ind w:left="0" w:right="0" w:firstLine="990"/>
        <w:jc w:val="left"/>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TM</w:t>
      </w:r>
      <w:r>
        <w:rPr>
          <w:rFonts w:ascii="Times New Roman;serif" w:hAnsi="Times New Roman;serif"/>
          <w:b w:val="false"/>
          <w:color w:val="000000"/>
          <w:sz w:val="20"/>
        </w:rPr>
        <w:t>. Under the terms of the 2023 ATM Prospectus,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and 2025, there were no sales of the Company’s common stock pursuant to the 2023 ATM Prospectus.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limited operating history and has incurred accumulated losses. Although the Company has recently generated positive cash flows from operations and has successfully generated revenues from XDEMVY since its commercial launch in August 2023, it historically generated negative cash flows from operations since inception, and the revenue and income potential from the Company’s business and market remains unproven. The Company has funded its inception-to-date operations through the Initial Public Offering (“IPO”), subsequent follow-on public offerings, the 2023 ATM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pPr>
      <w:r>
        <w:rPr>
          <w:rFonts w:ascii="Times New Roman;serif" w:hAnsi="Times New Roman;serif"/>
          <w:b w:val="false"/>
          <w:color w:val="000000"/>
          <w:sz w:val="20"/>
        </w:rPr>
        <w:t xml:space="preserve">Prospectus and the 2026 Private Placement, as well as from proceeds from product sales, the development and license agreement (the “China Out-License”), and draws on the current loan and security agreement (the “2024 Credit Facility”) with </w:t>
      </w:r>
      <w:r>
        <w:rPr>
          <w:rFonts w:ascii="Times New Roman;serif" w:hAnsi="Times New Roman;serif"/>
          <w:b w:val="false"/>
          <w:color w:val="000000"/>
          <w:sz w:val="20"/>
          <w:shd w:fill="FFFFFF" w:val="clear"/>
        </w:rPr>
        <w:t>Pharmakon Advisors, LP</w:t>
      </w:r>
      <w:r>
        <w:rPr>
          <w:color w:val="000000"/>
        </w:rPr>
        <w:t xml:space="preserve"> </w:t>
      </w:r>
      <w:r>
        <w:rPr>
          <w:rFonts w:ascii="Times New Roman;serif" w:hAnsi="Times New Roman;serif"/>
          <w:b w:val="false"/>
          <w:color w:val="000000"/>
          <w:sz w:val="20"/>
        </w:rPr>
        <w:t>(“Pharmakon”) and the previous loan and security agreement. The Company estimates that its existing capital resources will be sufficient to meet projected operating expense requirements and other liquidity needs for at least 12 months from the issuance date of the accompanying Condensed Consolidated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plans to fund its operations, capital funding and other liquidity needs using existing cash and investments and, to the extent available, cash generated from commercial operations. Management believes the Company could continue to incur operating losses in the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990"/>
        <w:jc w:val="left"/>
      </w:pPr>
      <w:r>
        <w:rPr>
          <w:rFonts w:ascii="Times New Roman;serif" w:hAnsi="Times New Roman;serif"/>
          <w:b w:val="false"/>
          <w:color w:val="000000"/>
          <w:sz w:val="20"/>
        </w:rPr>
        <w:t>The accompanying Condensed Consolidated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erif" w:hAnsi="Times New Roman;serif"/>
          <w:b w:val="false"/>
          <w:color w:val="000000"/>
          <w:sz w:val="20"/>
        </w:rPr>
        <w:t>of the SEC. Accordingly, the accompanying Condensed Consolidated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2025, as filed with the SEC on February 23,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interim Condensed Consolidated Balance Sheet as of September 30, 2026, the Condensed Consolidated Statements of Operations and Comprehensive Loss, and the Condensed Consolidated Statements of Stockholders’ Equity for the three and nine months ended September 30, 2026 and 2025, and the Condensed Consolidated Statements of Cash Flows for the nine months ended September 30, 2026 and 2025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 Certain prior year amounts have been reclassified to conform to the current year presentation on the Condensed Consolidated Statements of Cash Flows to separately present accounts payable and 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related to the three and nine month periods are also unaudited. The Condensed Consolidated Balance Sheet as of December 31, 2025 has been derived from the audited financial statements at that date but does not include all information and footnotes required by GAAP for annual financial statements. The condensed interim operating results for the three and nine months ended September 30, 2026 are not necessarily indicative of results to be expected for the year ending December 31, 2026 or any other interim or annual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990"/>
        <w:jc w:val="left"/>
      </w:pPr>
      <w:r>
        <w:rPr>
          <w:rFonts w:ascii="Times New Roman;serif" w:hAnsi="Times New Roman;serif"/>
          <w:b w:val="false"/>
          <w:color w:val="000000"/>
          <w:sz w:val="20"/>
        </w:rPr>
        <w:t>The accompanying Condensed Consolidated Financial Statements include the accounts of Tarsus Pharmaceuticals, Inc. and its wholly owned subsidiaries, consisting of iRenix and Alkeus. On July 6, 2026, a wholly owned subsidiary of the Company merged with and into iRenix, with iRenix surviving as a wholly owned subsidiary of the Company. iRenix is consolidated under the voting interest model, as it was determined not to be a variable interest entity (“VIE”) because it had sufficient equity at risk to finance its intended purpose/designed</w:t>
      </w:r>
      <w:r>
        <w:rPr>
          <w:color w:val="000000"/>
        </w:rPr>
        <w:t xml:space="preserve"> </w:t>
      </w:r>
      <w:r>
        <w:rPr>
          <w:rFonts w:ascii="Times New Roman;serif" w:hAnsi="Times New Roman;serif"/>
          <w:b w:val="false"/>
          <w:color w:val="000000"/>
          <w:sz w:val="20"/>
        </w:rPr>
        <w:t xml:space="preserve">activities without additional subordinated financial support. On September 4, 2026, a wholly owned subsidiary of the Company merged with and into Alkeus, with Alkeus surviving as a wholly owned subsidiary of the Company. Alkeus is a VIE for which the Company is the primary beneficiary under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(“ASC 810”), because the Company has both the power to direct the activities that most significantly affect Alkeus’ economic performance and the obligation to absorb losses of, or the right to receive benefits from Alkeus that could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pPr>
      <w:r>
        <w:rPr>
          <w:rFonts w:ascii="Times New Roman;serif" w:hAnsi="Times New Roman;serif"/>
          <w:b w:val="false"/>
          <w:color w:val="000000"/>
          <w:sz w:val="20"/>
        </w:rPr>
        <w:t xml:space="preserve">potentially be significant (see </w:t>
      </w:r>
      <w:r>
        <w:rPr>
          <w:rFonts w:ascii="Times New Roman;serif" w:hAnsi="Times New Roman;serif"/>
          <w:b w:val="false"/>
          <w:i/>
          <w:color w:val="000000"/>
          <w:sz w:val="20"/>
        </w:rPr>
        <w:t>Note 8</w:t>
      </w:r>
      <w:r>
        <w:rPr>
          <w:rFonts w:ascii="Times New Roman;serif" w:hAnsi="Times New Roman;serif"/>
          <w:b w:val="false"/>
          <w:color w:val="000000"/>
          <w:sz w:val="20"/>
        </w:rPr>
        <w:t>). The results of operations of iRenix and Alkeus are included from their respective acquisition dates. All significant intercompany transactions and balances have been eliminated. The Company operates its business in one operating segment consisting of one reporting unit.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and with the rules and regulations of the SEC requires management to make informed estimates and assumptions that affect the amounts reported in these accompanying Condensed Consolidated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the recognition of revenue, clinical trial accruals, contract manufacturing accruals, expected demand for inventory, fair value of assets and liabilities, income taxes, stock-based compensation, and the fair value of assets acquired, liabilities assumed and consideration transferred in acquisitions, including contingent consideration.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Consolidated Financial Statements under different assumptions and conditions.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Condensed Consolidated Financial Statements as of and for the three and nine months ended September 30, 2026,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Consolidated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Condensed Consolidated Financial Statements are further described below:</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Consolidated Balance Sheets for cash and cash equivalents are valued at cost, which approximate their fair value.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Restricted cash relates to collateral for a letter of credit related to the Company’s new office space lease that was executed in December 2024 (see </w:t>
      </w:r>
      <w:r>
        <w:rPr>
          <w:rFonts w:ascii="Times New Roman;serif" w:hAnsi="Times New Roman;serif"/>
          <w:b w:val="false"/>
          <w:i/>
          <w:color w:val="000000"/>
          <w:sz w:val="20"/>
        </w:rPr>
        <w:t>Note 9</w:t>
      </w:r>
      <w:r>
        <w:rPr>
          <w:rFonts w:ascii="Times New Roman;serif" w:hAnsi="Times New Roman;serif"/>
          <w:b w:val="false"/>
          <w:color w:val="000000"/>
          <w:sz w:val="20"/>
        </w:rPr>
        <w:t>). The Company also has collateral for a letter of credit related to Alkeus’ office space for which the Company assumed the lease obligations upon closing of the Alkeus Acquisition. Restricted cash that will be held for less than one year is reported in current assets and amounts that will be held for longer than one year are reported in non-current assets on the accompanying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xml:space="preserve">).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balance sheet date, are classified as current assets on the accompanying Condensed Consolidated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Condensed Consolidated Statements of Stockholders’ Equity until realized. The cost of debt securities is adjusted for amortization of premiums and accretion of discounts to maturity. Such amortization and accretion, as well as interest and dividends, are included in interest income within the accompanying Condensed Consolidated Statements of Operations and Comprehensive Loss. Realized gains and losses as well as credit losses, if any, on marketable securities identified on a specific identification basis are included in other income (expense) in the accompanying Condensed Consolidated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evaluates whether a credit loss allowance should be recorded for available-for-sale debt securities in an unrealized loss position, which occurs when the fair value of a debt security declines below its amortized cost. The Company’s credit loss evaluation is based on objective evidence, including the underlying credit quality and credit ratings of the issuers, as well as subjective factors, including knowledge of recent events and assumptions of future events. If the Company intends to sell, or it is more likely than not that the Company will be required to sell, a debt security before recovery of its amortized cost basis, the amortized cost basis of the individual security is written down to fair value through earnings. Otherwise, declines in fair value attributable to credit losses are recorded through an allowance for credit losses, limited to the amount by which fair value is below amortized cost, with a corresponding charge to other income (expense), and declines attributable to non-credit-related factors are recorded in other comprehensive income (loss). </w:t>
      </w:r>
    </w:p>
    <w:p>
      <w:pPr>
        <w:pStyle w:val="TextBody"/>
        <w:bidi w:val="0"/>
        <w:spacing w:lineRule="auto" w:line="288" w:before="240" w:after="283"/>
        <w:ind w:left="0" w:right="0" w:firstLine="990"/>
        <w:jc w:val="left"/>
      </w:pPr>
      <w:r>
        <w:rPr>
          <w:rFonts w:ascii="Times New Roman;serif" w:hAnsi="Times New Roman;serif"/>
          <w:b w:val="false"/>
          <w:color w:val="000000"/>
          <w:sz w:val="20"/>
        </w:rPr>
        <w:t>The Company held a preferred stock investment in a privately-held eye care company that does not meet the criteria for in-substance common stock. Accordingly, the investment is classified within long-term investments in the accompanying Condensed Consolidated Balance Sheets based on the Company’s intent to hold the securities for more than one year. The investment is measured under the Accounting Standards Codification (“ASC”) 321,</w:t>
      </w:r>
      <w:r>
        <w:rPr>
          <w:color w:val="000000"/>
        </w:rPr>
        <w:t xml:space="preserve"> </w:t>
      </w:r>
      <w:r>
        <w:rPr>
          <w:rFonts w:ascii="Times New Roman;serif" w:hAnsi="Times New Roman;serif"/>
          <w:b w:val="false"/>
          <w:i/>
          <w:color w:val="000000"/>
          <w:sz w:val="20"/>
        </w:rPr>
        <w:t>Investments— Equity Securities</w:t>
      </w:r>
      <w:r>
        <w:rPr>
          <w:color w:val="000000"/>
        </w:rPr>
        <w:t xml:space="preserve"> </w:t>
      </w:r>
      <w:r>
        <w:rPr>
          <w:rFonts w:ascii="Times New Roman;serif" w:hAnsi="Times New Roman;serif"/>
          <w:b w:val="false"/>
          <w:color w:val="000000"/>
          <w:sz w:val="20"/>
        </w:rPr>
        <w:t>(“ASC 321”), measurement alternative and is carried at cost, less impairment, plus or minus changes resulting from observable price changes in orderly transactions for identical or similar equity financings. The Company evaluates the investment for such observable price changes at each reporting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June 2026, the privately-held company was acquired by a newly formed holding company through a merger and recapitalization. In connection with the transaction, the Company’s preferred stock in the privately-held company was cancelled and exchanged for preferred units of the holding company. Because the security the Company held was legally extinguished and exchanged for a different equity instrument of a different issuer, the Company accounted for the transaction as a disposal of the preferred stock and an acquisition of the preferred units, measured at fair value. The Company derecognized the carrying value of its preferred stock, recorded the preferred units received at their fair value of $6.7 million, and recognized a gain of $2.8 million in other income (expense) in the Condensed Consolidated Statements of Operations and Comprehensive Loss for the nine months ended September 30, 2026. The fair value of the preferred units was determined based on the price per unit in a substantially concurrent, cash financing of the same preferred units of the holding company, which the Company considered an observable transaction for an identical security. The Company continues to account for its investment in the preferred units under the ASC 321 measurement alternative, at the new cost basis established in the exchange.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At each reporting period, the Company also assesses the investment for possible impairment indicators. If the fair value of the investment is determined to be less than its carrying value, the Company will recognize an impairment loss through other income (expense) in the Statements of Operations and Comprehensive Loss. During the three and nine months ended September 30, 2026 and 2025, there were no identified impairment indicators that resulted in a change to the carrying value of the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and nine months ended September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Consolidated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Consolidated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 As the long-term debt is subject to variable interest rates that are based on market rates which regularly reset, the Company believes that the carrying value of the long-term debt approximates its fair value.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Construction-in-progress represents capitalized costs of assets being constructed and is not depreciated until the asset is ready for its intended use, at which point it is reclassified to the appropriate asset category and depreciation commences.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Condensed Consolidated Balance Sheets. The current and non-current portion of the operating lease liability are included in other accrued liabilities and other long-term liabilities, respectively, in the accompanying Condensed Consolidated Balance Sheets. Rent expense is allocated to research and development and general and administrative expenses in the accompanying Condensed Consolidated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Risk </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For the three months ended September 30, 2026, one customer exceeded 10% of total gross product sales, representing 69.7% of total gross product sales. For the nine months ended September 30, 2026, two customers each exceeded 10% of total gross product sales, representing 76.8% of total gross product sales on a combined basis. For the three and nine months ended September 30, 2025, two customers in each period each exceeded 10% of total gross product sales, representing 77.1% and 74.9%, respectively, of total gross product sales on a combined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one customer exceeded 10% of gross accounts receivable, representing 63.7% of the balance. As of December 31, 2025, three customers each exceeded 10% of gross accounts receivable, representing 79.9% of the balance on a combined basis. 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Consolidated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three and nine months ended September 30, 2026 and 2025,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The Company’s customers are contractually permitted to return product within the contractual allowable time, both before and after the applicable expiration date. In the initial sales period, the Company estimates its provision for returns based on the Company’s historical experience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 xml:space="preserve">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China Out-License </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License fees and collaboration revenue in the accompanying Condensed Consolidated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erif" w:hAnsi="Times New Roman;serif"/>
          <w:b w:val="false"/>
          <w:i/>
          <w:color w:val="000000"/>
          <w:sz w:val="20"/>
        </w:rPr>
        <w:t>Note 10</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Consolidated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including direct-to-consumer (“DTC”) advertising costs, to support the Company’s commercial launch that started in August 2023, consulting fees, legal services, rent and other facilities costs, patient support functions,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or as certain upfront or milestone payments become contractually due to licensors upon the achievement of clinical or regulatory events. Research and development expenses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such license arrangements accounted for as asset acquisitions that do not involve the initial consolidation of a VIE (see “Asset Acquisitions and Acquired In-Process Research and Development” policy below), the upfront payments to acquire such licenses, as well as any future milestone payments made before product approval that are not derivatives and are not within the scope of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(“ASC 480”), are immediately recognized as research and development expense in the Condensed Consolidated Statements of Operations and Comprehensive Loss when paid or they become payable, provided there is no alternative future use of rights in other research and development projects.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Asset Acquisitions and Acquired In-Process Research and Development (“IPR&amp;D”)</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Company evaluates acquisitions to determine whether they should be accounted for as business combinations or asset acquisitions, first applying the screen test to determine whether substantially all of the fair value of the gross assets acquired is concentrated in a single identifiable asset or group of similar identifiable assets then assessing the definition of a business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When the acquired asset is not a business, the Company further evaluates whether the acquired entity is a VIE. For asset acquisitions of entities that are not VIEs, the cost of the acquisition, including direct transaction costs, is allocated to the assets acquired on a relative fair value basis, and contingent consideration is generally recognized when it is paid or becomes payable, unless it is a derivative or within the scope of ASC 480. For the initial consolidation of a VIE that is not a business, in accordance with ASC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 xml:space="preserve">(“ASC 810”), the Company recognizes and measures the identifiable assets acquired and liabilities assumed at fair value using the measurement principles of ASC 805, does not recognize goodwill, measures the consideration transferred (including contingent consideration) at fair value, and recognizes a gain or loss for any difference between the net assets acquired and the consideration transferred as a loss on initial consolidation of a VIE within other income (expense), net, in the Condensed Consolidated Statements of Operations and Comprehensive Loss. Acquisition-related costs incurred by the Company in connection with the initial consolidation of a VIE are expensed as incurred. In either model, acquired IPR&amp;D, and any acquired materials or inventory, that have no alternative future use are expensed upon acquisition as acquired in process research and development expense and research and development expense, respectively, in the Condensed Consolidated Statements of Operations and Comprehensive Loss.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connection with an asset acquisition, the Company may be obligated to make future payments to the seller upon the achievement of specified development, regulatory or commercial milestones. The Company evaluates the terms of each such arrangement to determine the appropriate accounting model. Where the Company may settle the contingent consideration in cash or in a variable number of shares of its common stock at the Company’s election, the Company accounts for the arrangement as a liability in accordance with ASC 480.</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Contingent consideration arising from the initial consolidation of a VIE that is not a business is recognized at its acquisition-date fair value as part of the consideration transferred and therefore is a component of the gain or loss on initial consolidation of the VIE. Contingent consideration classified as a liability within the scope of ASC 480 is remeasured to fair value at each reporting date, with changes recorded to change in fair value of contingent consideration in the Condensed Consolidated Statements of Operations and Comprehensive Loss. Contingent consideration that is payable solely in cash is classified as a liability but is not within the scope of ASC 480 or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is not remeasured each reporting period. For milestone-based arrangements classified as contingent consideration, the liability is carried at its initially recognized amount until the milestone becomes payable, at which time the recognized liability is released and any amount payable in excess of the recognized liability is capitalized to the related intangible asset and amortized over its remaining useful life. For sales-based royalty arrangements, as royalties become due the recognized liability is released and royalty payments in excess of the recognized liability are recognized in cost of sales on the Condensed Consolidated Statements of Operations and Comprehensive Loss.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fair value of the contingent consideration liability, including the valuation technique and the significant unobservable inputs used in its measurement, is described further in </w:t>
      </w:r>
      <w:r>
        <w:rPr>
          <w:rFonts w:ascii="Times New Roman;serif" w:hAnsi="Times New Roman;serif"/>
          <w:b w:val="false"/>
          <w:i/>
          <w:color w:val="000000"/>
          <w:sz w:val="20"/>
        </w:rPr>
        <w:t>Note 3, Fair Value Measurements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an accelerated attribution method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before="0" w:after="0"/>
        <w:ind w:left="0" w:right="0" w:firstLine="990"/>
        <w:jc w:val="left"/>
      </w:p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Stock awards that are classified as liabilities are initially measured at fair value and remeasured at fair value at each reporting date until settlement. For liability-classified awards subject to a performance condition that affects vesting, compensation cost is recognized when achievement of the performance condition is probable, based on the then-current fair value of the award and the requisite service rendered. Changes in fair value are recognized as compensation cost over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requisite service period and, after the requisite service period has been completed, are recognized in the period of change until settlement. Compensation cost is attributed using the graded-vesting attribution method, as applicable.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Condensed Consolidated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 xml:space="preserve">The fair value of the Company’s common stock is based on the closing quoted market price of its common stock as reported by the Nasdaq Global Select Market (“Nasdaq”) on the date of the option grant. </w:t>
      </w:r>
    </w:p>
    <w:p>
      <w:pPr>
        <w:pStyle w:val="TextBody"/>
        <w:bidi w:val="0"/>
        <w:spacing w:lineRule="auto" w:line="288" w:before="240" w:after="283"/>
        <w:ind w:left="0" w:right="0" w:firstLine="990"/>
        <w:jc w:val="left"/>
      </w:pP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to determine the expected term since the Company does not have sufficient exercise history. The simplified method results in an expected term of 6.25 years based on the mid-point between the vesting date and the end of the contractual term.</w:t>
      </w:r>
    </w:p>
    <w:p>
      <w:pPr>
        <w:pStyle w:val="TextBody"/>
        <w:bidi w:val="0"/>
        <w:spacing w:lineRule="auto" w:line="288" w:before="240" w:after="283"/>
        <w:ind w:left="0" w:right="0" w:firstLine="990"/>
        <w:jc w:val="left"/>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p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Recently issued or effective accounting pronouncements that impact, or may have an impact, on the Company’s financial statements are discussed below. Outside of the pronouncements below, other recent accounting pronouncements not disclosed in these Condensed Consolidated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Income Taxes (Topic 740): Improvements to Income Tax Disclosure</w:t>
      </w:r>
      <w:r>
        <w:rPr>
          <w:color w:val="000000"/>
        </w:rPr>
        <w:t xml:space="preserve"> </w:t>
      </w:r>
      <w:r>
        <w:rPr>
          <w:rFonts w:ascii="Times New Roman;serif" w:hAnsi="Times New Roman;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became effective for the Company beginning with its Annual Report on Form 10-K for the year ended December 31, 2025. The Company adopted ASU 2023-09 during the year ended December 31, 2025, which expanded its income tax footnote disclosures, including a more detailed effective tax rate reconciliation.</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December 31, 2027. Early adoption is permitted. ASU 2024-03 should be applied prospectively. Retrospective adoption is permitted. The Company is currently assessing the impact this standard will have on its financial statements.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pPr>
      <w:r>
        <w:rPr>
          <w:rFonts w:ascii="Times New Roman;serif" w:hAnsi="Times New Roman;serif"/>
          <w:b w:val="false"/>
          <w:i/>
          <w:color w:val="000000"/>
          <w:sz w:val="20"/>
        </w:rPr>
        <w:t>Consideration from a Customer in a Revenue Contract</w:t>
      </w:r>
      <w:r>
        <w:rPr>
          <w:color w:val="000000"/>
        </w:rPr>
        <w:t xml:space="preserve"> </w:t>
      </w:r>
      <w:r>
        <w:rPr>
          <w:rFonts w:ascii="Times New Roman;serif" w:hAnsi="Times New Roman;serif"/>
          <w:b w:val="false"/>
          <w:color w:val="000000"/>
          <w:sz w:val="20"/>
        </w:rPr>
        <w:t>(“ASU 2025-07”). ASU 2025-07 expands the scope exception in Topic 815 to exclude from derivative accounting contracts, and embedded features within contracts, that are not traded on an exchange and that contain underlyings based on operations or activities specific to one of the parties to the contract. The standard also clarifies that share-based noncash consideration received from a customer in exchange for the transfer of goods or services is accounted for under Topic 606 until the Company’s right to receive or retain that consideration becomes unconditional, at which point the consideration is accounted for under other applicable guidance, including Topic 815 or Topic 321. ASU 2025-07 is effective for annual periods beginning after December 15, 2026, and interim periods within, with early adoption permitted prospectively or on a modified retrospective basis.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844" w:type="dxa"/>
        <w:jc w:val="left"/>
        <w:tblInd w:w="0" w:type="dxa"/>
        <w:tblLayout w:type="fixed"/>
        <w:tblCellMar>
          <w:top w:w="28" w:type="dxa"/>
          <w:left w:w="28" w:type="dxa"/>
          <w:bottom w:w="28" w:type="dxa"/>
          <w:right w:w="28" w:type="dxa"/>
        </w:tblCellMar>
      </w:tblPr>
      <w:tblGrid>
        <w:gridCol w:w="991"/>
        <w:gridCol w:w="874"/>
        <w:gridCol w:w="87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c>
          <w:tcPr>
            <w:tcW w:w="9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556" w:type="dxa"/>
        <w:jc w:val="left"/>
        <w:tblInd w:w="0" w:type="dxa"/>
        <w:tblLayout w:type="fixed"/>
        <w:tblCellMar>
          <w:top w:w="28" w:type="dxa"/>
          <w:left w:w="28" w:type="dxa"/>
          <w:bottom w:w="28" w:type="dxa"/>
          <w:right w:w="28" w:type="dxa"/>
        </w:tblCellMar>
      </w:tblPr>
      <w:tblGrid>
        <w:gridCol w:w="936"/>
        <w:gridCol w:w="819"/>
        <w:gridCol w:w="824"/>
        <w:gridCol w:w="109"/>
        <w:gridCol w:w="109"/>
        <w:gridCol w:w="109"/>
        <w:gridCol w:w="234"/>
        <w:gridCol w:w="880"/>
        <w:gridCol w:w="130"/>
        <w:gridCol w:w="109"/>
        <w:gridCol w:w="109"/>
        <w:gridCol w:w="109"/>
        <w:gridCol w:w="372"/>
        <w:gridCol w:w="770"/>
        <w:gridCol w:w="208"/>
        <w:gridCol w:w="109"/>
        <w:gridCol w:w="109"/>
        <w:gridCol w:w="109"/>
        <w:gridCol w:w="364"/>
        <w:gridCol w:w="812"/>
        <w:gridCol w:w="204"/>
        <w:gridCol w:w="109"/>
        <w:gridCol w:w="109"/>
        <w:gridCol w:w="109"/>
        <w:gridCol w:w="306"/>
        <w:gridCol w:w="1149"/>
        <w:gridCol w:w="240"/>
      </w:tblGrid>
      <w:t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173,996 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173,082 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9556" w:type="dxa"/>
        <w:jc w:val="left"/>
        <w:tblInd w:w="0" w:type="dxa"/>
        <w:tblLayout w:type="fixed"/>
        <w:tblCellMar>
          <w:top w:w="28" w:type="dxa"/>
          <w:left w:w="28" w:type="dxa"/>
          <w:bottom w:w="28" w:type="dxa"/>
          <w:right w:w="28" w:type="dxa"/>
        </w:tblCellMar>
      </w:tblPr>
      <w:tblGrid>
        <w:gridCol w:w="936"/>
        <w:gridCol w:w="819"/>
        <w:gridCol w:w="824"/>
        <w:gridCol w:w="109"/>
        <w:gridCol w:w="109"/>
        <w:gridCol w:w="109"/>
        <w:gridCol w:w="234"/>
        <w:gridCol w:w="880"/>
        <w:gridCol w:w="130"/>
        <w:gridCol w:w="109"/>
        <w:gridCol w:w="109"/>
        <w:gridCol w:w="109"/>
        <w:gridCol w:w="364"/>
        <w:gridCol w:w="782"/>
        <w:gridCol w:w="204"/>
        <w:gridCol w:w="109"/>
        <w:gridCol w:w="109"/>
        <w:gridCol w:w="109"/>
        <w:gridCol w:w="380"/>
        <w:gridCol w:w="787"/>
        <w:gridCol w:w="213"/>
        <w:gridCol w:w="109"/>
        <w:gridCol w:w="109"/>
        <w:gridCol w:w="109"/>
        <w:gridCol w:w="306"/>
        <w:gridCol w:w="1149"/>
        <w:gridCol w:w="240"/>
      </w:tblGrid>
      <w:t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a majority of the Company’s debt securities had a maturity of 12 months or less. As of September 30, 2026, sixteen debt securities had a contractual maturity between one and two years, with an estimated fair market value of $39.9 million and amortized cost of $40.5 million. As of December 31, 2025, twenty debt securities had a contractual maturity between one and two years, with an estimated fair market value of $46.9 million and amortized cost of $46.8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 had sixty-eight and seven debt securities, respectively, in a continuous gross unrealized loss position for less than one year. As of September 30, 2026 and December 31, 2025,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record an allowance for credit losses or write down the amortized cost basis of any debt securities for the three and nine months ended September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connection with the Alkeus Acquisition (see </w:t>
      </w:r>
      <w:r>
        <w:rPr>
          <w:rFonts w:ascii="Times New Roman;serif" w:hAnsi="Times New Roman;serif"/>
          <w:b w:val="false"/>
          <w:i/>
          <w:color w:val="000000"/>
          <w:sz w:val="20"/>
        </w:rPr>
        <w:t>Note 8</w:t>
      </w:r>
      <w:r>
        <w:rPr>
          <w:rFonts w:ascii="Times New Roman;serif" w:hAnsi="Times New Roman;serif"/>
          <w:b w:val="false"/>
          <w:color w:val="000000"/>
          <w:sz w:val="20"/>
        </w:rPr>
        <w:t xml:space="preserve">), the Company recorded contingent consideration liabilities for future regulatory/commercial milestone payments and royalty payments. The contingent consideration liability related to the regulatory approval milestone is measured at fair value on a recurring basis and is classified within Level 3 of the fair value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hierarchy because its measurement relies on significant unobservable inputs, including the probability of achieving the regulatory milestone, the estimated timing of the related payment and the discount rate. The fair value is estimated with a probability-weighted model. The Company remeasures this liability at fair value as of each reporting period and records changes in fair value within change in fair value of contingent consideration in the Condensed Consolidated Statement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reconciliation of the contingent consideration liability related to the regulatory milestone measured at fair value on a recurring basis using Level 3 inputs is presented in the following table:</w:t>
      </w:r>
    </w:p>
    <w:tbl>
      <w:tblPr>
        <w:tblW w:w="5028" w:type="dxa"/>
        <w:jc w:val="left"/>
        <w:tblInd w:w="0" w:type="dxa"/>
        <w:tblLayout w:type="fixed"/>
        <w:tblCellMar>
          <w:top w:w="28" w:type="dxa"/>
          <w:left w:w="28" w:type="dxa"/>
          <w:bottom w:w="28" w:type="dxa"/>
          <w:right w:w="28" w:type="dxa"/>
        </w:tblCellMar>
      </w:tblPr>
      <w:tblGrid>
        <w:gridCol w:w="1341"/>
        <w:gridCol w:w="1178"/>
        <w:gridCol w:w="1186"/>
        <w:gridCol w:w="109"/>
        <w:gridCol w:w="109"/>
        <w:gridCol w:w="109"/>
        <w:gridCol w:w="196"/>
        <w:gridCol w:w="646"/>
        <w:gridCol w:w="154"/>
      </w:tblGrid>
      <w:t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acquisition date (September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Quantitative information about the significant unobservable inputs used in the fair value measurement of the contingent consideration liability related to the regulatory approval milestone is presented in the following table as of September 30, 2026:</w:t>
      </w:r>
    </w:p>
    <w:tbl>
      <w:tblPr>
        <w:tblW w:w="5831" w:type="dxa"/>
        <w:jc w:val="left"/>
        <w:tblInd w:w="0" w:type="dxa"/>
        <w:tblLayout w:type="fixed"/>
        <w:tblCellMar>
          <w:top w:w="28" w:type="dxa"/>
          <w:left w:w="28" w:type="dxa"/>
          <w:bottom w:w="28" w:type="dxa"/>
          <w:right w:w="28" w:type="dxa"/>
        </w:tblCellMar>
      </w:tblPr>
      <w:tblGrid>
        <w:gridCol w:w="771"/>
        <w:gridCol w:w="678"/>
        <w:gridCol w:w="680"/>
        <w:gridCol w:w="109"/>
        <w:gridCol w:w="109"/>
        <w:gridCol w:w="109"/>
        <w:gridCol w:w="708"/>
        <w:gridCol w:w="708"/>
        <w:gridCol w:w="1959"/>
      </w:tblGrid>
      <w:t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Probability-Weighted Discounted Cash Flow</w:t>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5" w:type="dxa"/>
            <w:gridSpan w:val="3"/>
            <w:tcBorders/>
            <w:vAlign w:val="center"/>
          </w:tcPr>
          <w:p>
            <w:pPr>
              <w:pStyle w:val="TableContents"/>
              <w:bidi w:val="0"/>
              <w:spacing w:before="0" w:after="283"/>
              <w:jc w:val="left"/>
              <w:rPr>
                <w:sz w:val="4"/>
                <w:szCs w:val="4"/>
              </w:rPr>
            </w:pPr>
            <w:r>
              <w:rPr>
                <w:sz w:val="4"/>
                <w:szCs w:val="4"/>
              </w:rPr>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period to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years</w:t>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assumptions used to calculate the fair value of the regulatory approval milestones are subject to a significant amount of judgment. Fair value measurements are highly sensitive to changes in our probability assessment of regulatory approval and significant changes could result in a significantly higher or lower fair value and resulting expense or gain.</w:t>
      </w:r>
    </w:p>
    <w:p>
      <w:pPr>
        <w:pStyle w:val="TextBody"/>
        <w:bidi w:val="0"/>
        <w:spacing w:lineRule="auto" w:line="288" w:before="240" w:after="6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acquisition-date fair values of the contingent consideration liabilities related to the first commercial sale milestone and the sales royalty earnout were $19.5 million and $18.5 million, respectively. The fair values were estimated using probability-weighted valuation models incorporating significant unobservable inputs. The valuation of the first commercial sale milestone incorporated the estimated probability and timing of the first commercial sale and a risk-adjusted discount rate. The valuation of the sales royalty earnout incorporated projected net sales, the probability of commercial success and a risk-adjusted discount rate. Because these liabilities are not remeasured after the acquisition date, they are excluded from the recurring fair value measurement disclosures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composition of selected captions within the accompanying Condensed Consolidated Balance Sheets are summarized below:</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5141" w:type="dxa"/>
        <w:jc w:val="left"/>
        <w:tblInd w:w="0" w:type="dxa"/>
        <w:tblLayout w:type="fixed"/>
        <w:tblCellMar>
          <w:top w:w="28" w:type="dxa"/>
          <w:left w:w="28" w:type="dxa"/>
          <w:bottom w:w="28" w:type="dxa"/>
          <w:right w:w="28" w:type="dxa"/>
        </w:tblCellMar>
      </w:tblPr>
      <w:tblGrid>
        <w:gridCol w:w="624"/>
        <w:gridCol w:w="549"/>
        <w:gridCol w:w="552"/>
        <w:gridCol w:w="351"/>
        <w:gridCol w:w="997"/>
        <w:gridCol w:w="197"/>
        <w:gridCol w:w="109"/>
        <w:gridCol w:w="109"/>
        <w:gridCol w:w="109"/>
        <w:gridCol w:w="334"/>
        <w:gridCol w:w="948"/>
        <w:gridCol w:w="262"/>
      </w:tblGrid>
      <w:t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906" w:type="dxa"/>
        <w:jc w:val="center"/>
        <w:tblInd w:w="0" w:type="dxa"/>
        <w:tblLayout w:type="fixed"/>
        <w:tblCellMar>
          <w:top w:w="28" w:type="dxa"/>
          <w:left w:w="28" w:type="dxa"/>
          <w:bottom w:w="28" w:type="dxa"/>
          <w:right w:w="28" w:type="dxa"/>
        </w:tblCellMar>
      </w:tblPr>
      <w:tblGrid>
        <w:gridCol w:w="901"/>
        <w:gridCol w:w="792"/>
        <w:gridCol w:w="796"/>
        <w:gridCol w:w="318"/>
        <w:gridCol w:w="1050"/>
        <w:gridCol w:w="177"/>
        <w:gridCol w:w="109"/>
        <w:gridCol w:w="109"/>
        <w:gridCol w:w="109"/>
        <w:gridCol w:w="304"/>
        <w:gridCol w:w="1002"/>
        <w:gridCol w:w="239"/>
      </w:tblGrid>
      <w:t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September 30, 2026 and 2025 was $0.8 million and $0.2 million, respectively, and for the nine months ended September 30, 2026 and 2025 was $1.7 million and $0.7 million, respectively. The December 31, 2025 leasehold improvements represent construction in progress. In April 2026, in connection with the relocation of the Company’s headquarters, the Company placed its leasehold improvements into service and began recognizing the related depreciation expense. There were no impairments recognized during the three and nine months ended September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5921" w:type="dxa"/>
        <w:jc w:val="left"/>
        <w:tblInd w:w="0" w:type="dxa"/>
        <w:tblLayout w:type="fixed"/>
        <w:tblCellMar>
          <w:top w:w="28" w:type="dxa"/>
          <w:left w:w="28" w:type="dxa"/>
          <w:bottom w:w="28" w:type="dxa"/>
          <w:right w:w="28" w:type="dxa"/>
        </w:tblCellMar>
      </w:tblPr>
      <w:tblGrid>
        <w:gridCol w:w="907"/>
        <w:gridCol w:w="797"/>
        <w:gridCol w:w="801"/>
        <w:gridCol w:w="318"/>
        <w:gridCol w:w="1050"/>
        <w:gridCol w:w="177"/>
        <w:gridCol w:w="109"/>
        <w:gridCol w:w="109"/>
        <w:gridCol w:w="109"/>
        <w:gridCol w:w="334"/>
        <w:gridCol w:w="948"/>
        <w:gridCol w:w="262"/>
      </w:tblGrid>
      <w:t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September 2026, the Company capitalized a $10.0 million milestone achieved under the Eye and Derm Elanco Agreement based on annual net sales of XDEMVY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are amortized to cost of sales over the remaining useful life of 6.9 years as of September 30, 2026, with an initial useful life of 10 years from the date of first commercial sale. Amortization expense for the three months ended September 30, 2026 and 2025 was $0.2 million in both periods, and for the nine months ended September 30, 2026 and 2025 was $0.7 million in both periods. There have been no impairments of intangible assets for the three and nine months ended September 30, 2026 and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expected future amortization expense for the Company’s intangible assets is as follows:</w:t>
      </w:r>
    </w:p>
    <w:tbl>
      <w:tblPr>
        <w:tblW w:w="3633"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96"/>
        <w:gridCol w:w="646"/>
        <w:gridCol w:w="154"/>
      </w:tblGrid>
      <w:t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consists of the following:</w:t>
      </w:r>
    </w:p>
    <w:tbl>
      <w:tblPr>
        <w:tblW w:w="6266" w:type="dxa"/>
        <w:jc w:val="center"/>
        <w:tblInd w:w="0" w:type="dxa"/>
        <w:tblLayout w:type="fixed"/>
        <w:tblCellMar>
          <w:top w:w="28" w:type="dxa"/>
          <w:left w:w="28" w:type="dxa"/>
          <w:bottom w:w="28" w:type="dxa"/>
          <w:right w:w="28" w:type="dxa"/>
        </w:tblCellMar>
      </w:tblPr>
      <w:tblGrid>
        <w:gridCol w:w="1032"/>
        <w:gridCol w:w="907"/>
        <w:gridCol w:w="910"/>
        <w:gridCol w:w="291"/>
        <w:gridCol w:w="1093"/>
        <w:gridCol w:w="161"/>
        <w:gridCol w:w="109"/>
        <w:gridCol w:w="109"/>
        <w:gridCol w:w="109"/>
        <w:gridCol w:w="279"/>
        <w:gridCol w:w="1047"/>
        <w:gridCol w:w="219"/>
      </w:tblGrid>
      <w:t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branded prescription drug fee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milestone achievement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clinical trials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 had 49,303,413 and 42,553,931 shares of common stock issued and outstanding, respectively, which excludes 446,125 and 312,500 shares issuable upon exercise of pre-funded warrants that remained exercisable at the respective period ends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Employee Stock Purchase Plan (“ESPP”) are summarized below:</w:t>
      </w:r>
    </w:p>
    <w:tbl>
      <w:tblPr>
        <w:tblW w:w="10072" w:type="dxa"/>
        <w:jc w:val="center"/>
        <w:tblInd w:w="0" w:type="dxa"/>
        <w:tblLayout w:type="fixed"/>
        <w:tblCellMar>
          <w:top w:w="28" w:type="dxa"/>
          <w:left w:w="28" w:type="dxa"/>
          <w:bottom w:w="28" w:type="dxa"/>
          <w:right w:w="28" w:type="dxa"/>
        </w:tblCellMar>
      </w:tblPr>
      <w:tblGrid>
        <w:gridCol w:w="2392"/>
        <w:gridCol w:w="2097"/>
        <w:gridCol w:w="2111"/>
        <w:gridCol w:w="514"/>
        <w:gridCol w:w="514"/>
        <w:gridCol w:w="516"/>
        <w:gridCol w:w="109"/>
        <w:gridCol w:w="109"/>
        <w:gridCol w:w="109"/>
        <w:gridCol w:w="498"/>
        <w:gridCol w:w="463"/>
        <w:gridCol w:w="640"/>
      </w:tblGrid>
      <w:tr>
        <w:tc>
          <w:tcPr>
            <w:tcW w:w="239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446,125 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plans: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and 2016 Plans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8,064,534 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7,044,164 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ESPP</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3,195,262 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2,796,609 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the 2020 and 2016 Plans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5,171,240 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the 2020 Plan</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1,468,827 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the 2020 Plan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645,675 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18,991,663 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17,865,520 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units, performance stock units, and the ESPP was recognized in the accompanying Condensed Consolidated Statements of Operations and Comprehensive Loss as follows:</w:t>
      </w:r>
    </w:p>
    <w:tbl>
      <w:tblPr>
        <w:tblW w:w="8195" w:type="dxa"/>
        <w:jc w:val="center"/>
        <w:tblInd w:w="0" w:type="dxa"/>
        <w:tblLayout w:type="fixed"/>
        <w:tblCellMar>
          <w:top w:w="28" w:type="dxa"/>
          <w:left w:w="28" w:type="dxa"/>
          <w:bottom w:w="28" w:type="dxa"/>
          <w:right w:w="28" w:type="dxa"/>
        </w:tblCellMar>
      </w:tblPr>
      <w:tblGrid>
        <w:gridCol w:w="918"/>
        <w:gridCol w:w="810"/>
        <w:gridCol w:w="821"/>
        <w:gridCol w:w="236"/>
        <w:gridCol w:w="778"/>
        <w:gridCol w:w="131"/>
        <w:gridCol w:w="131"/>
        <w:gridCol w:w="131"/>
        <w:gridCol w:w="131"/>
        <w:gridCol w:w="236"/>
        <w:gridCol w:w="778"/>
        <w:gridCol w:w="131"/>
        <w:gridCol w:w="109"/>
        <w:gridCol w:w="109"/>
        <w:gridCol w:w="109"/>
        <w:gridCol w:w="227"/>
        <w:gridCol w:w="750"/>
        <w:gridCol w:w="126"/>
        <w:gridCol w:w="126"/>
        <w:gridCol w:w="126"/>
        <w:gridCol w:w="126"/>
        <w:gridCol w:w="227"/>
        <w:gridCol w:w="750"/>
        <w:gridCol w:w="178"/>
      </w:tblGrid>
      <w:t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8979" w:type="dxa"/>
        <w:jc w:val="left"/>
        <w:tblInd w:w="0" w:type="dxa"/>
        <w:tblLayout w:type="fixed"/>
        <w:tblCellMar>
          <w:top w:w="28" w:type="dxa"/>
          <w:left w:w="28" w:type="dxa"/>
          <w:bottom w:w="28" w:type="dxa"/>
          <w:right w:w="28" w:type="dxa"/>
        </w:tblCellMar>
      </w:tblPr>
      <w:tblGrid>
        <w:gridCol w:w="1049"/>
        <w:gridCol w:w="921"/>
        <w:gridCol w:w="925"/>
        <w:gridCol w:w="278"/>
        <w:gridCol w:w="278"/>
        <w:gridCol w:w="539"/>
        <w:gridCol w:w="229"/>
        <w:gridCol w:w="229"/>
        <w:gridCol w:w="229"/>
        <w:gridCol w:w="278"/>
        <w:gridCol w:w="278"/>
        <w:gridCol w:w="539"/>
        <w:gridCol w:w="109"/>
        <w:gridCol w:w="109"/>
        <w:gridCol w:w="109"/>
        <w:gridCol w:w="278"/>
        <w:gridCol w:w="278"/>
        <w:gridCol w:w="512"/>
        <w:gridCol w:w="218"/>
        <w:gridCol w:w="218"/>
        <w:gridCol w:w="218"/>
        <w:gridCol w:w="278"/>
        <w:gridCol w:w="278"/>
        <w:gridCol w:w="602"/>
      </w:tblGrid>
      <w:t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risk-free interest rate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volatility</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68.21 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period presented is as follows:</w:t>
      </w:r>
    </w:p>
    <w:tbl>
      <w:tblPr>
        <w:tblW w:w="8239" w:type="dxa"/>
        <w:jc w:val="left"/>
        <w:tblInd w:w="0" w:type="dxa"/>
        <w:tblLayout w:type="fixed"/>
        <w:tblCellMar>
          <w:top w:w="28" w:type="dxa"/>
          <w:left w:w="28" w:type="dxa"/>
          <w:bottom w:w="28" w:type="dxa"/>
          <w:right w:w="28" w:type="dxa"/>
        </w:tblCellMar>
      </w:tblPr>
      <w:tblGrid>
        <w:gridCol w:w="972"/>
        <w:gridCol w:w="854"/>
        <w:gridCol w:w="859"/>
        <w:gridCol w:w="435"/>
        <w:gridCol w:w="436"/>
        <w:gridCol w:w="296"/>
        <w:gridCol w:w="109"/>
        <w:gridCol w:w="109"/>
        <w:gridCol w:w="109"/>
        <w:gridCol w:w="399"/>
        <w:gridCol w:w="399"/>
        <w:gridCol w:w="401"/>
        <w:gridCol w:w="109"/>
        <w:gridCol w:w="109"/>
        <w:gridCol w:w="109"/>
        <w:gridCol w:w="359"/>
        <w:gridCol w:w="359"/>
        <w:gridCol w:w="361"/>
        <w:gridCol w:w="109"/>
        <w:gridCol w:w="109"/>
        <w:gridCol w:w="109"/>
        <w:gridCol w:w="368"/>
        <w:gridCol w:w="368"/>
        <w:gridCol w:w="392"/>
      </w:tblGrid>
      <w:t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pPr>
            <w:r>
              <w:rPr>
                <w:rFonts w:ascii="Times New Roman;serif" w:hAnsi="Times New Roman;serif"/>
                <w:b/>
                <w:color w:val="000000"/>
                <w:sz w:val="16"/>
              </w:rPr>
              <w:t>Value ($)</w:t>
            </w:r>
            <w:r>
              <w:rPr>
                <w:rFonts w:ascii="Times New Roman;serif" w:hAnsi="Times New Roman;serif"/>
                <w:b/>
                <w:color w:val="000000"/>
                <w:sz w:val="10"/>
              </w:rPr>
              <w:t>(1)</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312,647 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526,926 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(446,688)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5,171,240 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269,099 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September 30, 2026</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4,006,291 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238,607 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September 30,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1,164,949 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September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approximately $35.4 million of unrecognized compensation expense related to unvested stock options, which the Company expects to recognize over a weighted average period of 2.4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period presented is as follows:</w:t>
      </w:r>
    </w:p>
    <w:tbl>
      <w:tblPr>
        <w:tblW w:w="5695" w:type="dxa"/>
        <w:jc w:val="left"/>
        <w:tblInd w:w="0" w:type="dxa"/>
        <w:tblLayout w:type="fixed"/>
        <w:tblCellMar>
          <w:top w:w="28" w:type="dxa"/>
          <w:left w:w="28" w:type="dxa"/>
          <w:bottom w:w="28" w:type="dxa"/>
          <w:right w:w="28" w:type="dxa"/>
        </w:tblCellMar>
      </w:tblPr>
      <w:tblGrid>
        <w:gridCol w:w="972"/>
        <w:gridCol w:w="854"/>
        <w:gridCol w:w="859"/>
        <w:gridCol w:w="435"/>
        <w:gridCol w:w="436"/>
        <w:gridCol w:w="296"/>
        <w:gridCol w:w="109"/>
        <w:gridCol w:w="109"/>
        <w:gridCol w:w="109"/>
        <w:gridCol w:w="444"/>
        <w:gridCol w:w="444"/>
        <w:gridCol w:w="628"/>
      </w:tblGrid>
      <w:t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w:t>
              <w:br/>
              <w:t>Fair Value ($)</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(661,604)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(154,967)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1,468,827 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approximately $58.8 million of unrecognized compensation expense related to unvested restricted stock units, which the Company expects to recognize over a weighted average period of 2.8 years.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Performance stock unit activity for the period presented is as follows:</w:t>
      </w:r>
    </w:p>
    <w:tbl>
      <w:tblPr>
        <w:tblW w:w="5560" w:type="dxa"/>
        <w:jc w:val="left"/>
        <w:tblInd w:w="0" w:type="dxa"/>
        <w:tblLayout w:type="fixed"/>
        <w:tblCellMar>
          <w:top w:w="28" w:type="dxa"/>
          <w:left w:w="28" w:type="dxa"/>
          <w:bottom w:w="28" w:type="dxa"/>
          <w:right w:w="28" w:type="dxa"/>
        </w:tblCellMar>
      </w:tblPr>
      <w:tblGrid>
        <w:gridCol w:w="972"/>
        <w:gridCol w:w="854"/>
        <w:gridCol w:w="859"/>
        <w:gridCol w:w="368"/>
        <w:gridCol w:w="368"/>
        <w:gridCol w:w="296"/>
        <w:gridCol w:w="109"/>
        <w:gridCol w:w="109"/>
        <w:gridCol w:w="109"/>
        <w:gridCol w:w="444"/>
        <w:gridCol w:w="444"/>
        <w:gridCol w:w="628"/>
      </w:tblGrid>
      <w:t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w:t>
              <w:br/>
              <w:t>Fair Value ($)</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71.86 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(84,555)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645,675 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approximately $16.4 million of unrecognized compensation expense related to unvested performance stock units. This expense is expected to be recognized over a weighted average period of 1.3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Awards Issued in the Acquisition of Alkeus</w:t>
      </w:r>
    </w:p>
    <w:p>
      <w:pPr>
        <w:pStyle w:val="TextBody"/>
        <w:bidi w:val="0"/>
        <w:spacing w:lineRule="auto" w:line="288" w:before="240" w:after="283"/>
        <w:ind w:left="0" w:right="0" w:firstLine="990"/>
        <w:jc w:val="left"/>
      </w:pPr>
      <w:r>
        <w:rPr>
          <w:rFonts w:ascii="Times New Roman;serif" w:hAnsi="Times New Roman;serif"/>
          <w:b w:val="false"/>
          <w:color w:val="000000"/>
          <w:sz w:val="20"/>
        </w:rPr>
        <w:t>In connection with the acquisition of Alkeus, the Company issued consideration in the form of cash and/or shares of the Company’s common stock to Alkeus employees in exchange for their partially vested equity awards issued for prior completed service. As these awards were not fully vested and did not contain a change in control provision requiring their settlement, the exchange was treated as compensatory awards separate from the acquisition. The awards consist of (i) an aggregate of $28.5 million, payable in cash and/or shares of the Company’s common stock, contingent upon the achievement of regulatory approval for gildeuretinol, (ii) an aggregate amount of cash equal to $11.4 million contingent upon the achievement of the first commercial sale, and (iii) cash payments based on a low-to-mid single digit tiered royalty payable based on the net sales of gildeuretinol subsequent to the first commercial sale. Because the awards are cash settleable, they are considered a liability under ASC 718, C</w:t>
      </w:r>
      <w:r>
        <w:rPr>
          <w:rFonts w:ascii="Times New Roman;serif" w:hAnsi="Times New Roman;serif"/>
          <w:b w:val="false"/>
          <w:i/>
          <w:color w:val="000000"/>
          <w:sz w:val="20"/>
        </w:rPr>
        <w:t xml:space="preserve">ompensation—Stock Compensation </w:t>
      </w:r>
      <w:r>
        <w:rPr>
          <w:rFonts w:ascii="Times New Roman;serif" w:hAnsi="Times New Roman;serif"/>
          <w:b w:val="false"/>
          <w:color w:val="000000"/>
          <w:sz w:val="20"/>
        </w:rPr>
        <w:t>(“ASC 718”). The Company will recognize these liabilities for cash settleable awards at fair value when achievement of the regulatory milestone and first commercial sale become probable. Compensation expense, including changes in fair value, is attributed using the graded-vesting attribution method and is post-combination expense because the performance conditions were not probable as of the closing date of the acquisition.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assesses the probability of vesting in the above performance awards each reporting period. As of September 30, 2026, the Company assessed all performance targets as not probable of being met as they are all subject to regulatory approval which has not occurred as of this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approximately $39.9 million of unrecognized compensation expense related to unvested performance awards tied to future milestones to be recognized when performance targets become probable.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ESPP was $0.2 million for the three months ended September 30, 2026 and 2025, and was $0.9 million and $0.7 million, respectively, for the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NET LOSS PER SHARE</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tbl>
      <w:tblPr>
        <w:tblW w:w="10009" w:type="dxa"/>
        <w:jc w:val="center"/>
        <w:tblInd w:w="0" w:type="dxa"/>
        <w:tblLayout w:type="fixed"/>
        <w:tblCellMar>
          <w:top w:w="28" w:type="dxa"/>
          <w:left w:w="28" w:type="dxa"/>
          <w:bottom w:w="28" w:type="dxa"/>
          <w:right w:w="28" w:type="dxa"/>
        </w:tblCellMar>
      </w:tblPr>
      <w:tblGrid>
        <w:gridCol w:w="1579"/>
        <w:gridCol w:w="1385"/>
        <w:gridCol w:w="1401"/>
        <w:gridCol w:w="213"/>
        <w:gridCol w:w="882"/>
        <w:gridCol w:w="118"/>
        <w:gridCol w:w="118"/>
        <w:gridCol w:w="118"/>
        <w:gridCol w:w="118"/>
        <w:gridCol w:w="213"/>
        <w:gridCol w:w="784"/>
        <w:gridCol w:w="118"/>
        <w:gridCol w:w="109"/>
        <w:gridCol w:w="109"/>
        <w:gridCol w:w="109"/>
        <w:gridCol w:w="205"/>
        <w:gridCol w:w="851"/>
        <w:gridCol w:w="114"/>
        <w:gridCol w:w="114"/>
        <w:gridCol w:w="114"/>
        <w:gridCol w:w="114"/>
        <w:gridCol w:w="205"/>
        <w:gridCol w:w="757"/>
        <w:gridCol w:w="161"/>
      </w:tblGrid>
      <w:t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Weighted-average shares outstanding — basic and diluted</w:t>
            </w:r>
            <w:r>
              <w:rPr>
                <w:rFonts w:ascii="Times New Roman;serif" w:hAnsi="Times New Roman;serif"/>
                <w:b w:val="false"/>
                <w:color w:val="000000"/>
                <w:sz w:val="12"/>
              </w:rPr>
              <w:t>(1)</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46,421,382 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44,270,023 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41,457,027 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Weighted-average shares outstanding includes pre-funded warrants issued on March 5, 2024 and August 7, 2026; it excludes shares contingently issuable upon achievement of the $250.0 million regulatory milestone (see </w:t>
      </w:r>
      <w:r>
        <w:rPr>
          <w:rFonts w:ascii="Times New Roman;serif" w:hAnsi="Times New Roman;serif"/>
          <w:b w:val="false"/>
          <w:i/>
          <w:color w:val="000000"/>
          <w:sz w:val="16"/>
        </w:rPr>
        <w:t>Note 8</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383" w:type="dxa"/>
        <w:jc w:val="left"/>
        <w:tblInd w:w="0" w:type="dxa"/>
        <w:tblLayout w:type="fixed"/>
        <w:tblCellMar>
          <w:top w:w="28" w:type="dxa"/>
          <w:left w:w="28" w:type="dxa"/>
          <w:bottom w:w="28" w:type="dxa"/>
          <w:right w:w="28" w:type="dxa"/>
        </w:tblCellMar>
      </w:tblPr>
      <w:tblGrid>
        <w:gridCol w:w="1346"/>
        <w:gridCol w:w="1182"/>
        <w:gridCol w:w="1192"/>
        <w:gridCol w:w="435"/>
        <w:gridCol w:w="436"/>
        <w:gridCol w:w="170"/>
        <w:gridCol w:w="170"/>
        <w:gridCol w:w="170"/>
        <w:gridCol w:w="170"/>
        <w:gridCol w:w="435"/>
        <w:gridCol w:w="436"/>
        <w:gridCol w:w="241"/>
      </w:tblGrid>
      <w:t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5,171,240 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1,468,827 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1,748,511 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6,640,067 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6,998,241 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10</w:t>
      </w:r>
      <w:r>
        <w:rPr>
          <w:rFonts w:ascii="Times New Roman;serif" w:hAnsi="Times New Roman;serif"/>
          <w:b w:val="false"/>
          <w:color w:val="000000"/>
          <w:sz w:val="20"/>
        </w:rPr>
        <w:t xml:space="preserve">). The accounting 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(“CEO”). The CODM uses net loss, as reported in the accompanying Condensed Consolidated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9148" w:type="dxa"/>
        <w:jc w:val="left"/>
        <w:tblInd w:w="0" w:type="dxa"/>
        <w:tblLayout w:type="fixed"/>
        <w:tblCellMar>
          <w:top w:w="28" w:type="dxa"/>
          <w:left w:w="28" w:type="dxa"/>
          <w:bottom w:w="28" w:type="dxa"/>
          <w:right w:w="28" w:type="dxa"/>
        </w:tblCellMar>
      </w:tblPr>
      <w:tblGrid>
        <w:gridCol w:w="1270"/>
        <w:gridCol w:w="1116"/>
        <w:gridCol w:w="1123"/>
        <w:gridCol w:w="211"/>
        <w:gridCol w:w="876"/>
        <w:gridCol w:w="117"/>
        <w:gridCol w:w="117"/>
        <w:gridCol w:w="117"/>
        <w:gridCol w:w="117"/>
        <w:gridCol w:w="211"/>
        <w:gridCol w:w="795"/>
        <w:gridCol w:w="117"/>
        <w:gridCol w:w="109"/>
        <w:gridCol w:w="109"/>
        <w:gridCol w:w="109"/>
        <w:gridCol w:w="204"/>
        <w:gridCol w:w="846"/>
        <w:gridCol w:w="113"/>
        <w:gridCol w:w="113"/>
        <w:gridCol w:w="113"/>
        <w:gridCol w:w="113"/>
        <w:gridCol w:w="204"/>
        <w:gridCol w:w="768"/>
        <w:gridCol w:w="160"/>
      </w:tblGrid>
      <w:t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1,218,659 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(662,094)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(688,124)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Other reconciling items</w:t>
            </w:r>
            <w:r>
              <w:rPr>
                <w:rFonts w:ascii="Times New Roman;serif" w:hAnsi="Times New Roman;serif"/>
                <w:b w:val="false"/>
                <w:color w:val="000000"/>
                <w:sz w:val="12"/>
              </w:rPr>
              <w:t>(1)</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(668,334)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(693,852)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Other reconciling items primarily includes interest income, interest expense, gain on exchange of long-term investments, loss on initial consolidation of variable interest entity, and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MERGERS AND ACQUISITIONS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iRenix Medical, Inc. Acquisition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July 6, 2026 (the “iRenix Closing Date”), the Company completed the acquisition of iRenix and its lead product candidate, IRX-101, an investigational ocular antiseptic with the potential to improve the standard of care by reducing post-procedural pain and corneal toxicity in patients receiving intravitreal therapy. The aggregate consideration paid by the Company for the iRenix Acquisition on the iRenix Closing Date was $35.2 million in cash, and 607,093 shares of common stock, with a fair value of $40.7 million (collectively, the “iRenix Upfront Consideration”). In addition to the iRenix Upfront Consideration, the former securityholders of iRenix are eligible to receive up to an aggregate of $115.0 million of milestone payments upon achievement of certain regulatory milestones, and up to an aggregate of $375.0 million of milestone payments upon achievement of certain commercial sales-threshold milestones. The Company is also obligated to pay incremental tiered royalties ranging from low-to-mid single digits on future annual net sales in the U.S. of products developed, manufactured, and commercialized in conjunction with the iRenix Acquisition.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was accounted for as an asset acquisition rather than a business combination, as substantially all of the value of the acquired assets was in the IPR&amp;D asset, IRX-101. iRenix was not considered a variable interest entity as it had sufficient equity to finance the activities of the company’s purpose and design without additional subordinated financial support. Accordingly, the total acquisition cost of $78.2 million, including direct transaction costs, was allocated to the $81.3 million assets acquired and $3.1 million liabilities assumed based on their relative fair values. The IPR&amp;D asset had no alternative future use and $81.0 million was expensed at closing to acquired in-process research and development expense and was recorded in the Condensed Consolidated Statements of Operations and Comprehensive Loss for the three and nine months ended September 30, 2026. Contingent milestone payments will be accounted for when they become payable. Milestones paid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after regulatory approval will be capitalized and amortized over the useful life of IRX-101. Royalties paid will be expensed to cost of sales.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Alkeus Pharmaceuticals, Inc. Acquisition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September 4, 2026, upon completion of the Alkeus Acquisition, the Company became the primary beneficiary of Alkeus and consolidated it as a VIE. Alkeus is a clinical-stage biopharmaceutical company whose purpose and design are principally to develop gildeuretinol (ALK-001), an investigational once-daily oral therapy for the potential treatment of Stargardt disease. Alkeus historically financed its activities through equity financings and following consolidation, Alkeus is financed through funding provided by the Company. Alkeus was determined to be a VIE due to its equity investment at risk not being sufficient to finance the activities for which it was designed without additional subordinated financial support.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it is the primary beneficiary of Alkeus because it has both (i) the power to direct the activities that most significantly affect Alkeus’ economic performance and (ii) the obligation to absorb losses of, and the right to receive benefits from, Alkeus that could potentially be significant. The activities that most significantly affect Alkeus’ economic performance include clinical-development strategy and execution, regulatory strategy, manufacturing and clinical-supply decisions, and funding and budget decisions. The Company has substantive rights to direct those activities through its governance rights. No other party has substantive kick-out, participating, or other rights that would prevent the Company from directing those activities. The Company’s ownership interest and exposure to Alkeus’ operating results and ALK-001 economics provide the obligation to absorb losses and the right to receive benefits that could potentially be significant.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recognized the identifiable assets and liabilities of Alkeus using the recognition and measurement provisions specified by ASC 810, did not recognize goodwill, and recognized a $3.3 million loss on initial consolidation of a variable interest entity in the accompanying Condensed Consolidated Statement of Operations and Comprehensive Loss for the three and nine months ended September 30, 2026. The following table summarizes the fair value of consideration transferred for the Alkeus Acquisition:</w:t>
      </w:r>
    </w:p>
    <w:tbl>
      <w:tblPr>
        <w:tblW w:w="5973"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196"/>
        <w:gridCol w:w="736"/>
        <w:gridCol w:w="154"/>
      </w:tblGrid>
      <w:t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Shares of common stock issued as consideration</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Price per share of common stock</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Fair value of stock consideration</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Cash consideration paid to selling shareholders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Seller transaction costs paid by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Deferred consideration — adjustment escrow</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Deferred consideration — option holder settlements</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Contingent consideration — regulatory approval milestone</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Contingent consideration — first commercial sales milestone</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Contingent consideration — sales royalty earnouts</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the 2,908,692 shares of the Company’s common stock issued, less the 138,996 attributable to options accelerated in connection with the merger agreement for the Alkeus Acquisition that were recognized as compensation expense within research and development expense and selling, general and administrative expense in the accompanying Condensed Consolidated Statement of Operations and Comprehensive Loss, immediately following the closing.</w:t>
      </w:r>
    </w:p>
    <w:p>
      <w:pPr>
        <w:pStyle w:val="TextBody"/>
        <w:bidi w:val="0"/>
        <w:spacing w:lineRule="auto" w:line="288" w:before="60" w:after="283"/>
        <w:ind w:left="0" w:right="0" w:hanging="18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the closing price per share of the Company’s common stock on September 3, 2026.</w:t>
      </w:r>
    </w:p>
    <w:p>
      <w:pPr>
        <w:pStyle w:val="TextBody"/>
        <w:bidi w:val="0"/>
        <w:spacing w:lineRule="auto" w:line="288" w:before="60" w:after="283"/>
        <w:ind w:left="0" w:right="0" w:hanging="180"/>
        <w:jc w:val="left"/>
      </w:pPr>
      <w:r>
        <w:rPr>
          <w:rFonts w:ascii="Times New Roman;serif" w:hAnsi="Times New Roman;serif"/>
          <w:b w:val="false"/>
          <w:color w:val="000000"/>
          <w:sz w:val="10"/>
        </w:rPr>
        <w:t xml:space="preserve">(3) </w:t>
      </w:r>
      <w:r>
        <w:rPr>
          <w:rFonts w:ascii="Times New Roman;serif" w:hAnsi="Times New Roman;serif"/>
          <w:b w:val="false"/>
          <w:color w:val="000000"/>
          <w:sz w:val="16"/>
        </w:rPr>
        <w:t>The share consideration and cash consideration are presented net of approximately $11.5 million and $9.2 million, respectively, attributable to options accelerated in connection with the merger agreement for the Alkeus Acquisition that were recognized as compensation expense immediately following the closing.</w:t>
      </w:r>
    </w:p>
    <w:p>
      <w:pPr>
        <w:pStyle w:val="TextBody"/>
        <w:bidi w:val="0"/>
        <w:spacing w:lineRule="auto" w:line="288" w:before="0" w:after="0"/>
        <w:ind w:left="0" w:right="0" w:hanging="180"/>
        <w:jc w:val="left"/>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a $5.0 million adjustment escrow funded upon closing with a third-party escrow agent to secure potential post-closing adjustments to the merger consideration.</w:t>
      </w:r>
    </w:p>
    <w:p>
      <w:pPr>
        <w:pStyle w:val="TextBody"/>
        <w:bidi w:val="0"/>
        <w:spacing w:lineRule="auto" w:line="288" w:before="0" w:after="0"/>
        <w:ind w:left="0" w:right="0" w:hanging="180"/>
        <w:jc w:val="left"/>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Represents amounts due to former option holders of Alkeus and settled subsequent to the closing.</w:t>
      </w:r>
    </w:p>
    <w:p>
      <w:pPr>
        <w:pStyle w:val="TextBody"/>
        <w:bidi w:val="0"/>
        <w:spacing w:lineRule="auto" w:line="288" w:before="0" w:after="0"/>
        <w:ind w:left="0" w:right="0" w:hanging="180"/>
        <w:jc w:val="left"/>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 xml:space="preserve">Contingent consideration is shown net of the 11.4% of the total contingent consideration value that is allocable to the partially vested option holders who received a right to contingent consideration that is treated as a performance-based ASC 718 award in the post-combination period (see </w:t>
      </w:r>
      <w:r>
        <w:rPr>
          <w:rFonts w:ascii="Times New Roman;serif" w:hAnsi="Times New Roman;serif"/>
          <w:b w:val="false"/>
          <w:i/>
          <w:color w:val="000000"/>
          <w:sz w:val="16"/>
        </w:rPr>
        <w:t>Note 3</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Note 5</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assets acquired and liabilities assumed as of the closing on September 4, 2026 and the related loss on initial consolidation of the VIE:</w:t>
      </w:r>
    </w:p>
    <w:tbl>
      <w:tblPr>
        <w:tblW w:w="4068" w:type="dxa"/>
        <w:jc w:val="left"/>
        <w:tblInd w:w="0" w:type="dxa"/>
        <w:tblLayout w:type="fixed"/>
        <w:tblCellMar>
          <w:top w:w="28" w:type="dxa"/>
          <w:left w:w="28" w:type="dxa"/>
          <w:bottom w:w="28" w:type="dxa"/>
          <w:right w:w="28" w:type="dxa"/>
        </w:tblCellMar>
      </w:tblPr>
      <w:tblGrid>
        <w:gridCol w:w="959"/>
        <w:gridCol w:w="844"/>
        <w:gridCol w:w="852"/>
        <w:gridCol w:w="109"/>
        <w:gridCol w:w="109"/>
        <w:gridCol w:w="109"/>
        <w:gridCol w:w="196"/>
        <w:gridCol w:w="736"/>
        <w:gridCol w:w="154"/>
      </w:tblGrid>
      <w:t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clinical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initial consolidation of VIE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the acquired ALK-001 IPR&amp;D asset and acquired inventory have no alternative future use, their aggregate acquisition-date fair value of $554.2 million, consists of $551.2 million which was expensed to acquired IPR&amp;D in the accompanying Condensed Consolidated Statements of Operations and Comprehensive Loss and $3.0 million of acquired clinical inventory which was expensed at closing.</w:t>
      </w:r>
    </w:p>
    <w:p>
      <w:pPr>
        <w:pStyle w:val="TextBody"/>
        <w:bidi w:val="0"/>
        <w:spacing w:before="0" w:after="0"/>
        <w:ind w:left="0" w:right="0" w:firstLine="990"/>
        <w:jc w:val="left"/>
      </w:pPr>
      <w:r/>
    </w:p>
    <w:p>
      <w:pPr>
        <w:pStyle w:val="TextBody"/>
        <w:bidi w:val="0"/>
        <w:spacing w:lineRule="auto" w:line="268" w:before="0" w:after="0"/>
        <w:ind w:left="0" w:right="0" w:firstLine="990"/>
        <w:jc w:val="left"/>
      </w:pPr>
      <w:r>
        <w:rPr>
          <w:rFonts w:ascii="Times New Roman;serif" w:hAnsi="Times New Roman;serif"/>
          <w:b w:val="false"/>
          <w:color w:val="000000"/>
          <w:sz w:val="20"/>
        </w:rPr>
        <w:t xml:space="preserve">The Company recognized approximately $87.3 million of contingent consideration liabilities at their estimated acquisition-date fair values, consisting of the regulatory approval milestone, first commercial sale milestone and sales royalty earnout arrangements. The potential payment of $250.0 million upon achievement of the regulatory approval milestone may be settled in cash and/or shares of the Company’s common stock in such proportions as the Company may determine in its sole discretion. Of the potential $250 million regulatory approval milestone payment, $221.5 million relates to contingent consideration associated with the initial consolidation of the VIE and is accounted for as a liability under ASC 480. The remaining $28.5 million is subject to the share-based compensation guidance under ASC 718 (see </w:t>
      </w:r>
      <w:r>
        <w:rPr>
          <w:rFonts w:ascii="Times New Roman;serif" w:hAnsi="Times New Roman;serif"/>
          <w:b w:val="false"/>
          <w:i/>
          <w:color w:val="000000"/>
          <w:sz w:val="20"/>
        </w:rPr>
        <w:t>Note 5</w:t>
      </w:r>
      <w:r>
        <w:rPr>
          <w:rFonts w:ascii="Times New Roman;serif" w:hAnsi="Times New Roman;serif"/>
          <w:b w:val="false"/>
          <w:color w:val="000000"/>
          <w:sz w:val="20"/>
        </w:rPr>
        <w:t xml:space="preserve">). The portion accounted for under ASC 480 had an acquisition-date fair value of $49.3 million and is subsequently measured at fair value at each reporting date, with changes recognized in the Condensed Consolidated Statements of Operations and Comprehensive Loss. The potential payment of $100.0 million upon achievement of the first commercial sale milestone is payable in cash and the sales royalty earnout milestones are payable in cash based on low-to-mid single digit tiered descending royalties on worldwide product sales, net during the royalty term. Consistent with the Company’s accounting policy for cash-settled contingent consideration, the liability is carried at its initially recognized amount and is not remeasured until the milestone becomes payable. Of the potential $100.0 million first commercial sale milestone payment, $88.6 million relates to contingent consideration associated with the initial consolidation of the VIE. Upon achievement of the first commercial sale milestone, payments in excess of the initial fair value as of the acquisition date to settle the contingent consideration will be capitalized as an intangible asset. The intangible asset will be amortized over its remaining useful life with amortization expense recognized within cost of sales in the Condensed Consolidated Statements of Operations and Comprehensive Loss, and tested for impairment under ASC 360, </w:t>
      </w:r>
      <w:r>
        <w:rPr>
          <w:rFonts w:ascii="Times New Roman;serif" w:hAnsi="Times New Roman;serif"/>
          <w:b w:val="false"/>
          <w:i/>
          <w:color w:val="000000"/>
          <w:sz w:val="20"/>
        </w:rPr>
        <w:t>Long-lived Assets,</w:t>
      </w:r>
      <w:r>
        <w:rPr>
          <w:color w:val="000000"/>
        </w:rPr>
        <w:t xml:space="preserve"> </w:t>
      </w:r>
      <w:r>
        <w:rPr>
          <w:rFonts w:ascii="Times New Roman;serif" w:hAnsi="Times New Roman;serif"/>
          <w:b w:val="false"/>
          <w:color w:val="000000"/>
          <w:sz w:val="20"/>
        </w:rPr>
        <w:t>as part of its asset group when impairment triggers exist. The remaining $11.4 million is subject to the share-based compensation guidance under ASC 718.</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connection with the Alkeus Acquisition, certain unvested Alkeus equity awards were accelerated. The portion of the cash and share consideration attributable to these accelerated awards totaled $20.7 million and was recognized as compensation expense immediately following the closing. The portion of contingent consideration attributable to these awards is accounted for as a performance-condition award under ASC 718, and will be recognized as compensation expense when the related performance conditions are considered probable (see </w:t>
      </w:r>
      <w:r>
        <w:rPr>
          <w:rFonts w:ascii="Times New Roman;serif" w:hAnsi="Times New Roman;serif"/>
          <w:b w:val="false"/>
          <w:i/>
          <w:color w:val="000000"/>
          <w:sz w:val="20"/>
        </w:rPr>
        <w:t>Note 5</w:t>
      </w:r>
      <w:r>
        <w:rPr>
          <w:rFonts w:ascii="Times New Roman;serif" w:hAnsi="Times New Roman;serif"/>
          <w:b w:val="false"/>
          <w:color w:val="000000"/>
          <w:sz w:val="20"/>
        </w:rPr>
        <w:t>). In addition, retention bonuses of $1.8 million payable to Alkeus employees will be recognized as compensation expense in the post-combination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ind w:left="0" w:right="0" w:firstLine="99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September 30, 2026, the Company had two active leases: (i) office and laboratory suites in Irvine, California with square footage of 59,626, and (ii) office suites in Cambridge, Massachusetts with square footage of 10,861.</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an agreement to terminate its former facility lease agreements and concurrently entered into a new lease agreement (the “Irvine Lease”), both with the same landlord, to relocate its corporate headquarters to another location in Irvine, California under a 10-year lease term. In September 2025, the Company obtained access to the new facility and commenced the Irvine Lease. The Company relocated its headquarters to the new facility in April 2026.</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Lease payments under the Irvine Lease began in November 2025. Base rent under the Irvine Lease is $2.5 million for the first year and is subject to annual increases of 3% thereafter. Upon commencement of the Irvine Lease, the Company became entitled to base rent abatement for the first five full calendar months for an aggregate amount of $0.7 million. The Irvine Lease also provides a tenant improvement allowance, not to exceed approximately $5.8 million, and to be applied toward construction costs of the premises. The tenant improvement allowance must be used within one year of the Irvine Lease commencement date, after which any unused portion will be forfeited with no further obligation by the landlord. As of September 30, 2026, the landlord paid $5.3 million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execution of the Irvine Lease, the Company provided the landlord a letter of credit for $2.6 million to serve as a security deposit. Provided that no defaults occur and the Company meets certain financial milestones for certain time periods, the security deposit can subsequently be reduced. In February 2026, a financial milestone within the lease agreement was achieved and the letter of credit was reduced to $2.0 million.</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Concurrent with the Alkeus Acquisition, in September 2026, the Company assumed the lease obligations for office and laboratory suites in Cambridge, Massachusetts (the “Cambridge Lease”). The Company will pay the landlord $0.6 million in base rent over the remaining lease term which ends on October 31, 2027.</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Company’s lease agreements are as follows:</w:t>
      </w:r>
    </w:p>
    <w:tbl>
      <w:tblPr>
        <w:tblW w:w="7471" w:type="dxa"/>
        <w:jc w:val="left"/>
        <w:tblInd w:w="0" w:type="dxa"/>
        <w:tblLayout w:type="fixed"/>
        <w:tblCellMar>
          <w:top w:w="28" w:type="dxa"/>
          <w:left w:w="28" w:type="dxa"/>
          <w:bottom w:w="28" w:type="dxa"/>
          <w:right w:w="28" w:type="dxa"/>
        </w:tblCellMar>
      </w:tblPr>
      <w:tblGrid>
        <w:gridCol w:w="662"/>
        <w:gridCol w:w="582"/>
        <w:gridCol w:w="585"/>
        <w:gridCol w:w="295"/>
        <w:gridCol w:w="635"/>
        <w:gridCol w:w="164"/>
        <w:gridCol w:w="164"/>
        <w:gridCol w:w="164"/>
        <w:gridCol w:w="164"/>
        <w:gridCol w:w="295"/>
        <w:gridCol w:w="635"/>
        <w:gridCol w:w="164"/>
        <w:gridCol w:w="109"/>
        <w:gridCol w:w="109"/>
        <w:gridCol w:w="109"/>
        <w:gridCol w:w="264"/>
        <w:gridCol w:w="749"/>
        <w:gridCol w:w="146"/>
        <w:gridCol w:w="146"/>
        <w:gridCol w:w="146"/>
        <w:gridCol w:w="146"/>
        <w:gridCol w:w="264"/>
        <w:gridCol w:w="567"/>
        <w:gridCol w:w="207"/>
      </w:tblGrid>
      <w:t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 agreements is as follows:</w:t>
      </w:r>
    </w:p>
    <w:tbl>
      <w:tblPr>
        <w:tblW w:w="6850" w:type="dxa"/>
        <w:jc w:val="left"/>
        <w:tblInd w:w="0" w:type="dxa"/>
        <w:tblLayout w:type="fixed"/>
        <w:tblCellMar>
          <w:top w:w="28" w:type="dxa"/>
          <w:left w:w="28" w:type="dxa"/>
          <w:bottom w:w="28" w:type="dxa"/>
          <w:right w:w="28" w:type="dxa"/>
        </w:tblCellMar>
      </w:tblPr>
      <w:tblGrid>
        <w:gridCol w:w="1240"/>
        <w:gridCol w:w="1092"/>
        <w:gridCol w:w="1102"/>
        <w:gridCol w:w="354"/>
        <w:gridCol w:w="354"/>
        <w:gridCol w:w="836"/>
        <w:gridCol w:w="109"/>
        <w:gridCol w:w="109"/>
        <w:gridCol w:w="109"/>
        <w:gridCol w:w="323"/>
        <w:gridCol w:w="323"/>
        <w:gridCol w:w="899"/>
      </w:tblGrid>
      <w:tr>
        <w:tc>
          <w:tcPr>
            <w:tcW w:w="12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paid for the Company’s lease agreements was $0.6 million and $0.2 million, respectively, for the three months ended September 30, 2026 and 2025, and was $1.4 million and $0.6 million, respectively, for the nine months ended September 30, 2026 and 2025.</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as of September 30, 2026, the (i) minimum lease payments over the next five years and thereafter, (ii) lease arrangement imputed interest, and (iii) present value of future lease payments, as follows: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4412"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196"/>
        <w:gridCol w:w="646"/>
        <w:gridCol w:w="154"/>
      </w:tblGrid>
      <w:t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Consolidated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calendar year net product sales of XDEMVY. These respective milestone payments were recorded to intangible assets, net in the accompanying Condensed Consolidated Balance Sheets as of September 30, 2026 and December 31, 2025. In September 2026, a $10.0 million sales-based milestone obligation to Elanco was triggered for the achievement of reaching $500.0 million in calendar year net product sales of XDEMVY, which was recorded to intangible assets, net and other accrued liabilities in the accompanying Condensed Consolidated Balance Sheet as of September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potential future cash payments to Elanco of $2.0 million under the Eye and Derm Elanco Agreement upon achievement of a last clinical milestone in a second indication for treatment of human eye care or dermatology diseases using lotilaner and a maximum of $70.0 million for various commercial and sales threshold milestones (including the $10.0 million sales-based milestone triggered in September 2026, which is expected to be paid in the fourth quarter of 2026)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product covered under the license, which occurred in July 2023 with the FDA approval of XDEMVY. The Company’s accrued royalties payable are recorded to cost of sales in the accompanying Condensed Consolidated Statements of Operations and Comprehensive Loss for the three and nine months ended September 30, 2026 and 2025, and other accrued liabilities in the accompanying Condensed Consolidated Balance Sheets as of September 30, 2026 and December 31, 2025. Royalty expense for the three months ended September 30, 2026 and 2025, was $11.8 million and $6.4 million, respectively, and for the nine months ended September 30, 2026 and 2025, was $28.5 million and $15.5 million,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potential future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in the single digits of its product sales, net. If the Company receives certain types of payments from its sublicensees, it will also be obligated to pay a variable percentage in the low to mid double-digits of such proceeds, until achievement of the first applicable regulatory approval of a product covered under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executed a new in-license agreement from a third party for the exclusive worldwide rights to develop, manufacture, and commercialize a compound for all ophthalmic uses (the “October 2024 In-License Agreement”), and concurrently made an upfront payment of $2.5 million. As of September 30, 2026, the Company is obligated to make potential future cash payments under the October 2024 In-License Agreement of $3.0 million upon the achievement of a clinical milestone and up to $102.0 million for various commercial and sales threshold milestones. Future annual worldwide net sales of products developed from the compound, developed, manufactured, and commercialized via the October 2024 In-License Agreement, will also be subject to incremental royalty rates in the range of mid to high single digits.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Agreements for All Diagnostic, Prophylactic, and Therapeutic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executed two new in-license agreements from a third party for the exclusive worldwide rights to develop, manufacture, and commercialize several compounds for all diagnostic, prophylactic, and therapeutic uses, except for a specific field carve-out for a small minority of the compounds to be retained by the licensor (collectively, the “February 2026 In-License Agreements”), and concurrently made an upfront payment of $2.0 million which was recorded to research and development expense in the Condensed Consolidated Statements of Operations and Comprehensive Loss for the nine months ended September 30, 2026. As of September 30, 2026, the Company is obligated to make potential future cash payments under the February 2026 In-License Agreements of $2.5 million upon the achievement of certain clinical milestones, and up to $92.0 million for various commercial and sales threshold milestones. Future annual worldwide net sales of products developed, manufactured, and commercialized in conjunction with the February 2026 In-License Agreements will also be subject to incremental tiered royalty rates in the mid-single digits.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six of its executive officers. These agreements provide for the payment of certain benefits upon separation of employment under specified circumstances, such as termination without cause, or termination in connection with a change in control event.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OUT-LICENSE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assessment of the initial transaction price for the China Out-License included an analysis of amounts the Company expected to receive, which at contract inception consisted of: (i) a $15.0 million upfront cash payment; (ii) a $10.0 million second cash payment; (iii) a $10.0 million milestone that was determined to be within the control of the Company; and (iv) $1.2 million representing the initial fair value of equity warrants.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accounted for each performance obligation as follows: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February 2024, LianBio announced its plan to wind down its operations. In March 2024, the Company executed an agreement with GrandPharma and LianBio to transition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(“the Novation Agreement”) and upon execution of the Novation Agreement, the China Out-License with LianBio was assigned to GrandPharma. The Novation Agreement also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the Company. The Company recognized the $15.0 million milestone achievement during the three months ended March 31, 2026, because the milestone related to a single performance obligation that was satisfied upon achievement of the regulatory and patent issuance conditions. The milestone payment was recorded as license fees and collaboration revenue in the accompanying Condensed Consolidated Statement of Operations and Comprehensive Loss for the nine months ended September 30, 2026. GrandPharma was contractually required to pay $1.7 million of China withholding taxes associated with the milestone achievement, which was also recorded to license fees and collaboration revenue and is fully offset by foreign tax expense recorded to provision for income taxes (see </w:t>
      </w:r>
      <w:r>
        <w:rPr>
          <w:rFonts w:ascii="Times New Roman;serif" w:hAnsi="Times New Roman;serif"/>
          <w:b w:val="false"/>
          <w:i/>
          <w:color w:val="000000"/>
          <w:sz w:val="20"/>
        </w:rPr>
        <w:t>Note 12</w:t>
      </w:r>
      <w:r>
        <w:rPr>
          <w:rFonts w:ascii="Times New Roman;serif" w:hAnsi="Times New Roman;serif"/>
          <w:b w:val="false"/>
          <w:color w:val="000000"/>
          <w:sz w:val="20"/>
        </w:rPr>
        <w:t>) in the accompanying Condensed Consolidated Statement of Operations and Comprehensive Loss for the nine months ended September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September 30, 2026, the Company received aggregate payments from the China Out-License totaling $101.1 million, comprised of (i) $15.0 million of initial consideration, (ii) $82.5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is eligible to receive further consideration from GrandPharma upon the achievement of additional TP-03 events, including: (i) an additional regulatory approval milestone of $5.0 million; (ii) China-based TP-03 sales threshold milestone payments of up to an aggregate of $100.0 million; and (iii) tiered low-to-high-teen royalties for China Territory TP-03 product sales. The variable consideration related to the remaining milestone payments was fully constrained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CREDIT FACILITY AGREEMENT</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In April 2024, the Company executed the 2024 Credit Facility with Pharmakon, which matures in April 2029. The 2024 Credit Facility is collateralized by substantially all of the Company’s presently existing and subsequently acquired assets. Upon execution, the Company drew $75.0 million from the initial tranche of the 2024 Credit Facility, a portion of which was used to repay all outstanding indebtedness on the Company’s previous Credit Facility, resulting in total net proceeds of</w:t>
      </w:r>
      <w:r>
        <w:rPr>
          <w:color w:val="000000"/>
        </w:rPr>
        <w:t xml:space="preserve"> </w:t>
      </w:r>
      <w:r>
        <w:rPr>
          <w:rFonts w:ascii="Times New Roman;serif" w:hAnsi="Times New Roman;serif"/>
          <w:b w:val="false"/>
          <w:color w:val="000000"/>
          <w:sz w:val="20"/>
        </w:rPr>
        <w:t xml:space="preserve">$39.6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2024 Credit Facility </w:t>
      </w:r>
      <w:r>
        <w:rPr>
          <w:rFonts w:ascii="Times New Roman;serif" w:hAnsi="Times New Roman;serif"/>
          <w:b w:val="false"/>
          <w:color w:val="000000"/>
          <w:sz w:val="20"/>
          <w:shd w:fill="FFFFFF" w:val="clear"/>
        </w:rPr>
        <w:t xml:space="preserve">provided for three potential additional term loan tranches in principal amounts up to $25.0 million, $50.0 million, and $50.0 million, respectively. </w:t>
      </w:r>
      <w:r>
        <w:rPr>
          <w:rFonts w:ascii="Times New Roman;serif" w:hAnsi="Times New Roman;serif"/>
          <w:b w:val="false"/>
          <w:color w:val="000000"/>
          <w:sz w:val="20"/>
        </w:rPr>
        <w:t xml:space="preserve">The Company did not draw on any of the three additional tranches, each of which expired on December 31, 2024, June 30, 2025, and </w:t>
      </w:r>
      <w:r>
        <w:rPr>
          <w:rFonts w:ascii="Times New Roman;serif" w:hAnsi="Times New Roman;serif"/>
          <w:b w:val="false"/>
          <w:color w:val="000000"/>
          <w:sz w:val="20"/>
          <w:shd w:fill="FFFFFF" w:val="clear"/>
        </w:rPr>
        <w:t>December 31, 2025,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2024 Credit Facility, the outstanding principal draws accrue interest at a floating rate based upon the secured overnight financing rate (“SOFR”), plus a margin of 6.75% per annum. The SOFR is subject to a 3.75% floor.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2025, the effective interest rates for the full term of the 2024 Credit Facility were 11.75% and 12.30%, respectively. The Company recognized interest expense in the accompanying Condensed Consolidated Statements of Operations and Comprehensive Loss in connection with the 2024 Credit Facility as follows:</w:t>
      </w:r>
    </w:p>
    <w:tbl>
      <w:tblPr>
        <w:tblW w:w="8282" w:type="dxa"/>
        <w:jc w:val="left"/>
        <w:tblInd w:w="0" w:type="dxa"/>
        <w:tblLayout w:type="fixed"/>
        <w:tblCellMar>
          <w:top w:w="28" w:type="dxa"/>
          <w:left w:w="28" w:type="dxa"/>
          <w:bottom w:w="28" w:type="dxa"/>
          <w:right w:w="28" w:type="dxa"/>
        </w:tblCellMar>
      </w:tblPr>
      <w:tblGrid>
        <w:gridCol w:w="957"/>
        <w:gridCol w:w="839"/>
        <w:gridCol w:w="843"/>
        <w:gridCol w:w="256"/>
        <w:gridCol w:w="728"/>
        <w:gridCol w:w="142"/>
        <w:gridCol w:w="142"/>
        <w:gridCol w:w="142"/>
        <w:gridCol w:w="142"/>
        <w:gridCol w:w="256"/>
        <w:gridCol w:w="728"/>
        <w:gridCol w:w="142"/>
        <w:gridCol w:w="109"/>
        <w:gridCol w:w="109"/>
        <w:gridCol w:w="109"/>
        <w:gridCol w:w="247"/>
        <w:gridCol w:w="701"/>
        <w:gridCol w:w="137"/>
        <w:gridCol w:w="137"/>
        <w:gridCol w:w="137"/>
        <w:gridCol w:w="137"/>
        <w:gridCol w:w="247"/>
        <w:gridCol w:w="701"/>
        <w:gridCol w:w="194"/>
      </w:tblGrid>
      <w:t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Condensed Consolidated Balance Sheets as follows:</w:t>
      </w:r>
    </w:p>
    <w:tbl>
      <w:tblPr>
        <w:tblW w:w="6972" w:type="dxa"/>
        <w:jc w:val="left"/>
        <w:tblInd w:w="0" w:type="dxa"/>
        <w:tblLayout w:type="fixed"/>
        <w:tblCellMar>
          <w:top w:w="28" w:type="dxa"/>
          <w:left w:w="28" w:type="dxa"/>
          <w:bottom w:w="28" w:type="dxa"/>
          <w:right w:w="28" w:type="dxa"/>
        </w:tblCellMar>
      </w:tblPr>
      <w:tblGrid>
        <w:gridCol w:w="1286"/>
        <w:gridCol w:w="1130"/>
        <w:gridCol w:w="1139"/>
        <w:gridCol w:w="318"/>
        <w:gridCol w:w="1050"/>
        <w:gridCol w:w="177"/>
        <w:gridCol w:w="109"/>
        <w:gridCol w:w="109"/>
        <w:gridCol w:w="109"/>
        <w:gridCol w:w="304"/>
        <w:gridCol w:w="1002"/>
        <w:gridCol w:w="239"/>
      </w:tblGrid>
      <w:t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The Company computed income tax expense for the </w:t>
      </w:r>
      <w:r>
        <w:rPr>
          <w:rFonts w:ascii="Times New Roman;serif" w:hAnsi="Times New Roman;serif"/>
          <w:b w:val="false"/>
          <w:color w:val="000000"/>
          <w:sz w:val="20"/>
        </w:rPr>
        <w:t xml:space="preserve">three and nine months ended September 30, 2026 </w:t>
      </w:r>
      <w:r>
        <w:rPr>
          <w:rFonts w:ascii="Times New Roman;serif" w:hAnsi="Times New Roman;serif"/>
          <w:b w:val="false"/>
          <w:color w:val="000000"/>
          <w:sz w:val="20"/>
          <w:shd w:fill="FFFFFF" w:val="clear"/>
        </w:rPr>
        <w:t>using the “discrete” (or “cut-off”) method, which was comprised of the following:</w:t>
      </w:r>
    </w:p>
    <w:tbl>
      <w:tblPr>
        <w:tblW w:w="8529" w:type="dxa"/>
        <w:jc w:val="left"/>
        <w:tblInd w:w="0" w:type="dxa"/>
        <w:tblLayout w:type="fixed"/>
        <w:tblCellMar>
          <w:top w:w="28" w:type="dxa"/>
          <w:left w:w="28" w:type="dxa"/>
          <w:bottom w:w="28" w:type="dxa"/>
          <w:right w:w="28" w:type="dxa"/>
        </w:tblCellMar>
      </w:tblPr>
      <w:tblGrid>
        <w:gridCol w:w="745"/>
        <w:gridCol w:w="653"/>
        <w:gridCol w:w="671"/>
        <w:gridCol w:w="702"/>
        <w:gridCol w:w="1994"/>
        <w:gridCol w:w="393"/>
        <w:gridCol w:w="109"/>
        <w:gridCol w:w="109"/>
        <w:gridCol w:w="109"/>
        <w:gridCol w:w="658"/>
        <w:gridCol w:w="1868"/>
        <w:gridCol w:w="518"/>
      </w:tblGrid>
      <w:t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The foreign withholding tax expense was incurred in connection with the Company’s China Out-License and a milestone that was achieved during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xml:space="preserve">. The Company did not recognize income tax expense for the </w:t>
      </w:r>
      <w:r>
        <w:rPr>
          <w:rFonts w:ascii="Times New Roman;serif" w:hAnsi="Times New Roman;serif"/>
          <w:b w:val="false"/>
          <w:color w:val="000000"/>
          <w:sz w:val="20"/>
        </w:rPr>
        <w:t>three and nine months ended September 30, 2025.</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Based on all available objective evidence, the Company believes that it is more likely than not that its deferred tax assets will not be fully realized. Accordingly, the Company maintains a valuation allowance against all of its deferred tax assets as of both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will continue to maintain a full valuation allowance until there is sufficient evidence to support recoverability of its deferred tax assets.</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The Company had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of unrecognized tax benefits at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none of which would affect the effective tax rate if recognized.</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no accrual for interest and penalties related to unrecognized tax benefits recognized as part of the Company’s income tax provision in its Condensed Consolidated Statements of Operations and Comprehensive Loss. The statute of limitations remains open for all years since inception in the U.S. federal, state, and local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financing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In December 2025, pursuant to the terms of an Amended Preferred Stock Purchase Agreement, the Company purchased an additional $0.9 million of preferred stock, resulting in a total investment of $3.9 million and representing a small minority equity interest in this private company. Dr. Azamian, the Company’s CEO and Chair of the Board, and Dr. Link, a member of the Company’s Board of Directors, served on the board of this private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June 2026, the private company was acquired by a newly formed holding company through a merger and recapitalization led by a third-party investor. In connection with the transaction, the Company’s preferred stock was exchanged for approximately 6.7 million preferred units of the holding company with a fair value of approximately $6.7 million, representing a small minority interest, and Dr. Azamian and Dr. Link resigned from the board of the private company. The Company did not contribute additional capital in the transaction. A former member of the Company’s Board of Directors, who has provided consulting services to the Company since 2022, serves as the CEO and as a member of the board of directors of the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and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“on track,”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0"/>
          <w:shd w:fill="FFFFFF" w:val="clear"/>
        </w:rPr>
        <w:t>any statements regarding our ability to achieve distribution and patient access for XDEMVY and timing and breadth of payer coverage; our expectations of the potential market size, pricing, gross-to-net yields, eye care professional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timing and progress of our current clinical trials and timing of enrollment and initiation of our future clinical trials, and the reporting of data from our current and future trials, and our ability to hire and retain personnel to oversee and execute on our current and future trials;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the timing or likelihood of regulatory filings and approval for our product candidates </w:t>
      </w:r>
      <w:r>
        <w:rPr>
          <w:rFonts w:ascii="Times New Roman;serif" w:hAnsi="Times New Roman;serif"/>
          <w:b w:val="false"/>
          <w:color w:val="000000"/>
          <w:sz w:val="20"/>
          <w:shd w:fill="FFFFFF" w:val="clear"/>
        </w:rPr>
        <w:t>and our ability to meet existing or future regulatory standards or comply with post-approval requirements</w:t>
      </w:r>
      <w:r>
        <w:rPr>
          <w:rFonts w:ascii="Times New Roman;serif" w:hAnsi="Times New Roman;serif"/>
          <w:b w:val="false"/>
          <w:color w:val="000000"/>
          <w:sz w:val="20"/>
        </w:rPr>
        <w:t>;</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ability to integrate Alkeus Pharmaceuticals, Inc. (“Alkeus”) and iRenix Medical, Inc. (“iRenix”) and realize the anticipated benefits of the acquisitions;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the expected potential benefits of strategic collaborations with third parties (including, for example, the receipt of payments, achievement and timing of milestones under license agreements, and the ability of our third party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existing regulations and regulatory developments in the U.S. and other jurisdictions;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plans and ability to obtain, maintain, or protect intellectual property rights, including extensions of existing patent terms where available;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financial performance;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drawdowns from our loan and security agreement (the “2024 Credit Facility”) with funds associated with Pharmakon Advisors, LP (“Pharmakon”), and a private placement of shares of our common stock and pre-funded warrants to purchase shares of our common stock in August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References in this Quarterly Report on Form 10-Q to the terms, “Tarsus,” the “Company,” “we,” “our,” and “us” refer to Tarsus Pharmaceuticals, Inc., and its consolidated subsidiaries, unless the context otherwise indicates.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We are a commercial stage biopharmaceutical company focused on the development and commercialization of therapeutics, starting with eye care. </w:t>
      </w:r>
      <w:r>
        <w:rPr>
          <w:rFonts w:ascii="Times New Roman;serif" w:hAnsi="Times New Roman;serif"/>
          <w:b w:val="false"/>
          <w:color w:val="000000"/>
          <w:sz w:val="20"/>
          <w:shd w:fill="FFFFFF" w:val="clear"/>
        </w:rPr>
        <w:t>We launched XDEMVY</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0"/>
          <w:shd w:fill="FFFFFF" w:val="clear"/>
        </w:rPr>
        <w:t xml:space="preserve">(lotilaner ophthalmic solution) 0.25%, formerly known as TP-03, for the treatment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shd w:fill="FFFFFF" w:val="clear"/>
        </w:rPr>
        <w:t>blepharitis is</w:t>
      </w:r>
      <w:r>
        <w:rPr>
          <w:color w:val="000000"/>
        </w:rPr>
        <w:t xml:space="preserve"> </w:t>
      </w:r>
      <w:r>
        <w:rPr>
          <w:rFonts w:ascii="Times New Roman;serif" w:hAnsi="Times New Roman;serif"/>
          <w:b w:val="false"/>
          <w:color w:val="000000"/>
          <w:sz w:val="20"/>
        </w:rPr>
        <w:t xml:space="preserve">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(“blephar” is a reference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pPr>
      <w:r>
        <w:rPr>
          <w:rFonts w:ascii="Times New Roman;serif" w:hAnsi="Times New Roman;serif"/>
          <w:b w:val="false"/>
          <w:color w:val="000000"/>
          <w:sz w:val="20"/>
        </w:rPr>
        <w:t xml:space="preserve">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GABA-Cl”) channels with no GABA-Cl inhibition in humans.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 with Meibomian Gland Disease (“MGD”), including the Phase 2a clinical trial (the “Ersa Trial”), and a pilot clinical trial (the “Rhea Trial”) involving an XDEMVY vehicle.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lotilaner API to address several diseases in human medicine, including eye care, and infectious disease prevention. We are investigating the development of our lotilaner-based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2025, we initiated a Phase 2 clinical trial (the “Kore Trial”) evaluating TP-04, a lotilaner-based sterile ophthalmic gel formulation for the potential treatment of ocular rosacea. The Kore Trial continues to progress, with topline results expected in the first half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2026, we initiated and have since completed enrollment in a Phase 2 clinical trial (the “Calliope Trial”) evaluating TP-05, a novel investigational lotilaner-based oral prophylactic designed to kill ticks before potential disease transmission. Enrollment was completed in June 2026 and topline results are expected in the first half of 2027, which we believe could support a Phase 3-ready package by the end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also expanded our pipeline to include non-lotilaner-based product candidates, including IRX-101 for the potential use as an ocular antiseptic and ALK-001 for the potential treatment of Stargardt disease. IRX-101 and ALK-001 were acquired through the acquisitions of iRenix in July 2026 (the “iRenix Acquisition”) and Alkeus in September 2026 (the “Alkeus Acquisition”), respectively, as part of our expansion into retina.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connection with the iRenix Acquisition, we acquired IRX-101, an investigational ocular antiseptic based on a stable aqueous chlorine dioxide solution that is being developed for the potential to reduce post-procedural pain and corneal toxicity in patients receiving repeated intravitreal therapy. Based on data from a Phase 2b/3 trial and in alignment with feedback from the FDA, we plan to initiate a Phase 3 trial (the “Comfort Trial”) of IRX-101, an investigational ocular antiseptic designed to evaluate the tolerability and safety of IRX-101 compared to povidone-iodine. We plan to initiate the Comfort Trial in the first half of 2027, with topline results expected in 2028.</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connection with the Alkeus Acquisition we acquired ALK-001, an investigational once-daily oral medicine with a differentiated approach designed to reduce toxic Vitamin A dimer formation in the retina, targeting the underlying biology of Stargardt disease. Stargardt disease is an inherited retinal disease affecting more than 36,000 diagnosed patients and an estimated 86,000 total patients in the U.S., which can lead to blindness. The Alkeus Acquisition added an ongoing Phase 3 clinical program (the “Northstar Trial”), evaluating ALK-001 for the potential treatment of Stargardt disease with enrollment continuing to progress and topline results expected in 2029.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Business and Corporate Highlights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2026 we appointed Neera Clase, formerly Interim Chief Commercial Officer, as Chief Commercial Officer. Ms. Clase has been instrumental in creating a new market for XDEMVY, building our commercial team, and securing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broad coverage for patients. Her extensive knowledge of the business and established leadership across the organization position her well to lead commercial execution.</w:t>
      </w:r>
    </w:p>
    <w:p>
      <w:pPr>
        <w:pStyle w:val="TextBody"/>
        <w:bidi w:val="0"/>
        <w:spacing w:lineRule="auto" w:line="288" w:before="240" w:after="283"/>
        <w:jc w:val="left"/>
      </w:pPr>
      <w:r>
        <w:rPr>
          <w:rFonts w:ascii="Times New Roman;serif" w:hAnsi="Times New Roman;serif"/>
          <w:b/>
          <w:color w:val="000000"/>
          <w:sz w:val="20"/>
          <w:u w:val="single"/>
        </w:rPr>
        <w:t>XDEMVY</w:t>
      </w:r>
      <w:r>
        <w:rPr>
          <w:rFonts w:ascii="Times New Roman;serif" w:hAnsi="Times New Roman;serif"/>
          <w:b w:val="false"/>
          <w:color w:val="000000"/>
          <w:sz w:val="20"/>
        </w:rPr>
        <w:t>:</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Generated $194.6 million of net product sales of XDEMVY in the U.S. in the third quarter of 2026, a year-over-year increase of approximately 64%.</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Launch-to-date, more than one million bottles of XDEMVY have been dispensed and cumulative net product sales have surpassed $1.0 billion, as the first and only FDA-approved treatment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reaches more patients.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The average number of Eye Care Professionals (“ECPs”) prescribing XDEMVY at least daily increased approximately 20% from the beginning to the end of the third quarter of 2026, amidst a seasonally softer quarter in prescription eye care.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Direct-to-consumer (“DTC”) initiatives drove a 75% increase in high-value actions and we saw a higher prescription conversion than last year.</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Retreatment continued to become a more established part of care, with refills accounting for approximately 20% of XDEMVY prescriptions in the third quarter of 2026.</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 xml:space="preserve">Presented eleven scientific abstracts at the American Academy of Optometry, adding to the real-world evidence for XDEMVY and understanding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Key findings included:</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Retreatment experience: Among ECPs with retreatment experience, 98% were satisfied with XDEMVY’s efficacy and tolerability.</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Disease recognition: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was found in 65% of patients presenting with chalazia or hordeola, rising to 91% among those with recurrent cases, reinforcing the importance of checking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routine eye care.</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 xml:space="preserve">Longer-term outcomes: In an ongoing real-world observational study, 73% of XDEMVY-treated patients reported improvement in itchy eyelids, a key symptom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at nine months, compared with 29% of patients receiving non-lotilaner options.</w:t>
      </w:r>
    </w:p>
    <w:p>
      <w:pPr>
        <w:pStyle w:val="TextBody"/>
        <w:bidi w:val="0"/>
        <w:spacing w:lineRule="auto" w:line="288" w:before="240" w:after="283"/>
        <w:jc w:val="left"/>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Annual Meeting 2024, and in April 2025 at the American Society of Cataract and Refractive Surgery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the presence and quality of liquid secretion as measured by the Meibomian Gland Secretion Score; (ii) the number of glands 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continues to share this data with ECPs.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for the Potential Treatment of Ocular Rosacea:</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We are exploring the therapeutic potential of TP-04 as an investigational sterile aqueous gel formulation of lotilaner, for the treatment of ocular rosacea, a chronic eye disease characterized by prominent and visible blood vessels, or telangiectasia, as well as redness, flushing and inflammation of the eyelid margin and surrounding peri-ocular skin. Ocular rosacea is a highly prevalent disease, with approximately 15-18 million Americans impacted by ocular rosacea and there are currently no FDA-approved therapeutics to treat this disease. One of the potential root causes of ocular rosacea, similar to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is believed to be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February 2024, we announced positive topline results from the Galatea trial, a Phase 2a trial evaluating TP-04, an investigational sterile aqueous gel formulation of lotilaner, for the potential treatment of papulopustular rosacea, for which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mites is believed to be one of the root causes. The positive topline results demonstrated statistically significant improvements (p&lt;0.05) in inflammatory lesions and Investigator’s Global Assessment score (change in baseline and success rate) were observed compared to vehicle at week 12. TP-04 was generally well tolerated.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review of the Galatea trial data with the FDA and key opinion leaders, we decided to pursue development of TP-04 for the potential treatment for ocular rosacea. In December 2025, we initiated the Kore Trial, evaluating TP-04 for the potential treatment of ocular rosacea, with topline results expected in the first half of 2027.</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for the Potential Prevention of Lyme Disease: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exploring the therapeutic potential of TP-05 as a novel investigational lotilaner-based oral prophylactic designed to kill ticks. There are approximately 80 million people in the U.S. at risk of Lyme disease exposure with more than 30 million at high or moderate risk. Further, there are approximately 400,000 reported cases of Lyme disease in the U.S. each year, but it is believed that the actual number of cases could be much higher. 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pStyle w:val="TextBody"/>
        <w:bidi w:val="0"/>
        <w:spacing w:lineRule="auto" w:line="288" w:before="240" w:after="283"/>
        <w:ind w:left="0" w:right="0" w:firstLine="990"/>
        <w:jc w:val="left"/>
      </w:pPr>
      <w:r>
        <w:rPr>
          <w:rFonts w:ascii="Times New Roman;serif" w:hAnsi="Times New Roman;serif"/>
          <w:b w:val="false"/>
          <w:color w:val="000000"/>
          <w:sz w:val="20"/>
        </w:rPr>
        <w:t>In</w:t>
      </w:r>
      <w:r>
        <w:rPr>
          <w:color w:val="008080"/>
        </w:rPr>
        <w:t xml:space="preserve"> </w:t>
      </w:r>
      <w:r>
        <w:rPr>
          <w:rFonts w:ascii="Times New Roman;serif" w:hAnsi="Times New Roman;serif"/>
          <w:b w:val="false"/>
          <w:color w:val="000000"/>
          <w:sz w:val="20"/>
        </w:rPr>
        <w:t>February 2024, we announced positive topline results from the Carpo Trial, which demonstrated a statistically significant increase in tick mortality compared to vehicle (p&lt;0.001), regardless of treatment arm, and was well tolerated (the “Carpo Trial”). The Carpo Trial was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2026, we initiated and have since completed enrollment in the Calliope Trial evaluating TP-05, a novel investigational lotilaner-based oral prophylactic designed to kill ticks before potential disease transmission. Enrollment was completed in June 2026 and topline results are expected in the first half of 2027, which we believe could support a Phase 3-ready package by the end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FDA confirmed that a Phase 3 trial would require a disease prevention field study that would likely require the enrollment of thousands of patients. We continue to believe that partnering this program, following completion of the Calliope Trial, could be the best approach to potentially deliver this prophylactic therapy candidate to patients.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IRX-101 for the Potential Reduction of Post-Procedural Pain and Corneal Toxicity in Patients Receiving Intravitreal Therapy: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2026, we acquired IRX-101 in connection with our iRenix Acquisition. We are exploring the potential of IRX-101 as an investigational ocular antiseptic to reduce post-procedural pain and corneal toxicity in patients receiving repeated intravitreal therapy. More than 11 million intravitreal injections are performed in the U.S. each year, the vast majority of which rely on povidone-iodine as a pre-procedural antiseptic. For many patients, povidone-iodine is associated with significant ocular surface toxicity, resulting in corneal damage and pain that can persist for days following treatment. Despite this, and despite being contraindicated in patients with iodine sensitivity, there have been no new FDA-approved ocular antiseptics in more than four decades. We believe IRX-101 has the potential to meaningfully improve that experience while maintaining the antiseptic activity physicians depend 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 Phase 2b/3 Relief trial that was completed by iRenix prior to our acquisition of IRX-101, IRX-101 demonstrated statistically significant improvements on two co-primary endpoints versus povidone-iodine: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Pain reduction: Approximately 50% relative reduction in post-procedural pain scores (p=0.0003), with half of the patients in the IRX-101 group reporting a pain score of zero.</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Corneal fluorescein staining: Approximately 25% relative reduction in corneal staining in the IRX-101 group (p=0.0003), reflecting less corneal surface damage.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Based on this data and in alignment with feedback from the FDA, we plan to initiate the Phase 3 Comfort Trial. The study is expected to begin enrolling in the first half of 2027 with topline results expected in 2028.</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ALK-001 for the Potential Treatment of Stargardt Disease:</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2026, we acquired ALK-001 in connection with the Alkeus Acquisition. We are exploring the potential of ALK-001 as an investigational once-daily oral medicine with a differentiated approach designed to reduce toxic Vitamin A dimer formation in the retina, targeting the underlying biology of Stargardt disease, which can lead to blindness. The Alkeus Acquisition added a Phase 3 clinical program (the “Northstar Trial”) which is expected to further expand our presence in retina, one of the largest and fastest-growing specialties and is an important advancement in our strategy to become a leading eye care company. </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Prior to the Alkeus Acquisition, Alkeus conducted the TEASE clinical program, during which ALK-001 demonstrated statistically significant reduction in growth rate of retinal atrophic lesions in patients with Stargardt disease. Based on the compiled data and in alignment with feedback from the FDA, Alkeus initiated the Northstar Trial, which is currently enrolling with topline results expected in 2029.</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2026 and Beyond:</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us, which was recorded as license fees and collaboration revenue (see </w:t>
      </w:r>
      <w:r>
        <w:rPr>
          <w:rFonts w:ascii="Times New Roman;serif" w:hAnsi="Times New Roman;serif"/>
          <w:b w:val="false"/>
          <w:i/>
          <w:color w:val="000000"/>
          <w:sz w:val="20"/>
        </w:rPr>
        <w:t>Note 10</w:t>
      </w:r>
      <w:r>
        <w:rPr>
          <w:rFonts w:ascii="Times New Roman;serif" w:hAnsi="Times New Roman;serif"/>
          <w:b w:val="false"/>
          <w:color w:val="000000"/>
          <w:sz w:val="20"/>
        </w:rPr>
        <w:t>)</w:t>
      </w:r>
      <w:r>
        <w:rPr>
          <w:rFonts w:ascii="Times New Roman;serif" w:hAnsi="Times New Roman;serif"/>
          <w:b w:val="false"/>
          <w:i/>
          <w:color w:val="000000"/>
          <w:sz w:val="20"/>
        </w:rPr>
        <w:t>.</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During the third quarter of 2026, we decided to defer regulatory filings for TP-03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Europe and Japan in light of the current implications of the most-favored-nation regulations.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PIPE Transaction: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2026, we completed a private placement of an aggregate of 2,098,519 shares of our common stock at a purchase price of $56.00 per share and pre-funded warrants to purchase an aggregate of 133,625 shares of our common stock at a purchase price of $55.9999 per pre-funded warrant (the purchase price per share less $0.0001, the exercise price of the pre-funded warrants), which resulted in net proceeds of approximately $120.1 million, after deducting placement agent fees and other offering expenses (the “PIPE Transaction”).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through private placements of preferred stock, convertible promissory notes, net proceeds from the issuance of common stock in our IPO, our subsequent Follow-On Public Offerings, our 2023 ATM Prospectus and the PIPE Transaction, as well as proceeds from net product sales, our China Out-License, and drawdowns from the 2024 Credit Facility and the previous loan and security agreement (collectively the “Credit Facilities”). </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continue to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as we advance our other product candidates through clinical trials, regulatory submissions, and potential commercialization. Our net losses were $668.3 million and $12.6 million for the three months ended September 30, 2026 and 2025, respectively,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$693.9 million and $58.0 million for the nine months ended September 30, 2026 and 2025,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continue to commercialize XDEMVY</w:t>
      </w:r>
      <w:r>
        <w:rPr>
          <w:color w:val="000000"/>
        </w:rPr>
        <w:t xml:space="preserve"> </w:t>
      </w:r>
      <w:r>
        <w:rPr>
          <w:rFonts w:ascii="Times New Roman;serif" w:hAnsi="Times New Roman;serif"/>
          <w:b w:val="false"/>
          <w:color w:val="000000"/>
          <w:sz w:val="20"/>
        </w:rPr>
        <w:t>and our other product candidates for which we obtain regulatory approvals;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advance the clinical development of various pipeline programs, including TP-04 for the potential treatment of ocular rosacea, TP-05 for the potential Lyme disease prophylaxis, IRX-101 for the potential use as an ocular antiseptic, and ALK-001 for the potential treatment of Stargardt disease;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integrate clinical development of the newly acquired Phase 3 programs, including IRX-101 for the potential to reduce post-procedural pain and corneal toxicity in patients receiving repeated intravitreal therapy, and ALK-001 for the potential treatment of Stargardt disease;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began generating XDEMVY product sales in August 2023, following FDA approval in July 2023. Our reported revenue within license fees and collaboration revenue is from our China Out-License; we expect to report additional revenue under this caption in future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expect to finance our operations through existing capital balances, revenue from product sales,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pPr>
      <w:r>
        <w:rPr>
          <w:rFonts w:ascii="Times New Roman;serif" w:hAnsi="Times New Roman;serif"/>
          <w:b w:val="false"/>
          <w:color w:val="000000"/>
          <w:sz w:val="20"/>
        </w:rPr>
        <w:t>As of September 30, 2026, our aggregate cash, cash equivalents and marketable securities was $309.6 million – see the section below titled “</w:t>
      </w:r>
      <w:r>
        <w:rPr>
          <w:rFonts w:ascii="Times New Roman;serif" w:hAnsi="Times New Roman;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Recent global economic conditions have been marked by significant volatility and heightened trade tensions. In addition, persistent inflationary pressures, a prolonged higher interest rate environment, energy supply disruptions in certain regions, evolving trade policies, including increased tariffs, regulatory uncertainty, and ongoing and emerging geopolitical conflicts, including war, have contributed to regional and global macroeconomic challenges. These conditions have created uncertainty in global markets and may continue to impact economic conditions for an extended period. While we have attempted to mitigate the effects of tariffs by entering into an agreement with the U.S. Department of Commerce, if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materially breach such agreement, including by making insufficient onshoring progress, the U.S. Department of Commerce may terminate the agreement and any tariff rate reductions we have been granted.</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w:t>
      </w:r>
    </w:p>
    <w:tbl>
      <w:tblPr>
        <w:tblW w:w="8065" w:type="dxa"/>
        <w:jc w:val="left"/>
        <w:tblInd w:w="0" w:type="dxa"/>
        <w:tblLayout w:type="fixed"/>
        <w:tblCellMar>
          <w:top w:w="28" w:type="dxa"/>
          <w:left w:w="28" w:type="dxa"/>
          <w:bottom w:w="28" w:type="dxa"/>
          <w:right w:w="28" w:type="dxa"/>
        </w:tblCellMar>
      </w:tblPr>
      <w:tblGrid>
        <w:gridCol w:w="1411"/>
        <w:gridCol w:w="1240"/>
        <w:gridCol w:w="1248"/>
        <w:gridCol w:w="211"/>
        <w:gridCol w:w="876"/>
        <w:gridCol w:w="117"/>
        <w:gridCol w:w="117"/>
        <w:gridCol w:w="117"/>
        <w:gridCol w:w="117"/>
        <w:gridCol w:w="211"/>
        <w:gridCol w:w="795"/>
        <w:gridCol w:w="117"/>
        <w:gridCol w:w="109"/>
        <w:gridCol w:w="109"/>
        <w:gridCol w:w="109"/>
        <w:gridCol w:w="196"/>
        <w:gridCol w:w="811"/>
        <w:gridCol w:w="154"/>
      </w:tblGrid>
      <w:t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pPr>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(662,094)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initial consolidation of variable interest entity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(668,334)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(655,749)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and 2025, we recognized revenue of $194.6 million and $118.7 million, respectively, from product sales, net of rebates, chargebacks, discounts, and other adjustments, an increase of approximately 64% compared to the prior year period. This increase in revenue was driven by higher volume and improvement in the gross-to-net discounts.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we recognized $13.9 million and $8.3 million, respectively, in cost of sales for XDEMVY, and gross margins remained consistent at 93% for both periods. 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7051" w:type="dxa"/>
        <w:jc w:val="left"/>
        <w:tblInd w:w="0" w:type="dxa"/>
        <w:tblLayout w:type="fixed"/>
        <w:tblCellMar>
          <w:top w:w="28" w:type="dxa"/>
          <w:left w:w="28" w:type="dxa"/>
          <w:bottom w:w="28" w:type="dxa"/>
          <w:right w:w="28" w:type="dxa"/>
        </w:tblCellMar>
      </w:tblPr>
      <w:tblGrid>
        <w:gridCol w:w="1101"/>
        <w:gridCol w:w="971"/>
        <w:gridCol w:w="973"/>
        <w:gridCol w:w="236"/>
        <w:gridCol w:w="778"/>
        <w:gridCol w:w="131"/>
        <w:gridCol w:w="131"/>
        <w:gridCol w:w="131"/>
        <w:gridCol w:w="131"/>
        <w:gridCol w:w="236"/>
        <w:gridCol w:w="778"/>
        <w:gridCol w:w="131"/>
        <w:gridCol w:w="109"/>
        <w:gridCol w:w="109"/>
        <w:gridCol w:w="109"/>
        <w:gridCol w:w="196"/>
        <w:gridCol w:w="646"/>
        <w:gridCol w:w="154"/>
      </w:tblGrid>
      <w:t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pPr>
            <w:r/>
          </w:p>
        </w:tc>
      </w:tr>
      <w:t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IRX-101 program</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ALK-001 program</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and personnel-related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expenses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$27.9 million for the three months ended September 30, 2026, as compared to the prior year period. Of this increase, $13.7 million was attributable to the Alkeus Acquisition, consisting of (i) $7.1 million of payroll and personnel-related costs (including $5.8 million of stock-based compensation expense related to the accelerated vesting of acquired Alkeus equity awards), (ii) $3.1 million of ALK-001 program expenses related to the ongoing Phase 3 study, (iii) $3.0 million of acquired inventory, and (iv) $0.4 million of other indirect expenses including transaction-related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remaining increase of $14.2 million was primarily attributable to (i) a $6.8 million increase in TP-05 program expenses related to our Calliope Trial, which we initiated in March 2026 and has since completed enrollment, (ii) a $3.8 million increase in payroll and personnel-related costs (including $1.4 million of recurring stock-based compensation expense), primarily due to employee additions to support our product development initiatives, (iii) a $1.8 million increase in TP-04 program expenses, (iv) $0.8 million of IRX-101 program expenses due to the iRenix Acquisition, and (v) a $2.0 million increase in other early-stage program expenses. The increases were partially offset by a $1.1 million decrease in TP-03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 (“IPR&amp;D”) was $632.2 million for the three months ended September 30, 2026, consisting of $81.0 million related to the iRenix Acquisition and $551.2 million representing the acquisition-date fair value of the gildeuretinol IPR&amp;D acquired in the Alkeus Acquisition, which was expensed because it has no alternative future use. There was no acquired IPR&amp;D expense in the prior-year periods.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$59.4 million for the three months ended September 30, 2026, as compared to the prior year period. Of this increase, $29.8 million was attributable to the Alkeus Acquisition, consisting of $6.1 million of payroll and personnel-related costs (including $5.7 million of stock-based compensation expenses related to the accelerated vesting of acquired Alkeus equity awards), $23.5 million of transaction-related and integration costs, and $0.2 million of professional services.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remaining increase of $29.6 million was primarily attributable to (i) an $11.7 million increase in commercial and marketing costs, including DTC advertising costs, as we continued to expand our promotional activities for XDEMVY, (ii) a $9.6 million increase in expenses associated with patient support functions, information technology, legal, and professional services, and (iii) an $8.3 million increase in payroll and personnel-related costs (including $2.0 million of recurring stock-based compensation expense) primarily due to commercial and corporate employee additions to support our continued growth and expansion of our commercial leadership team. We expect vendor-related expenses to continue to increase during the remainder of 2026 as a result of our recent acquisitions, the continued expansion of our commercial activities for XDEMVY, and investments in other corporate initiatives.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Contingent Consideration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$1.6 million decrease in fair value of the contingent consideration related to the Alkeus regulatory milestone was primarily driven by a one percentage point increase in the discount rate between the closing date and September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income (expense), net decreased by $3.5 million for the three months ended September 30, 2026, as compared to the prior year period and primarily related to a $3.3 million loss on the initial consolidation of a VIE and a $0.3 million decrease in interest income earned on our cash, cash equivalents and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$4.6 million for the three months ended September 30, 2026, primarily due to $4.3 million of state income tax expense resulting from states that do not conform to the OBBB Act and therefore continue to require the capitalization and amortization of domestic research and development expenditures. There was no provision for income taxes recorded during the three months ended September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Nine Months Ended</w:t>
      </w:r>
    </w:p>
    <w:tbl>
      <w:tblPr>
        <w:tblW w:w="7976" w:type="dxa"/>
        <w:jc w:val="center"/>
        <w:tblInd w:w="0" w:type="dxa"/>
        <w:tblLayout w:type="fixed"/>
        <w:tblCellMar>
          <w:top w:w="28" w:type="dxa"/>
          <w:left w:w="28" w:type="dxa"/>
          <w:bottom w:w="28" w:type="dxa"/>
          <w:right w:w="28" w:type="dxa"/>
        </w:tblCellMar>
      </w:tblPr>
      <w:tblGrid>
        <w:gridCol w:w="1411"/>
        <w:gridCol w:w="1240"/>
        <w:gridCol w:w="1248"/>
        <w:gridCol w:w="204"/>
        <w:gridCol w:w="847"/>
        <w:gridCol w:w="113"/>
        <w:gridCol w:w="113"/>
        <w:gridCol w:w="113"/>
        <w:gridCol w:w="113"/>
        <w:gridCol w:w="204"/>
        <w:gridCol w:w="769"/>
        <w:gridCol w:w="113"/>
        <w:gridCol w:w="109"/>
        <w:gridCol w:w="109"/>
        <w:gridCol w:w="109"/>
        <w:gridCol w:w="196"/>
        <w:gridCol w:w="811"/>
        <w:gridCol w:w="154"/>
      </w:tblGrid>
      <w:t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pPr>
            <w:r/>
          </w:p>
        </w:tc>
      </w:tr>
      <w:t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1,218,659 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(688,124)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initial consolidation of variable interest entity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(693,852)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89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and 2025, we recognized revenue of $513.9 million and $299.7 million, respectively, from product sales, net of rebates, chargebacks, discounts, and other adjustments, a year-over-year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increase of approximately 71%. This increase in revenue was driven by higher volume and improvement in the gross-to-net discounts.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Fees and Collaboration Revenue </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For the nine months ended September 30, 2026, we recognized $16.7 million in license fees and collaboration revenue related to (i) a $15.0 million regulatory milestone achievement under the China Out-License (see </w:t>
      </w:r>
      <w:r>
        <w:rPr>
          <w:rFonts w:ascii="Times New Roman;serif" w:hAnsi="Times New Roman;serif"/>
          <w:b w:val="false"/>
          <w:i/>
          <w:color w:val="000000"/>
          <w:sz w:val="20"/>
        </w:rPr>
        <w:t>Note 10</w:t>
      </w:r>
      <w:r>
        <w:rPr>
          <w:rFonts w:ascii="Times New Roman;serif" w:hAnsi="Times New Roman;serif"/>
          <w:b w:val="false"/>
          <w:color w:val="000000"/>
          <w:sz w:val="20"/>
        </w:rPr>
        <w:t xml:space="preserve">) and (ii) $1.7 million of required China withholding tax payable by GrandPharma on the associated milestone (see </w:t>
      </w:r>
      <w:r>
        <w:rPr>
          <w:rFonts w:ascii="Times New Roman;serif" w:hAnsi="Times New Roman;serif"/>
          <w:b w:val="false"/>
          <w:i/>
          <w:color w:val="000000"/>
          <w:sz w:val="20"/>
        </w:rPr>
        <w:t>Note 12</w:t>
      </w:r>
      <w:r>
        <w:rPr>
          <w:rFonts w:ascii="Times New Roman;serif" w:hAnsi="Times New Roman;serif"/>
          <w:b w:val="false"/>
          <w:color w:val="000000"/>
          <w:sz w:val="20"/>
        </w:rPr>
        <w:t>). The milestone payment was recorded on a gross basis, which increased license fees and collaboration revenue by $1.7 million, with an equal offsetting amount recorded as foreign tax expense within provision for income taxes. During the nine months ended September 30, 2025, we did not recognize any license fees and collaboration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we recognized $35.4 million and $19.8 million, respectively, in cost of sales for XDEMVY, and gross margins remained consistent at 93% for both periods. 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957" w:type="dxa"/>
        <w:jc w:val="left"/>
        <w:tblInd w:w="0" w:type="dxa"/>
        <w:tblLayout w:type="fixed"/>
        <w:tblCellMar>
          <w:top w:w="28" w:type="dxa"/>
          <w:left w:w="28" w:type="dxa"/>
          <w:bottom w:w="28" w:type="dxa"/>
          <w:right w:w="28" w:type="dxa"/>
        </w:tblCellMar>
      </w:tblPr>
      <w:tblGrid>
        <w:gridCol w:w="1101"/>
        <w:gridCol w:w="970"/>
        <w:gridCol w:w="973"/>
        <w:gridCol w:w="228"/>
        <w:gridCol w:w="752"/>
        <w:gridCol w:w="126"/>
        <w:gridCol w:w="126"/>
        <w:gridCol w:w="126"/>
        <w:gridCol w:w="126"/>
        <w:gridCol w:w="228"/>
        <w:gridCol w:w="752"/>
        <w:gridCol w:w="126"/>
        <w:gridCol w:w="109"/>
        <w:gridCol w:w="109"/>
        <w:gridCol w:w="109"/>
        <w:gridCol w:w="196"/>
        <w:gridCol w:w="646"/>
        <w:gridCol w:w="154"/>
      </w:tblGrid>
      <w:t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pPr>
            <w:r/>
          </w:p>
        </w:tc>
      </w:tr>
      <w:t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IRX-101 program</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ALK-001 program</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personnel-related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$51.3 million for the nine months ended September 30, 2026, as compared to the prior year period. Of this increase, $13.7 million was attributable to the Alkeus Acquisition, consisting of (i) $7.1 million of payroll and personnel-related costs (including $5.8 million of stock-based compensation expense related to the accelerated vesting of acquired Alkeus equity awards), (ii) $3.1 million of ALK-001 program expenses related to the ongoing Phase 3 study, (iii) $3.0 million of acquired inventory, and (iv) $0.4 million of other indirect expenses including transaction-related costs.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remaining increase of $37.6 million was primarily attributable to (i) a $16.3 million increase in TP-05 program expenses related to our Calliope Trial, which we initiated in March 2026 and has since completed enrollment, (ii) a $10.7 million increase in payroll and personnel-related costs (including $4.0 million of recurring stock-based compensation expense), primarily due to employee additions to support our product development initiatives, (iii) a $2.9 million increase in TP-03 program expenses, (iv) a $1.8 million increase in TP-04 program expenses, (v) a $2.4 million increase in other early-stage program expenses, (vi) $0.8 million of IRX-101 program expenses due to the iRenix Acquisition, (vii) $0.7 million of other indirect expenses, and (viii) a $2.0 million upfront payment made upon execution of the February 2026 In-License Agreements (see </w:t>
      </w:r>
      <w:r>
        <w:rPr>
          <w:rFonts w:ascii="Times New Roman;serif" w:hAnsi="Times New Roman;serif"/>
          <w:b w:val="false"/>
          <w:i/>
          <w:color w:val="000000"/>
          <w:sz w:val="20"/>
        </w:rPr>
        <w:t>Note 9)</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was $632.2 million for the nine months ended September 30, 2026, consisting of $81.0 million related to the iRenix Acquisition and $551.2 million representing the acquisition-date fair value of the gildeuretinol IPR&amp;D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acquired in the Alkeus Acquisition, which was expensed because it has no alternative future use. There was no acquired IPR&amp;D expense in the prior-year periods.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$158.5 million for the nine months ended September 30, 2026, as compared to the prior year period. Of this increase, $29.8 million was attributable to the Alkeus Acquisition, consisting of $6.1 million of payroll and personnel-related costs (including $5.7 million of stock-based compensation expenses related to the accelerated vesting of acquired Alkeus equity awards), $23.5 million of transaction-related and integration costs, and $0.2 million of professional services.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remaining increase of $128.7 million was primarily attributable to (i) a $58.6 million increase in commercial and marketing costs, including DTC advertising costs, as we continued to expand our promotional activities for XDEMVY, (ii) a $50.4 million increase in costs associated with patient support functions, information technology, legal, and professional services, and (iii) a $19.7 million increase in payroll and personnel-related costs (including $9.4 million of recurring stock-based compensation expense) primarily due to commercial and corporate employee additions to support our continued growth and the expansion of our commercial leadership team. We expect vendor-related expenses to continue to increase during the remainder of 2026 as a result of our recent acquisitions, the continued expansion of our commercial activities for XDEMVY, and investments in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Contingent Consideration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$1.6 million decrease in fair value of the contingent consideration related to the Alkeus regulatory milestone was primarily driven by a one percentage point increase in the discount rate between the closing date and September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income (expense), net decreased by $1.0 million for the nine months ended September 30, 2026, as compared to the prior year period and primarily related to a $3.3 million loss on initial consolidation of a VIE and a $0.6 million decrease in interest income earned on our cash, cash equivalents and marketable securities, partially offset by a $2.8 million gain on exchange of long-term investments.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$9.7 million for the nine months ended September 30, 2026, primarily due to (i) $7.4 million of state income tax expense resulting from states that do not conform to the OBBB Act and therefore continue to require the capitalization and amortization of domestic research and development expenditures and (ii) $1.7 million of foreign withholding tax expense in connection with our China Out-License and a milestone that was achieved during the nine months ended September 30, 2026. There was no provision for income taxes recorded during the nine months ended September 30,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financed our operations substantially through private placements of preferred stock, convertible promissory notes, net proceeds from the issuance of common stock through our IPO, Follow-on Public Offerings, the 2023 ATM Prospectus and the PIPE Transaction, as well as proceeds from net product sales, the China Out-License, drawdowns from our Credit Facilities. As of September 30, 2026, we had cash, cash equivalents and marketable securities of $309.6 million.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2024, we filed an automatic shelf registration statement on Form S-3 ASR (the “2024 Shelf Registration Statement”). In March 2025, we completed an underwritten follow-on public offering under the 2024 Shelf Registration Statement pursuant to which we sold 2,808,988 shares of our common stock at a price to the public of $44.50 per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share. We also granted the underwriters a 30-day option to purchase up to 421,348 additional shares of our common stock at the public offering price of $44.50 per share, which the underwriters exercised in full in March 2025. We received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received $101.1 million of total proceeds in connection with our China Out-License comprised of (i) $15.0 million of initial consideration, (ii) $82.5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eligible to receive further consideration from GrandPharma upon the achievement of additional TP-03 events, including: (i) an additional regulatory approval milestone and one-time payment of $5.0 million; (ii) China-based TP-03 sales threshold milestones of up to an aggregate of $100.0 million; and (iii) tiered low to 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pPr>
      <w:r>
        <w:rPr>
          <w:rFonts w:ascii="Times New Roman;serif" w:hAnsi="Times New Roman;serif"/>
          <w:b w:val="false"/>
          <w:color w:val="000000"/>
          <w:sz w:val="20"/>
        </w:rPr>
        <w:t>In April 2024, we executed the 2024 Credit Facility with Pharmakon with</w:t>
      </w:r>
      <w:r>
        <w:rPr>
          <w:color w:val="000000"/>
          <w:shd w:fill="FFFFFF" w:val="clear"/>
        </w:rPr>
        <w:t xml:space="preserve"> </w:t>
      </w:r>
      <w:r>
        <w:rPr>
          <w:rFonts w:ascii="Times New Roman;serif" w:hAnsi="Times New Roman;serif"/>
          <w:b w:val="false"/>
          <w:color w:val="000000"/>
          <w:sz w:val="20"/>
          <w:shd w:fill="FFFFFF" w:val="clear"/>
        </w:rPr>
        <w:t>maturity in April 2029</w:t>
      </w:r>
      <w:r>
        <w:rPr>
          <w:rFonts w:ascii="Times New Roman;serif" w:hAnsi="Times New Roman;serif"/>
          <w:b w:val="false"/>
          <w:color w:val="000000"/>
          <w:sz w:val="20"/>
        </w:rPr>
        <w:t xml:space="preserve">. The 2024 Credit Facility is collateralized by substantially all of our presently existing and subsequently acquired assets. </w:t>
      </w:r>
      <w:r>
        <w:rPr>
          <w:rFonts w:ascii="Times New Roman;serif" w:hAnsi="Times New Roman;serif"/>
          <w:b w:val="false"/>
          <w:color w:val="000000"/>
          <w:sz w:val="20"/>
          <w:shd w:fill="FFFFFF" w:val="clear"/>
        </w:rPr>
        <w:t>Upon execution, we made</w:t>
      </w:r>
      <w:r>
        <w:rPr>
          <w:color w:val="000000"/>
        </w:rPr>
        <w:t xml:space="preserve"> </w:t>
      </w:r>
      <w:r>
        <w:rPr>
          <w:rFonts w:ascii="Times New Roman;serif" w:hAnsi="Times New Roman;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erif" w:hAnsi="Times New Roman;serif"/>
          <w:b w:val="false"/>
          <w:color w:val="000000"/>
          <w:sz w:val="20"/>
        </w:rPr>
        <w:t xml:space="preserve">achieving minimum net sales milestones, which were met. We did not draw on any of the three additional tranches, each of which expired on December 31, 2024, June 30, 2025, and December 31, 2025. </w:t>
      </w:r>
    </w:p>
    <w:p>
      <w:pPr>
        <w:pStyle w:val="TextBody"/>
        <w:bidi w:val="0"/>
        <w:spacing w:lineRule="auto" w:line="288" w:before="240" w:after="283"/>
        <w:ind w:left="0" w:right="0" w:firstLine="990"/>
        <w:jc w:val="left"/>
      </w:pPr>
      <w:r>
        <w:rPr>
          <w:rFonts w:ascii="Times New Roman;serif" w:hAnsi="Times New Roman;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erif" w:hAnsi="Times New Roman;serif"/>
          <w:b w:val="false"/>
          <w:color w:val="000000"/>
          <w:sz w:val="20"/>
        </w:rPr>
        <w:t xml:space="preserve">The 2024 Credit Facility contains representations and warranties, affirmative and negative covenants in each case. </w:t>
      </w:r>
      <w:r>
        <w:rPr>
          <w:rFonts w:ascii="Times New Roman;serif" w:hAnsi="Times New Roman;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ind w:left="0" w:right="0" w:firstLine="9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PIPE Transaction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2026, we completed a private placement of an aggregate of 2,098,519 shares of our common stock at a purchase price of $56.00 per share, and pre-funded warrants to purchase an aggregate of 133,625 shares of our common stock at a purchase price of $55.9999 per pre-funded warrant (the purchase price per share less $0.0001, the exercise price of the pre-funded warrants), which resulted in net proceeds of approximately $120.1 million, after deducting placement agent fees and other offering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Although we have recently generated positive cash flows from operations, we have historically incurred significant losses and generated negative cash flows from operations since our inception. As of September 30, 2026 and December 31, 2025, we had accumulated deficits of $1,120.5 million and $426.6 million,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we believe that our remaining cash, cash equivalents and marketable securities will be sufficient to fund our current and planned operations for at least the next twelve months following the filing date of this Quarterly Report on Form 10-Q. Our cash runway estimate is predicated on current assumptions regarding future revenue, operating expenses, and the availability of debt and equity financing, and may require future adjustments. Our cash runway estimate does not assume the payment of any of the contingent milestone or royalty obligations under the iRenix Acquisition or the Alkeus Acquisition, none of which we currently consider probable of becoming payable in the near term. If any of these milestones were to be achieved, the related payments would be significant and would reduce our cash runway. Accordingly,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pPr>
      <w:r>
        <w:rPr>
          <w:rFonts w:ascii="Times New Roman;serif" w:hAnsi="Times New Roman;serif"/>
          <w:b w:val="false"/>
          <w:color w:val="000000"/>
          <w:sz w:val="20"/>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Liquidity Risks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generated revenue from the launch of XDEMVY, we could incur operating losses in the future as we expand our clinical development programs for our other product candidates and continue to commercialize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impact of health epidemics on our clinical development or operations;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Statements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cash equivalents and restricted cash for each of the periods presented below:</w:t>
      </w:r>
    </w:p>
    <w:tbl>
      <w:tblPr>
        <w:tblW w:w="7314" w:type="dxa"/>
        <w:jc w:val="center"/>
        <w:tblInd w:w="0" w:type="dxa"/>
        <w:tblLayout w:type="fixed"/>
        <w:tblCellMar>
          <w:top w:w="28" w:type="dxa"/>
          <w:left w:w="28" w:type="dxa"/>
          <w:bottom w:w="28" w:type="dxa"/>
          <w:right w:w="28" w:type="dxa"/>
        </w:tblCellMar>
      </w:tblPr>
      <w:tblGrid>
        <w:gridCol w:w="1772"/>
        <w:gridCol w:w="1556"/>
        <w:gridCol w:w="1562"/>
        <w:gridCol w:w="196"/>
        <w:gridCol w:w="721"/>
        <w:gridCol w:w="109"/>
        <w:gridCol w:w="109"/>
        <w:gridCol w:w="109"/>
        <w:gridCol w:w="109"/>
        <w:gridCol w:w="196"/>
        <w:gridCol w:w="721"/>
        <w:gridCol w:w="154"/>
      </w:tblGrid>
      <w:t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(Used in)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$30.6 million for the nine months ended September 30, 2026, which primarily consisted of a net loss of $693.9 million, offset by a net increase in operating assets and liabilities of $36.5 million and non-cash charges of $687.9 million. Our cash inflows primarily related to $854.2 million of cash receipts from XDEMVY net product sales. These cash inflows were partially offset by (i) $724.7 million of vendor payments, (ii) $76.4 million of personnel-related costs, and (iii) $25.8 million of royalty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$31.8 million for the nine months ended September 30, 2025, which primarily consisted of a net loss of $58.0 million, partially offset by non-cash charges of $25.2 million and a net increase in operating assets and liabilities of $1.1 million. Our cash outflows primarily related to: (i) $435.8 million of vendor payments, (ii) $72.0 million of personnel-related costs, and (iii) $12.4 million of royalty payments. These cash outflows were partially offset by cash receipts of $490.8 million related to XDEMVY net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$210.2 million for the nine months ended September 30, 2026, and related to $223.1 million of cash paid for the Alkeus Acquisition, $37.3 million of cash paid for the iRenix Acquisition, $129.2 million of purchased marketable securities, and $11.1 million of purchased property and equipment, partially offset by $190.5 million of proceeds from maturities of marketable securities.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$91.4 million for the nine months ended September 30, 2025, and related to $357.6 million of purchased marketable securities and $3.5 million of purchased property and equipment, partially offset by $269.7 million 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$132.3 million for the nine months ended September 30, 2026, and related to $113.1 million of proceeds from issuance of common stock, $7.2 million of proceeds from the issuance of pre-funded warrants, $10.6 million of proceeds from employee stock option exercises, and $1.4 million of proceeds from the issuance of common stock pursuant to our employee stock purchase plan (“ESPP”).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$141.1 million for the nine months ended September 30, 2025, and related to $134.8 million of net proceeds from the issuance of common stock in the March 2025 Public Offering, $5.2 million of proceeds from employee stock option exercises, and $1.1 million of proceeds from the issuance of common stock pursuant to our ESPP.</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Consolidated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Consolidated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these accompanying Condensed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agreements is minimal. Accordingly, we have not recorded any liabilities for these indemnification rights and agreements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risks during the three and nine months ended September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and in our financial position represents the potential loss arising from adverse changes in interest rates. As of September 30, 2026, we had cash, cash equivalents and marketable securities of $309.6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three and nine months ended September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September 30, 2026. Based upon that evaluation, our Chief Executive Officer and Chief Financial Officer have concluded that, as of September 30, 2026,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 We will exclude the operations of Alkeus from management’s assessment of internal control over financial reporting as we continue to evaluate its internal controls over financial reporting. This exclusion is in accordance with the general guidance issued by the Staff of the Securities and Exchange Commission that an acquired business may be omitted from management’s report on internal control over financial reporting for up to one year from the date of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240" w:after="283"/>
        <w:jc w:val="left"/>
      </w:pPr>
      <w:r>
        <w:rPr>
          <w:rFonts w:ascii="Times New Roman;serif" w:hAnsi="Times New Roman;serif"/>
          <w:b/>
          <w:i/>
          <w:color w:val="000000"/>
          <w:sz w:val="20"/>
        </w:rPr>
        <w:t>We are a commercial stage biopharmaceutical company with a limited operating history and a single product approved for commercial sale. Although we have generated revenue from the launch of XDEMVY</w:t>
      </w:r>
      <w:r>
        <w:rPr>
          <w:rFonts w:ascii="null;sans-serif" w:hAnsi="null;sans-serif"/>
          <w:b/>
          <w:i/>
          <w:color w:val="000000"/>
          <w:sz w:val="20"/>
        </w:rPr>
        <w:t xml:space="preserve">® </w:t>
      </w:r>
      <w:r>
        <w:rPr>
          <w:rFonts w:ascii="Times New Roman;serif" w:hAnsi="Times New Roman;serif"/>
          <w:b/>
          <w:i/>
          <w:color w:val="000000"/>
          <w:sz w:val="20"/>
        </w:rPr>
        <w:t>(lotilaner ophthalmic solution) 0.25% and have recently generated positive cash flows from operations, we have continued to incur losses and historically generated negative cash flows from operations since our inception. We anticipate that we could continue to incur significant expenses and potential losses in future periods.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We have one product, XDEMVY®,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under our 2023 ATM Prospectus and the PIPE Transaction, as well as proceeds from product sales, net, our China Out-License and draws from our Credit Facilities. For the three months ended September 30, 2026 and 2025 our net losses were $668.3 million and $12.6 million, respectively, and for the nine months ended September 30, 2026 and 2025 our net losses were $693.9 million and $58.0 million, respectively. As of September 30, 2026 and December 31, 2025, we had accumulated deficits of $1,120.5 million and $426.6 million, respectively. Additionally, the net losses we incur may fluctuate significantly from quarter to quarter such that a period-to-period comparison of our results of operations may not be a good indicator of our future performance. The size of potential future net losses will depend, in part, on the rate of future growth of our expenses and our ability to generate revenue. We initiated sales and marketing activities to commercialize XDEMVY in August 2023. We could potentially incur operating losses in the future until our revenue from product sales from XDEMVY and any other approved products exceeds expenses. We may never achieve profitability and, even if we do, we may not be able to sustain or increase our profitability. Our prior losses, combined with potential future losses, have had and could continue to have an adverse effect on our accumulated deficit and working capital.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continue incurring significant expenses and potential operating losses in the future. We expect that our expenses will increase substantially as we: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and acquire additional product candidates and technologies,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continue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including those arising from the use or misuse of AI or automated technologies,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The increasing use of AI technologies, including by us and by third-party vendors, may further increase cybersecurity and data protection risks, including through the processing of sensitive or confidential information in ways that may be difficult to monitor, control, or fully secure. Our inability to use or access our information systems at critical points in time could adversely affect the timely and efficient operation of our business. As another example, any data integrity failure could impact our ability to disclose legally required information such, as for example, payments made under the federal Physician Payments Sunshine Act (or similar state or foreign law equivalents),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which could subject us to liability.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 However, such coverage may not be adequate to cover any liabilities that we incur.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including tariffs, could adversely affect our business, financial condition or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 government has made statements and taken certain actions including the imposition of tariffs, that have led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or whether the imposition of tariffs will be upheld by courts or other governmental bodies. For example, on February 20, 2026, the U.S. Supreme Court struck down the international tariffs imposed by President Trump in 2025. In response to the U.S. Supreme Court ruling, President Trump implemented a 150-day “global tariff” of 10% effective February 24, 2026, using presidential powers under the Trade Act of 1974, and upon expiration of such tariffs on July 24, 2026, President Trump announced new tariffs of 10% and 12.5% on goods from 60 trade partners of the U.S. under Section 301 of the Trade Act of 1974. Additionally, on April 2, 2026, President Trump issued a proclamation under Section 232 of the Trade Expansion Act (the “2026 Proclamation”) imposing additional tariffs of up to 100% ad valorem on imports of certain patented pharmaceuticals and associated pharmaceutical ingredients and, in some cases, royalty payments for in-licensed technology, with rates and effective dates varying by company status, country of origin, and onshoring or MFN pricing commitments. Based on our manufacturing practices we may be subject to these tariffs, in particular the tariffs administered by the Department of Commerce under the 2026 Proclamation. While we have entered into an agreement with the U.S. Department of Commerce that has lowered the maximum ad valorem section 232 tariff applicable to our products from 100% to 20%, if we materially breach the agreement, including by making insufficient onshoring progress, the U.S. Department of Commerce may terminate the agreement and the ad valorem section 232 tariff applicable to our products would be restored to 100%. We are closely monitoring changes and developments in international trade policy and assessing the potential impact of these and other trade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policy changes on our business operations and financial performance and these or other trade policy changes could significantly increase our cost of goods, disrupt supply chains, or adversely affect our gross margins.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capital controls or tariffs, or any countermeasures imposed in response thereto, may negatively affect the demand and competitive position of our product or future products to the extent any of our product candidates are approved for commercial sale, negatively affect our costs, or negatively impact our supply chain, among other potential negative impacts. If any tariffs are reinstated,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 materially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difficulties recruiting or retaining patients for our planned clinical trials if patients are affected by the disease outbreak or are fearful of visiting or traveling to clinical trial sites because of the outbreak;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epidemic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Professionals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continue to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lineRule="auto" w:line="288" w:before="240" w:after="283"/>
        <w:ind w:left="0" w:right="0" w:firstLine="979"/>
        <w:jc w:val="left"/>
      </w:pPr>
      <w:r>
        <w:rPr>
          <w:rFonts w:ascii="Times New Roman;serif" w:hAnsi="Times New Roman;serif"/>
          <w:b w:val="false"/>
          <w:color w:val="000000"/>
          <w:sz w:val="20"/>
        </w:rPr>
        <w:t>If we are unsuccessful in accomplishing our objectives, or if our commercialization efforts do not continue to develop as planned, we may not be able to continue to successfully commercialize XDEMVY or any future approved products, we may require significant additional capital and financial resources, we may not become or remain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continued successful commercialization of XDEMVY and the successful development, regulatory approvals, and commercialization of our current and future product candidates.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continue to generate revenue and potentially achieve profitability or remain profitable depends significantly on our ability, or any future collaborator’s ability, to achieve a number of challenging objectives,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direct-to-consumer (“DTC”) television advertising campaign;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obtaining an IND prior to commencing clinical trials in the U.S. for a drug for a particular indication;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identifying, assessing and developing new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protecting our rights in our intellectual property portfolio;</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defending against third-party opposition, re-examination, interference or infringement claims, if any;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ultimately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treatments included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ultimately be successful.</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have been able to successfully commercialize XDEMVY up to this point, ECPs and potential patients may not ultimately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some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completely develop this new market for XDEMVY. We may still not achieve success in promotional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pPr>
      <w:r>
        <w:rPr>
          <w:rFonts w:ascii="Times New Roman;serif" w:hAnsi="Times New Roman;serif"/>
          <w:b w:val="false"/>
          <w:color w:val="000000"/>
          <w:sz w:val="20"/>
        </w:rPr>
        <w:t xml:space="preserve">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clinical indications for which the product is approved;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requirements and potential additional restrictions by the FDA or other regulatory authorities on direct-to-consumer advertising;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continue to successfully commercialize XDEMVY or successfully commercialize any future approved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August 2023. The success of our continued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substantially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negatively affect the success of our commercialization efforts and business. For example, the commercialization of XDEMVY may not continue to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or continue to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successfully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For example, we are aware that Glaukos Corp. and Aperta Biosciences have initiated Phase 2 trials and Atticus Medical is also performing a clinical trial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continue to successfully commercialize XDEMVY or successfully commercialize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product may become less competitive;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regulations were invalidated by a court, but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Inflation Reduction Act (“IRA”) established a Medicare Part D inflation rebate scheme, with the first rebate period taking place in the fourth quarter of 2022 through the third quarter of 2023, and a drug price negotiation program, under which the prices for Medicare units of certain high Medicare spend drugs and biologics without generic or biosimilar competition will be capped by reference to, among other things, a specified Non-FAMP, with the first negotiated prices taking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must prioritize our research programs and will need to focus our product candidates on the potential treatment of certain indications. Our resource allocation decisions may cause us to fail to capitalize on the most viable commercial products or profitable market opportunities. Our spending on current and future research and development programs for our product candidates may not yield any commercially viable products. If we do not accurately evaluate the commercial potential or target market for our product, indications, and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and/or third party media vendors further restrict, or no longer allow pharmaceutical DTC campaigns, including but not limited to television, social media, and/or other media platforms.</w:t>
      </w:r>
    </w:p>
    <w:p>
      <w:pPr>
        <w:pStyle w:val="TextBody"/>
        <w:bidi w:val="0"/>
        <w:spacing w:lineRule="auto" w:line="288" w:before="240" w:after="283"/>
        <w:jc w:val="left"/>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pPr>
      <w:r/>
    </w:p>
    <w:p>
      <w:pPr>
        <w:pStyle w:val="TextBody"/>
        <w:bidi w:val="0"/>
        <w:spacing w:lineRule="auto" w:line="28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for certain of our product candidates and indications, including TP-04 for the treatment of ocular rosacea and TP-05 for potential Lyme disease prophylaxis and community malaria reduction, among others.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rosacea, we conducted the Phase 1 Galatea trial with TP-04 and initiated the Phase 2a Galatea trial, for the potential treatment of papulopustular rosacea in March 2023. In February 2024 we announced positive topline results, and after review of the Galatea trial data with the FDA and KOLs, we decided to pursue development of TP-04 for the potential treatment for ocular rosacea. In December 2025, we initiated the Kore Phase 2 trial for the potential treatment of ocular rosacea with topline results expected in the first half of 2027. With respect to Lyme disease, in December 2022 we announced positive topline results from the completed Callisto trial and enrollment of the first patient in the Carpo trial. The Carpo trial evaluated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After discussions with the FDA about our Lyme disease program, they agreed to our proposed approach for a Phase 2 clinical trial of TP-05 which would include several hundred subjects. In March 2026, we initiated and have since completed enrollment in a Phase 2 clinical trial (the “Calliope trial”) of TP-05, a novel investigational lotilaner-based oral prophylactic tablet designed to kill ticks before potential disease transmission. Enrollment was completed in June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and topline results are expected in the first half of 2027, which we believe could support a Phase 3-ready package by the end of 2027. Additionally, the FDA confirmed that a Phase 3 clinical trial would require a disease prevention field study that would likely require the enrollment of thousands of patients.</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design of the trial;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failure to demonstrate efficacy of the product;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pPr>
      <w:r>
        <w:rPr>
          <w:rFonts w:ascii="Times New Roman;serif" w:hAnsi="Times New Roman;serif"/>
          <w:b w:val="false"/>
          <w:color w:val="000000"/>
          <w:sz w:val="20"/>
        </w:rPr>
        <w:t xml:space="preserve">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accompanying Condensed Consolidated Statement of Operations and Comprehensive Loss for the nine months ended September 30, 2026. As of the date of this filing, it is uncertain if and when we will receive any additional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further example of comprehensive and evolving regulatory requirements is data privacy regulations surrounding personal data and protected health information including the EU’s General Data Protection Regulation (“ GDPR”), which imposes strict requirements on controllers and processors of personal data, including special protections for “special category data,” which includes health, biometric and genetic information of data subjects located in the European Economic Area (“EEA”) and the United Kingdom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Furthermore, there are evolving European privacy laws on electronic marketing and cookies.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Moreover, policies such as, for example, MFN pricing policies being considered in the U.S. to set pharmaceutical product prices equal to or lower than those paid in other developed nations, could impact whether or not we will continue to pursue development and commercialization of our products and product candidates outside the U.S., potentially adversely affecting the global market potential of our products or product candidates.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foreign exchange rate fluctuations;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entered into in-license agreements including: (i) a license agreement with Elanco Tiergesundheit AG (“Elanco”) for exclusive worldwide rights to certain intellectual property for the development and commercialization of lotilaner in the treatment or cure of any eye or skin disease or condition in humans, as amended in June 2022 and May 2025 (the “Eye and Derm Elanco Agreement”),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(iii) a license agreement entered into in October 2024 with a third party for the exclusive worldwide rights to develop, manufacture, and commercialize a compound for all ophthalmic uses, and (iv) two license agreements entered into in February 2026 with a third party for the exclusive worldwide rights to develop, manufacture, and commercialize several compounds for all diagnostic, prophylactic, and therapeutic uses, except for a specific field carve-out for a small minority of the compounds to be retained by the licensor. We also entered into the China Out-License as discussed elsewhere herein. We have also entered into and assumed and may in the future enter into or assume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longer-term planning for commercialization efforts of XDEMVY and our other potential product candidates, and commercializing XDEMVY.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and, convertible promissory notes, the sale of our common stock in our IPO and the Follow-On Public Offerings, the 2023 ATM Prospectus and the PIPE Transaction, as well as proceeds from net product sales, our China Out-License, and draws on our Credit Facilities. We expect our expenses to continue to increase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or acquiring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believe that our remaining cash, cash equivalents and marketable securities will be sufficient to fund our current and planned operations for at least the next twelve months following the filing date of this Quarterly Report on Form 10-Q. Our cash runway estimate is predicated on current assumptions regarding future revenue, operating expenses, and the availability of debt and equity financing,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capital to complete the development and commercialization of XDEMVY and our other product candidates through one or more of: equity or debt financings,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the complexities of our transition to a commercial 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August 2023, we will need to continue to sustain our existing capital resources to fund our future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finance our cash needs through existing capital balances, revenue from our net product sales, possible combinations of equity and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In addition, in August 2026, we completed a private placement of an aggregate of 2,098,519 shares of our common stock (the “PIPE Shares”) and, in lieu of common stock to a certain investor, pre-funded warrants to purchase 133,625 shares of our common stock (the “PIPE Pre-Funded Warrants”), which resulted in net proceeds of approximately $120.1 million, after deducting placement agent fees and other offering expenses. Debt financing, if available, may involve agreements that include covenants limiting or restricting our ability to take specific actions. For example, the 2024 Credit Facility with Pharmakon, which provided, among other things, a $75.0 million initial term loan which was drawn in April 2024,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(“SVBB”)which First Citizens Bank then assumed.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cash held on deposit at financial institutions in the U.S. These deposits are insured by the FDIC in an amount up to $250,000 for any depositor. To the extent we hold cash deposits in amounts that exceed the FDIC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financial institutions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April 2024 we entered into the 2024 Credit Facility with Pharmakon. The 2024 Credit Facility provided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were met. We did not draw on any of the three additional tranches of $25.0 million, $50.0 million, and $50.0 million, respectively, each of which expired on December 31, 2024, June 30, 2025, and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recently completed the Alkeus Acquisition and the iRenix Acquisition, and these and any future acquisitions or strategic partnerships could disrupt our business, cause dilution to our stockholders, reduce our financial resources, cause us to incur debt or assume liabilities, including substantial contingent milestone and royalty payment obligations, and subject us to other risks, and we may not successfully integrate acquired businesses or realize their anticipated benefits.</w:t>
      </w:r>
    </w:p>
    <w:p>
      <w:pPr>
        <w:pStyle w:val="TextBody"/>
        <w:bidi w:val="0"/>
        <w:spacing w:before="0" w:after="0"/>
        <w:ind w:left="0" w:right="0" w:firstLine="979"/>
        <w:jc w:val="left"/>
      </w:p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may in the future enter into, transactions to acquire other businesses, product candidates, products or technologies or enter into strategic partnerships, including licensing. For example, on July 6, 2026 and September 4, 2026, respectively, we completed the acquisitions of iRenix and Alkeus. While we believe these acquisitions will help us to establish an important foundation and expand our presence in retina, IRX-101 and ALK-001 are still in the clinical stages of development, so any anticipated benefits of the acquisitions may not be realized fully, or at all, or may take longer to realize than expected. Also, any challenges with our ability to integrate iRenix and Alkeus, and our ability to hire and retain adequate personnel to operate these and our other existing programs could adversely affect the timing and execution of current and future clinical trials, among other things. Further, if we identify other suitable acquisition or partnership candidates in the future, we may not be able to make such acquisitions or partnerships on favorable terms, or at all. Any acquisitions or partnerships we make may not strengthen our competitive position, and these transactions may be viewed negatively by customers or investors.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decide to incur debt in connection with an acquisition or issue our common stock or other equity securities to the stockholders of the acquired company, which would reduce the percentage ownership of our existing stockholders. For example, we issued 607,093 shares of our common stock as a portion of the consideration paid in the iRenix Acquisition and issued an aggregate of 2,908,692 shares of common stock as a portion of the consideration paid in the Alkeus Acquisition. We may also, at our option, pay all or a portion of the potential $250.0 million Alkeus regulatory milestone payment in shares of our common stock, to the extent the applicable milestone is achieved.</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In addition, we have incurred, and may in the future incur, substantial contingent payment obligations in connection with acquisitions. In connection with the iRenix Acquisition and the Alkeus Acquisition, we agreed to make significant milestone payments upon the achievement of specified regulatory and commercial milestones, as well as tiered royalties on net sales of the acquired product candidates, as further described in </w:t>
      </w:r>
      <w:r>
        <w:rPr>
          <w:rFonts w:ascii="Times New Roman;serif" w:hAnsi="Times New Roman;serif"/>
          <w:b w:val="false"/>
          <w:i/>
          <w:color w:val="000000"/>
          <w:sz w:val="20"/>
        </w:rPr>
        <w:t>Note 8</w:t>
      </w:r>
      <w:r>
        <w:rPr>
          <w:color w:val="000000"/>
        </w:rPr>
        <w:t xml:space="preserve"> </w:t>
      </w:r>
      <w:r>
        <w:rPr>
          <w:rFonts w:ascii="Times New Roman;serif" w:hAnsi="Times New Roman;serif"/>
          <w:b w:val="false"/>
          <w:color w:val="000000"/>
          <w:sz w:val="20"/>
        </w:rPr>
        <w:t>to our accompanying Condensed Consolidated Financial Statements. If these milestones are achieved, the related payments would require substantial cash, which would reduce our financial resources and could require us to raise additional capital or incur debt.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or any representations and warranties insurance coverage. In addition, we may not be able to successfully integrate the personnel, technologies and operations of iRenix and Alkeus, or of any business we acquire in the future, into our existing business in an effective, timely and non-disruptive manner. Acquisitions or partnerships may also divert management’s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stock and, prior to our IPO,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the use of Federal NOLs generated after the enactment of the Tax Cuts and Jobs Act of 2017 is subject to limitations based on taxable income.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enacted in July 2025, features several tax reforms, including permitting taxpayers to permanently deduct domestic research and development expenses for amounts paid or incurred in tax years beginning after December 31, 2024. The primary impact of the OBBB Act on our U.S. Federal tax provision is the accelerated expensing of domestic R&amp;D activities which reduces our deferred tax assets and valuation allowance. At the state level, domestic R&amp;D expenditure continues to be capitalized and amortized in jurisdictions that do not conform to the federal provisions of the OBBB Act, which results in an increase in our state tax provision.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TP-05, IRX-101 and ALK-001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While we have made efforts to start working with other suppliers, this process involves obtaining certain regulatory approvals of any new suppliers, which can take time, and there can be no assurances when or if we will be able to secure and obtain regulatory approval of any additional suppliers of materials for our product and product candidates on terms satisfactory to us, or at all.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continue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 XDEMVY for the treatment of Demodex blepharitis, or certain of our product candidates, including TP-04 for the potential treatment of ocular rosacea and TP-05 for potential Lyme disease prophylaxis and community malaria reduction, are dependent on intellectual property we in-license from Elanco. The development and potential commercialization of our other product candidates, including IRX-101 for the potential use as an ocular antiseptic, and ALK-001 for the potential treatment of Stargardt disease are also dependent upon intellectual property we license from third parties. If we breach our agreements with Elanco or other third parties or the agreements are terminated, we could lose license rights that are important to our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have licensed certain intellectual property rights for the development and potential commercialization of our other product candidates, including IRX-101 and ALK-001, from other third parties. If we materially breach or fail to perform any provision under these license agreements, including failure to make payments to a licensor when due for royalties or milestones and/or fail to use commercially reasonable efforts to develop and commercialize the licensed product candidates, such licensors may have the right to terminate our license agreement. If, for any reason, one or more of our agreements with such third parties is terminated or we otherwise loses those rights, it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accompanying Condensed Consolidated Statement of Operations and Comprehensive Loss for the nine months ended September 30, 2026. Although we achieved the associated milestone, if the commercialization of TP-03 is unsuccessful in the China Territory this could adversely affect our business.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TP-05, IRX-101, or ALK-001, we may not successfully find patents that our products or product candidates, including XDEMVY, TP-03, TP-04, TP-05, IRX-101, or ALK-001,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For example, one of our European patents relating to TP-03 is currently being challenged by third parties in an opposition proceeding before the European Patent Office, which is expected to be under appeal.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or inadequate payments of fees based on proper entity status,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scope of a patent claim is determined by an interpretation of the law, the written disclosure in a patent and the patent’s prosecution history. Our interpretation of the relevance or the scope of a patent or a pending application may be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 TP-04, and TP-05 product candidates. We currently are, and also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our current license agreements, including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the claims in our pending patent applications directed to our products or product candidates and/or technologies will be considered patentable by the USPTO or by patent offices in foreign countries. One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For example, as noted above one of our European patents relating to TP-03 is currently being challenged by third parties in an ongoing opposition proceeding before the European Patent Office.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or the improper use of artificial intelligences or automated tools) of our trade secrets or proprietary information could enable competitors to duplicate or surpass our technological achievements, thus eroding our competitive position in our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to execute agreements assigning such intellectual property to us, we may be unsuccessful in executing an enforceable agreement with each party who in fact conceives or develops intellectual property that we regard as our own.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increasing use of artificial intelligence (“AI”) technologies, including generative AI tools, by us, our employees, and third-party vendors may create additional risks to our trade secrets and proprietary information. AI tools may involve the processing, storage, or transmission of data in ways that are not fully transparent and, if used improperly or outside of approved controls, could result in the unintended disclosure, loss, or misuse of confidential or proprietary information. In addition, the use of AI by third parties with whom we share data or collaborate may increase the risk that our trade secrets or proprietary know-how are exposed, incorporated into training data, or otherwise used in ways that could impair our ability to protect or enforce our intellectual property rights.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AI technologies continue to evolve and regulatory and legal standards governing their use remain unsettled, our ability to identify, prevent, or remedy AI-related misuse or misappropriation of our proprietary information may be limited, which could harm our business, financial condition, and competitive position.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 xml:space="preserve">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9"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also pursuing policies intended to, among other things, lower prescription drug prices and enhance drug price transparency. These actions, such as those directed by executive orders, may propose policy changes that create additional uncertainty for our business. For example, on April 15, 2025, the presidential administration released an executive order entitled, “Lower Drug Prices by Once Again Putting Americans First,” which among other things, included multiple directives to various agencies aimed at lowering prescription drug prices. Additionally, on September 30, 2025, the presidential administration announced the first agreement with a major pharmaceutical company that requires the drug manufacturer to offer, through a direct-to-consumer platform, U.S. patients and Medicaid programs prescription drug MFN pricing equal to or lower than those paid in other developed nations, with additional mandates for direct-to-patient discounts and repatriation of foreign revenues. Other recent actions and proposals include, for example, (1) rescinding a Biden administration executive order tasking the Center for Medicare and Medicaid Innovation to consider new payment and healthcare models to limit drug spending and eliminating the Biden administration’s executive order that directed the Department of Health and Human Services (“HHS”) to establishing an AI task force and developing a strategic plan; (2) directing HHS and other agencies to lower prescription drug costs for Medicare through a variety of initiatives, including by improving upon the Medicare Drug Price Negotiation Program and establishing MFN pricing for pharmaceutical products; and (3) directing certain federal agencies to enforce existing law regarding hospital and price plan price transparency and by standardizing prices across hospitals and health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110"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direct-to-consumer marketing and telehealth pilot program may be subject to increased regulatory scrutiny.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September 2025, following the issuance of a presidential memorandum, the FDA issued a large wave of untitled letters to numerous pharmaceutical companies across a wide range of products. These letters warned of increased scrutiny of benefit/risk presentations and claims to promote compliance with “fair balance” guidelines in promotional materials, including DTC campaigns, and stated that the FDA intends to take aggressive action to ensure conformity with the law going forward. In addition, the FDA also issued a number of “cease-and-desist” letters to various companies, alleging false or misleading presentations and misbranding, and requiring rapid remedial action. While we have not received such a “cease-and-desist” letter, the increase in enforcement efforts by the FDA could lead us to modify, pause, or withdraw ads, and could delay campaigns, increase compliance costs, or adversely affect demand for our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FDA has also specifically targeted DTC television advertisements. Recent enforcement actions against TV ads have cited misleading efficacy claims and presentations that fail to convey a truthful, non-misleading net impression, even where risk information is present. While we believe that our ads are compliant with the FDA’s requirements, if the FDA were to determine that any of our ads are misleading or unbalanced, we could receive untitled or warning letters and be required to cease dissemination of such ads, undertake corrective advertising, or face other penalties, any of which could harm our reputation and commercial performance.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TV ads must comply with the FDA’s “clear, conspicuous, and neutral” (“CCN”) standards. The final rule was issued on November 21, 2023 and became effective on May 20, 2024, with compliance required as of November 20, 2024. The FDA’s Office of Prescription Drug Promotion (“OPDP”) reviews draft DTC TV ads for CCN compliance, and the agency has emphasized the industry’s obligation to bring ads into compliance. Failure to meet these standards, for example, by using distracting visuals and audio, overly technical wording, or insufficient prominence, could result in enforcement by the FDA, required changes to our ads, or campaign delays.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we have recently entered into an agreement with a third party telemedicine platform vendor, pursuant to which the vendor’s own telemedicine healthcare providers may prescribe our product or other products in their medical discretion to potential customers via telehealth. Telemedicine faces particularly intense scrutiny from regulators due to numerous cases of companies failing to operate in this space with a properly functioning regulatory and compliance infrastructure and we cannot guarantee that we will be able to establish or maintain relationships with telemedicine platform vendors now or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Regulatory expectations and enforcement priorities are evolving and may continue to evolve in the future. If our interpretation of applicable requirements differs from the FDA’s, or if guidance changes, we may incur additional review cycles, production costs, and operational burden (e.g., corrective messaging), and our commercialization plans and revenues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11"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112"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p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Although a recent government shutdown occurred from October 1, 2025 through November 12, 2025, it is always uncertain how long any such government shutdown will last or whether another shutdown will occur.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73685"/>
                <wp:effectExtent l="0" t="0" r="0" b="0"/>
                <wp:wrapNone/>
                <wp:docPr id="113" name="Frame1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14"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73685"/>
                <wp:effectExtent l="0" t="0" r="0" b="0"/>
                <wp:wrapNone/>
                <wp:docPr id="115" name="Frame1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UK, as well as other jurisdictions where we may in the future operate, have adopted data protection laws and regulations, which impose significant compliance obligations. For example, the EU General Data Protection Regulation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685"/>
                <wp:effectExtent l="0" t="0" r="0" b="0"/>
                <wp:wrapNone/>
                <wp:docPr id="116" name="Frame1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pPr>
      <w:r>
        <w:rPr>
          <w:rFonts w:ascii="Times New Roman;serif" w:hAnsi="Times New Roman;serif"/>
          <w:b w:val="false"/>
          <w:color w:val="000000"/>
          <w:sz w:val="20"/>
        </w:rPr>
        <w:t>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3685"/>
                <wp:effectExtent l="0" t="0" r="0" b="0"/>
                <wp:wrapNone/>
                <wp:docPr id="117" name="Frame1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2026, we had 49,303,413 shares of common stock outstanding. Shares held by directors, executive officers and other affiliates will be subject to volume limitations under Rule 144 under the Securities Act of 1933, as amended, (the “Securities Act”) and various vesting agreements.</w:t>
      </w:r>
    </w:p>
    <w:p>
      <w:pPr>
        <w:pStyle w:val="TextBody"/>
        <w:bidi w:val="0"/>
        <w:spacing w:before="0" w:after="0"/>
        <w:ind w:left="0" w:right="0" w:firstLine="979"/>
        <w:jc w:val="left"/>
      </w:p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we filed a shelf registration statement covering the resale by the former Alkeus equityholders of 2,908,692 shares of common stock that we issued as a portion of the consideration for the Alkeus Acquisition and have agreed to file a shelf registration statement, or post-effective amendment to a shelf registration statement, any shares of our common stock that we may elect to issue to the former Alkeus equityholders as all or a portion of a potential $250.0 million milestone payment to the extent the applicable milestone is achieved. We cannot predict what effect, if any, sales of our shares in the public market or the availability of shares for sale will have on the market price of our common stock.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3685"/>
                <wp:effectExtent l="0" t="0" r="0" b="0"/>
                <wp:wrapNone/>
                <wp:docPr id="118" name="Frame1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However, future sales of substantial amounts of our common stock in the public market, including shares issued upon exercise of our outstanding warrants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2025, we completed a follow-on public offering of approximately 3.2 million shares of our common stock at a public offering price of $44.50 per share, for aggregate net proceeds of approximately $134.8 million (after deducting underwriting discounts, commissions and other estimated offering-related expenses). In 2023 we raised approximately $19.2 million, after deducting broker commissions and fees, through sales under our 2023 ATM Prospectus. In August 2026, we raised approximately $120.1 million, after deducting placement agent fees and other offering expenses, through the PIPE Transaction and, in October 2026, we filed a shelf registration statement to cover the resale by the investors in the PIPE Transaction of the PIPE Shares and the shares issuable upon exercise of the PIPE Pre-Funded Warrants.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increase our costs significantly and divert significant company resources and management attention.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73685"/>
                <wp:effectExtent l="0" t="0" r="0" b="0"/>
                <wp:wrapNone/>
                <wp:docPr id="119" name="Frame1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979"/>
        <w:jc w:val="left"/>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73685"/>
                <wp:effectExtent l="0" t="0" r="0" b="0"/>
                <wp:wrapNone/>
                <wp:docPr id="120" name="Frame1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685"/>
                <wp:effectExtent l="0" t="0" r="0" b="0"/>
                <wp:wrapNone/>
                <wp:docPr id="121" name="Frame1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offer or proxy contest involving our company. The existence of these provisions could negatively affect the price of our common stock and limit opportunities for you to realize value in a corporate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September 11, 2026, Andrew Goldberg, a member of our Board of Directors, adopted a Rule 10b5-1 trading arrangement (the “Goldberg Plan”) intended to satisfy the affirmative defense conditions of Rule 10b5-1(c) under the Exchange Act. The Goldberg Plan provides for the potential sale of up to 13,700 shares of common stock held by Mr. Goldberg between December 11, 2026 and January 4, 2027. The Goldberg Plan also provides for the sale of up to 20,000 shares of common stock that will be acquired through the cashless exercise of non-qualified stock options, between December 11, 2026 and September 10,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none of our other officers or directors, as defined in Rule 16a-1(f), informed us of an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73685"/>
                <wp:effectExtent l="0" t="0" r="0" b="0"/>
                <wp:wrapNone/>
                <wp:docPr id="122" name="Frame1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240" w:after="283"/>
        <w:ind w:left="0" w:right="0" w:firstLine="990"/>
        <w:jc w:val="left"/>
      </w:pPr>
      <w:r/>
    </w:p>
    <w:tbl>
      <w:tblPr>
        <w:tblW w:w="10205" w:type="dxa"/>
        <w:jc w:val="center"/>
        <w:tblInd w:w="0" w:type="dxa"/>
        <w:tblLayout w:type="fixed"/>
        <w:tblCellMar>
          <w:top w:w="28" w:type="dxa"/>
          <w:left w:w="28" w:type="dxa"/>
          <w:bottom w:w="28" w:type="dxa"/>
          <w:right w:w="28" w:type="dxa"/>
        </w:tblCellMar>
      </w:tblPr>
      <w:tblGrid>
        <w:gridCol w:w="249"/>
        <w:gridCol w:w="218"/>
        <w:gridCol w:w="220"/>
        <w:gridCol w:w="109"/>
        <w:gridCol w:w="109"/>
        <w:gridCol w:w="109"/>
        <w:gridCol w:w="1725"/>
        <w:gridCol w:w="1725"/>
        <w:gridCol w:w="1741"/>
        <w:gridCol w:w="150"/>
        <w:gridCol w:w="150"/>
        <w:gridCol w:w="151"/>
        <w:gridCol w:w="254"/>
        <w:gridCol w:w="243"/>
        <w:gridCol w:w="244"/>
        <w:gridCol w:w="451"/>
        <w:gridCol w:w="451"/>
        <w:gridCol w:w="453"/>
        <w:gridCol w:w="197"/>
        <w:gridCol w:w="197"/>
        <w:gridCol w:w="203"/>
        <w:gridCol w:w="247"/>
        <w:gridCol w:w="247"/>
        <w:gridCol w:w="362"/>
      </w:tblGrid>
      <w:t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Description</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Form</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File Number</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Incorporated by Reference Exhibit</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Date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Filed Herewith</w:t>
            </w:r>
          </w:p>
        </w:tc>
      </w:tr>
      <w:tr>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Agreement and Plan of Merger, dated as of July 31, 2026, by and among the Company, Alkeus Pharmaceuticals, Inc., Apex 2026 Merger Sub, Inc. and Shareholder Representative Services LLC.</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Agreement and Plan of Merger, dated as of July 6, 2026, by and among the Company, iRenix Medical, Inc., Dolores Merger Sub, Inc. and Fortis Advisors LLC.</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S-3</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333-299429</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Pre-Funded Warrant.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Joinder and Lock-Up Agreement (included as Exhibit G to Exhibit 2.1)</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Registration Rights Agreement (included as Exhibit I to Exhibit 2.1).</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Securities Purchase Agreement.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Registration Rights Agreement.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001-39614</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8/6/2026</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1-093026.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2-093026.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1-093026.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2-093026.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With Embedded Linkbase Documents.</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57"/>
        <w:gridCol w:w="2818"/>
        <w:gridCol w:w="398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Pursuant to Item 601(a)(5) of Regulation S-K, certain exhibits and schedules have been omitted. The Company hereby undertakes to furnish supplementally a copy of any omitted exhibit or schedule upon request by the SEC.</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Pursuant to Item 601(b)(10) of Regulation S-K, certain confidential portions of this exhibit have been omitted by means of marking such portions with asterisks as the identified confidential portions (i) are not material and (ii) is information of the type that the Company treats as private or confidential.</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pPr>
      <w:hyperlink w:anchor="i417bd27758a048f4a4f8ec017ed23b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pPr>
      <w:r/>
    </w:p>
    <w:tbl>
      <w:tblPr>
        <w:tblW w:w="795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534"/>
        <w:gridCol w:w="534"/>
        <w:gridCol w:w="536"/>
        <w:gridCol w:w="109"/>
        <w:gridCol w:w="109"/>
        <w:gridCol w:w="109"/>
        <w:gridCol w:w="546"/>
        <w:gridCol w:w="546"/>
        <w:gridCol w:w="546"/>
        <w:gridCol w:w="546"/>
        <w:gridCol w:w="546"/>
        <w:gridCol w:w="546"/>
        <w:gridCol w:w="546"/>
        <w:gridCol w:w="546"/>
        <w:gridCol w:w="777"/>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pPr>
      <w:r/>
    </w:p>
    <w:p>
      <w:pPr>
        <w:pStyle w:val="TextBody"/>
        <w:bidi w:val="0"/>
        <w:spacing w:before="240" w:after="283"/>
        <w:ind w:left="0" w:right="0" w:firstLine="990"/>
        <w:jc w:val="right"/>
      </w:pPr>
      <w:r/>
    </w:p>
    <w:p>
      <w:pPr>
        <w:pStyle w:val="TextBody"/>
        <w:bidi w:val="0"/>
        <w:spacing w:before="24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3685"/>
                <wp:effectExtent l="0" t="0" r="0" b="0"/>
                <wp:wrapNone/>
                <wp:docPr id="124" name="Frame1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pPr>
      <w:r/>
    </w:p>
    <w:tbl>
      <w:tblPr>
        <w:tblW w:w="7742" w:type="dxa"/>
        <w:jc w:val="lef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09"/>
        <w:gridCol w:w="109"/>
        <w:gridCol w:w="109"/>
        <w:gridCol w:w="109"/>
        <w:gridCol w:w="109"/>
        <w:gridCol w:w="109"/>
        <w:gridCol w:w="109"/>
        <w:gridCol w:w="109"/>
        <w:gridCol w:w="109"/>
        <w:gridCol w:w="494"/>
        <w:gridCol w:w="494"/>
        <w:gridCol w:w="494"/>
        <w:gridCol w:w="494"/>
        <w:gridCol w:w="494"/>
        <w:gridCol w:w="494"/>
        <w:gridCol w:w="494"/>
        <w:gridCol w:w="494"/>
        <w:gridCol w:w="698"/>
      </w:tblGrid>
      <w:t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ind w:left="0" w:right="0" w:firstLine="18"/>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Farrow, certify that:</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pPr>
      <w:r/>
    </w:p>
    <w:tbl>
      <w:tblPr>
        <w:tblW w:w="8420" w:type="dxa"/>
        <w:jc w:val="lef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r>
      <w:t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Jeffrey Farrow</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cente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p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September 30, 2026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pPr>
      <w:r/>
    </w:p>
    <w:tbl>
      <w:tblPr>
        <w:tblW w:w="7732" w:type="dxa"/>
        <w:jc w:val="left"/>
        <w:tblInd w:w="0" w:type="dxa"/>
        <w:tblLayout w:type="fixed"/>
        <w:tblCellMar>
          <w:top w:w="28" w:type="dxa"/>
          <w:left w:w="28" w:type="dxa"/>
          <w:bottom w:w="28" w:type="dxa"/>
          <w:right w:w="28" w:type="dxa"/>
        </w:tblCellMar>
      </w:tblPr>
      <w:tblGrid>
        <w:gridCol w:w="264"/>
        <w:gridCol w:w="232"/>
        <w:gridCol w:w="232"/>
        <w:gridCol w:w="232"/>
        <w:gridCol w:w="232"/>
        <w:gridCol w:w="232"/>
        <w:gridCol w:w="232"/>
        <w:gridCol w:w="232"/>
        <w:gridCol w:w="232"/>
        <w:gridCol w:w="109"/>
        <w:gridCol w:w="109"/>
        <w:gridCol w:w="109"/>
        <w:gridCol w:w="109"/>
        <w:gridCol w:w="109"/>
        <w:gridCol w:w="109"/>
        <w:gridCol w:w="109"/>
        <w:gridCol w:w="109"/>
        <w:gridCol w:w="109"/>
        <w:gridCol w:w="718"/>
        <w:gridCol w:w="718"/>
        <w:gridCol w:w="718"/>
        <w:gridCol w:w="718"/>
        <w:gridCol w:w="718"/>
        <w:gridCol w:w="1041"/>
      </w:tblGrid>
      <w:t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p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September 30, 2026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p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pPr>
      <w:r/>
    </w:p>
    <w:tbl>
      <w:tblPr>
        <w:tblW w:w="8411" w:type="dxa"/>
        <w:jc w:val="left"/>
        <w:tblInd w:w="0" w:type="dxa"/>
        <w:tblLayout w:type="fixed"/>
        <w:tblCellMar>
          <w:top w:w="28" w:type="dxa"/>
          <w:left w:w="28" w:type="dxa"/>
          <w:bottom w:w="28" w:type="dxa"/>
          <w:right w:w="28" w:type="dxa"/>
        </w:tblCellMar>
      </w:tblPr>
      <w:tblGrid>
        <w:gridCol w:w="264"/>
        <w:gridCol w:w="232"/>
        <w:gridCol w:w="232"/>
        <w:gridCol w:w="232"/>
        <w:gridCol w:w="232"/>
        <w:gridCol w:w="232"/>
        <w:gridCol w:w="232"/>
        <w:gridCol w:w="232"/>
        <w:gridCol w:w="232"/>
        <w:gridCol w:w="109"/>
        <w:gridCol w:w="109"/>
        <w:gridCol w:w="109"/>
        <w:gridCol w:w="109"/>
        <w:gridCol w:w="109"/>
        <w:gridCol w:w="109"/>
        <w:gridCol w:w="109"/>
        <w:gridCol w:w="109"/>
        <w:gridCol w:w="109"/>
        <w:gridCol w:w="827"/>
        <w:gridCol w:w="827"/>
        <w:gridCol w:w="827"/>
        <w:gridCol w:w="827"/>
        <w:gridCol w:w="827"/>
        <w:gridCol w:w="1175"/>
      </w:tblGrid>
      <w:t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0"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c>
          <w:tcPr>
            <w:tcW w:w="21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84410</Words>
  <Characters>479463</Characters>
  <CharactersWithSpaces>561411</CharactersWithSpaces>
  <Paragraphs>3790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