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470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47026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Vivo Capital IX,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Tarsus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TARS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04/14/2021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gridSpan w:val="4"/>
          </w:tcPr>
          <w:p>
            <w:pPr>
              <w:ind w:left="80"/>
              <w:spacing w:after="0" w:line="120" w:lineRule="exact"/>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CA</w:t>
            </w:r>
          </w:p>
        </w:tc>
        <w:tc>
          <w:tcPr>
            <w:tcW w:w="1340" w:type="dxa"/>
            <w:vAlign w:val="bottom"/>
          </w:tcPr>
          <w:p>
            <w:pPr>
              <w:ind w:left="14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2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04/14/2021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400</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30.37</w:t>
            </w:r>
            <w:r>
              <w:rPr>
                <w:rFonts w:ascii="Arial" w:cs="Arial" w:eastAsia="Arial" w:hAnsi="Arial"/>
                <w:sz w:val="22"/>
                <w:szCs w:val="22"/>
                <w:color w:val="008000"/>
                <w:w w:val="94"/>
                <w:vertAlign w:val="superscript"/>
              </w:rPr>
              <w:t>(2)</w:t>
            </w:r>
          </w:p>
        </w:tc>
        <w:tc>
          <w:tcPr>
            <w:tcW w:w="60" w:type="dxa"/>
            <w:vAlign w:val="bottom"/>
          </w:tcPr>
          <w:p>
            <w:pPr>
              <w:spacing w:after="0"/>
              <w:rPr>
                <w:sz w:val="22"/>
                <w:szCs w:val="2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3,244,635</w:t>
            </w:r>
          </w:p>
        </w:tc>
        <w:tc>
          <w:tcPr>
            <w:tcW w:w="26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Vivo Capital IX,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EE"/>
            </w:tcBorders>
            <w:gridSpan w:val="5"/>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Vivo Capital Fund IX,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340" w:type="dxa"/>
            <w:vAlign w:val="bottom"/>
          </w:tcPr>
          <w:p>
            <w:pPr>
              <w:ind w:left="500"/>
              <w:spacing w:after="0"/>
              <w:rPr>
                <w:sz w:val="20"/>
                <w:szCs w:val="20"/>
                <w:color w:val="auto"/>
              </w:rPr>
            </w:pPr>
            <w:r>
              <w:rPr>
                <w:rFonts w:ascii="Arial" w:cs="Arial" w:eastAsia="Arial" w:hAnsi="Arial"/>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inadvertently sold 400 shares of Tarsus Pharmaceuticals, Inc.'s common stock reported herein, which was matchable under Section 16(b) of the Securities Exchange Act of 1934 with the reporting person's purchase of 400 shares of Tarsus Pharmaceuticals, Inc.'s common stock at a price of $16 per share in connection with the initial public offering on October 20, 2020. The reporting person has agreed to pay to Tarsus Pharmaceuticals, Inc., upon settlement of the sale, $5,735.93, representing the full amount of the profit realized in connection with the short-swing transaction, less transaction costs.</w:t>
      </w:r>
    </w:p>
    <w:p>
      <w:pPr>
        <w:spacing w:after="0" w:line="29"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herein is a weighted average price. These shares were sold in multiple transactions at prices ranging from $30.25 to $30.50,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(2) to this Form 4.</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directly by Vivo Capital Fund IX, L.P. Vivo Capital IX, LLC is the general partner of Vivo Capital Fund IX, L.P. As the managing members of Vivo Capital IX, LLC, Frank Kung, Edgar Engleman, Shan Fu, Hongbo Lu, Jack Nielsen, Mahendra Shah and Michael Chang share voting and dispositive power over the shares held by Vivo Capital Fund IX, L.P., but each disclaims beneficial ownership of such shares except to the extent of their individual pecuniary interest therein.</w:t>
      </w:r>
    </w:p>
    <w:p>
      <w:pPr>
        <w:sectPr>
          <w:pgSz w:w="11900" w:h="16838" w:orient="portrait"/>
          <w:cols w:equalWidth="0" w:num="1">
            <w:col w:w="10760"/>
          </w:cols>
          <w:pgMar w:left="500" w:top="131" w:right="639" w:bottom="1440" w:gutter="0" w:footer="0" w:header="0"/>
        </w:sectPr>
      </w:pPr>
    </w:p>
    <w:p>
      <w:pPr>
        <w:spacing w:after="0" w:line="5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0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5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2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04/16/2021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04/16/2021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20" w:space="120"/>
            <w:col w:w="2020"/>
          </w:cols>
          <w:pgMar w:left="500" w:top="131" w:right="6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750698" TargetMode="External"/><Relationship Id="rId13" Type="http://schemas.openxmlformats.org/officeDocument/2006/relationships/hyperlink" Target="http://www.sec.gov/cgi-bin/browse-edgar?action=getcompany&amp;CIK=0001819790" TargetMode="External"/><Relationship Id="rId14"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2021-04-16T20:09:27Z</dcterms:created>
  <dcterms:modified xsi:type="dcterms:W3CDTF">2021-04-16T20:09:27Z</dcterms:modified>
</cp:coreProperties>
</file>