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 under the</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333-260665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May 2, 2022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Supplementing the Preliminary Prospectus Supplement dated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2, 2022 (To Prospectus dated November 5, 2021)</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121" w:lineRule="exact"/>
        <w:rPr>
          <w:sz w:val="24"/>
          <w:szCs w:val="24"/>
          <w:color w:val="auto"/>
        </w:rPr>
      </w:pPr>
    </w:p>
    <w:p>
      <w:pPr>
        <w:ind w:right="60"/>
        <w:spacing w:after="0" w:line="293" w:lineRule="auto"/>
        <w:rPr>
          <w:sz w:val="20"/>
          <w:szCs w:val="20"/>
          <w:color w:val="auto"/>
        </w:rPr>
      </w:pPr>
      <w:r>
        <w:rPr>
          <w:rFonts w:ascii="Arial" w:cs="Arial" w:eastAsia="Arial" w:hAnsi="Arial"/>
          <w:sz w:val="16"/>
          <w:szCs w:val="16"/>
          <w:color w:val="auto"/>
        </w:rPr>
        <w:t>Tarsus Pharmaceuticals, Inc. (the “Company”) has updated the risk factor set forth in the Company’s Annual Report on Form 10-K for the year ended December 31, 2021, “</w:t>
      </w:r>
      <w:r>
        <w:rPr>
          <w:rFonts w:ascii="Arial" w:cs="Arial" w:eastAsia="Arial" w:hAnsi="Arial"/>
          <w:sz w:val="16"/>
          <w:szCs w:val="16"/>
          <w:i w:val="1"/>
          <w:iCs w:val="1"/>
          <w:color w:val="auto"/>
        </w:rPr>
        <w:t>Risks Related to Development and Commercialization of Our Product Candidates—Clinical drug development is a lengthy,</w:t>
      </w:r>
      <w:r>
        <w:rPr>
          <w:rFonts w:ascii="Arial" w:cs="Arial" w:eastAsia="Arial" w:hAnsi="Arial"/>
          <w:sz w:val="16"/>
          <w:szCs w:val="16"/>
          <w:color w:val="auto"/>
        </w:rPr>
        <w:t xml:space="preserve"> </w:t>
      </w:r>
      <w:r>
        <w:rPr>
          <w:rFonts w:ascii="Arial" w:cs="Arial" w:eastAsia="Arial" w:hAnsi="Arial"/>
          <w:sz w:val="16"/>
          <w:szCs w:val="16"/>
          <w:i w:val="1"/>
          <w:iCs w:val="1"/>
          <w:color w:val="auto"/>
        </w:rPr>
        <w:t>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r>
        <w:rPr>
          <w:rFonts w:ascii="Arial" w:cs="Arial" w:eastAsia="Arial" w:hAnsi="Arial"/>
          <w:sz w:val="16"/>
          <w:szCs w:val="16"/>
          <w:color w:val="auto"/>
        </w:rPr>
        <w:t>”, as follows in connection with the Company’s contemplated public offering of shares of its common stock.</w:t>
      </w: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21" w:lineRule="exact"/>
        <w:rPr>
          <w:sz w:val="24"/>
          <w:szCs w:val="24"/>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63" w:lineRule="exact"/>
        <w:rPr>
          <w:sz w:val="24"/>
          <w:szCs w:val="24"/>
          <w:color w:val="auto"/>
        </w:rPr>
      </w:pPr>
    </w:p>
    <w:p>
      <w:pPr>
        <w:ind w:right="20" w:firstLine="440"/>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79" w:lineRule="exact"/>
        <w:rPr>
          <w:sz w:val="24"/>
          <w:szCs w:val="24"/>
          <w:color w:val="auto"/>
        </w:rPr>
      </w:pPr>
    </w:p>
    <w:p>
      <w:pPr>
        <w:ind w:right="20" w:firstLine="440"/>
        <w:spacing w:after="0" w:line="285" w:lineRule="auto"/>
        <w:rPr>
          <w:sz w:val="20"/>
          <w:szCs w:val="20"/>
          <w:color w:val="auto"/>
        </w:rPr>
      </w:pPr>
      <w:r>
        <w:rPr>
          <w:rFonts w:ascii="Arial" w:cs="Arial" w:eastAsia="Arial" w:hAnsi="Arial"/>
          <w:sz w:val="16"/>
          <w:szCs w:val="16"/>
          <w:color w:val="auto"/>
        </w:rPr>
        <w:t>We have not yet completed any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ectPr>
          <w:pgSz w:w="11900" w:h="16838" w:orient="portrait"/>
          <w:cols w:equalWidth="0" w:num="1">
            <w:col w:w="11020"/>
          </w:cols>
          <w:pgMar w:left="440" w:top="229" w:right="439" w:bottom="1440" w:gutter="0" w:footer="0" w:header="0"/>
        </w:sectPr>
      </w:pPr>
    </w:p>
    <w:bookmarkStart w:id="1" w:name="page2"/>
    <w:bookmarkEnd w:id="1"/>
    <w:p>
      <w:pPr>
        <w:ind w:left="4" w:right="8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currently have two product candidates in clinical development and their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82"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had initially recommended that for TP-03 we conduct carcinogenicity testing and has subsequently agreed in Type C meeting minutes that we can submit a carcinogenicity waiver, and if not granted, the carcinogenicity testing could be conducted and submitted as a post-marketing requirement. Furthermore, the FDA recommended that we conduct embryofetal development studies in a second species, which have been completed.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73" w:lineRule="exact"/>
        <w:rPr>
          <w:sz w:val="20"/>
          <w:szCs w:val="20"/>
          <w:color w:val="auto"/>
        </w:rPr>
      </w:pPr>
    </w:p>
    <w:p>
      <w:pPr>
        <w:ind w:left="424" w:right="34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75"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89" w:lineRule="exact"/>
        <w:rPr>
          <w:rFonts w:ascii="Arial" w:cs="Arial" w:eastAsia="Arial" w:hAnsi="Arial"/>
          <w:sz w:val="18"/>
          <w:szCs w:val="18"/>
          <w:color w:val="auto"/>
        </w:rPr>
      </w:pPr>
    </w:p>
    <w:p>
      <w:pPr>
        <w:ind w:left="424" w:right="520" w:hanging="424"/>
        <w:spacing w:after="0" w:line="26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3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75"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be delayed;</w:t>
      </w:r>
    </w:p>
    <w:p>
      <w:pPr>
        <w:spacing w:after="0" w:line="75" w:lineRule="exact"/>
        <w:rPr>
          <w:rFonts w:ascii="Arial" w:cs="Arial" w:eastAsia="Arial" w:hAnsi="Arial"/>
          <w:sz w:val="18"/>
          <w:szCs w:val="18"/>
          <w:color w:val="auto"/>
        </w:rPr>
      </w:pPr>
    </w:p>
    <w:p>
      <w:pPr>
        <w:ind w:left="424" w:right="64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authorities may determine that the planned design of our clinical trials is flawed or inadequate;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a product or impose restrictions on its distribution;</w:t>
      </w:r>
    </w:p>
    <w:p>
      <w:pPr>
        <w:sectPr>
          <w:pgSz w:w="11900" w:h="16838" w:orient="portrait"/>
          <w:cols w:equalWidth="0" w:num="1">
            <w:col w:w="11024"/>
          </w:cols>
          <w:pgMar w:left="436" w:top="274" w:right="439" w:bottom="1440" w:gutter="0" w:footer="0" w:header="0"/>
        </w:sectPr>
      </w:pPr>
    </w:p>
    <w:bookmarkStart w:id="2" w:name="page3"/>
    <w:bookmarkEnd w:id="2"/>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not be able to timely or at all obtain INDs for a product candidate;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modify a preclinical study or clinical trial protocol;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third-party contractors may fail to comply with regulatory requirements or meet their contractual obligations to us in a timely manner, or at all;</w:t>
      </w:r>
    </w:p>
    <w:p>
      <w:pPr>
        <w:spacing w:after="0" w:line="153" w:lineRule="exact"/>
        <w:rPr>
          <w:rFonts w:ascii="Arial" w:cs="Arial" w:eastAsia="Arial" w:hAnsi="Arial"/>
          <w:sz w:val="16"/>
          <w:szCs w:val="16"/>
          <w:color w:val="auto"/>
        </w:rPr>
      </w:pPr>
    </w:p>
    <w:p>
      <w:pPr>
        <w:ind w:left="424" w:right="200"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51" w:lineRule="exact"/>
        <w:rPr>
          <w:rFonts w:ascii="Arial" w:cs="Arial" w:eastAsia="Arial" w:hAnsi="Arial"/>
          <w:sz w:val="17"/>
          <w:szCs w:val="17"/>
          <w:color w:val="auto"/>
        </w:rPr>
      </w:pPr>
    </w:p>
    <w:p>
      <w:pPr>
        <w:ind w:left="424" w:right="20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experience delays due to the ongoing COVID-19 pandemic, including with respect to the conduct of ongoing clinical trials, receipt of product candidates or other materials, submission of New Drug Applications (“NDAs”), filing of INDs, and starting any clinical trials for other indications or programs; and</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7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9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77"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b w:val="1"/>
          <w:bCs w:val="1"/>
          <w:color w:val="auto"/>
        </w:rPr>
        <w:t xml:space="preserve">A preliminary prospectus supplement related to the offering (including the accompanying prospectus) has been filed by the Company with the SEC and is available on the SEC’s website located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Before you invest, you should read the preliminary prospectus supplement related to the offering (including the accompanying prospectus) and other documents incorporated by reference therein for more complete information about the Company and this offering. You may get these documents for free by visiting EDGAR on the SEC Web site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Alternatively, copies of the preliminary prospectus supplement (including the accompanying prospectus) may also be obtained, from BofA Securities, NC1-004-03-43, 200 North College Street, 3rd floor, Charlotte, NC 28255-0001, Attn: Prospectus Department, or via email at </w:t>
      </w:r>
      <w:r>
        <w:rPr>
          <w:rFonts w:ascii="Arial" w:cs="Arial" w:eastAsia="Arial" w:hAnsi="Arial"/>
          <w:sz w:val="16"/>
          <w:szCs w:val="16"/>
          <w:b w:val="1"/>
          <w:bCs w:val="1"/>
          <w:u w:val="single" w:color="auto"/>
          <w:color w:val="auto"/>
        </w:rPr>
        <w:t>dg.prospectus_requests@bofa.com</w:t>
      </w:r>
      <w:r>
        <w:rPr>
          <w:rFonts w:ascii="Arial" w:cs="Arial" w:eastAsia="Arial" w:hAnsi="Arial"/>
          <w:sz w:val="16"/>
          <w:szCs w:val="16"/>
          <w:b w:val="1"/>
          <w:bCs w:val="1"/>
          <w:color w:val="auto"/>
        </w:rPr>
        <w:t xml:space="preserve">; Jefferies by telephone at 1-877-821-7388 or by email at </w:t>
      </w:r>
      <w:r>
        <w:rPr>
          <w:rFonts w:ascii="Arial" w:cs="Arial" w:eastAsia="Arial" w:hAnsi="Arial"/>
          <w:sz w:val="16"/>
          <w:szCs w:val="16"/>
          <w:b w:val="1"/>
          <w:bCs w:val="1"/>
          <w:u w:val="single" w:color="auto"/>
          <w:color w:val="auto"/>
        </w:rPr>
        <w:t>prospectus_department@jefferies.com</w:t>
      </w:r>
      <w:r>
        <w:rPr>
          <w:rFonts w:ascii="Arial" w:cs="Arial" w:eastAsia="Arial" w:hAnsi="Arial"/>
          <w:sz w:val="16"/>
          <w:szCs w:val="16"/>
          <w:b w:val="1"/>
          <w:bCs w:val="1"/>
          <w:color w:val="auto"/>
        </w:rPr>
        <w:t xml:space="preserve">; Barclays, c/o Broadridge Financial Solutions, 1155 Long Island Avenue, Edgewood, NY 11717, by telephone at 1-888-603-5847 or by email at </w:t>
      </w:r>
      <w:r>
        <w:rPr>
          <w:rFonts w:ascii="Arial" w:cs="Arial" w:eastAsia="Arial" w:hAnsi="Arial"/>
          <w:sz w:val="16"/>
          <w:szCs w:val="16"/>
          <w:b w:val="1"/>
          <w:bCs w:val="1"/>
          <w:u w:val="single" w:color="auto"/>
          <w:color w:val="auto"/>
        </w:rPr>
        <w:t>barclaysprospectus@broadridge.com</w:t>
      </w:r>
      <w:r>
        <w:rPr>
          <w:rFonts w:ascii="Arial" w:cs="Arial" w:eastAsia="Arial" w:hAnsi="Arial"/>
          <w:sz w:val="16"/>
          <w:szCs w:val="16"/>
          <w:b w:val="1"/>
          <w:bCs w:val="1"/>
          <w:color w:val="auto"/>
        </w:rPr>
        <w:t xml:space="preserve">; and Raymond James at 1-800-248-8863 or by email at </w:t>
      </w:r>
      <w:r>
        <w:rPr>
          <w:rFonts w:ascii="Arial" w:cs="Arial" w:eastAsia="Arial" w:hAnsi="Arial"/>
          <w:sz w:val="16"/>
          <w:szCs w:val="16"/>
          <w:b w:val="1"/>
          <w:bCs w:val="1"/>
          <w:u w:val="single" w:color="auto"/>
          <w:color w:val="auto"/>
        </w:rPr>
        <w:t>prospectus@raymondjames.com</w:t>
      </w:r>
      <w:r>
        <w:rPr>
          <w:rFonts w:ascii="Arial" w:cs="Arial" w:eastAsia="Arial" w:hAnsi="Arial"/>
          <w:sz w:val="16"/>
          <w:szCs w:val="16"/>
          <w:b w:val="1"/>
          <w:bCs w:val="1"/>
          <w:color w:val="auto"/>
        </w:rPr>
        <w:t>.</w:t>
      </w:r>
    </w:p>
    <w:sectPr>
      <w:pgSz w:w="11900" w:h="16838" w:orient="portrait"/>
      <w:cols w:equalWidth="0" w:num="1">
        <w:col w:w="10944"/>
      </w:cols>
      <w:pgMar w:left="436"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2022-05-03T05:32:55Z</dcterms:created>
  <dcterms:modified xsi:type="dcterms:W3CDTF">2022-05-03T05:32:55Z</dcterms:modified>
</cp:coreProperties>
</file>