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SCHEDULE 13G</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313055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20,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1420" w:hanging="439"/>
        <w:spacing w:after="0"/>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1420" w:hanging="439"/>
        <w:spacing w:after="0"/>
        <w:tabs>
          <w:tab w:leader="none" w:pos="14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 103</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Frazier Life Sciences IX,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40" w:type="dxa"/>
            <w:vAlign w:val="bottom"/>
          </w:tcPr>
          <w:p>
            <w:pPr>
              <w:spacing w:after="0"/>
              <w:rPr>
                <w:sz w:val="24"/>
                <w:szCs w:val="24"/>
                <w:color w:val="auto"/>
              </w:rPr>
            </w:pP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8"/>
              </w:rPr>
              <w:t>Delaware</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gridSpan w:val="3"/>
            <w:vMerge w:val="continue"/>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8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8"/>
                <w:szCs w:val="8"/>
                <w:color w:val="auto"/>
              </w:rPr>
            </w:pPr>
          </w:p>
        </w:tc>
        <w:tc>
          <w:tcPr>
            <w:tcW w:w="9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116"/>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vMerge w:val="continue"/>
          </w:tcPr>
          <w:p>
            <w:pPr>
              <w:spacing w:after="0"/>
              <w:rPr>
                <w:sz w:val="13"/>
                <w:szCs w:val="13"/>
                <w:color w:val="auto"/>
              </w:rPr>
            </w:pPr>
          </w:p>
        </w:tc>
        <w:tc>
          <w:tcPr>
            <w:tcW w:w="9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9.5% (2)</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PN</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60" w:hanging="424"/>
        <w:spacing w:after="0" w:line="271"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20,084,014 shares of Common Stock that were anticipated to be outstanding following the Issuer’s initial public offering (and including the underwriters’ option to purchase an additional 825,000 shares of the Issuer’s Common Stock in such public offering) as set forth in the Issuer’s final prospectus filed with the SEC pursuant to Rule 424(b)(4) on October 16, 2020.</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87650L 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FHMLS IX,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40" w:type="dxa"/>
            <w:vAlign w:val="bottom"/>
          </w:tcPr>
          <w:p>
            <w:pPr>
              <w:spacing w:after="0"/>
              <w:rPr>
                <w:sz w:val="24"/>
                <w:szCs w:val="24"/>
                <w:color w:val="auto"/>
              </w:rPr>
            </w:pP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8"/>
              </w:rPr>
              <w:t>Delaware</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gridSpan w:val="3"/>
            <w:vMerge w:val="continue"/>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8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8"/>
                <w:szCs w:val="8"/>
                <w:color w:val="auto"/>
              </w:rPr>
            </w:pPr>
          </w:p>
        </w:tc>
        <w:tc>
          <w:tcPr>
            <w:tcW w:w="9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116"/>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vMerge w:val="continue"/>
          </w:tcPr>
          <w:p>
            <w:pPr>
              <w:spacing w:after="0"/>
              <w:rPr>
                <w:sz w:val="13"/>
                <w:szCs w:val="13"/>
                <w:color w:val="auto"/>
              </w:rPr>
            </w:pPr>
          </w:p>
        </w:tc>
        <w:tc>
          <w:tcPr>
            <w:tcW w:w="9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9.5% (2)</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PN</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6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20,084,014 shares of Common Stock that were anticipated to be outstanding following the Issuer’s initial public offering (and including the underwriters’ option to purchase an additional 825,000 shares of the Issuer’s Common Stock in such public offering) as set forth in the Issuer’s final prospectus filed with the SEC pursuant to Rule 424(b)(4) on October 16, 2020.</w:t>
      </w:r>
    </w:p>
    <w:p>
      <w:pPr>
        <w:sectPr>
          <w:pgSz w:w="11900" w:h="16838" w:orient="portrait"/>
          <w:cols w:equalWidth="0" w:num="1">
            <w:col w:w="11024"/>
          </w:cols>
          <w:pgMar w:left="436" w:top="270"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 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FHMLS IX,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40" w:type="dxa"/>
            <w:vAlign w:val="bottom"/>
          </w:tcPr>
          <w:p>
            <w:pPr>
              <w:spacing w:after="0"/>
              <w:rPr>
                <w:sz w:val="24"/>
                <w:szCs w:val="24"/>
                <w:color w:val="auto"/>
              </w:rPr>
            </w:pP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8"/>
              </w:rPr>
              <w:t>Delaware</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gridSpan w:val="3"/>
            <w:vMerge w:val="continue"/>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8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8"/>
                <w:szCs w:val="8"/>
                <w:color w:val="auto"/>
              </w:rPr>
            </w:pPr>
          </w:p>
        </w:tc>
        <w:tc>
          <w:tcPr>
            <w:tcW w:w="9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116"/>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vMerge w:val="continue"/>
          </w:tcPr>
          <w:p>
            <w:pPr>
              <w:spacing w:after="0"/>
              <w:rPr>
                <w:sz w:val="13"/>
                <w:szCs w:val="13"/>
                <w:color w:val="auto"/>
              </w:rPr>
            </w:pPr>
          </w:p>
        </w:tc>
        <w:tc>
          <w:tcPr>
            <w:tcW w:w="9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9.5% (2)</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OO</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260" w:hanging="424"/>
        <w:spacing w:after="0" w:line="27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0" w:hanging="424"/>
        <w:spacing w:after="0" w:line="25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20,084,014 shares of Common Stock that were anticipated to be outstanding following the Issuer’s initial public offering (and including the underwriters’ option to purchase an additional 825,000 shares of the Issuer’s Common Stock in such public offering) as set forth in the Issuer’s final prospectus filed with the SEC pursuant to Rule 424(b)(4) on October 16, 2020.</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 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James Topper</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40" w:type="dxa"/>
            <w:vAlign w:val="bottom"/>
          </w:tcPr>
          <w:p>
            <w:pPr>
              <w:spacing w:after="0"/>
              <w:rPr>
                <w:sz w:val="24"/>
                <w:szCs w:val="24"/>
                <w:color w:val="auto"/>
              </w:rPr>
            </w:pP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United States Citizen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gridSpan w:val="3"/>
            <w:vMerge w:val="continue"/>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8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8"/>
                <w:szCs w:val="8"/>
                <w:color w:val="auto"/>
              </w:rPr>
            </w:pPr>
          </w:p>
        </w:tc>
        <w:tc>
          <w:tcPr>
            <w:tcW w:w="9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116"/>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vMerge w:val="continue"/>
          </w:tcPr>
          <w:p>
            <w:pPr>
              <w:spacing w:after="0"/>
              <w:rPr>
                <w:sz w:val="13"/>
                <w:szCs w:val="13"/>
                <w:color w:val="auto"/>
              </w:rPr>
            </w:pPr>
          </w:p>
        </w:tc>
        <w:tc>
          <w:tcPr>
            <w:tcW w:w="9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9.5% (2)</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260" w:hanging="424"/>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0" w:hanging="424"/>
        <w:spacing w:after="0" w:line="25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20,084,014 shares of Common Stock that were anticipated to be outstanding following the Issuer’s initial public offering (and including the underwriters’ option to purchase an additional 825,000 shares of the Issuer’s Common Stock in such public offering) as set forth in the Issuer’s final prospectus filed with the SEC pursuant to Rule 424(b)(4) on October 16, 2020.</w:t>
      </w:r>
    </w:p>
    <w:p>
      <w:pPr>
        <w:sectPr>
          <w:pgSz w:w="11900" w:h="16838" w:orient="portrait"/>
          <w:cols w:equalWidth="0" w:num="1">
            <w:col w:w="11024"/>
          </w:cols>
          <w:pgMar w:left="436" w:top="270"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 103</w:t>
      </w:r>
    </w:p>
    <w:p>
      <w:pPr>
        <w:spacing w:after="0" w:line="15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Patrick Heron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3"/>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40" w:type="dxa"/>
            <w:vAlign w:val="bottom"/>
          </w:tcPr>
          <w:p>
            <w:pPr>
              <w:spacing w:after="0"/>
              <w:rPr>
                <w:sz w:val="24"/>
                <w:szCs w:val="24"/>
                <w:color w:val="auto"/>
              </w:rPr>
            </w:pP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United States Citizen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2"/>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34"/>
        </w:trPr>
        <w:tc>
          <w:tcPr>
            <w:tcW w:w="1140" w:type="dxa"/>
            <w:vAlign w:val="bottom"/>
            <w:tcBorders>
              <w:left w:val="single" w:sz="8" w:color="auto"/>
              <w:right w:val="single" w:sz="8" w:color="auto"/>
            </w:tcBorders>
            <w:gridSpan w:val="3"/>
            <w:vMerge w:val="continue"/>
          </w:tcPr>
          <w:p>
            <w:pPr>
              <w:spacing w:after="0"/>
              <w:rPr>
                <w:sz w:val="11"/>
                <w:szCs w:val="11"/>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380" w:type="dxa"/>
            <w:vAlign w:val="bottom"/>
            <w:tcBorders>
              <w:left w:val="single" w:sz="8" w:color="auto"/>
            </w:tcBorders>
          </w:tcPr>
          <w:p>
            <w:pPr>
              <w:spacing w:after="0"/>
              <w:rPr>
                <w:sz w:val="8"/>
                <w:szCs w:val="8"/>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40" w:type="dxa"/>
            <w:vAlign w:val="bottom"/>
            <w:tcBorders>
              <w:right w:val="single" w:sz="8" w:color="auto"/>
            </w:tcBorders>
            <w:vMerge w:val="continue"/>
          </w:tcPr>
          <w:p>
            <w:pPr>
              <w:spacing w:after="0"/>
              <w:rPr>
                <w:sz w:val="8"/>
                <w:szCs w:val="8"/>
                <w:color w:val="auto"/>
              </w:rPr>
            </w:pPr>
          </w:p>
        </w:tc>
        <w:tc>
          <w:tcPr>
            <w:tcW w:w="9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95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116"/>
        </w:trPr>
        <w:tc>
          <w:tcPr>
            <w:tcW w:w="11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10"/>
                <w:szCs w:val="10"/>
                <w:color w:val="auto"/>
              </w:rPr>
            </w:pPr>
          </w:p>
        </w:tc>
        <w:tc>
          <w:tcPr>
            <w:tcW w:w="95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380" w:type="dxa"/>
            <w:vAlign w:val="bottom"/>
            <w:tcBorders>
              <w:lef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40" w:type="dxa"/>
            <w:vAlign w:val="bottom"/>
            <w:tcBorders>
              <w:right w:val="single" w:sz="8" w:color="auto"/>
            </w:tcBorders>
            <w:vMerge w:val="continue"/>
          </w:tcPr>
          <w:p>
            <w:pPr>
              <w:spacing w:after="0"/>
              <w:rPr>
                <w:sz w:val="13"/>
                <w:szCs w:val="13"/>
                <w:color w:val="auto"/>
              </w:rPr>
            </w:pPr>
          </w:p>
        </w:tc>
        <w:tc>
          <w:tcPr>
            <w:tcW w:w="95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0 shares</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right w:val="single" w:sz="8" w:color="auto"/>
            </w:tcBorders>
            <w:gridSpan w:val="3"/>
          </w:tcPr>
          <w:p>
            <w:pPr>
              <w:jc w:val="center"/>
              <w:ind w:left="30"/>
              <w:spacing w:after="0" w:line="157" w:lineRule="exact"/>
              <w:rPr>
                <w:sz w:val="20"/>
                <w:szCs w:val="20"/>
                <w:color w:val="auto"/>
              </w:rPr>
            </w:pPr>
            <w:r>
              <w:rPr>
                <w:rFonts w:ascii="Arial" w:cs="Arial" w:eastAsia="Arial" w:hAnsi="Arial"/>
                <w:sz w:val="18"/>
                <w:szCs w:val="18"/>
                <w:color w:val="auto"/>
                <w:w w:val="91"/>
              </w:rPr>
              <w:t>Person With:</w:t>
            </w:r>
          </w:p>
        </w:tc>
        <w:tc>
          <w:tcPr>
            <w:tcW w:w="340" w:type="dxa"/>
            <w:vAlign w:val="bottom"/>
            <w:tcBorders>
              <w:bottom w:val="single" w:sz="8" w:color="auto"/>
              <w:right w:val="single" w:sz="8" w:color="auto"/>
            </w:tcBorders>
          </w:tcPr>
          <w:p>
            <w:pPr>
              <w:spacing w:after="0"/>
              <w:rPr>
                <w:sz w:val="15"/>
                <w:szCs w:val="15"/>
                <w:color w:val="auto"/>
              </w:rPr>
            </w:pPr>
          </w:p>
        </w:tc>
        <w:tc>
          <w:tcPr>
            <w:tcW w:w="95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1,917,157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9.5% (2)</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w:t>
            </w: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right="260"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1,917,157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0" w:hanging="424"/>
        <w:spacing w:after="0" w:line="255"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20,084,014 shares of Common Stock that were anticipated to be outstanding following the Issuer’s initial public offering (and including the underwriters’ option to purchase an additional 825,000 shares of the Issuer’s Common Stock in such public offering) as set forth in the Issuer’s final prospectus filed with the SEC pursuant to Rule 424(b)(4) on October 16, 2020.</w:t>
      </w:r>
    </w:p>
    <w:p>
      <w:pPr>
        <w:sectPr>
          <w:pgSz w:w="11900" w:h="16838" w:orient="portrait"/>
          <w:cols w:equalWidth="0" w:num="1">
            <w:col w:w="11024"/>
          </w:cols>
          <w:pgMar w:left="436" w:top="270" w:right="43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 15440 Laguna Canyon Road, Suite 160, Irvine, CA 92618</w:t>
      </w:r>
    </w:p>
    <w:p>
      <w:pPr>
        <w:spacing w:after="0" w:line="3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entities and persons filing this statement (collectively, the “Reporting Persons”) are: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Frazier Life Sciences IX, L.P. (“FLS IX”)</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FHMLS IX, L.P.</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FHMLS IX,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James Topper (“Topper”)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Patrick Heron (“Heron” and together with Topper, the “Members”)</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address and principal business office of the Reporting Persons is: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Seattle, Washington 98101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300" w:type="dxa"/>
            <w:vAlign w:val="bottom"/>
          </w:tcPr>
          <w:p>
            <w:pPr>
              <w:ind w:left="160"/>
              <w:spacing w:after="0"/>
              <w:rPr>
                <w:sz w:val="20"/>
                <w:szCs w:val="20"/>
                <w:color w:val="auto"/>
              </w:rPr>
            </w:pPr>
            <w:r>
              <w:rPr>
                <w:rFonts w:ascii="Arial" w:cs="Arial" w:eastAsia="Arial" w:hAnsi="Arial"/>
                <w:sz w:val="18"/>
                <w:szCs w:val="18"/>
                <w:color w:val="auto"/>
              </w:rPr>
              <w:t>Citizenship:</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45"/>
        </w:trPr>
        <w:tc>
          <w:tcPr>
            <w:tcW w:w="92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rPr>
              <w:t>Entities:</w:t>
            </w:r>
          </w:p>
        </w:tc>
        <w:tc>
          <w:tcPr>
            <w:tcW w:w="1740" w:type="dxa"/>
            <w:vAlign w:val="bottom"/>
          </w:tcPr>
          <w:p>
            <w:pPr>
              <w:ind w:left="240"/>
              <w:spacing w:after="0"/>
              <w:rPr>
                <w:sz w:val="20"/>
                <w:szCs w:val="20"/>
                <w:color w:val="auto"/>
              </w:rPr>
            </w:pPr>
            <w:r>
              <w:rPr>
                <w:rFonts w:ascii="Arial" w:cs="Arial" w:eastAsia="Arial" w:hAnsi="Arial"/>
                <w:sz w:val="18"/>
                <w:szCs w:val="18"/>
                <w:color w:val="auto"/>
              </w:rPr>
              <w:t>FLS IX</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ind w:left="180"/>
              <w:spacing w:after="0"/>
              <w:rPr>
                <w:sz w:val="20"/>
                <w:szCs w:val="20"/>
                <w:color w:val="auto"/>
              </w:rPr>
            </w:pPr>
            <w:r>
              <w:rPr>
                <w:rFonts w:ascii="Arial" w:cs="Arial" w:eastAsia="Arial" w:hAnsi="Arial"/>
                <w:sz w:val="18"/>
                <w:szCs w:val="18"/>
                <w:color w:val="auto"/>
              </w:rPr>
              <w:t>Delaware, U.S.A.</w:t>
            </w:r>
          </w:p>
        </w:tc>
      </w:tr>
      <w:tr>
        <w:trPr>
          <w:trHeight w:val="216"/>
        </w:trPr>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40" w:type="dxa"/>
            <w:vAlign w:val="bottom"/>
          </w:tcPr>
          <w:p>
            <w:pPr>
              <w:ind w:left="240"/>
              <w:spacing w:after="0"/>
              <w:rPr>
                <w:sz w:val="20"/>
                <w:szCs w:val="20"/>
                <w:color w:val="auto"/>
              </w:rPr>
            </w:pPr>
            <w:r>
              <w:rPr>
                <w:rFonts w:ascii="Arial" w:cs="Arial" w:eastAsia="Arial" w:hAnsi="Arial"/>
                <w:sz w:val="18"/>
                <w:szCs w:val="18"/>
                <w:color w:val="auto"/>
              </w:rPr>
              <w:t>FHMLS IX, L.P.</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ind w:left="180"/>
              <w:spacing w:after="0"/>
              <w:rPr>
                <w:sz w:val="20"/>
                <w:szCs w:val="20"/>
                <w:color w:val="auto"/>
              </w:rPr>
            </w:pPr>
            <w:r>
              <w:rPr>
                <w:rFonts w:ascii="Arial" w:cs="Arial" w:eastAsia="Arial" w:hAnsi="Arial"/>
                <w:sz w:val="18"/>
                <w:szCs w:val="18"/>
                <w:color w:val="auto"/>
              </w:rPr>
              <w:t>Delaware, U.S.A.</w:t>
            </w:r>
          </w:p>
        </w:tc>
      </w:tr>
      <w:tr>
        <w:trPr>
          <w:trHeight w:val="230"/>
        </w:trPr>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ind w:left="240"/>
              <w:spacing w:after="0"/>
              <w:rPr>
                <w:sz w:val="20"/>
                <w:szCs w:val="20"/>
                <w:color w:val="auto"/>
              </w:rPr>
            </w:pPr>
            <w:r>
              <w:rPr>
                <w:rFonts w:ascii="Arial" w:cs="Arial" w:eastAsia="Arial" w:hAnsi="Arial"/>
                <w:sz w:val="18"/>
                <w:szCs w:val="18"/>
                <w:color w:val="auto"/>
              </w:rPr>
              <w:t>FHMLS IX, L.L.C</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ind w:left="180"/>
              <w:spacing w:after="0"/>
              <w:rPr>
                <w:sz w:val="20"/>
                <w:szCs w:val="20"/>
                <w:color w:val="auto"/>
              </w:rPr>
            </w:pPr>
            <w:r>
              <w:rPr>
                <w:rFonts w:ascii="Arial" w:cs="Arial" w:eastAsia="Arial" w:hAnsi="Arial"/>
                <w:sz w:val="18"/>
                <w:szCs w:val="18"/>
                <w:color w:val="auto"/>
              </w:rPr>
              <w:t>Delaware, U.S.A.</w:t>
            </w:r>
          </w:p>
        </w:tc>
      </w:tr>
      <w:tr>
        <w:trPr>
          <w:trHeight w:val="418"/>
        </w:trPr>
        <w:tc>
          <w:tcPr>
            <w:tcW w:w="920" w:type="dxa"/>
            <w:vAlign w:val="bottom"/>
          </w:tcPr>
          <w:p>
            <w:pPr>
              <w:spacing w:after="0"/>
              <w:rPr>
                <w:sz w:val="24"/>
                <w:szCs w:val="24"/>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rPr>
              <w:t>Individuals:</w:t>
            </w:r>
          </w:p>
        </w:tc>
        <w:tc>
          <w:tcPr>
            <w:tcW w:w="1740" w:type="dxa"/>
            <w:vAlign w:val="bottom"/>
          </w:tcPr>
          <w:p>
            <w:pPr>
              <w:ind w:left="240"/>
              <w:spacing w:after="0"/>
              <w:rPr>
                <w:sz w:val="20"/>
                <w:szCs w:val="20"/>
                <w:color w:val="auto"/>
              </w:rPr>
            </w:pPr>
            <w:r>
              <w:rPr>
                <w:rFonts w:ascii="Arial" w:cs="Arial" w:eastAsia="Arial" w:hAnsi="Arial"/>
                <w:sz w:val="18"/>
                <w:szCs w:val="18"/>
                <w:color w:val="auto"/>
              </w:rPr>
              <w:t>Topper</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ind w:left="180"/>
              <w:spacing w:after="0"/>
              <w:rPr>
                <w:sz w:val="20"/>
                <w:szCs w:val="20"/>
                <w:color w:val="auto"/>
              </w:rPr>
            </w:pPr>
            <w:r>
              <w:rPr>
                <w:rFonts w:ascii="Arial" w:cs="Arial" w:eastAsia="Arial" w:hAnsi="Arial"/>
                <w:sz w:val="18"/>
                <w:szCs w:val="18"/>
                <w:color w:val="auto"/>
                <w:w w:val="89"/>
              </w:rPr>
              <w:t>United States Citizen</w:t>
            </w:r>
          </w:p>
        </w:tc>
      </w:tr>
      <w:tr>
        <w:trPr>
          <w:trHeight w:val="230"/>
        </w:trPr>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40" w:type="dxa"/>
            <w:vAlign w:val="bottom"/>
          </w:tcPr>
          <w:p>
            <w:pPr>
              <w:ind w:left="240"/>
              <w:spacing w:after="0"/>
              <w:rPr>
                <w:sz w:val="20"/>
                <w:szCs w:val="20"/>
                <w:color w:val="auto"/>
              </w:rPr>
            </w:pPr>
            <w:r>
              <w:rPr>
                <w:rFonts w:ascii="Arial" w:cs="Arial" w:eastAsia="Arial" w:hAnsi="Arial"/>
                <w:sz w:val="18"/>
                <w:szCs w:val="18"/>
                <w:color w:val="auto"/>
              </w:rPr>
              <w:t>Heron</w:t>
            </w:r>
          </w:p>
        </w:tc>
        <w:tc>
          <w:tcPr>
            <w:tcW w:w="500" w:type="dxa"/>
            <w:vAlign w:val="bottom"/>
          </w:tcPr>
          <w:p>
            <w:pPr>
              <w:ind w:left="140"/>
              <w:spacing w:after="0"/>
              <w:rPr>
                <w:sz w:val="20"/>
                <w:szCs w:val="20"/>
                <w:color w:val="auto"/>
              </w:rPr>
            </w:pPr>
            <w:r>
              <w:rPr>
                <w:rFonts w:ascii="Arial" w:cs="Arial" w:eastAsia="Arial" w:hAnsi="Arial"/>
                <w:sz w:val="18"/>
                <w:szCs w:val="18"/>
                <w:color w:val="auto"/>
              </w:rPr>
              <w:t>—</w:t>
            </w:r>
          </w:p>
        </w:tc>
        <w:tc>
          <w:tcPr>
            <w:tcW w:w="1700" w:type="dxa"/>
            <w:vAlign w:val="bottom"/>
          </w:tcPr>
          <w:p>
            <w:pPr>
              <w:ind w:left="180"/>
              <w:spacing w:after="0"/>
              <w:rPr>
                <w:sz w:val="20"/>
                <w:szCs w:val="20"/>
                <w:color w:val="auto"/>
              </w:rPr>
            </w:pPr>
            <w:r>
              <w:rPr>
                <w:rFonts w:ascii="Arial" w:cs="Arial" w:eastAsia="Arial" w:hAnsi="Arial"/>
                <w:sz w:val="18"/>
                <w:szCs w:val="18"/>
                <w:color w:val="auto"/>
                <w:w w:val="89"/>
              </w:rPr>
              <w:t>United States Citizen</w:t>
            </w: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w w:val="98"/>
              </w:rPr>
              <w:t>Title of Class of Securities: Common Stock</w:t>
            </w:r>
          </w:p>
        </w:tc>
        <w:tc>
          <w:tcPr>
            <w:tcW w:w="1700" w:type="dxa"/>
            <w:vAlign w:val="bottom"/>
          </w:tcPr>
          <w:p>
            <w:pPr>
              <w:spacing w:after="0"/>
              <w:rPr>
                <w:sz w:val="24"/>
                <w:szCs w:val="24"/>
                <w:color w:val="auto"/>
              </w:rPr>
            </w:pPr>
          </w:p>
        </w:tc>
      </w:tr>
      <w:tr>
        <w:trPr>
          <w:trHeight w:val="580"/>
        </w:trPr>
        <w:tc>
          <w:tcPr>
            <w:tcW w:w="9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CUSIP Number: 87650L 103</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34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3" w:lineRule="exact"/>
        <w:rPr>
          <w:sz w:val="20"/>
          <w:szCs w:val="20"/>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80" w:hanging="831"/>
        <w:spacing w:after="0" w:line="239" w:lineRule="exact"/>
        <w:tabs>
          <w:tab w:leader="none" w:pos="1083"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1080" w:hanging="531"/>
        <w:spacing w:after="0" w:line="207" w:lineRule="exact"/>
        <w:tabs>
          <w:tab w:leader="none" w:pos="10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5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If filing as a non-U.S. institution in accordance with §240.13d–1(b)(1)(ii)(J), please specify the type of institution: ____</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ectPr>
          <w:pgSz w:w="11900" w:h="16838" w:orient="portrait"/>
          <w:cols w:equalWidth="0" w:num="1">
            <w:col w:w="10940"/>
          </w:cols>
          <w:pgMar w:left="440" w:top="270" w:right="519" w:bottom="1440" w:gutter="0" w:footer="0" w:header="0"/>
        </w:sectPr>
      </w:pPr>
    </w:p>
    <w:bookmarkStart w:id="7" w:name="page8"/>
    <w:bookmarkEnd w:id="7"/>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Beneficially Owned: See Row 9 of cover page for each Reporting Person.</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See Row 11 of cover page for each Reporting Person</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Sole power to vote or to direct the vote: See Row 5 of cover page for each Reporting Person.</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Shared power to vote or to direct the vote: See Row 6 of cover page for each Reporting Person.</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Sole power to dispose or to direct the disposition of: See Row 7 of cover page for each Reporting Person.</w:t>
      </w:r>
    </w:p>
    <w:p>
      <w:pPr>
        <w:spacing w:after="0" w:line="130" w:lineRule="exact"/>
        <w:rPr>
          <w:rFonts w:ascii="Arial" w:cs="Arial" w:eastAsia="Arial" w:hAnsi="Arial"/>
          <w:sz w:val="18"/>
          <w:szCs w:val="18"/>
          <w:b w:val="1"/>
          <w:bCs w:val="1"/>
          <w:color w:val="auto"/>
        </w:rPr>
      </w:pPr>
    </w:p>
    <w:p>
      <w:pPr>
        <w:ind w:left="1420" w:hanging="439"/>
        <w:spacing w:after="0"/>
        <w:tabs>
          <w:tab w:leader="none" w:pos="14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Shared power to dispose or to direct the disposition of: See Row 8 of cover page for each Reporting Person.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4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380"/>
          </w:cols>
          <w:pgMar w:left="440" w:top="274" w:right="10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FRAZIER LIFE SCIENCES IX, L.P.</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L.P., its general partner</w:t>
            </w:r>
          </w:p>
        </w:tc>
      </w:tr>
      <w:tr>
        <w:trPr>
          <w:trHeight w:val="230"/>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FHMLS IX, L.P.</w:t>
            </w:r>
          </w:p>
        </w:tc>
      </w:tr>
      <w:tr>
        <w:trPr>
          <w:trHeight w:val="230"/>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FHMLS IX, L.L.C.</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James Topper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Patrick Heron</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as Attorney-in-Fact</w:t>
            </w: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Schedule 13G was executed by Steve R. Bailey on behalf of the individuals listed above pursuant to a Power of Attorney, a copy of which was filed with the SEC on July 31, 2017.</w:t>
      </w:r>
    </w:p>
    <w:p>
      <w:pPr>
        <w:sectPr>
          <w:pgSz w:w="11900" w:h="16838" w:orient="portrait"/>
          <w:cols w:equalWidth="0" w:num="1">
            <w:col w:w="11020"/>
          </w:cols>
          <w:pgMar w:left="440" w:top="270" w:right="439" w:bottom="1440" w:gutter="0" w:footer="0" w:header="0"/>
        </w:sectPr>
      </w:pPr>
    </w:p>
    <w:bookmarkStart w:id="9" w:name="page10"/>
    <w:bookmarkEnd w:id="9"/>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Index</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 -</w:t>
      </w:r>
      <w:r>
        <w:rPr>
          <w:sz w:val="20"/>
          <w:szCs w:val="20"/>
          <w:color w:val="auto"/>
        </w:rPr>
        <w:tab/>
      </w:r>
      <w:r>
        <w:rPr>
          <w:rFonts w:ascii="Arial" w:cs="Arial" w:eastAsia="Arial" w:hAnsi="Arial"/>
          <w:sz w:val="16"/>
          <w:szCs w:val="16"/>
          <w:color w:val="auto"/>
        </w:rPr>
        <w:t>Agreement regarding filing of joint Schedule 13G.</w:t>
      </w:r>
    </w:p>
    <w:p>
      <w:pPr>
        <w:sectPr>
          <w:pgSz w:w="11900" w:h="16838" w:orient="portrait"/>
          <w:cols w:equalWidth="0" w:num="1">
            <w:col w:w="10019"/>
          </w:cols>
          <w:pgMar w:left="44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Tarsus Pharmaceuticals, Inc.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FRAZIER LIFE SCIENCES IX, L.P.</w:t>
            </w:r>
          </w:p>
        </w:tc>
      </w:tr>
      <w:tr>
        <w:trPr>
          <w:trHeight w:val="216"/>
        </w:trPr>
        <w:tc>
          <w:tcPr>
            <w:tcW w:w="3660" w:type="dxa"/>
            <w:vAlign w:val="bottom"/>
          </w:tcPr>
          <w:p>
            <w:pPr>
              <w:spacing w:after="0"/>
              <w:rPr>
                <w:sz w:val="18"/>
                <w:szCs w:val="18"/>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L.P., its general partner</w:t>
            </w:r>
          </w:p>
        </w:tc>
      </w:tr>
      <w:tr>
        <w:trPr>
          <w:trHeight w:val="230"/>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FHMLS IX, L.P.</w:t>
            </w:r>
          </w:p>
        </w:tc>
      </w:tr>
      <w:tr>
        <w:trPr>
          <w:trHeight w:val="230"/>
        </w:trPr>
        <w:tc>
          <w:tcPr>
            <w:tcW w:w="3660" w:type="dxa"/>
            <w:vAlign w:val="bottom"/>
          </w:tcPr>
          <w:p>
            <w:pPr>
              <w:spacing w:after="0"/>
              <w:rPr>
                <w:sz w:val="20"/>
                <w:szCs w:val="20"/>
                <w:color w:val="auto"/>
              </w:rPr>
            </w:pPr>
          </w:p>
        </w:tc>
        <w:tc>
          <w:tcPr>
            <w:tcW w:w="7360" w:type="dxa"/>
            <w:vAlign w:val="bottom"/>
            <w:gridSpan w:val="2"/>
          </w:tcPr>
          <w:p>
            <w:pPr>
              <w:ind w:left="196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7360" w:type="dxa"/>
            <w:vAlign w:val="bottom"/>
            <w:gridSpan w:val="2"/>
          </w:tcPr>
          <w:p>
            <w:pPr>
              <w:ind w:left="1960"/>
              <w:spacing w:after="0"/>
              <w:rPr>
                <w:sz w:val="20"/>
                <w:szCs w:val="20"/>
                <w:color w:val="auto"/>
              </w:rPr>
            </w:pPr>
            <w:r>
              <w:rPr>
                <w:rFonts w:ascii="Arial" w:cs="Arial" w:eastAsia="Arial" w:hAnsi="Arial"/>
                <w:sz w:val="18"/>
                <w:szCs w:val="18"/>
                <w:b w:val="1"/>
                <w:bCs w:val="1"/>
                <w:color w:val="auto"/>
              </w:rPr>
              <w:t>FHMLS IX, L.L.C.</w:t>
            </w:r>
          </w:p>
        </w:tc>
      </w:tr>
      <w:tr>
        <w:trPr>
          <w:trHeight w:val="432"/>
        </w:trPr>
        <w:tc>
          <w:tcPr>
            <w:tcW w:w="36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James Topper</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Patrick Heron</w:t>
            </w:r>
          </w:p>
        </w:tc>
      </w:tr>
      <w:tr>
        <w:trPr>
          <w:trHeight w:val="431"/>
        </w:trPr>
        <w:tc>
          <w:tcPr>
            <w:tcW w:w="3660" w:type="dxa"/>
            <w:vAlign w:val="bottom"/>
          </w:tcPr>
          <w:p>
            <w:pPr>
              <w:spacing w:after="0"/>
              <w:rPr>
                <w:sz w:val="20"/>
                <w:szCs w:val="20"/>
                <w:color w:val="auto"/>
              </w:rPr>
            </w:pPr>
            <w:r>
              <w:rPr>
                <w:rFonts w:ascii="Arial" w:cs="Arial" w:eastAsia="Arial" w:hAnsi="Arial"/>
                <w:sz w:val="18"/>
                <w:szCs w:val="18"/>
                <w:color w:val="auto"/>
              </w:rPr>
              <w:t>Date: October 22, 2020</w:t>
            </w:r>
          </w:p>
        </w:tc>
        <w:tc>
          <w:tcPr>
            <w:tcW w:w="25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as Attorney-in-Fact</w:t>
            </w:r>
          </w:p>
        </w:tc>
      </w:tr>
    </w:tbl>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Agreement was executed by Steve R. Bailey on behalf of the individuals listed above pursuant to a Power of Attorney, a copy of which was filed with the SEC on July 31, 2017.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2020-10-23T12:42:40Z</dcterms:created>
  <dcterms:modified xsi:type="dcterms:W3CDTF">2020-10-23T12:42:40Z</dcterms:modified>
</cp:coreProperties>
</file>