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499"/>
        <w:spacing w:after="0"/>
        <w:rPr>
          <w:sz w:val="20"/>
          <w:szCs w:val="20"/>
          <w:color w:val="auto"/>
        </w:rPr>
      </w:pPr>
      <w:r>
        <w:rPr>
          <w:rFonts w:ascii="Times New Roman" w:cs="Times New Roman" w:eastAsia="Times New Roman" w:hAnsi="Times New Roman"/>
          <w:sz w:val="22"/>
          <w:szCs w:val="22"/>
          <w:color w:val="auto"/>
        </w:rPr>
        <w:t>15440 Laguna Canyon Road, Suite 160, Irvine, California, 92618</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92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562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87650L103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3,000,000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6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3,000,000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60" w:orient="portrait"/>
          <w:cols w:equalWidth="0" w:num="1">
            <w:col w:w="10980"/>
          </w:cols>
          <w:pgMar w:left="360" w:top="112" w:right="559" w:bottom="0" w:gutter="0" w:footer="0" w:header="0"/>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September 30, 2025, is incorporated by reference to items (5) - (9) and (11) of the cover page of the respective Reporting Person The amount beneficially owned by each Reporting Person is determined based on 42,214,106 Common Stock outstanding as of July 31, 2025, according to the issuer's 10-Q filed with the SEC on August 6, 2025. 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November 14, 2025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2025-11-14T07:25:28Z</dcterms:created>
  <dcterms:modified xsi:type="dcterms:W3CDTF">2025-11-14T07:25:28Z</dcterms:modified>
</cp:coreProperties>
</file>