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98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Azamian Bobak R.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480"/>
            <w:col w:w="3103" w:space="720"/>
            <w:col w:w="3357"/>
          </w:cols>
          <w:pgMar w:left="460" w:top="217" w:right="359" w:bottom="989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184150</wp:posOffset>
            </wp:positionV>
            <wp:extent cx="6967855" cy="2221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222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98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Bobak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Azamian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21,575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1,233,271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established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April 16,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Bobak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Azamian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21,575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21,575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established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April 16,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-2786380</wp:posOffset>
            </wp:positionV>
            <wp:extent cx="7033895" cy="2828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82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prior to the closing of the Issuer's initial public offering, each share of Series A Preferred Stock and Series B Preferred Stock (collectively, the "Preferred Stock") automatically converted into shares of the Issuer's common stock, par value $0.0001 per share, on a one-for-one basis. The shares of Preferred Stock had no expiration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 the Bobak Azamian Living Trust, established April 16, 2018 and has voting and dispositive power with respect to these shares.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Leo Greenstein,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3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593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98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767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2020-10-20T18:54:33Z</dcterms:created>
  <dcterms:modified xsi:type="dcterms:W3CDTF">2020-10-20T18:54:33Z</dcterms:modified>
</cp:coreProperties>
</file>