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Mottiwala Aziz</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403"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IRVINE</w:t>
            </w:r>
          </w:p>
        </w:tc>
        <w:tc>
          <w:tcPr>
            <w:tcW w:w="1120" w:type="dxa"/>
            <w:vAlign w:val="bottom"/>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92618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540" w:type="dxa"/>
            <w:vAlign w:val="bottom"/>
            <w:gridSpan w:val="3"/>
          </w:tcPr>
          <w:p>
            <w:pPr>
              <w:ind w:left="80"/>
              <w:spacing w:after="0"/>
              <w:rPr>
                <w:sz w:val="20"/>
                <w:szCs w:val="20"/>
                <w:color w:val="auto"/>
              </w:rPr>
            </w:pPr>
            <w:r>
              <w:rPr>
                <w:rFonts w:ascii="Arial" w:cs="Arial" w:eastAsia="Arial" w:hAnsi="Arial"/>
                <w:sz w:val="18"/>
                <w:szCs w:val="18"/>
                <w:color w:val="0000FF"/>
              </w:rPr>
              <w:t>07/19/2023</w:t>
            </w:r>
          </w:p>
        </w:tc>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8"/>
                <w:szCs w:val="18"/>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07/19/2023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2,400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20.05</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45,806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by an automatic sale pursuant to a Rule 10b5-1 trading plan adopted by the Reporting Person on August 26, 2022.</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pooled and sold in multiple transactions at prices ranging from $20.00 to $20.10.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120 shares acquired under the Issuer's employee stock purchase plan on June 30,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Jeffrey Farrow, Attorney-</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07/21/2023</w:t>
            </w:r>
          </w:p>
        </w:tc>
        <w:tc>
          <w:tcPr>
            <w:tcW w:w="0" w:type="dxa"/>
            <w:vAlign w:val="bottom"/>
          </w:tcPr>
          <w:p>
            <w:pPr>
              <w:spacing w:after="0"/>
              <w:rPr>
                <w:sz w:val="1"/>
                <w:szCs w:val="1"/>
                <w:color w:val="auto"/>
              </w:rPr>
            </w:pPr>
          </w:p>
        </w:tc>
      </w:tr>
      <w:tr>
        <w:trPr>
          <w:trHeight w:val="88"/>
        </w:trPr>
        <w:tc>
          <w:tcPr>
            <w:tcW w:w="20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2023-07-21T16:49:08Z</dcterms:created>
  <dcterms:modified xsi:type="dcterms:W3CDTF">2023-07-21T16:49:08Z</dcterms:modified>
</cp:coreProperties>
</file>