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4" w:before="0" w:after="0"/>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9836" w:type="dxa"/>
        <w:jc w:val="center"/>
        <w:tblInd w:w="0" w:type="dxa"/>
        <w:tblCellMar>
          <w:top w:w="28" w:type="dxa"/>
          <w:left w:w="28" w:type="dxa"/>
          <w:bottom w:w="28" w:type="dxa"/>
          <w:right w:w="28" w:type="dxa"/>
        </w:tblCellMar>
      </w:tblPr>
      <w:tblGrid>
        <w:gridCol w:w="124"/>
        <w:gridCol w:w="109"/>
        <w:gridCol w:w="109"/>
        <w:gridCol w:w="2781"/>
        <w:gridCol w:w="2781"/>
        <w:gridCol w:w="39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spacing w:lineRule="auto" w:line="264" w:before="300" w:after="283"/>
        <w:ind w:left="0" w:right="0" w:firstLine="54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CellMar>
          <w:top w:w="28" w:type="dxa"/>
          <w:left w:w="28" w:type="dxa"/>
          <w:bottom w:w="28" w:type="dxa"/>
          <w:right w:w="28" w:type="dxa"/>
        </w:tblCellMar>
      </w:tblPr>
      <w:tblGrid>
        <w:gridCol w:w="124"/>
        <w:gridCol w:w="109"/>
        <w:gridCol w:w="109"/>
        <w:gridCol w:w="2771"/>
        <w:gridCol w:w="2771"/>
        <w:gridCol w:w="39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39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spacing w:lineRule="auto" w:line="264" w:before="180" w:after="283"/>
        <w:ind w:left="0" w:right="0" w:firstLine="540"/>
        <w:jc w:val="center"/>
        <w:rPr/>
      </w:pPr>
      <w:r>
        <w:rPr>
          <w:rFonts w:ascii="Times New Roman;sans-serif" w:hAnsi="Times New Roman;sans-serif"/>
          <w:b/>
          <w:color w:val="000000"/>
          <w:sz w:val="18"/>
        </w:rPr>
        <w:t>For the transition period from _____</w:t>
      </w:r>
      <w:r>
        <w:rPr>
          <w:color w:val="000000"/>
          <w:u w:val="single"/>
        </w:rPr>
        <w:t> </w:t>
      </w:r>
      <w:r>
        <w:rPr>
          <w:rFonts w:ascii="Times New Roman;sans-serif" w:hAnsi="Times New Roman;sans-serif"/>
          <w:b/>
          <w:color w:val="000000"/>
          <w:sz w:val="18"/>
        </w:rPr>
        <w:t>to ____</w:t>
      </w:r>
      <w:r>
        <w:rPr>
          <w:color w:val="000000"/>
          <w:u w:val="single"/>
        </w:rPr>
        <w:t> </w:t>
      </w:r>
      <w:r>
        <w:rPr>
          <w:rFonts w:ascii="Times New Roman;sans-serif" w:hAnsi="Times New Roman;sans-serif"/>
          <w:b/>
          <w:color w:val="000000"/>
          <w:sz w:val="18"/>
        </w:rPr>
        <w:t>.</w:t>
      </w:r>
      <w:r>
        <w:rPr>
          <w:color w:val="000000"/>
        </w:rPr>
        <w:t> </w:t>
      </w:r>
    </w:p>
    <w:p>
      <w:pPr>
        <w:pStyle w:val="TextBody"/>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001-39614</w:t>
      </w:r>
    </w:p>
    <w:p>
      <w:pPr>
        <w:pStyle w:val="TextBody"/>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332" w:type="dxa"/>
        <w:jc w:val="center"/>
        <w:tblInd w:w="0" w:type="dxa"/>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452" w:type="dxa"/>
        <w:jc w:val="center"/>
        <w:tblInd w:w="0" w:type="dxa"/>
        <w:tblCellMar>
          <w:top w:w="28" w:type="dxa"/>
          <w:left w:w="28" w:type="dxa"/>
          <w:bottom w:w="28" w:type="dxa"/>
          <w:right w:w="28" w:type="dxa"/>
        </w:tblCellMar>
      </w:tblPr>
      <w:tblGrid>
        <w:gridCol w:w="1133"/>
        <w:gridCol w:w="997"/>
        <w:gridCol w:w="1005"/>
        <w:gridCol w:w="109"/>
        <w:gridCol w:w="109"/>
        <w:gridCol w:w="109"/>
        <w:gridCol w:w="290"/>
        <w:gridCol w:w="290"/>
        <w:gridCol w:w="410"/>
      </w:tblGrid>
      <w:tr>
        <w:trPr/>
        <w:tc>
          <w:tcPr>
            <w:tcW w:w="1133"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Irvine,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92618</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(949) 409-9820</w:t>
      </w:r>
    </w:p>
    <w:p>
      <w:pPr>
        <w:pStyle w:val="TextBody"/>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64"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08" w:type="dxa"/>
        <w:jc w:val="center"/>
        <w:tblInd w:w="0" w:type="dxa"/>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 LLC</w:t>
            </w:r>
          </w:p>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Yes ☒ No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8" w:type="dxa"/>
        <w:jc w:val="left"/>
        <w:tblInd w:w="0" w:type="dxa"/>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80"/>
        <w:gridCol w:w="109"/>
        <w:gridCol w:w="109"/>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990"/>
        <w:jc w:val="both"/>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spacing w:before="0" w:after="0"/>
        <w:ind w:left="0" w:right="0" w:firstLine="99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As of May 4, 2023, the number of outstanding shares of the registrant's common stock, par value $0.0001 per share, was 26,803,733.</w:t>
      </w:r>
    </w:p>
    <w:p>
      <w:pPr>
        <w:pStyle w:val="TextBody"/>
        <w:spacing w:before="0" w:after="0"/>
        <w:ind w:left="0" w:right="0" w:firstLine="9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21" w:type="dxa"/>
        <w:jc w:val="center"/>
        <w:tblInd w:w="0" w:type="dxa"/>
        <w:tblCellMar>
          <w:top w:w="28" w:type="dxa"/>
          <w:left w:w="28" w:type="dxa"/>
          <w:bottom w:w="28" w:type="dxa"/>
          <w:right w:w="28" w:type="dxa"/>
        </w:tblCellMar>
      </w:tblPr>
      <w:tblGrid>
        <w:gridCol w:w="2877"/>
        <w:gridCol w:w="2529"/>
        <w:gridCol w:w="2543"/>
        <w:gridCol w:w="109"/>
        <w:gridCol w:w="109"/>
        <w:gridCol w:w="154"/>
      </w:tblGrid>
      <w:tr>
        <w:trPr/>
        <w:tc>
          <w:tcPr>
            <w:tcW w:w="2877"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2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
              <w:r>
                <w:rPr>
                  <w:rStyle w:val="InternetLink"/>
                  <w:rFonts w:ascii="Times New Roman;sans-serif" w:hAnsi="Times New Roman;sans-serif"/>
                  <w:b w:val="false"/>
                  <w:color w:val="0000FF"/>
                  <w:sz w:val="20"/>
                  <w:u w:val="single"/>
                </w:rPr>
                <w:t>Part I -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3">
              <w:r>
                <w:rPr>
                  <w:rStyle w:val="InternetLink"/>
                  <w:rFonts w:ascii="Times New Roman;sans-serif" w:hAnsi="Times New Roman;sans-serif"/>
                  <w:b w:val="false"/>
                  <w:color w:val="0000FF"/>
                  <w:sz w:val="20"/>
                  <w:u w:val="single"/>
                </w:rPr>
                <w:t>Item 1. Financial Statements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3">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7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70">
              <w:r>
                <w:rPr>
                  <w:rStyle w:val="InternetLink"/>
                  <w:rFonts w:ascii="Times New Roman;sans-serif" w:hAnsi="Times New Roman;sans-serif"/>
                  <w:b w:val="false"/>
                  <w:strike w:val="false"/>
                  <w:dstrike w:val="false"/>
                  <w:color w:val="000000"/>
                  <w:sz w:val="20"/>
                  <w:u w:val="none"/>
                  <w:effect w:val="none"/>
                </w:rPr>
                <w:t>24</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76">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76">
              <w:r>
                <w:rPr>
                  <w:rStyle w:val="InternetLink"/>
                  <w:rFonts w:ascii="Times New Roman;sans-serif" w:hAnsi="Times New Roman;sans-serif"/>
                  <w:b w:val="false"/>
                  <w:strike w:val="false"/>
                  <w:dstrike w:val="false"/>
                  <w:color w:val="000000"/>
                  <w:sz w:val="20"/>
                  <w:u w:val="none"/>
                  <w:effect w:val="none"/>
                </w:rPr>
                <w:t>35</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79">
              <w:r>
                <w:rPr>
                  <w:rStyle w:val="InternetLink"/>
                  <w:rFonts w:ascii="Times New Roman;sans-serif" w:hAnsi="Times New Roman;sans-serif"/>
                  <w:b w:val="false"/>
                  <w:color w:val="0000FF"/>
                  <w:sz w:val="20"/>
                  <w:u w:val="single"/>
                </w:rPr>
                <w:t>Item 4. 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79">
              <w:r>
                <w:rPr>
                  <w:rStyle w:val="InternetLink"/>
                  <w:rFonts w:ascii="Times New Roman;sans-serif" w:hAnsi="Times New Roman;sans-serif"/>
                  <w:b w:val="false"/>
                  <w:strike w:val="false"/>
                  <w:dstrike w:val="false"/>
                  <w:color w:val="000000"/>
                  <w:sz w:val="20"/>
                  <w:u w:val="none"/>
                  <w:effect w:val="none"/>
                </w:rPr>
                <w:t>35</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82">
              <w:r>
                <w:rPr>
                  <w:rStyle w:val="InternetLink"/>
                  <w:rFonts w:ascii="Times New Roman;sans-serif" w:hAnsi="Times New Roman;sans-serif"/>
                  <w:b w:val="false"/>
                  <w:color w:val="0000FF"/>
                  <w:sz w:val="20"/>
                  <w:u w:val="single"/>
                </w:rPr>
                <w:t>Part II -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82">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85">
              <w:r>
                <w:rPr>
                  <w:rStyle w:val="InternetLink"/>
                  <w:rFonts w:ascii="Times New Roman;sans-serif" w:hAnsi="Times New Roman;sans-serif"/>
                  <w:b w:val="false"/>
                  <w:color w:val="0000FF"/>
                  <w:sz w:val="20"/>
                  <w:u w:val="single"/>
                </w:rPr>
                <w:t>Item 1. 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85">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88">
              <w:r>
                <w:rPr>
                  <w:rStyle w:val="InternetLink"/>
                  <w:rFonts w:ascii="Times New Roman;sans-serif" w:hAnsi="Times New Roman;sans-serif"/>
                  <w:b w:val="false"/>
                  <w:color w:val="0000FF"/>
                  <w:sz w:val="20"/>
                  <w:u w:val="single"/>
                </w:rPr>
                <w:t>Item 1A. 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88">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91">
              <w:r>
                <w:rPr>
                  <w:rStyle w:val="InternetLink"/>
                  <w:rFonts w:ascii="Times New Roman;sans-serif" w:hAnsi="Times New Roman;sans-serif"/>
                  <w:b w:val="false"/>
                  <w:color w:val="0000FF"/>
                  <w:sz w:val="20"/>
                  <w:u w:val="single"/>
                </w:rPr>
                <w:t>Item 2. 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91">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94">
              <w:r>
                <w:rPr>
                  <w:rStyle w:val="InternetLink"/>
                  <w:rFonts w:ascii="Times New Roman;sans-serif" w:hAnsi="Times New Roman;sans-serif"/>
                  <w:b w:val="false"/>
                  <w:color w:val="0000FF"/>
                  <w:sz w:val="20"/>
                  <w:u w:val="single"/>
                </w:rPr>
                <w:t>Item 3. Defaults Upon Senior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94">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97">
              <w:r>
                <w:rPr>
                  <w:rStyle w:val="InternetLink"/>
                  <w:rFonts w:ascii="Times New Roman;sans-serif" w:hAnsi="Times New Roman;sans-serif"/>
                  <w:b w:val="false"/>
                  <w:color w:val="0000FF"/>
                  <w:sz w:val="20"/>
                  <w:u w:val="single"/>
                </w:rPr>
                <w:t>Item 4. Mine Safety Disclosures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97">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0">
              <w:r>
                <w:rPr>
                  <w:rStyle w:val="InternetLink"/>
                  <w:rFonts w:ascii="Times New Roman;sans-serif" w:hAnsi="Times New Roman;sans-serif"/>
                  <w:b w:val="false"/>
                  <w:color w:val="0000FF"/>
                  <w:sz w:val="20"/>
                  <w:u w:val="single"/>
                </w:rPr>
                <w:t>Item 5.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0">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3">
              <w:r>
                <w:rPr>
                  <w:rStyle w:val="InternetLink"/>
                  <w:rFonts w:ascii="Times New Roman;sans-serif" w:hAnsi="Times New Roman;sans-serif"/>
                  <w:b w:val="false"/>
                  <w:color w:val="0000FF"/>
                  <w:sz w:val="20"/>
                  <w:u w:val="single"/>
                </w:rPr>
                <w:t>Item 6. 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3">
              <w:r>
                <w:rPr>
                  <w:rStyle w:val="InternetLink"/>
                  <w:rFonts w:ascii="Times New Roman;sans-serif" w:hAnsi="Times New Roman;sans-serif"/>
                  <w:b w:val="false"/>
                  <w:strike w:val="false"/>
                  <w:dstrike w:val="false"/>
                  <w:color w:val="000000"/>
                  <w:sz w:val="20"/>
                  <w:u w:val="none"/>
                  <w:effect w:val="none"/>
                </w:rPr>
                <w:t>38</w:t>
              </w:r>
            </w:hyperlink>
          </w:p>
        </w:tc>
      </w:tr>
      <w:tr>
        <w:trPr/>
        <w:tc>
          <w:tcPr>
            <w:tcW w:w="79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6">
              <w:r>
                <w:rPr>
                  <w:rStyle w:val="InternetLink"/>
                  <w:rFonts w:ascii="Times New Roman;sans-serif" w:hAnsi="Times New Roman;sans-serif"/>
                  <w:b w:val="false"/>
                  <w:color w:val="0000FF"/>
                  <w:sz w:val="20"/>
                  <w:u w:val="singl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06">
              <w:r>
                <w:rPr>
                  <w:rStyle w:val="InternetLink"/>
                  <w:rFonts w:ascii="Times New Roman;sans-serif" w:hAnsi="Times New Roman;sans-serif"/>
                  <w:b w:val="false"/>
                  <w:strike w:val="false"/>
                  <w:dstrike w:val="false"/>
                  <w:color w:val="000000"/>
                  <w:sz w:val="20"/>
                  <w:u w:val="none"/>
                  <w:effect w:val="none"/>
                </w:rPr>
                <w:t>39</w:t>
              </w:r>
            </w:hyperlink>
          </w:p>
        </w:tc>
      </w:tr>
    </w:tbl>
    <w:p>
      <w:pPr>
        <w:pStyle w:val="TextBody"/>
        <w:spacing w:before="240" w:after="283"/>
        <w:ind w:left="0" w:right="0" w:firstLine="9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I.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5760" w:type="dxa"/>
        <w:jc w:val="center"/>
        <w:tblInd w:w="0" w:type="dxa"/>
        <w:tblCellMar>
          <w:top w:w="28" w:type="dxa"/>
          <w:left w:w="28" w:type="dxa"/>
          <w:bottom w:w="28" w:type="dxa"/>
          <w:right w:w="28" w:type="dxa"/>
        </w:tblCellMar>
      </w:tblPr>
      <w:tblGrid>
        <w:gridCol w:w="1878"/>
        <w:gridCol w:w="1653"/>
        <w:gridCol w:w="1658"/>
        <w:gridCol w:w="167"/>
        <w:gridCol w:w="167"/>
        <w:gridCol w:w="237"/>
      </w:tblGrid>
      <w:tr>
        <w:trPr/>
        <w:tc>
          <w:tcPr>
            <w:tcW w:w="1878"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19">
              <w:r>
                <w:rPr>
                  <w:rStyle w:val="InternetLink"/>
                  <w:rFonts w:ascii="Times New Roman;sans-serif" w:hAnsi="Times New Roman;sans-serif"/>
                  <w:b w:val="false"/>
                  <w:color w:val="0000FF"/>
                  <w:sz w:val="20"/>
                  <w:u w:val="single"/>
                </w:rPr>
                <w:t>Condensed Balance Sheets</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F-2</w:t>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22">
              <w:r>
                <w:rPr>
                  <w:rStyle w:val="InternetLink"/>
                  <w:rFonts w:ascii="Times New Roman;sans-serif" w:hAnsi="Times New Roman;sans-serif"/>
                  <w:b w:val="false"/>
                  <w:color w:val="0000FF"/>
                  <w:sz w:val="20"/>
                  <w:u w:val="single"/>
                </w:rPr>
                <w:t>Condensed Statements of Operations and Comprehensive Loss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F-3</w:t>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25">
              <w:r>
                <w:rPr>
                  <w:rStyle w:val="InternetLink"/>
                  <w:rFonts w:ascii="Times New Roman;sans-serif" w:hAnsi="Times New Roman;sans-serif"/>
                  <w:b w:val="false"/>
                  <w:color w:val="0000FF"/>
                  <w:sz w:val="20"/>
                  <w:u w:val="single"/>
                </w:rPr>
                <w:t>Condensed Statements of Stockholders’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F-4</w:t>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28">
              <w:r>
                <w:rPr>
                  <w:rStyle w:val="InternetLink"/>
                  <w:rFonts w:ascii="Times New Roman;sans-serif" w:hAnsi="Times New Roman;sans-serif"/>
                  <w:b w:val="false"/>
                  <w:color w:val="0000FF"/>
                  <w:sz w:val="20"/>
                  <w:u w:val="single"/>
                </w:rPr>
                <w:t>Condensed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779edde9dc94c55bb7cd8d1f6f5224d_31">
              <w:r>
                <w:rPr>
                  <w:rStyle w:val="InternetLink"/>
                  <w:rFonts w:ascii="Times New Roman;sans-serif" w:hAnsi="Times New Roman;sans-serif"/>
                  <w:b w:val="false"/>
                  <w:color w:val="0000FF"/>
                  <w:sz w:val="20"/>
                  <w:u w:val="single"/>
                </w:rPr>
                <w:t>Notes to Condensed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F-6</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spacing w:lineRule="auto" w:line="288" w:before="0" w:after="0"/>
        <w:jc w:val="center"/>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2880"/>
        <w:gridCol w:w="2344"/>
        <w:gridCol w:w="2226"/>
        <w:gridCol w:w="214"/>
        <w:gridCol w:w="804"/>
        <w:gridCol w:w="119"/>
        <w:gridCol w:w="109"/>
        <w:gridCol w:w="109"/>
        <w:gridCol w:w="109"/>
        <w:gridCol w:w="232"/>
        <w:gridCol w:w="873"/>
        <w:gridCol w:w="186"/>
      </w:tblGrid>
      <w:tr>
        <w:trPr/>
        <w:tc>
          <w:tcPr>
            <w:tcW w:w="2880" w:type="dxa"/>
            <w:tcBorders/>
            <w:shd w:fill="auto" w:val="clear"/>
            <w:vAlign w:val="center"/>
          </w:tcPr>
          <w:p>
            <w:pPr>
              <w:pStyle w:val="TableContents"/>
              <w:spacing w:before="0" w:after="283"/>
              <w:rPr>
                <w:sz w:val="4"/>
                <w:szCs w:val="4"/>
              </w:rPr>
            </w:pPr>
            <w:r>
              <w:rPr>
                <w:sz w:val="4"/>
                <w:szCs w:val="4"/>
              </w:rPr>
            </w:r>
          </w:p>
        </w:tc>
        <w:tc>
          <w:tcPr>
            <w:tcW w:w="2344"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5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208,646 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225,375 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Commitments and contingencies (</w:t>
            </w:r>
            <w:r>
              <w:rPr>
                <w:rFonts w:ascii="Times New Roman;sans-serif" w:hAnsi="Times New Roman;sans-serif"/>
                <w:b/>
                <w:i/>
                <w:color w:val="000000"/>
                <w:sz w:val="18"/>
              </w:rPr>
              <w:t>Note 8</w:t>
            </w:r>
            <w:r>
              <w:rPr>
                <w:rFonts w:ascii="Times New Roman;sans-serif" w:hAnsi="Times New Roman;sans-serif"/>
                <w:b/>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26,800,512 shares issued and outstanding at March 31, 2023 (unaudited); 26,727,458 shares issued and outstanding at December 31, 2022</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305,651 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(132,182)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211,214 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before="0" w:after="0"/>
        <w:jc w:val="center"/>
        <w:rPr/>
      </w:pPr>
      <w:r>
        <w:rPr/>
      </w:r>
    </w:p>
    <w:tbl>
      <w:tblPr>
        <w:tblW w:w="8348" w:type="dxa"/>
        <w:jc w:val="center"/>
        <w:tblInd w:w="0" w:type="dxa"/>
        <w:tblCellMar>
          <w:top w:w="28" w:type="dxa"/>
          <w:left w:w="28" w:type="dxa"/>
          <w:bottom w:w="28" w:type="dxa"/>
          <w:right w:w="28" w:type="dxa"/>
        </w:tblCellMar>
      </w:tblPr>
      <w:tblGrid>
        <w:gridCol w:w="1840"/>
        <w:gridCol w:w="1615"/>
        <w:gridCol w:w="1630"/>
        <w:gridCol w:w="109"/>
        <w:gridCol w:w="109"/>
        <w:gridCol w:w="140"/>
        <w:gridCol w:w="140"/>
        <w:gridCol w:w="253"/>
        <w:gridCol w:w="930"/>
        <w:gridCol w:w="140"/>
        <w:gridCol w:w="109"/>
        <w:gridCol w:w="109"/>
        <w:gridCol w:w="109"/>
        <w:gridCol w:w="219"/>
        <w:gridCol w:w="742"/>
        <w:gridCol w:w="154"/>
      </w:tblGrid>
      <w:tr>
        <w:trPr/>
        <w:tc>
          <w:tcPr>
            <w:tcW w:w="1840"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42" w:type="dxa"/>
            <w:gridSpan w:val="6"/>
            <w:tcBorders/>
            <w:shd w:fill="auto" w:val="clea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 and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(expense), net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marketable securities and cash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26,742,023 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20,710,224 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26,742,023 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20,710,224 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before="0" w:after="0"/>
        <w:jc w:val="center"/>
        <w:rPr/>
      </w:pPr>
      <w:r>
        <w:rPr/>
      </w:r>
    </w:p>
    <w:tbl>
      <w:tblPr>
        <w:tblW w:w="10825" w:type="dxa"/>
        <w:jc w:val="center"/>
        <w:tblInd w:w="0" w:type="dxa"/>
        <w:tblCellMar>
          <w:top w:w="28" w:type="dxa"/>
          <w:left w:w="28" w:type="dxa"/>
          <w:bottom w:w="28" w:type="dxa"/>
          <w:right w:w="28" w:type="dxa"/>
        </w:tblCellMar>
      </w:tblPr>
      <w:tblGrid>
        <w:gridCol w:w="621"/>
        <w:gridCol w:w="282"/>
        <w:gridCol w:w="283"/>
        <w:gridCol w:w="203"/>
        <w:gridCol w:w="203"/>
        <w:gridCol w:w="181"/>
        <w:gridCol w:w="109"/>
        <w:gridCol w:w="109"/>
        <w:gridCol w:w="109"/>
        <w:gridCol w:w="196"/>
        <w:gridCol w:w="406"/>
        <w:gridCol w:w="109"/>
        <w:gridCol w:w="109"/>
        <w:gridCol w:w="109"/>
        <w:gridCol w:w="109"/>
        <w:gridCol w:w="480"/>
        <w:gridCol w:w="481"/>
        <w:gridCol w:w="181"/>
        <w:gridCol w:w="109"/>
        <w:gridCol w:w="109"/>
        <w:gridCol w:w="109"/>
        <w:gridCol w:w="226"/>
        <w:gridCol w:w="278"/>
        <w:gridCol w:w="127"/>
        <w:gridCol w:w="109"/>
        <w:gridCol w:w="109"/>
        <w:gridCol w:w="109"/>
        <w:gridCol w:w="196"/>
        <w:gridCol w:w="736"/>
        <w:gridCol w:w="109"/>
        <w:gridCol w:w="109"/>
        <w:gridCol w:w="109"/>
        <w:gridCol w:w="109"/>
        <w:gridCol w:w="329"/>
        <w:gridCol w:w="582"/>
        <w:gridCol w:w="185"/>
        <w:gridCol w:w="109"/>
        <w:gridCol w:w="109"/>
        <w:gridCol w:w="109"/>
        <w:gridCol w:w="196"/>
        <w:gridCol w:w="751"/>
        <w:gridCol w:w="109"/>
        <w:gridCol w:w="109"/>
        <w:gridCol w:w="109"/>
        <w:gridCol w:w="109"/>
        <w:gridCol w:w="196"/>
        <w:gridCol w:w="736"/>
        <w:gridCol w:w="154"/>
      </w:tblGrid>
      <w:tr>
        <w:trPr/>
        <w:tc>
          <w:tcPr>
            <w:tcW w:w="6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br/>
              <w:t>Stockholders’</w:t>
              <w:br/>
              <w:t>Equity</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26,727,458 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26,800,512 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200" w:after="283"/>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732"/>
        <w:gridCol w:w="485"/>
        <w:gridCol w:w="486"/>
        <w:gridCol w:w="203"/>
        <w:gridCol w:w="203"/>
        <w:gridCol w:w="196"/>
        <w:gridCol w:w="109"/>
        <w:gridCol w:w="109"/>
        <w:gridCol w:w="109"/>
        <w:gridCol w:w="196"/>
        <w:gridCol w:w="406"/>
        <w:gridCol w:w="109"/>
        <w:gridCol w:w="109"/>
        <w:gridCol w:w="109"/>
        <w:gridCol w:w="109"/>
        <w:gridCol w:w="480"/>
        <w:gridCol w:w="481"/>
        <w:gridCol w:w="196"/>
        <w:gridCol w:w="109"/>
        <w:gridCol w:w="109"/>
        <w:gridCol w:w="109"/>
        <w:gridCol w:w="248"/>
        <w:gridCol w:w="305"/>
        <w:gridCol w:w="138"/>
        <w:gridCol w:w="109"/>
        <w:gridCol w:w="109"/>
        <w:gridCol w:w="109"/>
        <w:gridCol w:w="223"/>
        <w:gridCol w:w="837"/>
        <w:gridCol w:w="123"/>
        <w:gridCol w:w="109"/>
        <w:gridCol w:w="109"/>
        <w:gridCol w:w="109"/>
        <w:gridCol w:w="213"/>
        <w:gridCol w:w="719"/>
        <w:gridCol w:w="119"/>
        <w:gridCol w:w="109"/>
        <w:gridCol w:w="109"/>
        <w:gridCol w:w="109"/>
        <w:gridCol w:w="205"/>
        <w:gridCol w:w="773"/>
        <w:gridCol w:w="167"/>
      </w:tblGrid>
      <w:tr>
        <w:trPr/>
        <w:tc>
          <w:tcPr>
            <w:tcW w:w="73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7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vMerge w:val="continue"/>
            <w:tcBorders/>
            <w:shd w:fill="FFFFFF" w:val="clear"/>
            <w:tcMar>
              <w:top w:w="0" w:type="dxa"/>
              <w:left w:w="0" w:type="dxa"/>
              <w:bottom w:w="0" w:type="dxa"/>
              <w:right w:w="0" w:type="dxa"/>
            </w:tcMar>
            <w:vAlign w:val="center"/>
          </w:tcPr>
          <w:p>
            <w:pPr>
              <w:pStyle w:val="Normal"/>
              <w:rPr/>
            </w:pPr>
            <w:r>
              <w:rPr/>
            </w:r>
          </w:p>
        </w:tc>
        <w:tc>
          <w:tcPr>
            <w:tcW w:w="1145"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20,698,737 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213,398 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Lapse of repurchase obligation for stock option exercises, prior to vesting</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20,718,528 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216,103 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(66,910)</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149,197 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9533" w:type="dxa"/>
        <w:jc w:val="center"/>
        <w:tblInd w:w="0" w:type="dxa"/>
        <w:tblCellMar>
          <w:top w:w="28" w:type="dxa"/>
          <w:left w:w="28" w:type="dxa"/>
          <w:bottom w:w="28" w:type="dxa"/>
          <w:right w:w="28" w:type="dxa"/>
        </w:tblCellMar>
      </w:tblPr>
      <w:tblGrid>
        <w:gridCol w:w="2567"/>
        <w:gridCol w:w="2260"/>
        <w:gridCol w:w="2267"/>
        <w:gridCol w:w="196"/>
        <w:gridCol w:w="721"/>
        <w:gridCol w:w="109"/>
        <w:gridCol w:w="109"/>
        <w:gridCol w:w="109"/>
        <w:gridCol w:w="109"/>
        <w:gridCol w:w="196"/>
        <w:gridCol w:w="736"/>
        <w:gridCol w:w="154"/>
      </w:tblGrid>
      <w:tr>
        <w:trPr/>
        <w:tc>
          <w:tcPr>
            <w:tcW w:w="2567"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22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3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term loan-related costs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discount on available-for-sale debt securities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from transactions denominated in a foreign currency</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equity awards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term loan issuance costs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deferred offering costs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Noncash Investing and Financing Activities: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obtained in exchange for operating lease liability</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in cash</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and equipment included within accounts payable and other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offering costs included within accounts payable and accrued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DESCRIPTION OF BUSINESS AND PRESENTATION OF FINANCIAL STATEMENTS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before="0" w:after="0"/>
        <w:rPr/>
      </w:pPr>
      <w:r>
        <w:rPr/>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Tarsus Pharmaceuticals, Inc. (“Tarsus” or the “Company”) is a biopharmaceutical company focused on the development and commercialization of therapeutics, starting with eye care. The Company’s operations currently consist of its preclinical and clinical studies, corporate administration and commercial leadership supporting planned business growth. </w:t>
      </w:r>
    </w:p>
    <w:p>
      <w:pPr>
        <w:pStyle w:val="TextBody"/>
        <w:spacing w:lineRule="auto" w:line="276" w:before="240" w:after="283"/>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val="false"/>
          <w:color w:val="000000"/>
          <w:sz w:val="20"/>
        </w:rPr>
        <w:t xml:space="preserve">The Company has a limited operating history, no product sales and has accumulated losses and negative cash flows from operations since inception. The Company has funded its inception-to-date operations through equity capital raises; including the Company's initial public offering in 2020 and the follow-on public offering completed in May 2022 (see </w:t>
      </w:r>
      <w:r>
        <w:rPr>
          <w:rFonts w:ascii="Times New Roman;sans-serif" w:hAnsi="Times New Roman;sans-serif"/>
          <w:b w:val="false"/>
          <w:i/>
          <w:color w:val="000000"/>
          <w:sz w:val="20"/>
        </w:rPr>
        <w:t>Note 5</w:t>
      </w:r>
      <w:r>
        <w:rPr>
          <w:rFonts w:ascii="Times New Roman;sans-serif" w:hAnsi="Times New Roman;sans-serif"/>
          <w:b w:val="false"/>
          <w:color w:val="000000"/>
          <w:sz w:val="20"/>
        </w:rPr>
        <w:t xml:space="preserve">), proceeds from its out-license agreement, and draws from its credit facility. The Company estimates that its existing capital resources will be sufficient to meet projected operating expense requirements for at least 12 months from the filing date of the accompanying Condensed Financial Statements in this Form 10-Q, which have been prepared on a going-concern basis.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Operating Segment </w:t>
      </w:r>
    </w:p>
    <w:p>
      <w:pPr>
        <w:pStyle w:val="TextBody"/>
        <w:spacing w:lineRule="auto" w:line="26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Company has operated, managed and organized its business and financial information on an aggregate basis for the purposes of evaluating financial performance and the allocation of capital and personnel resources. The Company’s chief operating decision-maker (CODM), its Chief Executive Officer, reviews its operating results for the purpose of allocating resources and evaluating financial performance. Accordingly, the Company’s management determined that it operates one reportable operating segment.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USE OF ESTIMATES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 Basis of Presentation</w:t>
      </w:r>
    </w:p>
    <w:p>
      <w:pPr>
        <w:pStyle w:val="TextBody"/>
        <w:spacing w:lineRule="auto" w:line="288" w:before="240" w:after="283"/>
        <w:ind w:left="0" w:right="0" w:firstLine="990"/>
        <w:rPr/>
      </w:pPr>
      <w:r>
        <w:rPr>
          <w:rFonts w:ascii="Times New Roman;sans-serif" w:hAnsi="Times New Roman;sans-serif"/>
          <w:b w:val="false"/>
          <w:color w:val="000000"/>
          <w:sz w:val="20"/>
        </w:rPr>
        <w:t>The Company’s Condensed Financial Statements have been prepared in conformity with generally accepted accounting principles ("GAAP") in the United States ("U.S.") for interim financial information pursuant to Form 10-Q and with the rules and regulations</w:t>
      </w:r>
      <w:r>
        <w:rPr>
          <w:color w:val="000000"/>
        </w:rPr>
        <w:t xml:space="preserve"> </w:t>
      </w:r>
      <w:r>
        <w:rPr>
          <w:rFonts w:ascii="Times New Roman;sans-serif" w:hAnsi="Times New Roman;sans-serif"/>
          <w:b w:val="false"/>
          <w:color w:val="000000"/>
          <w:sz w:val="20"/>
        </w:rPr>
        <w:t>of the Securities and Exchange Commission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2022, as filed with the SEC on March 17, 2023.</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Condensed Balance Sheet as of March 31, 2023, the interim Condensed Statements of Operations and Comprehensive Loss, the interim Condensed Statements of Stockholders’ Equity, and the interim Condensed Statements of Cash Flows for the three months ended March 31, 2023 and 2022,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data and other information disclosed in these notes related to the three-month periods are also unaudited. The Condensed Balance Sheet as of December 31, 2022 has been derived from the audited financial statements at that date but does not include all information and footnotes required by GAAP for annual financial statements. The condensed interim operating results for three months ended March 31, 2023 are not necessarily indicative of results to be expected for the year ending December 31, 2023 or any other interim or annual period.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and with the rules and regulations of the SEC requires management to make informed estimates and assumptions that affect the amounts reported in these financial statements and accompanying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Actual results could differ materially from those estimates.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financial statements as of and for the year ended December 31, 2022, reflect the Company’s estimates of the impact of the macroeconomic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val="false"/>
          <w:color w:val="000000"/>
          <w:sz w:val="20"/>
          <w:highlight w:val="white"/>
        </w:rPr>
        <w:t>Certain amounts in the prior years' financial statements have been reclassified to conform to the current year presentation. The Company reclassified license fees revenue and collaboration revenue which were historically separate financial statement line items on the Company's Statements of Operations and Comprehensive Loss and are now presented as a single revenue line</w:t>
      </w:r>
      <w:r>
        <w:rPr>
          <w:color w:val="000000"/>
        </w:rPr>
        <w:t>—</w:t>
      </w:r>
      <w:r>
        <w:rPr>
          <w:color w:val="000000"/>
          <w:highlight w:val="white"/>
        </w:rPr>
        <w:t xml:space="preserve"> </w:t>
      </w:r>
      <w:r>
        <w:rPr>
          <w:rFonts w:ascii="Times New Roman;sans-serif" w:hAnsi="Times New Roman;sans-serif"/>
          <w:b w:val="false"/>
          <w:color w:val="000000"/>
          <w:sz w:val="20"/>
          <w:highlight w:val="white"/>
        </w:rPr>
        <w:t xml:space="preserve">license fees and collaboration revenue. These reclassifications have no impact on total revenue or net loss.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significant accounting policies during the three months ended March 31, 2023, as compared with those disclosed in its Annual Report on Form 10-K for the year ended December 31, 2022, filed with the SEC on March 17, 2023, except as discussed below. The accounting policies and estimates that most significantly impact the presented amounts within the accompanying Condensed Financial Statements are further described below.</w:t>
      </w:r>
    </w:p>
    <w:p>
      <w:pPr>
        <w:pStyle w:val="TextBody"/>
        <w:spacing w:lineRule="auto" w:line="268" w:before="240" w:after="283"/>
        <w:rPr>
          <w:rFonts w:ascii="Times New Roman;sans-serif" w:hAnsi="Times New Roman;sans-serif"/>
          <w:b/>
          <w:i/>
          <w:color w:val="000000"/>
          <w:sz w:val="20"/>
        </w:rPr>
      </w:pPr>
      <w:r>
        <w:rPr>
          <w:rFonts w:ascii="Times New Roman;sans-serif" w:hAnsi="Times New Roman;sans-serif"/>
          <w:b/>
          <w:i/>
          <w:color w:val="000000"/>
          <w:sz w:val="20"/>
        </w:rPr>
        <w:t>(ii) Cash and Cash Equivalents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(iii) Marketable Securities and Long-Term Investments</w:t>
      </w:r>
    </w:p>
    <w:p>
      <w:pPr>
        <w:pStyle w:val="TextBody"/>
        <w:spacing w:lineRule="auto" w:line="288" w:before="240" w:after="283"/>
        <w:ind w:left="0" w:right="0" w:firstLine="990"/>
        <w:rPr/>
      </w:pPr>
      <w:r>
        <w:rPr>
          <w:rFonts w:ascii="Times New Roman;sans-serif" w:hAnsi="Times New Roman;sans-serif"/>
          <w:b w:val="false"/>
          <w:color w:val="000000"/>
          <w:sz w:val="20"/>
        </w:rPr>
        <w:t xml:space="preserve">Marketable securities consist of short-term fixed income investments carried at estimated fair value as determined based upon quoted market prices or pricing models for similar securities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xml:space="preserve">). Management determines the appropriate classification of its investments in fixed income securities at the time of purchase. Available-for-sale securities are classified as current assets on the accompanying Condensed Balance Sheets due to their highly liquid nature and availability for use in current operations.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Marketable securities are recorded at fair value with unrealized losses and gains reported as a component of accumulated other comprehensive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losses and gains as well as credit losses, if any, on marketable securities identified on a specific identification basis and are included in other income (expense), net on the accompanying Condensed Statement of Operations and Comprehensive Loss. The Company evaluated the underlying credit quality and credit ratings of the issuers during the period. To date, the Company has not identified any other than 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investments consist of holdings of common stock in the publicly-traded parent company of LianBio Ophthalmology Limited ("LianBio"), reflecting the intent to hold these shares for at least one year from the balance sheet date. These equity securities are designated as available-for-sale with associated gains or losses reported in other income (expense), net within the Condensed Statements of Operations and Comprehensive Loss for each reported period.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(iv) Fair Value Measurements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 that are publicly accessible at the measurement date.</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spacing w:lineRule="auto" w:line="288" w:before="240" w:after="283"/>
        <w:ind w:left="0" w:right="0" w:firstLine="990"/>
        <w:rPr/>
      </w:pPr>
      <w:r>
        <w:rPr>
          <w:rFonts w:ascii="Times New Roman;sans-serif" w:hAnsi="Times New Roman;sans-serif"/>
          <w:b w:val="false"/>
          <w:color w:val="000000"/>
          <w:sz w:val="20"/>
        </w:rPr>
        <w:t xml:space="preserve">The carrying amounts for financial instruments consisting of cash, cash equivalents, short-term marketable securities, long-term investments, accounts payable and accrued liabilities approximate fair value due to the short maturities for each. The Company's equity warrant holdings disclosed as other assets are carried at fair value based on unobservable market inputs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xml:space="preserv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 Property and Equipment, Net</w:t>
      </w:r>
    </w:p>
    <w:p>
      <w:pPr>
        <w:pStyle w:val="TextBody"/>
        <w:spacing w:before="0" w:after="0"/>
        <w:rPr/>
      </w:pPr>
      <w:r>
        <w:rPr/>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are stated at historical cost less accumulated depreciation. Depreciation is calculated using the straight-line method over the estimated useful lives of the assets that range from three to five years. Leasehold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three months ended March 31, 2023 and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(vi) Concentration of Credit Risk and Other Risks and Uncertainties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significant concentrations of credit risk consist primarily of cash, cash equivalents and marketable securities. The Company maintains cash held in deposit at financial institutions in the U.S., including Silicon Valley Bank ("SVB"). As of March 31, 2023 and December 2022, the Company held cash and cash equivalents in its depository accounts of $8.1 million and $15.0 million, respectively.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w:t>
      </w:r>
    </w:p>
    <w:p>
      <w:pPr>
        <w:pStyle w:val="TextBody"/>
        <w:spacing w:lineRule="auto" w:line="26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monitoring ongoing events involving limited liquidity, defaults, non-performance or other adverse developments that affect financial institutions, including SVB. On March 10, 2023, SVB was closed by the California Department of Financial Protection and Innovation, which appointed the FDIC as receiver, and all of SVB’s deposits and substantially all of SVB’s assets were transferred into a new entity, Silicon Valley Bridge Bank, N.A. (“SVBB”).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SVBB had assumed the obligations and commitments of former SVB and commitments to advance under existing credit agreements with former SVB will be honored by SVBB pursuant to the terms of such credit agreements. On March 27, 2023, First Citizens Bank assumed all of SVBB’s obligations and commitments, and SVBB began operating as Silicon Valley Bank,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Management believes the Company is not exposed to significant credit risk due to the financial position of the depository institution, but will continue to monitor regularly and adjust, if needed, to mitigate risk.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(vii) Revenue Recognition for Out-License Arrangements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Overview </w:t>
      </w:r>
    </w:p>
    <w:p>
      <w:pPr>
        <w:pStyle w:val="TextBody"/>
        <w:spacing w:before="0" w:after="0"/>
        <w:rPr/>
      </w:pPr>
      <w:r>
        <w:rPr/>
      </w:r>
    </w:p>
    <w:p>
      <w:pPr>
        <w:pStyle w:val="TextBody"/>
        <w:spacing w:lineRule="auto" w:line="288" w:before="0" w:after="0"/>
        <w:ind w:left="0" w:right="0" w:firstLine="990"/>
        <w:rPr/>
      </w:pPr>
      <w:r>
        <w:rPr>
          <w:rFonts w:ascii="Times New Roman;sans-serif" w:hAnsi="Times New Roman;sans-serif"/>
          <w:b w:val="false"/>
          <w:color w:val="000000"/>
          <w:sz w:val="20"/>
        </w:rPr>
        <w:t xml:space="preserve">The Company currently has no product revenue. Reported revenue in the accompanying Condensed Statements of Operations and Comprehensive Loss is associated with one out-license agreement (the "China Out-License") that allows the third-party licensee to market the Company's TP-03 product candidate (representing functional intellectual property) in the People's Republic of China, Hong Kong, Macau, and Taiwan (the "China territory")—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xml:space="preserve">.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 </w:t>
      </w:r>
    </w:p>
    <w:p>
      <w:pPr>
        <w:pStyle w:val="TextBody"/>
        <w:spacing w:before="0" w:after="0"/>
        <w:ind w:left="0" w:right="0" w:firstLine="990"/>
        <w:rPr/>
      </w:pPr>
      <w:r>
        <w:rPr/>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China Out-License arrangement included the following forms of consideration: (i) non-refundable upfront license payment, (ii) equity-based consideration, (iii) sales-based royalties, (iv) sales-based threshold milestones, (v) one-time payments for executing drug supply agreements, (vi) development milestone payments, and (vii) regulatory milestone payments.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spacing w:before="0" w:after="0"/>
        <w:ind w:left="0" w:right="0" w:firstLine="72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Contractual Terms for Receipt of Payments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terms that establish the Company’s right to collect specified amounts from its customers and that require contemporaneous evaluation and documentation under GAAP for the corresponding timing and amount of revenue recognition, are as follows: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(1) </w:t>
      </w:r>
      <w:r>
        <w:rPr>
          <w:rFonts w:ascii="Times New Roman;sans-serif" w:hAnsi="Times New Roman;sans-serif"/>
          <w:b/>
          <w:i/>
          <w:color w:val="000000"/>
          <w:sz w:val="20"/>
        </w:rPr>
        <w:t>Upfront License Fees:</w:t>
      </w:r>
      <w:r>
        <w:rPr>
          <w:color w:val="000000"/>
        </w:rPr>
        <w:t xml:space="preserve"> </w:t>
      </w:r>
      <w:r>
        <w:rPr>
          <w:rFonts w:ascii="Times New Roman;sans-serif" w:hAnsi="Times New Roman;sans-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(2) </w:t>
      </w:r>
      <w:r>
        <w:rPr>
          <w:rFonts w:ascii="Times New Roman;sans-serif" w:hAnsi="Times New Roman;sans-serif"/>
          <w:b/>
          <w:i/>
          <w:color w:val="000000"/>
          <w:sz w:val="20"/>
        </w:rPr>
        <w:t>Development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 </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(3) </w:t>
      </w:r>
      <w:r>
        <w:rPr>
          <w:rFonts w:ascii="Times New Roman;sans-serif" w:hAnsi="Times New Roman;sans-serif"/>
          <w:b/>
          <w:i/>
          <w:color w:val="000000"/>
          <w:sz w:val="20"/>
        </w:rPr>
        <w:t>Regulatory Milestones:</w:t>
      </w:r>
      <w:r>
        <w:rPr>
          <w:color w:val="000000"/>
        </w:rPr>
        <w:t xml:space="preserve"> </w:t>
      </w:r>
      <w:r>
        <w:rPr>
          <w:rFonts w:ascii="Times New Roman;sans-serif" w:hAnsi="Times New Roman;sans-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(4) </w:t>
      </w:r>
      <w:r>
        <w:rPr>
          <w:rFonts w:ascii="Times New Roman;sans-serif" w:hAnsi="Times New Roman;sans-serif"/>
          <w:b/>
          <w:i/>
          <w:color w:val="000000"/>
          <w:sz w:val="20"/>
        </w:rPr>
        <w:t>Royalties:</w:t>
      </w:r>
      <w:r>
        <w:rPr>
          <w:color w:val="000000"/>
        </w:rPr>
        <w:t xml:space="preserve"> </w:t>
      </w:r>
      <w:r>
        <w:rPr>
          <w:rFonts w:ascii="Times New Roman;sans-serif" w:hAnsi="Times New Roman;sans-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(5) </w:t>
      </w:r>
      <w:r>
        <w:rPr>
          <w:rFonts w:ascii="Times New Roman;sans-serif" w:hAnsi="Times New Roman;sans-serif"/>
          <w:b/>
          <w:i/>
          <w:color w:val="000000"/>
          <w:sz w:val="20"/>
        </w:rPr>
        <w:t>Sales Threshold Milestones:</w:t>
      </w:r>
      <w:r>
        <w:rPr>
          <w:color w:val="000000"/>
        </w:rPr>
        <w:t xml:space="preserve"> </w:t>
      </w:r>
      <w:r>
        <w:rPr>
          <w:rFonts w:ascii="Times New Roman;sans-serif" w:hAnsi="Times New Roman;sans-serif"/>
          <w:b w:val="false"/>
          <w:color w:val="000000"/>
          <w:sz w:val="20"/>
        </w:rPr>
        <w:t xml:space="preserve">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or (ii) the date upon which the performance obligation to which some or all of the milestone has been allocated has been satisfied or partially satisfied. To date, the Company has not recognized any sales threshold milestone revenue from the China Out-License.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re-evaluates the measure of progress to each performance obligation in each reporting period as uncertain events are resolved and other changes in circumstances occur. </w:t>
      </w:r>
    </w:p>
    <w:p>
      <w:pPr>
        <w:pStyle w:val="TextBody"/>
        <w:spacing w:lineRule="auto" w:line="268" w:before="240" w:after="283"/>
        <w:rPr>
          <w:rFonts w:ascii="Times New Roman;sans-serif" w:hAnsi="Times New Roman;sans-serif"/>
          <w:b/>
          <w:i/>
          <w:color w:val="000000"/>
          <w:sz w:val="20"/>
        </w:rPr>
      </w:pPr>
      <w:r>
        <w:rPr>
          <w:rFonts w:ascii="Times New Roman;sans-serif" w:hAnsi="Times New Roman;sans-serif"/>
          <w:b/>
          <w:i/>
          <w:color w:val="000000"/>
          <w:sz w:val="20"/>
        </w:rPr>
        <w:t>(viii) Research and Development Costs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costs of certain salaries and other employee-related costs (including stock-based compensation), and costs to conduct nonclinical studies, clinical trials and contract manufacturing activities.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(ix) Stock-Based Compensation</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stock on the date preceding the award grant date.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expense is reported in the accompanying Condensed Statements of Operations and Comprehensive Loss within research and development expense or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990"/>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 xml:space="preserve">Subsequent to the IPO, the fair value of the Company’s common stock is based on the closing quoted market price of its common stock as reported by the Nasdaq Global Select Market on the date of the option grant. </w:t>
      </w:r>
    </w:p>
    <w:p>
      <w:pPr>
        <w:pStyle w:val="TextBody"/>
        <w:spacing w:lineRule="auto" w:line="288" w:before="240" w:after="283"/>
        <w:ind w:left="0" w:right="0" w:firstLine="990"/>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 </w:t>
      </w:r>
    </w:p>
    <w:p>
      <w:pPr>
        <w:pStyle w:val="TextBody"/>
        <w:spacing w:lineRule="auto" w:line="288" w:before="240" w:after="283"/>
        <w:ind w:left="0" w:right="0" w:firstLine="990"/>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spacing w:lineRule="auto" w:line="288" w:before="240" w:after="283"/>
        <w:ind w:left="0" w:right="0" w:firstLine="990"/>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spacing w:lineRule="auto" w:line="288" w:before="240" w:after="283"/>
        <w:ind w:left="0" w:right="0" w:firstLine="990"/>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 xml:space="preserve">The Company’s expected dividend yield is zero because it has never paid cash dividends and does not expect to for the foreseeable future.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(x) Net Loss per Share</w:t>
      </w:r>
    </w:p>
    <w:p>
      <w:pPr>
        <w:pStyle w:val="TextBody"/>
        <w:spacing w:lineRule="auto" w:line="288" w:before="240" w:after="283"/>
        <w:ind w:left="0" w:right="0" w:firstLine="9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spacing w:before="0" w:after="0"/>
        <w:ind w:left="0" w:right="0" w:firstLine="990"/>
        <w:rPr/>
      </w:pPr>
      <w:r>
        <w:rPr/>
      </w:r>
    </w:p>
    <w:p>
      <w:pPr>
        <w:pStyle w:val="TextBody"/>
        <w:spacing w:lineRule="auto" w:line="28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Due to a net loss for the three months ended March 31, 2023 and 2022, all otherwise potentially dilutive securities are antidilutive, and accordingly, the reported basic net loss per share equals the reported diluted net loss per share in each period presented.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(xi) Comprehensive Loss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Comprehensive loss represents (i) net loss for the periods presented, and (ii) unrealized gains or losses on the Company's reported available-for-sale debt securities.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(xii) Recently Issued or Effective Accounting Standards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spacing w:lineRule="auto" w:line="288" w:before="240" w:after="283"/>
        <w:ind w:left="0" w:right="0" w:firstLine="990"/>
        <w:rPr/>
      </w:pPr>
      <w:r>
        <w:rPr>
          <w:rFonts w:ascii="Times New Roman;sans-serif" w:hAnsi="Times New Roman;sans-serif"/>
          <w:b w:val="false"/>
          <w:color w:val="000000"/>
          <w:sz w:val="20"/>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sans-serif" w:hAnsi="Times New Roman;sans-serif"/>
          <w:b w:val="false"/>
          <w:i/>
          <w:color w:val="000000"/>
          <w:sz w:val="20"/>
        </w:rPr>
        <w:t>Note 2(iv)</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514" w:type="dxa"/>
        <w:jc w:val="center"/>
        <w:tblInd w:w="0" w:type="dxa"/>
        <w:tblCellMar>
          <w:top w:w="28" w:type="dxa"/>
          <w:left w:w="28" w:type="dxa"/>
          <w:bottom w:w="28" w:type="dxa"/>
          <w:right w:w="28" w:type="dxa"/>
        </w:tblCellMar>
      </w:tblPr>
      <w:tblGrid>
        <w:gridCol w:w="987"/>
        <w:gridCol w:w="870"/>
        <w:gridCol w:w="872"/>
        <w:gridCol w:w="196"/>
        <w:gridCol w:w="736"/>
        <w:gridCol w:w="109"/>
        <w:gridCol w:w="109"/>
        <w:gridCol w:w="109"/>
        <w:gridCol w:w="109"/>
        <w:gridCol w:w="196"/>
        <w:gridCol w:w="646"/>
        <w:gridCol w:w="109"/>
        <w:gridCol w:w="109"/>
        <w:gridCol w:w="109"/>
        <w:gridCol w:w="109"/>
        <w:gridCol w:w="196"/>
        <w:gridCol w:w="421"/>
        <w:gridCol w:w="109"/>
        <w:gridCol w:w="109"/>
        <w:gridCol w:w="109"/>
        <w:gridCol w:w="109"/>
        <w:gridCol w:w="196"/>
        <w:gridCol w:w="736"/>
        <w:gridCol w:w="154"/>
      </w:tblGrid>
      <w:tr>
        <w:trPr/>
        <w:tc>
          <w:tcPr>
            <w:tcW w:w="98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 Fair Value Measurements</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 Fair Value Measurements</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Money Market Funds and U.S. Treasury Securities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Commercial Paper, Corporate Debt Securities and Government-related Debt Securities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LianBio Common Stock and Equity Warrants</w:t>
      </w:r>
    </w:p>
    <w:p>
      <w:pPr>
        <w:pStyle w:val="TextBody"/>
        <w:spacing w:lineRule="auto" w:line="288" w:before="240" w:after="283"/>
        <w:ind w:left="0" w:right="0" w:firstLine="990"/>
        <w:rPr/>
      </w:pPr>
      <w:r>
        <w:rPr>
          <w:rFonts w:ascii="Times New Roman;sans-serif" w:hAnsi="Times New Roman;sans-serif"/>
          <w:b w:val="false"/>
          <w:color w:val="000000"/>
          <w:sz w:val="20"/>
        </w:rPr>
        <w:t xml:space="preserve">In March 2021, contemporaneous with the China Out-License transaction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xml:space="preserve">), the Company and LianBio, executed a warrant agreement for the Company to purchase, in three tranches, common shares in LianBio at an exercise price equal to common stock par value, which converted into warrants of the parent company of LianBio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and exercised as of December 31, 2022 and converted into 156,746 shares of LianBio common stock as recognized at fair value within long-term investments on the Condensed Balance Sheets as of March 31, 2023 and December 31, 2022. LianBio common stock is classified within Level 1 of the fair value hierarchy, given its publicly reported price on the Nasdaq Global Market.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 warrant tranche will vest upon the achievement of a regulatory event and is presented within other assets in the accompanying Condensed Balance Sheets as of March 31, 2023 and December 31, 2022. This warrant tranche remains classified as Level 3 in the fair value hierarchy. The most significant assumptions used in the option pricing valuation model as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of each balance sheet date to determine its fair value included observable and unobservable inputs: LianBio common stock volatility (based on the historical volatility of similar companies), the probability of regulatory milestone achievement for vesting, and the application of an assumed discount rate.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equity warrants are reported within other assets on the accompanying Condensed Balance Sheets and will be remeasured each reporting period with adjustments reported within other income (expense), net on the accompanying Condensed Statements of Operations and Comprehensive Loss, until exercised or expired. These equity warrants are valued in the accompanying Condensed Financial Statements as follows:</w:t>
      </w:r>
    </w:p>
    <w:tbl>
      <w:tblPr>
        <w:tblW w:w="4739" w:type="dxa"/>
        <w:jc w:val="center"/>
        <w:tblInd w:w="0" w:type="dxa"/>
        <w:tblCellMar>
          <w:top w:w="28" w:type="dxa"/>
          <w:left w:w="28" w:type="dxa"/>
          <w:bottom w:w="28" w:type="dxa"/>
          <w:right w:w="28" w:type="dxa"/>
        </w:tblCellMar>
      </w:tblPr>
      <w:tblGrid>
        <w:gridCol w:w="1005"/>
        <w:gridCol w:w="883"/>
        <w:gridCol w:w="886"/>
        <w:gridCol w:w="499"/>
        <w:gridCol w:w="1071"/>
        <w:gridCol w:w="395"/>
      </w:tblGrid>
      <w:tr>
        <w:trPr/>
        <w:tc>
          <w:tcPr>
            <w:tcW w:w="100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1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March 31, 2023</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bl>
    <w:tbl>
      <w:tblPr>
        <w:tblW w:w="4739" w:type="dxa"/>
        <w:jc w:val="center"/>
        <w:tblInd w:w="0" w:type="dxa"/>
        <w:tblCellMar>
          <w:top w:w="28" w:type="dxa"/>
          <w:left w:w="28" w:type="dxa"/>
          <w:bottom w:w="28" w:type="dxa"/>
          <w:right w:w="28" w:type="dxa"/>
        </w:tblCellMar>
      </w:tblPr>
      <w:tblGrid>
        <w:gridCol w:w="1005"/>
        <w:gridCol w:w="883"/>
        <w:gridCol w:w="886"/>
        <w:gridCol w:w="499"/>
        <w:gridCol w:w="1071"/>
        <w:gridCol w:w="395"/>
      </w:tblGrid>
      <w:tr>
        <w:trPr/>
        <w:tc>
          <w:tcPr>
            <w:tcW w:w="100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2021</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1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March 31, 2022</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fair value and amortized cost of cash, cash equivalents and available-for-sale investments by major security type are presented in the following table:</w:t>
      </w:r>
    </w:p>
    <w:tbl>
      <w:tblPr>
        <w:tblW w:w="9003" w:type="dxa"/>
        <w:jc w:val="left"/>
        <w:tblInd w:w="0" w:type="dxa"/>
        <w:tblCellMar>
          <w:top w:w="28" w:type="dxa"/>
          <w:left w:w="28" w:type="dxa"/>
          <w:bottom w:w="28" w:type="dxa"/>
          <w:right w:w="28" w:type="dxa"/>
        </w:tblCellMar>
      </w:tblPr>
      <w:tblGrid>
        <w:gridCol w:w="935"/>
        <w:gridCol w:w="819"/>
        <w:gridCol w:w="826"/>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5"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65,812 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65,812 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65,148 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135,291 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03" w:type="dxa"/>
        <w:jc w:val="left"/>
        <w:tblInd w:w="0" w:type="dxa"/>
        <w:tblCellMar>
          <w:top w:w="28" w:type="dxa"/>
          <w:left w:w="28" w:type="dxa"/>
          <w:bottom w:w="28" w:type="dxa"/>
          <w:right w:w="28" w:type="dxa"/>
        </w:tblCellMar>
      </w:tblPr>
      <w:tblGrid>
        <w:gridCol w:w="936"/>
        <w:gridCol w:w="819"/>
        <w:gridCol w:w="825"/>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58,358 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March 31, 2023, substantially all available-for-sale debt securities had a maturity of 12 months or less. Four securities have a contractual maturity between one and four years, with an estimated fair market value of $5.8 million and amortized cost of $5.7 million. As of December 31, 2022, substantially all available-for-sale debt securities had a maturity of 12 months or less. Three securities have a contractual maturity between one and five years, with an estimated fair market value of $4.6 million and amortized cost of $4.6 million. As of March 31, 2023 and December 31, 2022, all available-for-sale debt securities have gross unrealized losses in a continuous loss position for less than one year. As of March 31, 2023 and December 31, 2022, unrealized credit losses on these securities were not material, and accordingly, the Company did not recognize any other-than-temporary impairment losses.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BALANCE SHEET ACCOUNT DETAIL</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selected captions within the accompanying Condensed Balance Sheets are summarized below: </w:t>
      </w:r>
    </w:p>
    <w:p>
      <w:pPr>
        <w:pStyle w:val="TextBody"/>
        <w:spacing w:lineRule="auto" w:line="288" w:before="240" w:after="283"/>
        <w:ind w:left="0" w:right="0" w:hanging="720"/>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6836" w:type="dxa"/>
        <w:jc w:val="center"/>
        <w:tblInd w:w="0" w:type="dxa"/>
        <w:tblCellMar>
          <w:top w:w="28" w:type="dxa"/>
          <w:left w:w="28" w:type="dxa"/>
          <w:bottom w:w="28" w:type="dxa"/>
          <w:right w:w="28" w:type="dxa"/>
        </w:tblCellMar>
      </w:tblPr>
      <w:tblGrid>
        <w:gridCol w:w="1340"/>
        <w:gridCol w:w="1178"/>
        <w:gridCol w:w="1186"/>
        <w:gridCol w:w="287"/>
        <w:gridCol w:w="814"/>
        <w:gridCol w:w="159"/>
        <w:gridCol w:w="109"/>
        <w:gridCol w:w="109"/>
        <w:gridCol w:w="109"/>
        <w:gridCol w:w="392"/>
        <w:gridCol w:w="843"/>
        <w:gridCol w:w="310"/>
      </w:tblGrid>
      <w:tr>
        <w:trPr/>
        <w:tc>
          <w:tcPr>
            <w:tcW w:w="1340"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months ended March 31, 2023 and 2022 was $0.1 million and $0.1 million, respectively.</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Accounts Payable and Other Accrued Liabilities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 consists of the following:</w:t>
      </w:r>
    </w:p>
    <w:tbl>
      <w:tblPr>
        <w:tblW w:w="6476" w:type="dxa"/>
        <w:jc w:val="center"/>
        <w:tblInd w:w="0" w:type="dxa"/>
        <w:tblCellMar>
          <w:top w:w="28" w:type="dxa"/>
          <w:left w:w="28" w:type="dxa"/>
          <w:bottom w:w="28" w:type="dxa"/>
          <w:right w:w="28" w:type="dxa"/>
        </w:tblCellMar>
      </w:tblPr>
      <w:tblGrid>
        <w:gridCol w:w="1209"/>
        <w:gridCol w:w="1064"/>
        <w:gridCol w:w="1072"/>
        <w:gridCol w:w="287"/>
        <w:gridCol w:w="814"/>
        <w:gridCol w:w="159"/>
        <w:gridCol w:w="109"/>
        <w:gridCol w:w="109"/>
        <w:gridCol w:w="109"/>
        <w:gridCol w:w="334"/>
        <w:gridCol w:w="948"/>
        <w:gridCol w:w="262"/>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clinical studies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current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5. STOCKHOLDERS’ EQUITY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Follow-On Public Offering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completed a follow-on public offering under its Shelf Registration Statement for an initial underwritten sale of 5,600,000 shares of its common stock at a price of $13.50 per share. The Company also granted the underwriters a 30-day option to purchase up to 840,000 additional shares of its common stock at the public offering price. In June 2022, the underwriters partially exercised this option and the Company's sale of additional 289,832 shares at $13.50 per share was concurrently completed.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Total gross proceeds from this offering were $79.5 million (before underwriting discounts, commissions and other estimated offering expenses), resulting in net proceeds of $74.3 million.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Common Stock Outstanding and Reserves for Future Issuance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had 26.8 million and 26.7 million, respectively, of common stock issued and outstanding. Each share of common stock is entitled to one vote.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equity awards and shares reserved for future issuance under its 2020 and 2016 Equity Incentive Plans and 2020 Employee Stock Purchase Plan are summarized below:</w:t>
      </w:r>
    </w:p>
    <w:tbl>
      <w:tblPr>
        <w:tblW w:w="10205" w:type="dxa"/>
        <w:jc w:val="center"/>
        <w:tblInd w:w="0" w:type="dxa"/>
        <w:tblCellMar>
          <w:top w:w="28" w:type="dxa"/>
          <w:left w:w="28" w:type="dxa"/>
          <w:bottom w:w="28" w:type="dxa"/>
          <w:right w:w="28" w:type="dxa"/>
        </w:tblCellMar>
      </w:tblPr>
      <w:tblGrid>
        <w:gridCol w:w="2525"/>
        <w:gridCol w:w="2198"/>
        <w:gridCol w:w="2217"/>
        <w:gridCol w:w="479"/>
        <w:gridCol w:w="482"/>
        <w:gridCol w:w="400"/>
        <w:gridCol w:w="109"/>
        <w:gridCol w:w="109"/>
        <w:gridCol w:w="109"/>
        <w:gridCol w:w="498"/>
        <w:gridCol w:w="463"/>
        <w:gridCol w:w="616"/>
      </w:tblGrid>
      <w:tr>
        <w:trPr/>
        <w:tc>
          <w:tcPr>
            <w:tcW w:w="2525"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2020 and 2016 Equity Incentive Plans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8,068,595 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8,346,738 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2020 Employee Stock Purchase Plan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2,930,594 </w:t>
            </w:r>
          </w:p>
        </w:tc>
        <w:tc>
          <w:tcPr>
            <w:tcW w:w="4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2,663,319 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 (unvested and vested) under 2020 and 2016 Equity Incentive Plans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4,596,414 </w:t>
            </w:r>
          </w:p>
        </w:tc>
        <w:tc>
          <w:tcPr>
            <w:tcW w:w="4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issued and outstanding (unvested) under 2020 Equity Incentive Plan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1,128,373 </w:t>
            </w:r>
          </w:p>
        </w:tc>
        <w:tc>
          <w:tcPr>
            <w:tcW w:w="4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common stock reserved</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16,723,976 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15,460,657 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6. STOCK-BASED COMPENSATION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recognized in the accompanying Condensed Statements of Operations and Comprehensive Loss for the three months ended March 31, 2023 and 2022 as follows:</w:t>
      </w:r>
    </w:p>
    <w:tbl>
      <w:tblPr>
        <w:tblW w:w="6235" w:type="dxa"/>
        <w:jc w:val="center"/>
        <w:tblInd w:w="0" w:type="dxa"/>
        <w:tblCellMar>
          <w:top w:w="28" w:type="dxa"/>
          <w:left w:w="28" w:type="dxa"/>
          <w:bottom w:w="28" w:type="dxa"/>
          <w:right w:w="28" w:type="dxa"/>
        </w:tblCellMar>
      </w:tblPr>
      <w:tblGrid>
        <w:gridCol w:w="864"/>
        <w:gridCol w:w="759"/>
        <w:gridCol w:w="762"/>
        <w:gridCol w:w="109"/>
        <w:gridCol w:w="109"/>
        <w:gridCol w:w="242"/>
        <w:gridCol w:w="242"/>
        <w:gridCol w:w="436"/>
        <w:gridCol w:w="1237"/>
        <w:gridCol w:w="242"/>
        <w:gridCol w:w="109"/>
        <w:gridCol w:w="109"/>
        <w:gridCol w:w="109"/>
        <w:gridCol w:w="196"/>
        <w:gridCol w:w="556"/>
        <w:gridCol w:w="154"/>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9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granted stock options was estimated as of the date of grant using the Black-Scholes option-pricing model, based on the following inputs:</w:t>
      </w:r>
    </w:p>
    <w:p>
      <w:pPr>
        <w:pStyle w:val="TextBody"/>
        <w:spacing w:before="0" w:after="0"/>
        <w:rPr/>
      </w:pPr>
      <w:r>
        <w:rPr/>
      </w:r>
    </w:p>
    <w:tbl>
      <w:tblPr>
        <w:tblW w:w="6802" w:type="dxa"/>
        <w:jc w:val="left"/>
        <w:tblInd w:w="0" w:type="dxa"/>
        <w:tblCellMar>
          <w:top w:w="28" w:type="dxa"/>
          <w:left w:w="28" w:type="dxa"/>
          <w:bottom w:w="28" w:type="dxa"/>
          <w:right w:w="28" w:type="dxa"/>
        </w:tblCellMar>
      </w:tblPr>
      <w:tblGrid>
        <w:gridCol w:w="1460"/>
        <w:gridCol w:w="1282"/>
        <w:gridCol w:w="1292"/>
        <w:gridCol w:w="109"/>
        <w:gridCol w:w="109"/>
        <w:gridCol w:w="109"/>
        <w:gridCol w:w="200"/>
        <w:gridCol w:w="569"/>
        <w:gridCol w:w="262"/>
        <w:gridCol w:w="111"/>
        <w:gridCol w:w="111"/>
        <w:gridCol w:w="111"/>
        <w:gridCol w:w="200"/>
        <w:gridCol w:w="569"/>
        <w:gridCol w:w="308"/>
      </w:tblGrid>
      <w:tr>
        <w:trPr/>
        <w:tc>
          <w:tcPr>
            <w:tcW w:w="1460"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volatility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 per stock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 option activity during the three months ended March 31, 2023 was as follows:</w:t>
      </w:r>
    </w:p>
    <w:p>
      <w:pPr>
        <w:pStyle w:val="TextBody"/>
        <w:spacing w:before="0" w:after="0"/>
        <w:ind w:left="0" w:right="0" w:firstLine="720"/>
        <w:rPr/>
      </w:pPr>
      <w:r>
        <w:rPr/>
      </w:r>
    </w:p>
    <w:tbl>
      <w:tblPr>
        <w:tblW w:w="8029" w:type="dxa"/>
        <w:jc w:val="left"/>
        <w:tblInd w:w="0" w:type="dxa"/>
        <w:tblCellMar>
          <w:top w:w="28" w:type="dxa"/>
          <w:left w:w="28" w:type="dxa"/>
          <w:bottom w:w="28" w:type="dxa"/>
          <w:right w:w="28" w:type="dxa"/>
        </w:tblCellMar>
      </w:tblPr>
      <w:tblGrid>
        <w:gridCol w:w="918"/>
        <w:gridCol w:w="806"/>
        <w:gridCol w:w="811"/>
        <w:gridCol w:w="109"/>
        <w:gridCol w:w="109"/>
        <w:gridCol w:w="109"/>
        <w:gridCol w:w="435"/>
        <w:gridCol w:w="436"/>
        <w:gridCol w:w="296"/>
        <w:gridCol w:w="109"/>
        <w:gridCol w:w="109"/>
        <w:gridCol w:w="109"/>
        <w:gridCol w:w="215"/>
        <w:gridCol w:w="610"/>
        <w:gridCol w:w="119"/>
        <w:gridCol w:w="109"/>
        <w:gridCol w:w="109"/>
        <w:gridCol w:w="109"/>
        <w:gridCol w:w="359"/>
        <w:gridCol w:w="359"/>
        <w:gridCol w:w="361"/>
        <w:gridCol w:w="109"/>
        <w:gridCol w:w="109"/>
        <w:gridCol w:w="109"/>
        <w:gridCol w:w="196"/>
        <w:gridCol w:w="646"/>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(1)</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728,169 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(24,654)</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4,596,414 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2,028,011 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2,568,403 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The aggregate intrinsic value is calculated as the difference between the exercise price of the options and the fair value of the Company’s common stock as of March 31, 2023.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approximately $29.8 million of unrecorded compensation expense related to unvested stock options, which the Company expects to recognize over a weighted average period of 2.5 years.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during the three months ended March 31, 2023 was as follows: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346" w:type="dxa"/>
        <w:jc w:val="left"/>
        <w:tblInd w:w="0" w:type="dxa"/>
        <w:tblCellMar>
          <w:top w:w="28" w:type="dxa"/>
          <w:left w:w="28" w:type="dxa"/>
          <w:bottom w:w="28" w:type="dxa"/>
          <w:right w:w="28" w:type="dxa"/>
        </w:tblCellMar>
      </w:tblPr>
      <w:tblGrid>
        <w:gridCol w:w="918"/>
        <w:gridCol w:w="806"/>
        <w:gridCol w:w="811"/>
        <w:gridCol w:w="109"/>
        <w:gridCol w:w="109"/>
        <w:gridCol w:w="109"/>
        <w:gridCol w:w="435"/>
        <w:gridCol w:w="436"/>
        <w:gridCol w:w="296"/>
        <w:gridCol w:w="109"/>
        <w:gridCol w:w="109"/>
        <w:gridCol w:w="109"/>
        <w:gridCol w:w="214"/>
        <w:gridCol w:w="608"/>
        <w:gridCol w:w="168"/>
      </w:tblGrid>
      <w:tr>
        <w:trPr/>
        <w:tc>
          <w:tcPr>
            <w:tcW w:w="91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647,768 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(66,611)</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1,128,373 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approximately $16.8 million of unrecorded compensation expense related to unvested restricted stock units, which the Company expects to recognize over a weighted average period of 3.5 years.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7. NET LOSS PER SHARE</w:t>
      </w:r>
    </w:p>
    <w:p>
      <w:pPr>
        <w:pStyle w:val="TextBody"/>
        <w:spacing w:lineRule="auto" w:line="288" w:before="240" w:after="283"/>
        <w:ind w:left="0" w:right="0" w:firstLine="990"/>
        <w:rPr/>
      </w:pPr>
      <w:r>
        <w:rPr>
          <w:rFonts w:ascii="Times New Roman;sans-serif" w:hAnsi="Times New Roman;sans-serif"/>
          <w:b w:val="false"/>
          <w:color w:val="000000"/>
          <w:sz w:val="20"/>
          <w:highlight w:val="white"/>
        </w:rPr>
        <w:t>The following</w:t>
      </w:r>
      <w:r>
        <w:rPr>
          <w:color w:val="000000"/>
        </w:rPr>
        <w:t xml:space="preserve"> </w:t>
      </w:r>
      <w:r>
        <w:rPr>
          <w:rFonts w:ascii="Times New Roman;sans-serif" w:hAnsi="Times New Roman;sans-serif"/>
          <w:b w:val="false"/>
          <w:color w:val="000000"/>
          <w:sz w:val="20"/>
        </w:rPr>
        <w:t>table sets forth the computation of basic and diluted net loss per share:</w:t>
      </w:r>
    </w:p>
    <w:tbl>
      <w:tblPr>
        <w:tblW w:w="8184" w:type="dxa"/>
        <w:jc w:val="center"/>
        <w:tblInd w:w="0" w:type="dxa"/>
        <w:tblCellMar>
          <w:top w:w="28" w:type="dxa"/>
          <w:left w:w="28" w:type="dxa"/>
          <w:bottom w:w="28" w:type="dxa"/>
          <w:right w:w="28" w:type="dxa"/>
        </w:tblCellMar>
      </w:tblPr>
      <w:tblGrid>
        <w:gridCol w:w="1492"/>
        <w:gridCol w:w="1309"/>
        <w:gridCol w:w="1324"/>
        <w:gridCol w:w="109"/>
        <w:gridCol w:w="109"/>
        <w:gridCol w:w="210"/>
        <w:gridCol w:w="210"/>
        <w:gridCol w:w="378"/>
        <w:gridCol w:w="1391"/>
        <w:gridCol w:w="210"/>
        <w:gridCol w:w="109"/>
        <w:gridCol w:w="109"/>
        <w:gridCol w:w="109"/>
        <w:gridCol w:w="219"/>
        <w:gridCol w:w="742"/>
        <w:gridCol w:w="154"/>
      </w:tblGrid>
      <w:tr>
        <w:trPr/>
        <w:tc>
          <w:tcPr>
            <w:tcW w:w="1492"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42" w:type="dxa"/>
            <w:gridSpan w:val="6"/>
            <w:tcBorders/>
            <w:shd w:fill="auto" w:val="clea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26,742,023 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20,710,224 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pStyle w:val="TextBody"/>
        <w:spacing w:before="0" w:after="0"/>
        <w:rPr/>
      </w:pPr>
      <w:r>
        <w:rPr/>
      </w:r>
    </w:p>
    <w:p>
      <w:pPr>
        <w:pStyle w:val="TextBody"/>
        <w:spacing w:before="0" w:after="0"/>
        <w:rPr/>
      </w:pPr>
      <w:r>
        <w:rPr/>
      </w:r>
    </w:p>
    <w:tbl>
      <w:tblPr>
        <w:tblW w:w="8557" w:type="dxa"/>
        <w:jc w:val="left"/>
        <w:tblInd w:w="0" w:type="dxa"/>
        <w:tblCellMar>
          <w:top w:w="28" w:type="dxa"/>
          <w:left w:w="28" w:type="dxa"/>
          <w:bottom w:w="28" w:type="dxa"/>
          <w:right w:w="28" w:type="dxa"/>
        </w:tblCellMar>
      </w:tblPr>
      <w:tblGrid>
        <w:gridCol w:w="1641"/>
        <w:gridCol w:w="1441"/>
        <w:gridCol w:w="1447"/>
        <w:gridCol w:w="109"/>
        <w:gridCol w:w="109"/>
        <w:gridCol w:w="479"/>
        <w:gridCol w:w="479"/>
        <w:gridCol w:w="479"/>
        <w:gridCol w:w="479"/>
        <w:gridCol w:w="483"/>
        <w:gridCol w:w="109"/>
        <w:gridCol w:w="109"/>
        <w:gridCol w:w="109"/>
        <w:gridCol w:w="435"/>
        <w:gridCol w:w="436"/>
        <w:gridCol w:w="213"/>
      </w:tblGrid>
      <w:tr>
        <w:trPr/>
        <w:tc>
          <w:tcPr>
            <w:tcW w:w="16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1" w:type="dxa"/>
            <w:gridSpan w:val="6"/>
            <w:tcBorders/>
            <w:shd w:fill="auto" w:val="clea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unexercised—vested and unvested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4,596,414 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3,561,261 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units—unvested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1,128,373 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351,422 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 prior to vesting— remaining unvested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12,531 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5,724,787 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3,925,214 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8. COMMITMENTS &amp; CONTINGENCIES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In-License Agreements for Lotilaner</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January 2019 Agreement for Skin and Eye Disease or Conditions in Humans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made cash payments to Elanco under the Eye and Derm Agreement comprised of $1.0 million upfront upon contract execution in January 2019 and a total of $3.0 million for two specified clinical milestone achievements in September 2020 and April 2021, respectively. </w:t>
      </w:r>
    </w:p>
    <w:p>
      <w:pPr>
        <w:pStyle w:val="TextBody"/>
        <w:spacing w:before="0" w:after="0"/>
        <w:ind w:left="0" w:right="0" w:firstLine="99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a clinical milestone was triggered to Elanco under the Eye and Derm Agreement upon enrollment of the first patient in the Phase 2a Galatea trial, evaluating the potential treatment of rosacea. The related milestone of $1.0 million was included in research and development expense on the accompanying Condensed Statements of Operations and Comprehensive Loss for the three months ended March 31, 2023. The milestone achievement fully offset a $0.6 million remaining prepayment and $0.4 million was recognized in accounts payable and other accrued liabilities on the accompanying Condensed Balance Sheets as of March 31, 2023.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is obligated to make further cash payments to Elanco of $2.4 million under the Eye and Derm Elanco Agreement upon achievement of the last clinical milestone in the treatment of human skin diseases using lotilaner and a maximum of $79.0 million for various commercial and sales threshold milestones for the treatment of human skin diseases and the treatment of blepharitis in humans using lotilaner. 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until achievement of the first applicable regulatory approval of a product covered under the license. </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September 2020 Agreement for All Other Diseases or Conditions in Humans</w:t>
      </w:r>
    </w:p>
    <w:p>
      <w:pPr>
        <w:pStyle w:val="TextBody"/>
        <w:spacing w:before="0" w:after="0"/>
        <w:ind w:left="0" w:right="0" w:firstLine="1131"/>
        <w:rPr/>
      </w:pPr>
      <w:r>
        <w:rPr/>
      </w:r>
    </w:p>
    <w:p>
      <w:pPr>
        <w:pStyle w:val="TextBody"/>
        <w:spacing w:lineRule="auto" w:line="276"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 222,460 shares of its common stock with an estimated fair value of $3.1 million ($14.0003 per share, approximating the issuance price of the Company's Series C preferred stock in September 2020). </w:t>
      </w:r>
    </w:p>
    <w:p>
      <w:pPr>
        <w:pStyle w:val="TextBody"/>
        <w:spacing w:before="0" w:after="0"/>
        <w:ind w:left="0" w:right="0" w:firstLine="990"/>
        <w:rPr/>
      </w:pPr>
      <w:r>
        <w:rPr/>
      </w:r>
    </w:p>
    <w:p>
      <w:pPr>
        <w:pStyle w:val="TextBody"/>
        <w:spacing w:lineRule="auto" w:line="276"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made cash payments under the All Human Uses Elanco Agreement of $0.5 million related to a clinical milestone that was triggered in December 2022 upon enrollment of the first patient in the Phase 2a Carpo trial, for the treatment of Lyme disease. The Company is required to make further cash payments under this agreement upon the achievement of various clinical milestones for an aggregate maximum of $4.0 million and various commercial and sales threshold milestones for an aggregate maximum of $77.0 million. In addition, the Company will be obligated to pay contractual royalties to Elanco in the single digits of its net product sales.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pStyle w:val="TextBody"/>
        <w:spacing w:before="0" w:after="0"/>
        <w:ind w:left="0" w:right="0" w:firstLine="990"/>
        <w:rPr/>
      </w:pPr>
      <w:r>
        <w:rPr/>
      </w:r>
    </w:p>
    <w:p>
      <w:pPr>
        <w:pStyle w:val="TextBody"/>
        <w:spacing w:before="0" w:after="0"/>
        <w:ind w:left="0" w:right="0" w:firstLine="99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Consulting Agreements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 preexisting consulting agreement with a board member that was appointed in December 2021. This consulting agreement provides for annual cash compensation of approximately $0.2 million and option grants to purchase 45,134 shares of the Company’s common stock, with exercise prices ranging from $2.01 to $34.72 per share. This consulting agreement may be terminated by either party with ten days notice and contains standard confidentiality, indemnification, and intellectual property assignment provisions in favor of the Company.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Separation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2023, the Company entered into a separation and severance agreement with its former Chief Financial Officer, which provides for the following benefits effective upon and after June 15, 2023: severance payments equal to nine months of base salary and 10 months of company-paid continued benefits coverage, a lump sum bonus payment payable in 2024 equal to one-third of the former Chief Financial Officer's 2023 annual target bonus adjusted based on the 2023 Company performance score, accelerated vesting of options in 40,744 shares of the Company’s common stock, and an option exercise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period extension for certain options, in exchange for a release and waiver of claims and continued compliance with his confidentiality obligations.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Litigation Contingencies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Indemnities and Guarantees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vary,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9. OUT-LICENSE AGREEMENT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Out-License of TP-03 Commercial Rights in the China Territory in March 2021</w:t>
      </w:r>
    </w:p>
    <w:p>
      <w:pPr>
        <w:pStyle w:val="TextBody"/>
        <w:spacing w:before="0" w:after="0"/>
        <w:rPr/>
      </w:pPr>
      <w:r>
        <w:rPr/>
      </w:r>
    </w:p>
    <w:p>
      <w:pPr>
        <w:pStyle w:val="TextBody"/>
        <w:spacing w:lineRule="auto" w:line="276" w:before="0" w:after="0"/>
        <w:ind w:left="0" w:right="0" w:firstLine="1131"/>
        <w:rPr>
          <w:rFonts w:ascii="Times New Roman;sans-serif" w:hAnsi="Times New Roman;sans-serif"/>
          <w:b w:val="false"/>
          <w:color w:val="000000"/>
          <w:sz w:val="20"/>
        </w:rPr>
      </w:pPr>
      <w:r>
        <w:rPr>
          <w:rFonts w:ascii="Times New Roman;sans-serif" w:hAnsi="Times New Roman;sans-serif"/>
          <w:b w:val="false"/>
          <w:color w:val="000000"/>
          <w:sz w:val="20"/>
        </w:rPr>
        <w:t>On March 26, 2021, the Company entered into The China Out-License agreement with LianBio for its exclusive development and commercialization rights of TP-03 (lotilaner ophthalmic solution, 0.25%) in the China Territory, as defined in the agreement, for the treatment of Demodex blepharitis and Meibomian Gland Disease. LianBio is contractually responsible for all clinical development and commercialization activities and costs within the China Territory.</w:t>
      </w:r>
    </w:p>
    <w:p>
      <w:pPr>
        <w:pStyle w:val="TextBody"/>
        <w:spacing w:before="0" w:after="0"/>
        <w:ind w:left="0" w:right="0" w:firstLine="1131"/>
        <w:rPr/>
      </w:pPr>
      <w:r>
        <w:rPr/>
      </w:r>
    </w:p>
    <w:p>
      <w:pPr>
        <w:pStyle w:val="TextBody"/>
        <w:spacing w:lineRule="auto" w:line="268" w:before="0" w:after="0"/>
        <w:ind w:left="0" w:right="0" w:firstLine="1131"/>
        <w:rPr>
          <w:rFonts w:ascii="Times New Roman;sans-serif" w:hAnsi="Times New Roman;sans-serif"/>
          <w:b w:val="false"/>
          <w:color w:val="000000"/>
          <w:sz w:val="20"/>
        </w:rPr>
      </w:pPr>
      <w:r>
        <w:rPr>
          <w:rFonts w:ascii="Times New Roman;sans-serif" w:hAnsi="Times New Roman;sans-serif"/>
          <w:b w:val="false"/>
          <w:color w:val="000000"/>
          <w:sz w:val="20"/>
        </w:rPr>
        <w:t>The Company assessed this arrangement in accordance with ASC 606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spacing w:before="0" w:after="0"/>
        <w:rPr/>
      </w:pPr>
      <w:r>
        <w:rPr/>
      </w:r>
    </w:p>
    <w:p>
      <w:pPr>
        <w:pStyle w:val="TextBody"/>
        <w:spacing w:lineRule="auto" w:line="268" w:before="0" w:after="0"/>
        <w:ind w:left="0" w:right="0" w:firstLine="1131"/>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of the initial transaction price for the China Out-License agreement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 </w:t>
      </w:r>
    </w:p>
    <w:p>
      <w:pPr>
        <w:pStyle w:val="TextBody"/>
        <w:spacing w:before="0" w:after="0"/>
        <w:ind w:left="0" w:right="0" w:firstLine="1131"/>
        <w:rPr/>
      </w:pPr>
      <w:r>
        <w:rPr/>
      </w:r>
    </w:p>
    <w:p>
      <w:pPr>
        <w:pStyle w:val="TextBody"/>
        <w:spacing w:lineRule="auto" w:line="268" w:before="0" w:after="0"/>
        <w:ind w:left="0" w:right="0" w:firstLine="1131"/>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each performance obligation as follows: </w:t>
      </w:r>
    </w:p>
    <w:p>
      <w:pPr>
        <w:pStyle w:val="TextBody"/>
        <w:spacing w:before="0" w:after="0"/>
        <w:rPr/>
      </w:pPr>
      <w:r>
        <w:rPr/>
      </w:r>
    </w:p>
    <w:p>
      <w:pPr>
        <w:pStyle w:val="TextBody"/>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Out-License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spacing w:before="0" w:after="0"/>
        <w:rPr/>
      </w:pPr>
      <w:r>
        <w:rPr/>
      </w:r>
    </w:p>
    <w:p>
      <w:pPr>
        <w:pStyle w:val="TextBody"/>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Services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spacing w:before="0" w:after="0"/>
        <w:rPr/>
      </w:pPr>
      <w:r>
        <w:rPr/>
      </w:r>
    </w:p>
    <w:p>
      <w:pPr>
        <w:pStyle w:val="TextBody"/>
        <w:spacing w:lineRule="auto" w:line="27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event was triggered resulting in $2.5 million recognized as license fees and collaboration revenue in the Condensed Statements of Operations for the three months ended March 31, 2023. This cash payment was received in the second quarter of 2023. Through March 31, 2023, the Company had received payments from LianBio totaling $80.0 million, comprised of initial consideration of $15.0 million and $65.0 million for the achievement of specified milestones. </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is eligible to receive further consideration from LianBio upon the achievement of additional TP-03 events, including: (i) additional regulatory milestone and one-time payments of up to an aggregate of $25.0 million (including the $2.5 million cash payment received in the second quarter of 2023), (ii) China-Based TP-03 sales threshold milestone payments of up to an aggregate of $100.0 million, (iii) tiered low-to-high-teen royalties for China Territory TP-03 product sales, and (iv) vesting of a LianBio equity warrant upon certain regulatory milestones. </w:t>
      </w:r>
    </w:p>
    <w:p>
      <w:pPr>
        <w:pStyle w:val="TextBody"/>
        <w:spacing w:lineRule="auto" w:line="276"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in the accompanying Condensed Statements of Operations and Comprehensive Loss relates to the satisfaction of performance obligations including (i) the transfer of TP-03 license rights in the China Territory to LianBio and (ii) the completion of U.S. clinical activities and then providing LianBio with the related data to supplement its local pivotal trial package for TP-03 in the treatment of Demodex blepharitis. </w:t>
      </w:r>
    </w:p>
    <w:p>
      <w:pPr>
        <w:pStyle w:val="TextBody"/>
        <w:spacing w:lineRule="auto" w:line="276"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part of the China Out-License with LianBio the Company granted Elanco an additional 187,500 shares of the Company's common stock that otherwise would have been issuable no later than the 18-month anniversary of the All Human Uses Elanco Agreement for its continued license exclusivity. These issued shares were valued at $5.5 million, based on the Company's closing stock price of $29.30 per share on the date this issuance became contractually required.</w:t>
      </w:r>
    </w:p>
    <w:p>
      <w:pPr>
        <w:pStyle w:val="TextBody"/>
        <w:spacing w:before="0" w:after="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made a contractual payment in the amount of $2.5 million to Elanco following the receipt of $25 million of proceeds from LianBio during the second quarter of 2021. During the fourth quarter of 2022, the Company recognized $0.4 million of cost of license fees and collaboration revenue upon receipt of $10 million of cash proceeds from LianBio for the achievement of a clinical development milestone.</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expenses recognized under the China-Out License were not material for the three month periods ended March 31, 2023 and 2022.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10. CREDIT FACILITY AGREEMENT</w:t>
      </w:r>
    </w:p>
    <w:p>
      <w:pPr>
        <w:pStyle w:val="TextBody"/>
        <w:spacing w:before="0" w:after="0"/>
        <w:rPr/>
      </w:pPr>
      <w:r>
        <w:rPr/>
      </w:r>
    </w:p>
    <w:p>
      <w:pPr>
        <w:pStyle w:val="TextBody"/>
        <w:spacing w:lineRule="auto" w:line="28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On February 2, 2022, the Company executed the Credit Facility with Hercules Capital, Inc. ("Hercules") and SVB that expires on February 2, 2027. Concurrent with the execution of the Credit Facility, the Company made a $20.0 million draw.</w:t>
      </w:r>
    </w:p>
    <w:p>
      <w:pPr>
        <w:pStyle w:val="TextBody"/>
        <w:spacing w:before="0" w:after="0"/>
        <w:ind w:left="0" w:right="0" w:firstLine="1080"/>
        <w:rPr/>
      </w:pPr>
      <w:r>
        <w:rPr/>
      </w:r>
    </w:p>
    <w:p>
      <w:pPr>
        <w:pStyle w:val="TextBody"/>
        <w:spacing w:lineRule="auto" w:line="28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2023, the Company entered into an amendment to the loan and security agreement (the "First Amendment"). The First Amendment set a maximum interest rate, and updated the terms of prepayment under the Credit Facility and other certain specific conditions, including an extended period for the Company to draw down the $25.0 million tranche associated with the New Drug Application ("NDA") submission, from March 15, 2023 to March 15, 2024, provided at least $5.0 million was drawn on or before March 15, 2023 and at least an additional $5 million is drawn on or before September 15, 2023. The Company did not incur any lender fees as part of this First Amendment. </w:t>
      </w:r>
    </w:p>
    <w:p>
      <w:pPr>
        <w:pStyle w:val="TextBody"/>
        <w:spacing w:before="0" w:after="0"/>
        <w:ind w:left="0" w:right="0" w:firstLine="1080"/>
        <w:rPr/>
      </w:pPr>
      <w:r>
        <w:rPr/>
      </w:r>
    </w:p>
    <w:p>
      <w:pPr>
        <w:pStyle w:val="TextBody"/>
        <w:spacing w:lineRule="auto" w:line="27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On March 15, 2023, the Company made a $5.0 million draw (including SVB's commitment of $1.25 million) from the $25.0 million tranche that became available upon submission of the NDA. As of March 31, 2023, the Credit Facility provides for a remaining aggregate principal amount of up to $130.0 million with tranched availability as follows: $20.0 million currently available related to the Company's NDA submission with the FDA for TP-03 in September 2022, $35.0 million available upon FDA approval of TP-03, $50.0 million available upon achievement of product net revenue thresholds, and $25.0 million available upon lender approval.</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ind w:left="0" w:right="0" w:firstLine="1080"/>
        <w:rPr/>
      </w:pPr>
      <w:r>
        <w:rPr/>
      </w:r>
    </w:p>
    <w:p>
      <w:pPr>
        <w:pStyle w:val="TextBody"/>
        <w:spacing w:lineRule="auto" w:line="28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 </w:t>
      </w:r>
    </w:p>
    <w:p>
      <w:pPr>
        <w:pStyle w:val="TextBody"/>
        <w:spacing w:before="0" w:after="0"/>
        <w:ind w:left="0" w:right="0" w:firstLine="1080"/>
        <w:rPr/>
      </w:pPr>
      <w:r>
        <w:rPr/>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Under the First Amendment, the outstanding principal draws accrue interest at a floating interest rate per annum equal to the greater of either (i) The Wall Street Journal ("WSJ") prime rate plus 4.45% with an aggregate cap of 11.45%, or (ii) 8.45%. At the execution date of the Credit Facility, the WSJ prime rate was 3.25% and increased to 8.00% as of March 31, 2023.</w:t>
      </w:r>
    </w:p>
    <w:p>
      <w:pPr>
        <w:pStyle w:val="TextBody"/>
        <w:spacing w:before="0" w:after="0"/>
        <w:ind w:left="0" w:right="0" w:firstLine="1080"/>
        <w:rPr/>
      </w:pPr>
      <w:r>
        <w:rPr/>
      </w:r>
    </w:p>
    <w:p>
      <w:pPr>
        <w:pStyle w:val="TextBody"/>
        <w:spacing w:lineRule="auto" w:line="25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specified fee upon the earlier of (i) February 2, 2027 or (ii) the date the Company prepays, in full or in part, the outstanding principal balance of the Credit Facility ("End of Term Charge"). The current End of Term Charge of $1.2 million was derived by multiplying 4.75% by the $25.0 million outstanding principal balance as of March 31, 2023 and is accreted to interest expense through maturity.</w:t>
      </w:r>
    </w:p>
    <w:p>
      <w:pPr>
        <w:pStyle w:val="TextBody"/>
        <w:spacing w:before="0" w:after="0"/>
        <w:ind w:left="0" w:right="0" w:firstLine="1080"/>
        <w:rPr/>
      </w:pPr>
      <w:r>
        <w:rPr/>
      </w:r>
    </w:p>
    <w:p>
      <w:pPr>
        <w:pStyle w:val="TextBody"/>
        <w:spacing w:lineRule="auto" w:line="25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2022, the effective interest rate for the full term of the Credit Facility was 12.12% and 9.66%, respectively. </w:t>
      </w:r>
    </w:p>
    <w:p>
      <w:pPr>
        <w:pStyle w:val="TextBody"/>
        <w:spacing w:before="0" w:after="0"/>
        <w:ind w:left="0" w:right="0" w:firstLine="1080"/>
        <w:rPr/>
      </w:pPr>
      <w:r>
        <w:rPr/>
      </w:r>
    </w:p>
    <w:p>
      <w:pPr>
        <w:pStyle w:val="TextBody"/>
        <w:spacing w:lineRule="auto" w:line="25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the Company recognized interest expense on the accompanying Condensed Statements of Operations and Comprehensive Loss in connection with the Credit Facility as follows: </w:t>
      </w:r>
    </w:p>
    <w:p>
      <w:pPr>
        <w:pStyle w:val="TextBody"/>
        <w:spacing w:before="0" w:after="0"/>
        <w:ind w:left="0" w:right="0" w:firstLine="1080"/>
        <w:rPr/>
      </w:pPr>
      <w:r>
        <w:rPr/>
      </w:r>
    </w:p>
    <w:tbl>
      <w:tblPr>
        <w:tblW w:w="8262" w:type="dxa"/>
        <w:jc w:val="left"/>
        <w:tblInd w:w="0" w:type="dxa"/>
        <w:tblCellMar>
          <w:top w:w="28" w:type="dxa"/>
          <w:left w:w="28" w:type="dxa"/>
          <w:bottom w:w="28" w:type="dxa"/>
          <w:right w:w="28" w:type="dxa"/>
        </w:tblCellMar>
      </w:tblPr>
      <w:tblGrid>
        <w:gridCol w:w="1101"/>
        <w:gridCol w:w="970"/>
        <w:gridCol w:w="974"/>
        <w:gridCol w:w="109"/>
        <w:gridCol w:w="109"/>
        <w:gridCol w:w="109"/>
        <w:gridCol w:w="109"/>
        <w:gridCol w:w="433"/>
        <w:gridCol w:w="931"/>
        <w:gridCol w:w="241"/>
        <w:gridCol w:w="109"/>
        <w:gridCol w:w="109"/>
        <w:gridCol w:w="109"/>
        <w:gridCol w:w="724"/>
        <w:gridCol w:w="1556"/>
        <w:gridCol w:w="569"/>
      </w:tblGrid>
      <w:tr>
        <w:trPr/>
        <w:tc>
          <w:tcPr>
            <w:tcW w:w="1101"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for term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related to term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080"/>
        <w:rPr/>
      </w:pPr>
      <w:r>
        <w:rPr/>
      </w:r>
    </w:p>
    <w:p>
      <w:pPr>
        <w:pStyle w:val="TextBody"/>
        <w:spacing w:before="0" w:after="0"/>
        <w:ind w:left="0" w:right="0" w:firstLine="1080"/>
        <w:rPr/>
      </w:pPr>
      <w:r>
        <w:rPr/>
      </w:r>
    </w:p>
    <w:p>
      <w:pPr>
        <w:pStyle w:val="TextBody"/>
        <w:spacing w:lineRule="auto" w:line="25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Credit Facility consists of principal outstanding less legal and administrative issuance costs that were recorded as a debt discount to the term loan, net and will continue to be accreted to interest expense using the effective interest method during its term. The principal balance of this Credit Facility and related accretion and amortization as of March 31, 2023 and December 31, 2022 are reported on a combined basis as term loan, net on the accompanying Condensed Balance Sheets as follows:</w:t>
      </w:r>
    </w:p>
    <w:p>
      <w:pPr>
        <w:pStyle w:val="TextBody"/>
        <w:spacing w:before="0" w:after="0"/>
        <w:ind w:left="0" w:right="0" w:firstLine="1080"/>
        <w:rPr/>
      </w:pPr>
      <w:r>
        <w:rPr/>
      </w:r>
    </w:p>
    <w:tbl>
      <w:tblPr>
        <w:tblW w:w="6686" w:type="dxa"/>
        <w:jc w:val="left"/>
        <w:tblInd w:w="0" w:type="dxa"/>
        <w:tblCellMar>
          <w:top w:w="28" w:type="dxa"/>
          <w:left w:w="28" w:type="dxa"/>
          <w:bottom w:w="28" w:type="dxa"/>
          <w:right w:w="28" w:type="dxa"/>
        </w:tblCellMar>
      </w:tblPr>
      <w:tblGrid>
        <w:gridCol w:w="1284"/>
        <w:gridCol w:w="1131"/>
        <w:gridCol w:w="1140"/>
        <w:gridCol w:w="259"/>
        <w:gridCol w:w="856"/>
        <w:gridCol w:w="144"/>
        <w:gridCol w:w="109"/>
        <w:gridCol w:w="109"/>
        <w:gridCol w:w="109"/>
        <w:gridCol w:w="304"/>
        <w:gridCol w:w="1002"/>
        <w:gridCol w:w="239"/>
      </w:tblGrid>
      <w:tr>
        <w:trPr/>
        <w:tc>
          <w:tcPr>
            <w:tcW w:w="128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gross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 of debt issuance costs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Term loan, net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11. SUBSEQUENT EVENT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2023 the Company amended the existing facilities lease, extending the term for three years through January 31, 2027.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obtain regulatory approval and successfully commercialize TP-03 for the treatment of Demodex blepharitis;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likelihood of our clinical trials demonstrating safety and efficacy of our product candidates, and other positive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and progress of our current clinical trials and timing of initiation of our future clinical trials, and the reporting of data from our current and future trials;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or likelihood of regulatory filings and approval for our product candidates;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plans relating to the clinical development of our current and future product candidates, including the size, number and disease areas to be evaluated;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prevalence of Demodex blepharitis and the size of the market opportunity for our product candidates;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rate and degree of market acceptance and clinical utility of our product candidates;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plans relating to commercializing our product candidates, if approved, including sales strategy;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impact of health epidemics, including COVID-19, on our business and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impact of unfavorable global economic conditions on our business and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estimates of the number of patients in the United States ("U.S.") or globally, as applicable, who suffer from Demodex blepharitis, Meibomian Gland Disease ("MGD"), rosacea, Lyme disease and malaria and the number of patients that will enroll in our clinical trials;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beneficial characteristics, safety, efficacy, therapeutic effects and potential advantages of our product candidates;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obtain and maintain regulatory approval of our product candidates and our product candidates to meet existing or future regulatory standards;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plans relating to the further development and manufacturing of our product candidates, including additional indications for which we may pursue;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identify additional products, product candidates or technologies with significant commercial potential that are consistent with our commercial objectives;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expected potential benefits of strategic collaborations with third parties (including, for example, the receipt of payments, achievement and timing of milestones under license agreements, and the ability of our third-party collaborators to commercialize our product candidates in the territories under license) and our ability to attract collaborators with development, regulatory and commercialization expertise;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existing regulations and regulatory developments in the U.S. and other jurisdictions;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plans and ability to obtain or protect intellectual property rights, including extensions of existing patent terms where available;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need to hire additional personnel, in particular sales personnel, and our ability to attract and retain such personnel;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accuracy of our estimates regarding expenses, future revenue, capital requirements and needs for additional financing;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financial performance;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sufficiency of our existing capital resources to fund our future operating expenses and capital expenditure requirements;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competitive position;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expectations regarding the period during which we will qualify as an emerging growth company under the JOBS Act;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anticipated use of our existing resources and the proceeds from our Initial Public Offering (“IPO”) and our subsequent follow-on public offering in May 2022 (the “Follow-On Public Offering”), and credit facility.</w:t>
      </w:r>
    </w:p>
    <w:p>
      <w:pPr>
        <w:pStyle w:val="TextBody"/>
        <w:spacing w:before="60" w:after="283"/>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Business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the development and commercialization of therapeutics, starting with eye care. Our lead product candidate, TP-03 (lotilaner ophthalmic solution, 0.25%), is a novel investigational eye drop to treat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w:t>
      </w:r>
    </w:p>
    <w:p>
      <w:pPr>
        <w:pStyle w:val="TextBody"/>
        <w:spacing w:before="0" w:after="0"/>
        <w:ind w:left="0" w:right="0" w:firstLine="990"/>
        <w:rPr/>
      </w:pPr>
      <w:r>
        <w:rPr/>
      </w:r>
    </w:p>
    <w:p>
      <w:pPr>
        <w:pStyle w:val="TextBody"/>
        <w:spacing w:lineRule="auto" w:line="276" w:before="0" w:after="0"/>
        <w:ind w:left="0" w:right="0" w:firstLine="990"/>
        <w:rPr/>
      </w:pPr>
      <w:r>
        <w:rPr>
          <w:rFonts w:ascii="Times New Roman;sans-serif" w:hAnsi="Times New Roman;sans-serif"/>
          <w:b w:val="false"/>
          <w:color w:val="000000"/>
          <w:sz w:val="20"/>
        </w:rPr>
        <w:t>We designed TP-03 to target and eradicate the root cause of Demodex blepharitis — Demodex mite infestation. The active pharmaceutical ingredient ("API") of TP-03, lotilaner, paralyzes and eradicates mites and other parasites through the inhibition of parasite-specific gamma-aminobutyric acid-gated chloride</w:t>
      </w:r>
      <w:r>
        <w:rPr>
          <w:color w:val="000000"/>
          <w:highlight w:val="white"/>
        </w:rPr>
        <w:t xml:space="preserve"> </w:t>
      </w:r>
      <w:r>
        <w:rPr>
          <w:rFonts w:ascii="Times New Roman;sans-serif" w:hAnsi="Times New Roman;sans-serif"/>
          <w:b w:val="false"/>
          <w:color w:val="000000"/>
          <w:sz w:val="20"/>
          <w:highlight w:val="white"/>
        </w:rPr>
        <w:t>("</w:t>
      </w:r>
      <w:r>
        <w:rPr>
          <w:rFonts w:ascii="Times New Roman;sans-serif" w:hAnsi="Times New Roman;sans-serif"/>
          <w:b w:val="false"/>
          <w:color w:val="000000"/>
          <w:sz w:val="20"/>
        </w:rPr>
        <w:t xml:space="preserve">GABA-Cl") channels.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completed seven clinical trials that include a Phase 3 Saturn-2 trial, a Phase 2b/3 Saturn-1 trial, four Phase 2 trials, and a Phase 1 trial for TP-03 in Demodex blepharitis, all of which met their primary, secondary and/or certain exploratory endpoints, with the drug well tolerated throughout each trial. In November 2022, we announced the New Drug Application ("NDA") submission package for TP-03 for the treatment of Demodex blepharitis was accepted by the U.S. Food and Drug Administration ("FDA") with a PDUFA decision date of August 25, 2023. We believe TP-03 has the potential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be the first therapeutic approved by the FDA and become the definitive standard of care for the treatment of Demodex blepharitis. </w:t>
      </w:r>
    </w:p>
    <w:p>
      <w:pPr>
        <w:pStyle w:val="TextBody"/>
        <w:spacing w:before="0" w:after="0"/>
        <w:ind w:left="0" w:right="0" w:firstLine="990"/>
        <w:rPr/>
      </w:pPr>
      <w:r>
        <w:rPr/>
      </w:r>
    </w:p>
    <w:p>
      <w:pPr>
        <w:pStyle w:val="TextBody"/>
        <w:spacing w:lineRule="auto" w:line="276"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across therapeutic and/or prophylactic categories in human medicine, including eye care, dermatology, and other diseases. We are investigating the development of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pStyle w:val="TextBody"/>
        <w:spacing w:lineRule="auto" w:line="276" w:before="240" w:after="283"/>
        <w:rPr>
          <w:rFonts w:ascii="Times New Roman;sans-serif" w:hAnsi="Times New Roman;sans-serif"/>
          <w:b/>
          <w:i/>
          <w:color w:val="000000"/>
          <w:sz w:val="20"/>
        </w:rPr>
      </w:pPr>
      <w:r>
        <w:rPr>
          <w:rFonts w:ascii="Times New Roman;sans-serif" w:hAnsi="Times New Roman;sans-serif"/>
          <w:b/>
          <w:i/>
          <w:color w:val="000000"/>
          <w:sz w:val="20"/>
        </w:rPr>
        <w:t xml:space="preserve">Recent Business and Clinical Highlights </w:t>
      </w:r>
    </w:p>
    <w:p>
      <w:pPr>
        <w:pStyle w:val="TextBody"/>
        <w:spacing w:before="0" w:after="0"/>
        <w:ind w:left="0" w:right="0" w:firstLine="720"/>
        <w:rPr/>
      </w:pPr>
      <w:r>
        <w:rPr/>
      </w:r>
    </w:p>
    <w:p>
      <w:pPr>
        <w:pStyle w:val="TextBody"/>
        <w:spacing w:lineRule="auto" w:line="268" w:before="0" w:after="0"/>
        <w:ind w:left="0" w:right="0" w:firstLine="990"/>
        <w:rPr/>
      </w:pPr>
      <w:r>
        <w:rPr>
          <w:rFonts w:ascii="Times New Roman;sans-serif" w:hAnsi="Times New Roman;sans-serif"/>
          <w:b/>
          <w:color w:val="000000"/>
          <w:sz w:val="20"/>
          <w:u w:val="single"/>
        </w:rPr>
        <w:t>TP-03 Demodex Blepharitis, PDUFA August 25, 2023</w:t>
      </w:r>
      <w:r>
        <w:rPr>
          <w:rFonts w:ascii="Times New Roman;sans-serif" w:hAnsi="Times New Roman;sans-serif"/>
          <w:b w:val="false"/>
          <w:color w:val="000000"/>
          <w:sz w:val="20"/>
        </w:rPr>
        <w:t xml:space="preserve">: Our sales force leadership infrastructure is in place for the potential upcoming commercial launch of TP-03 for the treatment of Demodex blepharitis, including the Vice President of Sales, two regional directors and eleven district managers. The sales force will be focused on targeting approximately 15,000 optometrists and ophthalmologists, which represents greater than 80% of the market. </w:t>
      </w:r>
    </w:p>
    <w:p>
      <w:pPr>
        <w:pStyle w:val="TextBody"/>
        <w:spacing w:before="0" w:after="0"/>
        <w:ind w:left="0" w:right="0" w:firstLine="99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 March 2023, the Demodex Expert Panel on Treatment and Eyelid Health (“DEPTH”) published two papers on the importance of diagnosis and management of Demodex blepharitis Eye; https://doi.org/10.1038/s41433-023-02500-4, which showed the following:</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Clinical diagnosis and management of Demodex blepharitis established consensus about the disease, including signs, symptoms and diagnosis;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DEPTH consensus regarding current clinical practice management options for Demodex blepharitis showed collarettes are pathognomonic, patients with greater than 10 collarettes should be treated even in the absence of symptoms and efficacy can be tracked by collarette resolution;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DEPTH panel consensus was obtained by using the Delphi methodology, an approach that allows experts to achieve consensus by performing qualitative and quantitative analyses and utilizing sequential surveys.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 March 2023, we presented health economics data at the Academy of Managed Care Pharmacy 2023, which suggests a costly, substantial burden of illness in patients with Demodex blepharitis and the need for a safe and effective FDA-approved treatment. The data presented included: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Ongoing disease impact and additional office visits are potentially driving up healthcare resource utilization;</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Patients reported having delayed diagnosis, multiple office visits, unresolved Demodex blepharitis and high costs of disease management;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Current non-FDA approved therapies to manage Demodex blepharitis do not address the root problem nor provide satisfactory relief for most patients.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An Awareness, Trial and Usage (ATU) market research survey of approximately 250 optometrists and ophthalmologists was conducted to capture and analyze awareness and the likelihood to prescribe a potential prescription therapeutic for Demodex blepharitis, including:</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Growing confidence in making a diagnosis with 68% believing collarettes are pathognomonic to Demodex blepharitis and 66% recognizing the importance of screening patients for the presence of collarettes during eye exams;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93% indicated they would prescribe an FDA-approved therapeutic for Demodex blepharitis.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 have raised awareness on the prevalence and impact of Demodex blepharitis through launching disease education campaigns, including:</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“Look at the Lids” disease education campaign, which generated nearly 200,000 unique website visits, up from 125,000 during the quarter ended December 31, 2022 and more than 2.3 million digital/media impressions, an increase of 300,000 impressions from the quarter ended December 31, 2022; and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“Don’t Freak Out. Get Checked Out.” disease education campaign, which was designed to encourage patients who may have Demodex blepharitis to visit their eye care provider for an eyelid check.</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color w:val="000000"/>
          <w:sz w:val="20"/>
          <w:u w:val="single"/>
        </w:rPr>
        <w:t>TP-03 Meibomian Gland Disease, Ersa Trial</w:t>
      </w:r>
      <w:r>
        <w:rPr>
          <w:rFonts w:ascii="Times New Roman;sans-serif" w:hAnsi="Times New Roman;sans-serif"/>
          <w:b w:val="false"/>
          <w:color w:val="000000"/>
          <w:sz w:val="20"/>
        </w:rPr>
        <w:t>: In August 2022, we announced the enrollment of our first patient in the Phase 2a Ersa clinical trial studying TP-03 for the treatment of MGD. We expect to report topline data during the second half of 2023.</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color w:val="000000"/>
          <w:sz w:val="20"/>
          <w:u w:val="single"/>
        </w:rPr>
        <w:t>TP-04 Rosacea, Galatea Trial</w:t>
      </w:r>
      <w:r>
        <w:rPr>
          <w:rFonts w:ascii="Times New Roman;sans-serif" w:hAnsi="Times New Roman;sans-serif"/>
          <w:b w:val="false"/>
          <w:color w:val="000000"/>
          <w:sz w:val="20"/>
        </w:rPr>
        <w:t xml:space="preserve">: In March 2023, we initiated the Galatea trial, a Phase 2a trial evaluating TP-04, a novel gel formulation of lotilaner, for the treatment of rosacea. </w:t>
      </w:r>
    </w:p>
    <w:p>
      <w:pPr>
        <w:pStyle w:val="TextBody"/>
        <w:spacing w:before="0" w:after="0"/>
        <w:ind w:left="0" w:right="0" w:firstLine="990"/>
        <w:rPr/>
      </w:pPr>
      <w:r>
        <w:rPr/>
      </w:r>
    </w:p>
    <w:p>
      <w:pPr>
        <w:pStyle w:val="TextBody"/>
        <w:spacing w:lineRule="auto" w:line="288" w:before="0" w:after="0"/>
        <w:ind w:left="0" w:right="0" w:firstLine="990"/>
        <w:rPr/>
      </w:pPr>
      <w:r>
        <w:rPr>
          <w:rFonts w:ascii="Times New Roman;sans-serif" w:hAnsi="Times New Roman;sans-serif"/>
          <w:b/>
          <w:color w:val="000000"/>
          <w:sz w:val="20"/>
          <w:u w:val="single"/>
        </w:rPr>
        <w:t>TP-05 Lyme Disease, Callisto and Carpo Trials</w:t>
      </w:r>
      <w:r>
        <w:rPr>
          <w:rFonts w:ascii="Times New Roman;sans-serif" w:hAnsi="Times New Roman;sans-serif"/>
          <w:b w:val="false"/>
          <w:color w:val="000000"/>
          <w:sz w:val="20"/>
        </w:rPr>
        <w:t>: In December 2022, we announced positive topline results from the completed Phase 1 Callisto trial and enrollment of the first patient in the Phase 2a Carpo trial. The Callisto and Carpo trials are designed to evaluate TP-05, a novel investigative oral, non-vaccine pharmacological prophylactic for the potential prevention of Lyme disease. The Callisto Phase 1 trial was a randomized, double-blind, single and multiple-ascending dose trial that evaluated the safety, tolerability, and PK of TP-05 in healthy subjects. Results from the trial showed that TP-05 was well tolerated with no dose-related or drug-related serious adverse events. Pharmacokinetic data from the trial demonstrated rapid absorption and an extended half-life of TP-05 that potentially supports a convenient oral therapy regimen, supporting its potential as a rapid onset, prophylactic therapy for Lyme disease. Additionally, exploratory ex-vivo tick kill modeling utilizing serum from TP-05 treated subjects demonstrated potent, rapid killing of adult and nymph ticks. The Carpo trial, evaluating TP-05 for the potential prevention of Lyme disease in humans, is a randomized, double-blind trial that will evaluate the efficacy of TP-05 in killing lab grown, non-disease carrying ticks after they have attached to the skin of healthy volunteers, as well as confirm the safety, tolerability, and blood concentration of TP-05. We expect to report topline data from the Phase 2a Carpo trial during the second half of 2023.</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TP-05 is currently the only non-vaccine, drug-based prophylaxis in development that targets the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 </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color w:val="000000"/>
          <w:sz w:val="20"/>
          <w:u w:val="single"/>
        </w:rPr>
        <w:t>TP-03 China Territory Out-License</w:t>
      </w:r>
      <w:r>
        <w:rPr>
          <w:rFonts w:ascii="Times New Roman;sans-serif" w:hAnsi="Times New Roman;sans-serif"/>
          <w:b w:val="false"/>
          <w:color w:val="000000"/>
          <w:sz w:val="20"/>
        </w:rPr>
        <w:t xml:space="preserve">: In March 2021, we executed an out-license agreement (the "China Out-License") with LianBio Ophthalmology Limited ("LianBio"), granting exclusive commercial rights to TP-03 for the treatment of Demodex blepharitis and MGD within The People’s Republic of China, Macau, Hong Kong, and Taiwan (the "China Territory"). </w:t>
      </w:r>
    </w:p>
    <w:p>
      <w:pPr>
        <w:pStyle w:val="TextBody"/>
        <w:spacing w:before="0" w:after="0"/>
        <w:ind w:left="0" w:right="0" w:firstLine="990"/>
        <w:rPr/>
      </w:pPr>
      <w:r>
        <w:rPr/>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was triggered resulting in $2.5 million recognized as license fees and collaboration revenue in the accompanying Condensed Statements of Operations for the three months ended March 31, 2023. This cash payment was received in the second quarter of 2023. As of the date of this filing, we have received contractual cash proceeds from LianBio of $82.5 million (including the $2.5 million received in the second quarter of 2023), representing initial consideration of $15.0 million and $67.5 million for the achievement of specified milestone events. We also received equity in LianBio as part of this China Out-License, a portion of which remains subject to a China-based regulatory vesting provision. </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color w:val="000000"/>
          <w:sz w:val="20"/>
          <w:u w:val="single"/>
        </w:rPr>
        <w:t>Credit Facility with Hercules Capital and Silicon Valley Bank</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On February 2, 2022, we executed a loan and security agreement with Hercules Capital, Inc. ("Hercules") and Silicon Valley Bank ("SVB") (the "Credit Facility). On January 5, 2023, we entered into an amendment to the loan and security agreement, which set a maximum interest rate, and updated the terms of prepayment under the Credit Facility and other certain specific conditions. On March 15, 2023, we made a $5.0 million draw (including SVB's commitment of $1.25 million) from the $25.0 million tranche that became available upon submission of the NDA. As of March 31, 2023, the Credit Facility provides for a remaining aggregate principal amount of up to $130.0 million (see </w:t>
      </w:r>
      <w:r>
        <w:rPr>
          <w:rFonts w:ascii="Times New Roman;sans-serif" w:hAnsi="Times New Roman;sans-serif"/>
          <w:b w:val="false"/>
          <w:i/>
          <w:color w:val="000000"/>
          <w:sz w:val="20"/>
        </w:rPr>
        <w:t>Note 10</w:t>
      </w:r>
      <w:r>
        <w:rPr>
          <w:rFonts w:ascii="Times New Roman;sans-serif" w:hAnsi="Times New Roman;sans-serif"/>
          <w:b w:val="false"/>
          <w:color w:val="000000"/>
          <w:sz w:val="20"/>
        </w:rPr>
        <w:t>). As further described below in the section titled “Impact of the COVID-19 Pandemic and the Macroeconomic Environment,” SVBB (as defined below) assumed the obligations and commitments of SVB, and subsequently, on March 27, 2023, First-Citizens Bank &amp; Trust Company (“First Citizens Bank”) assumed all of SVBB’s obligations and commitments and SVBB began operating as Silicon Valley Bank, a division of First Citizens Bank. Unless otherwise noted herein, all references to SVB or Silicon Valley Bank shall refer to Silicon Valley Bank, a division of First Citizens Bank.</w:t>
      </w:r>
    </w:p>
    <w:p>
      <w:pPr>
        <w:pStyle w:val="TextBody"/>
        <w:spacing w:before="0" w:after="0"/>
        <w:ind w:left="0" w:right="0" w:firstLine="99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Corporate and Financial Overview</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as a Delaware corporation in November 2016, and our headquarters is located in Irvine, California. Since our inception, we have devoted substantially all of our resources to organizing and staffing our company,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acquiring intellectual property, clinical development of our product candidates, building our research and development capabilities, raising capital, and enhancing our corporate infrastructure.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operations through private placements of preferred stock, convertible promissory notes, the net proceeds from issuance of common stock in our IPO and Follow-On Public Offering, cash proceeds from our China Out-License, and draw-downs from our Credit Facility.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operating losses in every year since our inception and expect to continue to incur significant operating expenses and, other than the effect of license fees and collaboration revenue from the China Out-License, increasing operating losses for the foreseeable future. Our net loss was $23.4 million and $20.2 million for the three months ended March 31, 2023 and 2022, respectively. Our net losses may fluctuate significantly from quarter to quarter and year to year and could be substantial. We anticipate that our operating expenses will increase significantly as we: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seek regulatory approvals for TP-03 and other product candidates that successfully complete clinical development, if any;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advance the clinical development of TP-03 for the potential treatment of MGD, TP-04 for the potential treatment of rosacea and TP-05 for potential Lyme prophylaxis;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establish our own sales force in the U.S. to commercialize TP-03 upon regulatory approval and our other products for which we obtain such approvals;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engage with contract manufacturers to ensure a sufficient supply chain capacity to provide commercial quantities of any products for which we may obtain marketing approval;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maintain, expand and protect our intellectual property portfolio;</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hire additional staff, including clinical, scientific, technical, regulatory, marketing, operations, financial, and other support personnel, to execute our business plan;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add information systems and personnel to support our product development and potential future commercialization efforts, and to enable us to operate as a public company.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yet have revenue from product sales. Our reported revenue within license fees and collaboration revenue is from our China Out-License; we expect to report additional revenue under this caption in future periods.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and achieve profitability,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drug product development, we are unable to accurately forecast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pStyle w:val="TextBody"/>
        <w:spacing w:lineRule="auto" w:line="288" w:before="240" w:after="283"/>
        <w:ind w:left="0" w:right="0" w:firstLine="990"/>
        <w:rPr/>
      </w:pPr>
      <w:r>
        <w:rPr>
          <w:rFonts w:ascii="Times New Roman;sans-serif" w:hAnsi="Times New Roman;sans-serif"/>
          <w:b w:val="false"/>
          <w:color w:val="000000"/>
          <w:sz w:val="20"/>
        </w:rPr>
        <w:t xml:space="preserve">As of March 31, 2023, our aggregate cash, cash equivalents and marketable securities was $201.2 million – see the section below titled </w:t>
      </w:r>
      <w:r>
        <w:rPr>
          <w:color w:val="000000"/>
        </w:rPr>
        <w:t>“</w:t>
      </w:r>
      <w:r>
        <w:rPr>
          <w:rFonts w:ascii="Times New Roman;sans-serif" w:hAnsi="Times New Roman;sans-serif"/>
          <w:b w:val="false"/>
          <w:i/>
          <w:color w:val="000000"/>
          <w:sz w:val="20"/>
        </w:rPr>
        <w:t>Management's Discussion and Analysis of Financial Condition and Results of Operations — Liquidity and Capital Resources.”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Impact of the COVID-19 Pandemic and Macroeconomic Environment</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have been monitoring the COVID-19 pandemic and its potential impact on our business. 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While the pandemic has begun to subside, a resurgence in the COVID-19 pandemic, or other health epidemics or outbreaks in the future, could have a material, adverse impact on our commercialization and development timelines for our products and product candidates.</w:t>
      </w:r>
    </w:p>
    <w:p>
      <w:pPr>
        <w:pStyle w:val="TextBody"/>
        <w:spacing w:lineRule="auto" w:line="288" w:before="240" w:after="283"/>
        <w:ind w:left="0" w:right="0" w:firstLine="990"/>
        <w:rPr/>
      </w:pPr>
      <w:r>
        <w:rPr>
          <w:rFonts w:ascii="Times New Roman;sans-serif" w:hAnsi="Times New Roman;sans-serif"/>
          <w:b w:val="false"/>
          <w:color w:val="000000"/>
          <w:sz w:val="20"/>
        </w:rPr>
        <w:t xml:space="preserve">Further, </w:t>
      </w:r>
      <w:r>
        <w:rPr>
          <w:rFonts w:ascii="Times New Roman;sans-serif" w:hAnsi="Times New Roman;sans-serif"/>
          <w:b w:val="false"/>
          <w:color w:val="000000"/>
          <w:sz w:val="20"/>
          <w:highlight w:val="white"/>
        </w:rPr>
        <w:t>the economic downturn resulting from the COVID-19 pandemic precipitated a global recession, and together with high rates of inflation and energy supply issues experienced in certain regions, have led to regional and/or global macroeconomic challenges, the effects of which may be of an extended duration.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we may be exposed to credit risk on deposits at financial institutions to the extent our account balances exceed the amount insured by the Federal Deposit Insurance Corporation (“FDIC”). We are monitoring ongoing events involving limited liquidity, defaults, non-performance or other adverse developments that affect financial institutions, including SVB. On March 10, 2023, SVB was closed by the California Department of Financial Protection and Innovation, which appointed the FDIC as receiver, and all of SVB’s deposits and substantially all of SVB’s assets were transferred into a new entity, Silicon Valley Bridge Bank, N.A. (“SVBB”).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SVBB had assumed the obligations and commitments of former SVB; commitments to advance under existing credit agreements with former SVB will be honored by SVBB pursuant to the terms of such credit agreements. On March 27, 2023, First Citizens Bank assumed all of SVBB’s obligations and commitments, and SVBB began operating as Silicon Valley Bank, a division of First Citizens Bank. In light of the foregoing, we do not believe we have exposure to loss as a result of SVB’s receivership.</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val="false"/>
          <w:color w:val="000000"/>
          <w:sz w:val="20"/>
        </w:rPr>
        <w:t xml:space="preserve">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year ended December 31, 2022, filed with the SEC on March 17, 2023 and in this Quarterly Report, for a further discussion of the potential adverse impact of COVID-19 and unfavorable global economic conditions on our business, results of operations and financial condition.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w:t>
      </w:r>
    </w:p>
    <w:tbl>
      <w:tblPr>
        <w:tblW w:w="8791" w:type="dxa"/>
        <w:jc w:val="center"/>
        <w:tblInd w:w="0" w:type="dxa"/>
        <w:tblCellMar>
          <w:top w:w="28" w:type="dxa"/>
          <w:left w:w="28" w:type="dxa"/>
          <w:bottom w:w="28" w:type="dxa"/>
          <w:right w:w="28" w:type="dxa"/>
        </w:tblCellMar>
      </w:tblPr>
      <w:tblGrid>
        <w:gridCol w:w="1840"/>
        <w:gridCol w:w="1615"/>
        <w:gridCol w:w="1630"/>
        <w:gridCol w:w="197"/>
        <w:gridCol w:w="727"/>
        <w:gridCol w:w="110"/>
        <w:gridCol w:w="110"/>
        <w:gridCol w:w="110"/>
        <w:gridCol w:w="110"/>
        <w:gridCol w:w="197"/>
        <w:gridCol w:w="727"/>
        <w:gridCol w:w="110"/>
        <w:gridCol w:w="109"/>
        <w:gridCol w:w="109"/>
        <w:gridCol w:w="109"/>
        <w:gridCol w:w="196"/>
        <w:gridCol w:w="631"/>
        <w:gridCol w:w="154"/>
      </w:tblGrid>
      <w:tr>
        <w:trPr/>
        <w:tc>
          <w:tcPr>
            <w:tcW w:w="1840"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0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 and income taxes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(expense), net </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pPr>
      <w:r>
        <w:rPr>
          <w:rFonts w:ascii="Times New Roman;sans-serif" w:hAnsi="Times New Roman;sans-serif"/>
          <w:b/>
          <w:i/>
          <w:color w:val="000000"/>
          <w:sz w:val="20"/>
        </w:rPr>
        <w:t xml:space="preserve">License Fees and Collaboration Revenue </w:t>
      </w:r>
      <w:r>
        <w:rPr>
          <w:rFonts w:ascii="Times New Roman;sans-serif" w:hAnsi="Times New Roman;sans-serif"/>
          <w:b w:val="false"/>
          <w:color w:val="000000"/>
          <w:sz w:val="20"/>
        </w:rPr>
        <w:t>For the three months ended March 31, 2023 and 2022, we recognized $2.5 million and $0.5 million, respectively, of license fees and collaboration revenue under the China Out-License. These amounts represent the contractual milestones achieved or allocated under the China Out-License that have been fully or partially completed by the period end. These allocated amounts represented the satisfaction of the transfer of license rights to LianBio and the completion of related performance obligations.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to the extent other events occur, specifically related to (i) milestone achievement of an additional drug supply agreement execution, (ii) milestone achievement of certain regulatory events in the China Territory, and (iii) royalties and milestones from our licensee's product sales of TP-03 in the China Territory.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License Fees and Collaboration Revenue</w:t>
      </w:r>
    </w:p>
    <w:p>
      <w:pPr>
        <w:pStyle w:val="TextBody"/>
        <w:spacing w:lineRule="auto" w:line="26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Cost of license fees and collaboration revenue was $33 thousand for the three months ended March 31, 2022. This amount relates to our contractual payment obligations to Elanco, in proportion to our recognized license fees and collaboration revenue in the same period.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750" w:type="dxa"/>
        <w:jc w:val="left"/>
        <w:tblInd w:w="0" w:type="dxa"/>
        <w:tblCellMar>
          <w:top w:w="28" w:type="dxa"/>
          <w:left w:w="28" w:type="dxa"/>
          <w:bottom w:w="28" w:type="dxa"/>
          <w:right w:w="28" w:type="dxa"/>
        </w:tblCellMar>
      </w:tblPr>
      <w:tblGrid>
        <w:gridCol w:w="1101"/>
        <w:gridCol w:w="971"/>
        <w:gridCol w:w="973"/>
        <w:gridCol w:w="211"/>
        <w:gridCol w:w="695"/>
        <w:gridCol w:w="117"/>
        <w:gridCol w:w="117"/>
        <w:gridCol w:w="117"/>
        <w:gridCol w:w="117"/>
        <w:gridCol w:w="211"/>
        <w:gridCol w:w="695"/>
        <w:gridCol w:w="117"/>
        <w:gridCol w:w="109"/>
        <w:gridCol w:w="109"/>
        <w:gridCol w:w="109"/>
        <w:gridCol w:w="196"/>
        <w:gridCol w:w="631"/>
        <w:gridCol w:w="154"/>
      </w:tblGrid>
      <w:tr>
        <w:trPr/>
        <w:tc>
          <w:tcPr>
            <w:tcW w:w="110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Compensation and personnel-related </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Elanco milestone expenses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$0.3 million for the three months ended March 31, 2023, as compared to the prior year period. This increase was primarily due to (i) $2.8 million of increased indirect expenses related to payroll and personnel-related costs (including stock-based compensation) for 28 employee additions period over period to drive our product development initiatives, (ii) $1.0 million of milestone expense related to our in-license agreement with Elanco, and (iii) $1.8 million of increased TP-05 program expenses primarily related to a new food effect study that was initiated during the three months ended March 31, 2023 and other clinical trial initiatives. These increases were partially offset by decreases in direct external spend for the TP-03 and TP-04 programs of $4.9 million and $0.5 million, respectively. The decrease in our TP-03 program expenses was primarily due to significantly reduced clinical trial costs given the completion of our Saturn-2 trial in the first half of 2022. The decrease in our TP-04 program expenses were primarily due to decreases in preclinical costs.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$7.2 million for the three months ended March 31, 2023, as compared to the prior year period. The increase was primarily due to (i) $3.7 million of increased payroll and personnel-related costs (including stock-based compensation) for 31 corporate employee additions, period over period, to support our business growth and commercial leadership hires for readiness of our anticipated commercial launch of TP-03 in the second half of 2023, and (ii) $2.9 million of increased commercial and market research costs as we continue our commercial expansion and prepare for the potential launch of TP-03 in the second half of 2023, (iii) $0.2 million of increased IT application expenses to support the continued growth and expansion of our corporate infrastructure, and (iv) $0.2 million of increased facilities and other office and administrative expenses. We expect sales and marketing headcount and associated vendor expenses to meaningfully increase during 2023 as part of our TP-03 commercial launch-related activities.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increased by $2.2 million primarily due to (i) $2.3 million of increased interest income earned on our cash, cash equivalents and marketable securities, (ii) $0.2 million change in estimated fair value of the LianBio equity warrants we received as part of our China Out-License in March 2021, and (iii) $0.1 million change in fair value of the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LianBio common stock. These increases were partially offset by a decrease of interest expense of $0.4 million on the Credit Facility.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valuation allowance against our net deferred tax assets as of March 31, 2023 and 2022 due to the uncertainty that such assets will be realized. We evaluate the recoverability of our deferred tax assets on at least an annual basis.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cash, cash equivalents and marketable securities of $201.2 million. Since our inception, our operations have been substantially financed by cash proceeds of private placements of preferred stock, IPO proceeds from the issuance of common stock, China Out-License consideration, Credit Facility draws, and the Follow-On Public Offering. </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IPO and Follow-On Public Offering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connection with our October 2020 IPO, we sold 6,325,000 shares of our common stock (inclusive of the full exercise of the underwriters’ option to purchase 825,000 shares of common stock). After deducting underwriting discounts, commissions and other related expenses, our IPO proceeds were $91.7 million. In May 2022, we completed the Follow-On Public Offering. We also granted the underwriters a 30-day option to purchase up to 840,000 additional shares of common stock at the public offering price, less underwriting discounts and commissions. In June 2022, the underwriters partially exercised their option to purchase an additional 289,832 shares of common stock at the offering price of $13.50 per share, before underwriting discounts and commissions. After giving effect to the exercise of the underwriters’ option, we sold 5,889,832 shares for total gross proceeds of $79.5 million, before underwriting discounts, commissions and other estimated offering expenses for total net proceeds received of $74.3 million.</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China Out-License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we have received $82.5 million of total proceeds in connection with our China Out-License. We expect to receive an additional $2.5 million during 2023 for the achievement of a specific milestone, for cumulative milestone receipts of $85.0 million through December 2023. The remaining $120.0 million of available milestones under this arrangement will potentially be received upon future regulatory and sales achievements all within the China Territory. </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drew $20.0 million from our Credit Facility with Hercules and SVB. Capital draws are at our election and are in $5.0 million increments. This Credit Facility was amended in January 2023. The Credit Facility, as amended, includes an extended period to draw down the tranche associated with the NDA submission, from March 15, 2023 to March 15, 2024 provided at least $5 million was drawn on or before March 15, 2023 and at least an additional $5 million is drawn on or before September 15, 2023. On March 15, 2023 we made a $5.0 million draw (including SVB's commitment of $1.25 million) from the $25.0 million tranche associated with the NDA submission of TP-03. The Credit Facility includes four-year period of interest-only payments and is extendable for a fifth year to February 2027 maturity, upon our expected achievement of required conditions. We currently have no other financing commitments, such as lines of credit or guarantees.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we have $130.0 million of tranched availability as follows: </w:t>
      </w:r>
    </w:p>
    <w:p>
      <w:pPr>
        <w:pStyle w:val="TextBody"/>
        <w:spacing w:before="0" w:after="0"/>
        <w:ind w:left="0" w:right="0" w:firstLine="990"/>
        <w:rPr/>
      </w:pPr>
      <w:r>
        <w:rPr/>
      </w:r>
    </w:p>
    <w:p>
      <w:pPr>
        <w:pStyle w:val="TextBody"/>
        <w:spacing w:lineRule="auto" w:line="288" w:before="0" w:after="0"/>
        <w:ind w:left="0" w:right="0" w:hanging="90"/>
        <w:rPr/>
      </w:pPr>
      <w:r>
        <w:rPr>
          <w:color w:val="000000"/>
        </w:rPr>
        <w:t xml:space="preserve">• </w:t>
      </w:r>
      <w:r>
        <w:rPr>
          <w:rFonts w:ascii="Times New Roman;sans-serif" w:hAnsi="Times New Roman;sans-serif"/>
          <w:b w:val="false"/>
          <w:color w:val="000000"/>
          <w:sz w:val="20"/>
        </w:rPr>
        <w:t>$20.0 million, which became available in September 2022 upon our NDA submission of TP-03 to the FDA;</w:t>
      </w:r>
    </w:p>
    <w:p>
      <w:pPr>
        <w:pStyle w:val="TextBody"/>
        <w:spacing w:lineRule="auto" w:line="288" w:before="0" w:after="0"/>
        <w:ind w:left="0" w:right="0" w:firstLine="630"/>
        <w:rPr/>
      </w:pPr>
      <w:r>
        <w:rPr>
          <w:color w:val="000000"/>
        </w:rPr>
        <w:t xml:space="preserve">• </w:t>
      </w:r>
      <w:r>
        <w:rPr>
          <w:rFonts w:ascii="Times New Roman;sans-serif" w:hAnsi="Times New Roman;sans-serif"/>
          <w:b w:val="false"/>
          <w:color w:val="000000"/>
          <w:sz w:val="20"/>
        </w:rPr>
        <w:t>$35.0 million available upon FDA approval of TP-03;</w:t>
      </w:r>
    </w:p>
    <w:p>
      <w:pPr>
        <w:pStyle w:val="TextBody"/>
        <w:spacing w:lineRule="auto" w:line="288" w:before="0" w:after="0"/>
        <w:ind w:left="0" w:right="0" w:firstLine="630"/>
        <w:rPr/>
      </w:pPr>
      <w:r>
        <w:rPr>
          <w:color w:val="000000"/>
        </w:rPr>
        <w:t xml:space="preserve">• </w:t>
      </w:r>
      <w:r>
        <w:rPr>
          <w:rFonts w:ascii="Times New Roman;sans-serif" w:hAnsi="Times New Roman;sans-serif"/>
          <w:b w:val="false"/>
          <w:color w:val="000000"/>
          <w:sz w:val="20"/>
        </w:rPr>
        <w:t>$50.0 million available upon achievement of certain quarterly revenue thresholds; and</w:t>
      </w:r>
    </w:p>
    <w:p>
      <w:pPr>
        <w:pStyle w:val="TextBody"/>
        <w:spacing w:lineRule="auto" w:line="288" w:before="0" w:after="0"/>
        <w:ind w:left="0" w:right="0" w:firstLine="630"/>
        <w:rPr/>
      </w:pPr>
      <w:r>
        <w:rPr>
          <w:color w:val="000000"/>
        </w:rPr>
        <w:t xml:space="preserve">• </w:t>
      </w:r>
      <w:r>
        <w:rPr>
          <w:rFonts w:ascii="Times New Roman;sans-serif" w:hAnsi="Times New Roman;sans-serif"/>
          <w:b w:val="false"/>
          <w:color w:val="000000"/>
          <w:sz w:val="20"/>
        </w:rPr>
        <w:t>$25.0 million available with lender approval.</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operating expenditures currently consist of research and development costs (including activities within our preclinical, clinical, regulatory, and drug manufacturing initiatives) and general and administrative costs. Our use of cash is impacted by the timing and extent of payments for each of these activities and other business requirements.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investments of $201.2 million as of March 31, 2023 is sufficient to fund our current and planned operations for at least the next twelve months from the date of this filing on Form 10-Q. Based upon this plan, we anticipate these funds in combination with our Credit Facility, revenues generated from TP-03, and milestones from the China Out-License to fund our commercial launch of TP-03 in Demodex blepharitis and advance our pipeline through Phase 2 studies in MGD, Lyme disease and rosacea.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We anticipate having at least $55.0 million of available capital from our Credit Facility through March 2024 and an additional $75.0 million of additional tranched availability through December 2024. The Credit Facility requires interest-only debt service payments that are expected to remain through its maturity in February 2027 and its remaining tranches are subject to undrawn expiry in either March 2024 or December 2024 (see </w:t>
      </w:r>
      <w:r>
        <w:rPr>
          <w:rFonts w:ascii="Times New Roman;sans-serif" w:hAnsi="Times New Roman;sans-serif"/>
          <w:b w:val="false"/>
          <w:i/>
          <w:color w:val="000000"/>
          <w:sz w:val="20"/>
        </w:rPr>
        <w:t>Note 10</w:t>
      </w:r>
      <w:r>
        <w:rPr>
          <w:rFonts w:ascii="Times New Roman;sans-serif" w:hAnsi="Times New Roman;sans-serif"/>
          <w:b w:val="false"/>
          <w:color w:val="000000"/>
          <w:sz w:val="20"/>
        </w:rPr>
        <w: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 </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Shelf Registration Statement</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November 1, 2021, we filed a shelf registration statement on Form S-3 that was declared effective by the SEC on November 5, 2021 (the “Shelf Registration Statement”), which permitted us to offer up to $300.0 million of common stock, preferred stock, debt securities and warrants in one or more offerings and in any combination, including in units from time to time. We have approximately $220 million remaining under our Shelf Registration Statement, after giving effect to the Follow-On Public Offering (but inclusive of the sales agreement prospectus described below). Our Shelf Registration Statement is intended to provide us with additional flexibility to access capital markets for general corporate expenses and acquisitions of complementary products, technologies, or businesses. We completed the Follow-On Public Offering under this Shelf Registration Statement.</w:t>
      </w:r>
    </w:p>
    <w:p>
      <w:pPr>
        <w:pStyle w:val="TextBody"/>
        <w:spacing w:before="0" w:after="0"/>
        <w:ind w:left="0" w:right="0" w:firstLine="990"/>
        <w:rPr/>
      </w:pPr>
      <w:r>
        <w:rPr/>
      </w:r>
    </w:p>
    <w:p>
      <w:pPr>
        <w:pStyle w:val="TextBody"/>
        <w:spacing w:lineRule="auto" w:line="268" w:before="0" w:after="0"/>
        <w:ind w:left="0" w:right="0" w:firstLine="990"/>
        <w:rPr/>
      </w:pPr>
      <w:r>
        <w:rPr>
          <w:rFonts w:ascii="Times New Roman;sans-serif" w:hAnsi="Times New Roman;sans-serif"/>
          <w:b w:val="false"/>
          <w:color w:val="000000"/>
          <w:sz w:val="20"/>
        </w:rPr>
        <w:t>Also, as part of this Shelf Registration Statement, we concurrently filed a sales agreement prospectus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(the “ATM Agreement”) with Jefferies LLC. Through the date of this filing, we have not sold any shares of our common stock under the ATM Agreement. </w:t>
      </w:r>
    </w:p>
    <w:p>
      <w:pPr>
        <w:pStyle w:val="TextBody"/>
        <w:spacing w:before="0" w:after="0"/>
        <w:ind w:left="0" w:right="0" w:firstLine="99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Other Liquidity Risks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generated any product sales, though we have recognized revenue and cash receipts from our China Out-License. We do not expect to report any product revenue unless and until we (i) complete development of any of our product candidates; (ii) obtain applicable regulatory approvals; and then (iii) successfully commercialize our product candidates or enter into other collaborative agreements for our product candidates with third parties. We do not know with certainty when, or if, any of these items will ultimately occur.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incur significant operating losses for the foreseeable future, and expect these losses to further increase, as we expand our clinical development programs and as we prepare for the potential commercial launch of TP-03. We may also encounter unforeseen expenses, difficulties, complications, delays and other currently unknown factors that could adversely affect our business.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amount of revenue, if any, received from commercial sales of our product candidates, should any of our product candidates receive marketing approval;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cost and timing associated with commercializing our product candidates, if they receive marketing approval;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scope, timing, rate of progress and costs of our drug discovery efforts, preclinical development activities, laboratory testing and clinical trials for our product candidates;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number and scope of clinical programs we decide to pursue;</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cost, timing and outcome of preparing for and undergoing regulatory review of our product candidates;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scope and costs of development and commercial manufacturing activities;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achievement of milestones or occurrence of other developments that trigger payments under any collaboration agreements we might have at such time and availability of our Credit Facility;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implementation of various computerized information systems;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impact of health epidemics, including COVID-19, on our clinical development or operations;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costs associated with being a public company.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Summary Statements of Cash Flows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w:t>
      </w:r>
    </w:p>
    <w:tbl>
      <w:tblPr>
        <w:tblW w:w="6218" w:type="dxa"/>
        <w:jc w:val="center"/>
        <w:tblInd w:w="0" w:type="dxa"/>
        <w:tblCellMar>
          <w:top w:w="28" w:type="dxa"/>
          <w:left w:w="28" w:type="dxa"/>
          <w:bottom w:w="28" w:type="dxa"/>
          <w:right w:w="28" w:type="dxa"/>
        </w:tblCellMar>
      </w:tblPr>
      <w:tblGrid>
        <w:gridCol w:w="1373"/>
        <w:gridCol w:w="1202"/>
        <w:gridCol w:w="1219"/>
        <w:gridCol w:w="196"/>
        <w:gridCol w:w="721"/>
        <w:gridCol w:w="109"/>
        <w:gridCol w:w="109"/>
        <w:gridCol w:w="109"/>
        <w:gridCol w:w="109"/>
        <w:gridCol w:w="196"/>
        <w:gridCol w:w="721"/>
        <w:gridCol w:w="154"/>
      </w:tblGrid>
      <w:tr>
        <w:trPr/>
        <w:tc>
          <w:tcPr>
            <w:tcW w:w="1373"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$22.0 million for the three months ended March 31, 2023, which primarily consisted of our net loss of $23.4 million partially offset by stock-based compensation of $3.9 million. For the three months ended March 31, 2023, our cash payments to vendors totaled $15.2 million and payroll-related cash payments (inclusive of 2022 bonus payouts) totaled $10.4 million. </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$15.3 million for the three months ended March 31, 2022. Though we recognized $0.5 million of license fee and collaboration revenue, no corresponding cash was received in connection with our China Out-License. In the prior year period, our cash payments to vendors for our operating activities totaled $10.1 million and payroll-related cash payments (inclusive of 2021 bonus payouts) totaled $5.2 million.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Net Cash Provided by (Used in) Investing Activities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$11.3 million for the three months ended March 31, 2023, and primarily relates to $40.3 million of proceeds from maturities of investments, partially offset by $28.7 million of purchased investments and $0.3 million of purchased furniture, fixtures and leasehold improvements for our laboratory and administrative offices.</w:t>
      </w:r>
    </w:p>
    <w:p>
      <w:pPr>
        <w:pStyle w:val="TextBody"/>
        <w:spacing w:lineRule="auto" w:line="288" w:before="240" w:after="283"/>
        <w:ind w:left="0" w:right="0" w:firstLine="990"/>
        <w:rPr/>
      </w:pPr>
      <w:r>
        <w:rPr>
          <w:rFonts w:ascii="Times New Roman;sans-serif" w:hAnsi="Times New Roman;sans-serif"/>
          <w:b w:val="false"/>
          <w:color w:val="000000"/>
          <w:sz w:val="20"/>
        </w:rPr>
        <w:t>Net cash used in investing activities was $0.2 million</w:t>
      </w:r>
      <w:r>
        <w:rPr>
          <w:color w:val="000000"/>
          <w:highlight w:val="white"/>
        </w:rPr>
        <w:t xml:space="preserve"> </w:t>
      </w:r>
      <w:r>
        <w:rPr>
          <w:rFonts w:ascii="Times New Roman;sans-serif" w:hAnsi="Times New Roman;sans-serif"/>
          <w:b w:val="false"/>
          <w:color w:val="000000"/>
          <w:sz w:val="20"/>
          <w:highlight w:val="white"/>
        </w:rPr>
        <w:t>for</w:t>
      </w:r>
      <w:r>
        <w:rPr>
          <w:color w:val="000000"/>
        </w:rPr>
        <w:t xml:space="preserve"> </w:t>
      </w:r>
      <w:r>
        <w:rPr>
          <w:rFonts w:ascii="Times New Roman;sans-serif" w:hAnsi="Times New Roman;sans-serif"/>
          <w:b w:val="false"/>
          <w:color w:val="000000"/>
          <w:sz w:val="20"/>
        </w:rPr>
        <w:t>the three months ended March 31, 2022, which consisted of leasehold improvements for our laboratory and administrative offices and various purchases of computer hardware and office equipment.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$5.0 million and $19.1 million for the three months ended March 31, 2023 and 2022, respectively, which substantially relates to proceeds from our Credit Facility.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financial condition and results of operations is based on our Condensed Financial Statements, which have been prepared in conformity with U.S. generally accepted accounting principles ("GAAP") requires management to make estimates and assumptions that affect the reported amounts of assets and liabilities and the disclosure of contingent assets and liabilities at the date of these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A summary of our critical accounting policies is presented in our filed Annual Report on Form 10-K for the year ended December 31, 2022. </w:t>
      </w:r>
    </w:p>
    <w:p>
      <w:pPr>
        <w:pStyle w:val="TextBody"/>
        <w:spacing w:lineRule="auto" w:line="276" w:before="240" w:after="283"/>
        <w:ind w:left="0" w:right="0" w:firstLine="990"/>
        <w:rPr/>
      </w:pPr>
      <w:r>
        <w:rPr>
          <w:rFonts w:ascii="Times New Roman;sans-serif" w:hAnsi="Times New Roman;sans-serif"/>
          <w:b w:val="false"/>
          <w:color w:val="000000"/>
          <w:sz w:val="20"/>
        </w:rPr>
        <w:t xml:space="preserve">There were no material changes to our previously reported </w:t>
      </w:r>
      <w:r>
        <w:rPr>
          <w:rFonts w:ascii="Times New Roman;sans-serif" w:hAnsi="Times New Roman;sans-serif"/>
          <w:b w:val="false"/>
          <w:i/>
          <w:color w:val="000000"/>
          <w:sz w:val="20"/>
        </w:rPr>
        <w:t>Critical Accounting Policies</w:t>
      </w:r>
      <w:r>
        <w:rPr>
          <w:color w:val="000000"/>
        </w:rPr>
        <w:t xml:space="preserve"> </w:t>
      </w:r>
      <w:r>
        <w:rPr>
          <w:rFonts w:ascii="Times New Roman;sans-serif" w:hAnsi="Times New Roman;sans-serif"/>
          <w:b w:val="false"/>
          <w:color w:val="000000"/>
          <w:sz w:val="20"/>
        </w:rPr>
        <w:t>during the three months ended March 31, 2023.</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description of recent accounting pronouncements that may potentially impact our financial position, results of operations or cash flows are disclosed in the footnote to which each relates within these accompanying Condensed Financial Statements.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engaged in any off-balance sheet arrangements, as defined in the rules and regulations of the SEC.</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spacing w:lineRule="auto" w:line="288" w:before="240" w:after="283"/>
        <w:ind w:left="0" w:right="0" w:firstLine="990"/>
        <w:rPr/>
      </w:pPr>
      <w:r>
        <w:rPr>
          <w:rFonts w:ascii="Times New Roman;sans-serif" w:hAnsi="Times New Roman;sans-serif"/>
          <w:b w:val="false"/>
          <w:color w:val="000000"/>
          <w:sz w:val="20"/>
        </w:rPr>
        <w:t xml:space="preserve">We will remain an emerging growth company until the </w:t>
      </w:r>
      <w:r>
        <w:rPr>
          <w:rFonts w:ascii="Times New Roman;sans-serif" w:hAnsi="Times New Roman;sans-serif"/>
          <w:b w:val="false"/>
          <w:i/>
          <w:color w:val="000000"/>
          <w:sz w:val="20"/>
        </w:rPr>
        <w:t>earliest of</w:t>
      </w:r>
      <w:r>
        <w:rPr>
          <w:color w:val="000000"/>
        </w:rPr>
        <w:t xml:space="preserve"> </w:t>
      </w:r>
      <w:r>
        <w:rPr>
          <w:rFonts w:ascii="Times New Roman;sans-serif" w:hAnsi="Times New Roman;sans-serif"/>
          <w:b w:val="false"/>
          <w:color w:val="000000"/>
          <w:sz w:val="20"/>
        </w:rPr>
        <w:t>(1) December 31, 2025, which is the last day of our first fiscal year following the fifth anniversary of the completion of our IPO, (2) the last day of our first fiscal year (a) in which we have total annual gross revenues of at least $1.235 billion or (b) in which we are deemed to be a large accelerated filer, which means the market value of our common stock that is held by non-affiliates exceeds $700 million, as of the prior June 30th and (3) the date on which we have issued more than $1.0 billion in non-convertible debt securities during the prior three-year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risk inherent in our financial instruments and in our financial position represents the potential loss arising from adverse changes in interest rates. As of March 31, 2023, we had cash, cash equivalents, and marketable securities of $201.2 million, consisting of interest-bearing money market accounts, U.S. Treasury securities, commercial paper, corporate debt securities and government-related debt securities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$25.0 million of debt principal outstanding. Our Credit Facility bears interest at an annual rate equal to the greater of (i) the prime rate as reported in the Wall Street Journal plus 4.45% with an aggregate cap of 11.45% or (ii) 8.45%. A hypothetical interest rate of 20% would have resulted in reported interest expense of $1.3 million for the three months ended March 31, 2023.</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do not believe inflation, interest rate changes, and foreign currency exchange rate fluctuations had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Inherent Limitations on Effectiveness of Controls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there have been no material changes to the risk factors included in our Annual Report on Form 10-K for the year ended December 31, 2022, as filed with the SEC on March 17,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68" w:before="240" w:after="283"/>
        <w:rPr>
          <w:rFonts w:ascii="Times New Roman;sans-serif" w:hAnsi="Times New Roman;sans-serif"/>
          <w:b/>
          <w:color w:val="000000"/>
          <w:sz w:val="20"/>
        </w:rPr>
      </w:pPr>
      <w:r>
        <w:rPr>
          <w:rFonts w:ascii="Times New Roman;sans-serif" w:hAnsi="Times New Roman;sans-serif"/>
          <w:b/>
          <w:color w:val="000000"/>
          <w:sz w:val="20"/>
        </w:rPr>
        <w:t>Use of Proceeds from Initial Public Offering</w:t>
      </w:r>
    </w:p>
    <w:p>
      <w:pPr>
        <w:pStyle w:val="TextBody"/>
        <w:spacing w:before="0" w:after="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 of 1933, as amended.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firstLine="990"/>
        <w:rPr/>
      </w:pPr>
      <w:r>
        <w:rPr/>
      </w:r>
    </w:p>
    <w:p>
      <w:pPr>
        <w:pStyle w:val="TextBody"/>
        <w:spacing w:lineRule="auto" w:line="26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9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disclosed in our Current Report on Form 8-K filed with the SEC on April 24, 2023, we announced that Leonard Greenstein would be leaving his role as the Company’s Chief Financial Officer (the “Transition”), effective as of April 24, 2023 (the “Transition Date”) and leaving his employment with the Company on June 15, 2023 (the “Separation Date”).</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In connection with the Transition and Mr. Greenstein’s termination of employment, on May 4, 2023, we</w:t>
      </w:r>
      <w:r>
        <w:rPr>
          <w:color w:val="000000"/>
        </w:rPr>
        <w:t xml:space="preserve"> </w:t>
      </w:r>
      <w:r>
        <w:rPr>
          <w:rFonts w:ascii="Times New Roman;sans-serif" w:hAnsi="Times New Roman;sans-serif"/>
          <w:b w:val="false"/>
          <w:color w:val="000000"/>
          <w:sz w:val="20"/>
        </w:rPr>
        <w:t>entered into a separation and severance agreement with Mr. Greenstein, which provides for the following benefits effective upon and after the Separation Date: severance payments equal to nine months of base salary and 10 months of company-paid continued benefits coverage, a lump sum bonus payment payable in 2024 equal to one-third of his 2023 annual target bonus adjusted based on the 2023 Company performance score,</w:t>
      </w:r>
      <w:r>
        <w:rPr>
          <w:color w:val="000000"/>
        </w:rPr>
        <w:t xml:space="preserve"> </w:t>
      </w:r>
      <w:r>
        <w:rPr>
          <w:rFonts w:ascii="Times New Roman;sans-serif" w:hAnsi="Times New Roman;sans-serif"/>
          <w:b w:val="false"/>
          <w:color w:val="000000"/>
          <w:sz w:val="20"/>
        </w:rPr>
        <w:t>accelerated vesting of options for 40,744 shares of our common stock, and an option exercise period extension for certain options, in exchange for a release and waiver of claims and continued compliance with his confidentiality obligations.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terms of the Separation Agreement is qualified in its entirety by reference to the complete text of the Separation Agreement, a copy of which will be filed with the Company’s Quarterly Report on 10-Q for the quarter ending June 30,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spacing w:before="240" w:after="283"/>
        <w:ind w:left="0" w:right="0" w:firstLine="990"/>
        <w:rPr/>
      </w:pPr>
      <w:r>
        <w:rPr/>
      </w:r>
    </w:p>
    <w:tbl>
      <w:tblPr>
        <w:tblW w:w="10205" w:type="dxa"/>
        <w:jc w:val="center"/>
        <w:tblInd w:w="0" w:type="dxa"/>
        <w:tblCellMar>
          <w:top w:w="28" w:type="dxa"/>
          <w:left w:w="28" w:type="dxa"/>
          <w:bottom w:w="28" w:type="dxa"/>
          <w:right w:w="28" w:type="dxa"/>
        </w:tblCellMar>
      </w:tblPr>
      <w:tblGrid>
        <w:gridCol w:w="263"/>
        <w:gridCol w:w="232"/>
        <w:gridCol w:w="233"/>
        <w:gridCol w:w="109"/>
        <w:gridCol w:w="109"/>
        <w:gridCol w:w="109"/>
        <w:gridCol w:w="1698"/>
        <w:gridCol w:w="1498"/>
        <w:gridCol w:w="1517"/>
        <w:gridCol w:w="170"/>
        <w:gridCol w:w="170"/>
        <w:gridCol w:w="171"/>
        <w:gridCol w:w="257"/>
        <w:gridCol w:w="257"/>
        <w:gridCol w:w="258"/>
        <w:gridCol w:w="490"/>
        <w:gridCol w:w="490"/>
        <w:gridCol w:w="491"/>
        <w:gridCol w:w="247"/>
        <w:gridCol w:w="247"/>
        <w:gridCol w:w="252"/>
        <w:gridCol w:w="272"/>
        <w:gridCol w:w="272"/>
        <w:gridCol w:w="393"/>
      </w:tblGrid>
      <w:tr>
        <w:trPr/>
        <w:tc>
          <w:tcPr>
            <w:tcW w:w="26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Exhibit</w:t>
            </w:r>
          </w:p>
        </w:tc>
        <w:tc>
          <w:tcPr>
            <w:tcW w:w="7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18"/>
                  <w:u w:val="single"/>
                </w:rPr>
                <w:t>First Amendment to Loan and Security Agreement, dated as of January 5, 2023, by and among Registrant, Hercules Capital, Inc. and Silicon Valley Bank.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001-396147</w:t>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7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17, 2023</w:t>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33123.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33123.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33123.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33123.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spacing w:before="240" w:after="283"/>
        <w:ind w:left="0" w:right="0" w:firstLine="9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2779edde9dc94c55bb7cd8d1f6f5224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ind w:left="0" w:right="0" w:firstLine="990"/>
        <w:rPr/>
      </w:pPr>
      <w:r>
        <w:rPr/>
      </w:r>
    </w:p>
    <w:p>
      <w:pPr>
        <w:pStyle w:val="TextBody"/>
        <w:spacing w:lineRule="auto" w:line="288" w:before="0" w:after="0"/>
        <w:ind w:left="0" w:right="0" w:firstLine="9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the Securities Exchange Act of 1934, as amended, the Registrant has duly caused this report to be signed on its behalf by the undersigned, thereunto duly authorized.</w:t>
      </w:r>
    </w:p>
    <w:p>
      <w:pPr>
        <w:pStyle w:val="TextBody"/>
        <w:spacing w:before="0" w:after="0"/>
        <w:ind w:left="0" w:right="0" w:firstLine="990"/>
        <w:rPr/>
      </w:pPr>
      <w:r>
        <w:rPr/>
      </w:r>
    </w:p>
    <w:tbl>
      <w:tblPr>
        <w:tblW w:w="1740" w:type="dxa"/>
        <w:jc w:val="right"/>
        <w:tblInd w:w="0" w:type="dxa"/>
        <w:tblCellMar>
          <w:top w:w="28" w:type="dxa"/>
          <w:left w:w="28" w:type="dxa"/>
          <w:bottom w:w="28" w:type="dxa"/>
          <w:right w:w="28" w:type="dxa"/>
        </w:tblCellMar>
      </w:tblPr>
      <w:tblGrid>
        <w:gridCol w:w="200"/>
        <w:gridCol w:w="177"/>
        <w:gridCol w:w="178"/>
        <w:gridCol w:w="347"/>
        <w:gridCol w:w="347"/>
        <w:gridCol w:w="49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109" w:type="dxa"/>
        <w:jc w:val="right"/>
        <w:tblInd w:w="0" w:type="dxa"/>
        <w:tblCellMar>
          <w:top w:w="28" w:type="dxa"/>
          <w:left w:w="28" w:type="dxa"/>
          <w:bottom w:w="28" w:type="dxa"/>
          <w:right w:w="28" w:type="dxa"/>
        </w:tblCellMar>
      </w:tblPr>
      <w:tblGrid>
        <w:gridCol w:w="1317"/>
        <w:gridCol w:w="1157"/>
        <w:gridCol w:w="1635"/>
      </w:tblGrid>
      <w:tr>
        <w:trPr/>
        <w:tc>
          <w:tcPr>
            <w:tcW w:w="1317"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4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Director)</w:t>
            </w:r>
          </w:p>
        </w:tc>
      </w:tr>
    </w:tbl>
    <w:p>
      <w:pPr>
        <w:pStyle w:val="TextBody"/>
        <w:spacing w:before="240" w:after="283"/>
        <w:ind w:left="0" w:right="0" w:firstLine="990"/>
        <w:jc w:val="right"/>
        <w:rPr/>
      </w:pPr>
      <w:r>
        <w:rPr/>
      </w:r>
    </w:p>
    <w:tbl>
      <w:tblPr>
        <w:tblW w:w="1740" w:type="dxa"/>
        <w:jc w:val="right"/>
        <w:tblInd w:w="0" w:type="dxa"/>
        <w:tblCellMar>
          <w:top w:w="28" w:type="dxa"/>
          <w:left w:w="28" w:type="dxa"/>
          <w:bottom w:w="28" w:type="dxa"/>
          <w:right w:w="28" w:type="dxa"/>
        </w:tblCellMar>
      </w:tblPr>
      <w:tblGrid>
        <w:gridCol w:w="200"/>
        <w:gridCol w:w="177"/>
        <w:gridCol w:w="178"/>
        <w:gridCol w:w="347"/>
        <w:gridCol w:w="347"/>
        <w:gridCol w:w="49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159" w:type="dxa"/>
        <w:jc w:val="right"/>
        <w:tblInd w:w="0" w:type="dxa"/>
        <w:tblCellMar>
          <w:top w:w="28" w:type="dxa"/>
          <w:left w:w="28" w:type="dxa"/>
          <w:bottom w:w="28" w:type="dxa"/>
          <w:right w:w="28" w:type="dxa"/>
        </w:tblCellMar>
      </w:tblPr>
      <w:tblGrid>
        <w:gridCol w:w="1653"/>
        <w:gridCol w:w="1452"/>
        <w:gridCol w:w="2054"/>
      </w:tblGrid>
      <w:tr>
        <w:trPr/>
        <w:tc>
          <w:tcPr>
            <w:tcW w:w="1653"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5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spacing w:before="24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76"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CERTIFICATION PURSUANT TO</w:t>
      </w:r>
    </w:p>
    <w:p>
      <w:pPr>
        <w:pStyle w:val="TextBody"/>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RULES 13a-14(a) AND 15d-14(a) UNDER THE SECURITIES EXCHANGE ACT OF 1934,</w:t>
      </w:r>
    </w:p>
    <w:p>
      <w:pPr>
        <w:pStyle w:val="TextBody"/>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AS ADOPTED PURSUANT TO SECTION 302 OF THE SARBANES-OXLEY ACT OF 2002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18"/>
        </w:rPr>
      </w:pPr>
      <w:r>
        <w:rPr>
          <w:rFonts w:ascii="Times New Roman;sans-serif" w:hAnsi="Times New Roman;sans-serif"/>
          <w:b w:val="false"/>
          <w:color w:val="000000"/>
          <w:sz w:val="18"/>
        </w:rPr>
        <w:t>I, Bobak Azamian, M.D., Ph.D., certify that: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Tarsus Pharmaceuticals, Inc;</w:t>
      </w:r>
    </w:p>
    <w:p>
      <w:pPr>
        <w:pStyle w:val="TextBody"/>
        <w:spacing w:lineRule="auto" w:line="276"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6"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6"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6" w:before="120" w:after="283"/>
        <w:ind w:left="0" w:right="0" w:hanging="360"/>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6" w:before="120" w:after="283"/>
        <w:ind w:left="0" w:right="0" w:hanging="360"/>
        <w:rPr/>
      </w:pPr>
      <w:r>
        <w:rPr>
          <w:rFonts w:ascii="Times New Roman;sans-serif" w:hAnsi="Times New Roman;sans-serif"/>
          <w:b w:val="false"/>
          <w:color w:val="000000"/>
          <w:sz w:val="18"/>
        </w:rPr>
        <w:t>(c)</w:t>
      </w:r>
      <w:r>
        <w:rPr>
          <w:color w:val="000000"/>
        </w:rPr>
        <w:t xml:space="preserve">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6" w:before="120" w:after="283"/>
        <w:ind w:left="0" w:right="0" w:hanging="360"/>
        <w:rPr/>
      </w:pPr>
      <w:r>
        <w:rPr>
          <w:rFonts w:ascii="Times New Roman;sans-serif" w:hAnsi="Times New Roman;sans-serif"/>
          <w:b w:val="false"/>
          <w:color w:val="000000"/>
          <w:sz w:val="18"/>
        </w:rPr>
        <w:t>(d)</w:t>
      </w:r>
      <w:r>
        <w:rPr>
          <w:color w:val="000000"/>
        </w:rPr>
        <w:t xml:space="preserve">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6" w:before="120" w:after="283"/>
        <w:ind w:left="0" w:right="0" w:hanging="360"/>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6" w:before="120" w:after="283"/>
        <w:ind w:left="0" w:right="0" w:hanging="360"/>
        <w:rPr/>
      </w:pPr>
      <w:r>
        <w:rPr>
          <w:rFonts w:ascii="Times New Roman;sans-serif" w:hAnsi="Times New Roman;sans-serif"/>
          <w:b w:val="false"/>
          <w:color w:val="000000"/>
          <w:sz w:val="18"/>
        </w:rPr>
        <w:t>(a)</w:t>
      </w:r>
      <w:r>
        <w:rPr>
          <w:color w:val="000000"/>
        </w:rPr>
        <w:t xml:space="preserve">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6" w:before="120" w:after="283"/>
        <w:ind w:left="0" w:right="0" w:hanging="360"/>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5304" w:type="dxa"/>
        <w:jc w:val="left"/>
        <w:tblInd w:w="0" w:type="dxa"/>
        <w:tblCellMar>
          <w:top w:w="28" w:type="dxa"/>
          <w:left w:w="28" w:type="dxa"/>
          <w:bottom w:w="28" w:type="dxa"/>
          <w:right w:w="28" w:type="dxa"/>
        </w:tblCellMar>
      </w:tblPr>
      <w:tblGrid>
        <w:gridCol w:w="183"/>
        <w:gridCol w:w="161"/>
        <w:gridCol w:w="161"/>
        <w:gridCol w:w="161"/>
        <w:gridCol w:w="161"/>
        <w:gridCol w:w="161"/>
        <w:gridCol w:w="161"/>
        <w:gridCol w:w="161"/>
        <w:gridCol w:w="161"/>
        <w:gridCol w:w="109"/>
        <w:gridCol w:w="109"/>
        <w:gridCol w:w="109"/>
        <w:gridCol w:w="109"/>
        <w:gridCol w:w="109"/>
        <w:gridCol w:w="109"/>
        <w:gridCol w:w="109"/>
        <w:gridCol w:w="109"/>
        <w:gridCol w:w="109"/>
        <w:gridCol w:w="303"/>
        <w:gridCol w:w="303"/>
        <w:gridCol w:w="303"/>
        <w:gridCol w:w="303"/>
        <w:gridCol w:w="303"/>
        <w:gridCol w:w="303"/>
        <w:gridCol w:w="303"/>
        <w:gridCol w:w="303"/>
        <w:gridCol w:w="428"/>
      </w:tblGrid>
      <w:tr>
        <w:trPr/>
        <w:tc>
          <w:tcPr>
            <w:tcW w:w="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18"/>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18"/>
              <w:jc w:val="righ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5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/s/ Bobak Azamian, M.D., Ph.D.</w:t>
            </w:r>
          </w:p>
        </w:tc>
      </w:tr>
      <w:tr>
        <w:trPr/>
        <w:tc>
          <w:tcPr>
            <w:tcW w:w="147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p>
            <w:pPr>
              <w:pStyle w:val="TableContents"/>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CERTIFICATION PURSUANT TO</w:t>
      </w:r>
    </w:p>
    <w:p>
      <w:pPr>
        <w:pStyle w:val="TextBody"/>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RULES 13a-14(a) AND 15d-14(a) UNDER THE SECURITIES EXCHANGE ACT OF 1934,</w:t>
      </w:r>
    </w:p>
    <w:p>
      <w:pPr>
        <w:pStyle w:val="TextBody"/>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AS ADOPTED PURSUANT TO SECTION 302 OF THE SARBANES-OXLEY ACT OF 2002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18"/>
        </w:rPr>
      </w:pPr>
      <w:r>
        <w:rPr>
          <w:rFonts w:ascii="Times New Roman;sans-serif" w:hAnsi="Times New Roman;sans-serif"/>
          <w:b w:val="false"/>
          <w:color w:val="000000"/>
          <w:sz w:val="18"/>
        </w:rPr>
        <w:t>I, Jeffrey Farrow, certify that: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Tarsus Pharmaceuticals, Inc;</w:t>
      </w:r>
    </w:p>
    <w:p>
      <w:pPr>
        <w:pStyle w:val="TextBody"/>
        <w:spacing w:lineRule="auto" w:line="276"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6"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6"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6" w:before="120" w:after="283"/>
        <w:ind w:left="0" w:right="0" w:hanging="360"/>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6" w:before="120" w:after="283"/>
        <w:ind w:left="0" w:right="0" w:hanging="360"/>
        <w:rPr/>
      </w:pPr>
      <w:r>
        <w:rPr>
          <w:rFonts w:ascii="Times New Roman;sans-serif" w:hAnsi="Times New Roman;sans-serif"/>
          <w:b w:val="false"/>
          <w:color w:val="000000"/>
          <w:sz w:val="18"/>
        </w:rPr>
        <w:t>(c)</w:t>
      </w:r>
      <w:r>
        <w:rPr>
          <w:color w:val="000000"/>
        </w:rPr>
        <w:t xml:space="preserve">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6" w:before="120" w:after="283"/>
        <w:ind w:left="0" w:right="0" w:hanging="360"/>
        <w:rPr/>
      </w:pPr>
      <w:r>
        <w:rPr>
          <w:rFonts w:ascii="Times New Roman;sans-serif" w:hAnsi="Times New Roman;sans-serif"/>
          <w:b w:val="false"/>
          <w:color w:val="000000"/>
          <w:sz w:val="18"/>
        </w:rPr>
        <w:t>(d)</w:t>
      </w:r>
      <w:r>
        <w:rPr>
          <w:color w:val="000000"/>
        </w:rPr>
        <w:t xml:space="preserve">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6" w:before="120" w:after="283"/>
        <w:ind w:left="0" w:right="0" w:hanging="360"/>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6" w:before="120" w:after="283"/>
        <w:ind w:left="0" w:right="0" w:hanging="360"/>
        <w:rPr/>
      </w:pPr>
      <w:r>
        <w:rPr>
          <w:rFonts w:ascii="Times New Roman;sans-serif" w:hAnsi="Times New Roman;sans-serif"/>
          <w:b w:val="false"/>
          <w:color w:val="000000"/>
          <w:sz w:val="18"/>
        </w:rPr>
        <w:t>(a)</w:t>
      </w:r>
      <w:r>
        <w:rPr>
          <w:color w:val="000000"/>
        </w:rPr>
        <w:t xml:space="preserve">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6" w:before="120" w:after="283"/>
        <w:ind w:left="0" w:right="0" w:hanging="360"/>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7055" w:type="dxa"/>
        <w:jc w:val="left"/>
        <w:tblInd w:w="0" w:type="dxa"/>
        <w:tblCellMar>
          <w:top w:w="28" w:type="dxa"/>
          <w:left w:w="28" w:type="dxa"/>
          <w:bottom w:w="28" w:type="dxa"/>
          <w:right w:w="28" w:type="dxa"/>
        </w:tblCellMar>
      </w:tblPr>
      <w:tblGrid>
        <w:gridCol w:w="183"/>
        <w:gridCol w:w="161"/>
        <w:gridCol w:w="161"/>
        <w:gridCol w:w="161"/>
        <w:gridCol w:w="161"/>
        <w:gridCol w:w="161"/>
        <w:gridCol w:w="161"/>
        <w:gridCol w:w="161"/>
        <w:gridCol w:w="161"/>
        <w:gridCol w:w="109"/>
        <w:gridCol w:w="109"/>
        <w:gridCol w:w="109"/>
        <w:gridCol w:w="109"/>
        <w:gridCol w:w="109"/>
        <w:gridCol w:w="109"/>
        <w:gridCol w:w="109"/>
        <w:gridCol w:w="109"/>
        <w:gridCol w:w="109"/>
        <w:gridCol w:w="489"/>
        <w:gridCol w:w="489"/>
        <w:gridCol w:w="489"/>
        <w:gridCol w:w="489"/>
        <w:gridCol w:w="489"/>
        <w:gridCol w:w="489"/>
        <w:gridCol w:w="489"/>
        <w:gridCol w:w="489"/>
        <w:gridCol w:w="691"/>
      </w:tblGrid>
      <w:tr>
        <w:trPr/>
        <w:tc>
          <w:tcPr>
            <w:tcW w:w="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18"/>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18"/>
              <w:jc w:val="righ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6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/s/ Jeffrey Farrow</w:t>
            </w:r>
          </w:p>
        </w:tc>
      </w:tr>
      <w:tr>
        <w:trPr/>
        <w:tc>
          <w:tcPr>
            <w:tcW w:w="147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Jeffrey Farrow</w:t>
            </w:r>
          </w:p>
          <w:p>
            <w:pPr>
              <w:pStyle w:val="TableContents"/>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Chief Strategy Officer</w:t>
            </w:r>
          </w:p>
          <w:p>
            <w:pPr>
              <w:pStyle w:val="TableContents"/>
              <w:spacing w:lineRule="auto" w:line="276" w:before="0" w:after="0"/>
              <w:ind w:left="0" w:right="0" w:firstLine="18"/>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Principal Financial Officer and Principal Accounting Officer</w:t>
            </w:r>
            <w:r>
              <w:rPr>
                <w:rFonts w:ascii="Times New Roman;sans-serif" w:hAnsi="Times New Roman;sans-serif"/>
                <w:b w:val="false"/>
                <w:color w:val="000000"/>
                <w:sz w:val="18"/>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before="0" w:after="0"/>
        <w:jc w:val="center"/>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OF PRINCIPAL EXECUTIVE OFFICER AND PRINCIPAL FINANCIAL OFFICER</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before="0" w:after="0"/>
        <w:rPr/>
      </w:pPr>
      <w:r>
        <w:rPr/>
      </w:r>
    </w:p>
    <w:p>
      <w:pPr>
        <w:pStyle w:val="TextBody"/>
        <w:spacing w:lineRule="auto" w:line="276" w:before="0" w:after="0"/>
        <w:ind w:left="0" w:right="0" w:firstLine="641"/>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March 31, 2023 as filed with the Securities and Exchange Commission on the date hereof (the “Report”), I, Bobak Azamian, hereby certify, pursuant to 18 U.S.C. § 1350, as adopted pursuant to § 906 of the Sarbanes-Oxley Act of 2002, that:</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r>
          </w:p>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 of the Company.</w:t>
            </w:r>
          </w:p>
        </w:tc>
      </w:tr>
    </w:tbl>
    <w:tbl>
      <w:tblPr>
        <w:tblW w:w="5864" w:type="dxa"/>
        <w:jc w:val="left"/>
        <w:tblInd w:w="0" w:type="dxa"/>
        <w:tblCellMar>
          <w:top w:w="28" w:type="dxa"/>
          <w:left w:w="28" w:type="dxa"/>
          <w:bottom w:w="28" w:type="dxa"/>
          <w:right w:w="28" w:type="dxa"/>
        </w:tblCellMar>
      </w:tblPr>
      <w:tblGrid>
        <w:gridCol w:w="206"/>
        <w:gridCol w:w="181"/>
        <w:gridCol w:w="181"/>
        <w:gridCol w:w="181"/>
        <w:gridCol w:w="181"/>
        <w:gridCol w:w="181"/>
        <w:gridCol w:w="181"/>
        <w:gridCol w:w="181"/>
        <w:gridCol w:w="181"/>
        <w:gridCol w:w="109"/>
        <w:gridCol w:w="109"/>
        <w:gridCol w:w="109"/>
        <w:gridCol w:w="109"/>
        <w:gridCol w:w="109"/>
        <w:gridCol w:w="109"/>
        <w:gridCol w:w="109"/>
        <w:gridCol w:w="109"/>
        <w:gridCol w:w="109"/>
        <w:gridCol w:w="500"/>
        <w:gridCol w:w="500"/>
        <w:gridCol w:w="500"/>
        <w:gridCol w:w="500"/>
        <w:gridCol w:w="500"/>
        <w:gridCol w:w="729"/>
      </w:tblGrid>
      <w:tr>
        <w:trPr/>
        <w:tc>
          <w:tcPr>
            <w:tcW w:w="20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4"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2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2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18"/>
              </w:rPr>
              <w:t>Bobak Azamian, M.D., Ph.D.</w:t>
            </w:r>
          </w:p>
        </w:tc>
      </w:tr>
      <w:tr>
        <w:trPr/>
        <w:tc>
          <w:tcPr>
            <w:tcW w:w="165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r>
      <w:tr>
        <w:trPr/>
        <w:tc>
          <w:tcPr>
            <w:tcW w:w="165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9"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65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9"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OF PRINCIPAL EXECUTIVE OFFICER AND PRINCIPAL FINANCIAL OFFICER</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before="0" w:after="0"/>
        <w:rPr/>
      </w:pPr>
      <w:r>
        <w:rPr/>
      </w:r>
    </w:p>
    <w:p>
      <w:pPr>
        <w:pStyle w:val="TextBody"/>
        <w:spacing w:lineRule="auto" w:line="276" w:before="0" w:after="0"/>
        <w:ind w:left="0" w:right="0" w:firstLine="641"/>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March 31, 2023 as filed with the Securities and Exchange Commission on the date hereof (the “Report”), I, Jeffrey Farrow, hereby certify, pursuant to 18 U.S.C. § 1350, as adopted pursuant to § 906 of the Sarbanes-Oxley Act of 2002, that:</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r>
          </w:p>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 of the Company.</w:t>
            </w:r>
          </w:p>
        </w:tc>
      </w:tr>
    </w:tbl>
    <w:tbl>
      <w:tblPr>
        <w:tblW w:w="7961" w:type="dxa"/>
        <w:jc w:val="left"/>
        <w:tblInd w:w="0" w:type="dxa"/>
        <w:tblCellMar>
          <w:top w:w="28" w:type="dxa"/>
          <w:left w:w="28" w:type="dxa"/>
          <w:bottom w:w="28" w:type="dxa"/>
          <w:right w:w="28" w:type="dxa"/>
        </w:tblCellMar>
      </w:tblPr>
      <w:tblGrid>
        <w:gridCol w:w="206"/>
        <w:gridCol w:w="181"/>
        <w:gridCol w:w="181"/>
        <w:gridCol w:w="181"/>
        <w:gridCol w:w="181"/>
        <w:gridCol w:w="181"/>
        <w:gridCol w:w="181"/>
        <w:gridCol w:w="181"/>
        <w:gridCol w:w="181"/>
        <w:gridCol w:w="109"/>
        <w:gridCol w:w="109"/>
        <w:gridCol w:w="109"/>
        <w:gridCol w:w="109"/>
        <w:gridCol w:w="109"/>
        <w:gridCol w:w="109"/>
        <w:gridCol w:w="109"/>
        <w:gridCol w:w="109"/>
        <w:gridCol w:w="109"/>
        <w:gridCol w:w="829"/>
        <w:gridCol w:w="829"/>
        <w:gridCol w:w="829"/>
        <w:gridCol w:w="829"/>
        <w:gridCol w:w="829"/>
        <w:gridCol w:w="1181"/>
      </w:tblGrid>
      <w:tr>
        <w:trPr/>
        <w:tc>
          <w:tcPr>
            <w:tcW w:w="20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r>
      <w:tr>
        <w:trPr/>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4"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6"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165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ind w:left="0" w:right="0" w:firstLine="20"/>
              <w:rPr>
                <w:sz w:val="4"/>
                <w:szCs w:val="4"/>
              </w:rPr>
            </w:pPr>
            <w:r>
              <w:rPr>
                <w:sz w:val="4"/>
                <w:szCs w:val="4"/>
              </w:rPr>
            </w:r>
          </w:p>
        </w:tc>
        <w:tc>
          <w:tcPr>
            <w:tcW w:w="532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165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165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9790/000181979023000007/tarsuslsafirstamendment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21533</Words>
  <CharactersWithSpaces>141694</CharactersWithSpaces>
  <Paragraphs>1911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