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8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LINK WILLIAM J PHD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17.99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-6209030</wp:posOffset>
            </wp:positionV>
            <wp:extent cx="7045325" cy="6222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22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40" w:firstLine="5"/>
        <w:spacing w:after="0" w:line="257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2023 annual meeting of stockholders. The option will vest in full on the one-year anniversary of the date of grant, subject to the non-employee director's continuous service.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vest in full on the one-year anniversary of the date of grant, subject to the non-employee director's continuous service.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Farrow,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538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873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46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28684" TargetMode="External"/><Relationship Id="rId9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2023-06-26T16:52:05Z</dcterms:created>
  <dcterms:modified xsi:type="dcterms:W3CDTF">2023-06-26T16:52:05Z</dcterms:modified>
</cp:coreProperties>
</file>