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Neervannan Seshadri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3125</w:t>
            </w:r>
          </w:p>
        </w:tc>
        <w:tc>
          <w:tcPr>
            <w:tcW w:w="1377" w:type="dxa"/>
            <w:tcBorders/>
            <w:vAlign w:val="center"/>
          </w:tcPr>
          <w:p>
            <w:pPr>
              <w:pStyle w:val="TableContents"/>
              <w:bidi w:val="0"/>
              <w:spacing w:before="0" w:after="283"/>
              <w:jc w:val="left"/>
              <w:rPr/>
            </w:pPr>
            <w:r>
              <w:rPr/>
              <w:t>216920.94</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3125</w:t>
            </w:r>
          </w:p>
        </w:tc>
        <w:tc>
          <w:tcPr>
            <w:tcW w:w="1046" w:type="dxa"/>
            <w:tcBorders/>
            <w:vAlign w:val="center"/>
          </w:tcPr>
          <w:p>
            <w:pPr>
              <w:pStyle w:val="TableContents"/>
              <w:bidi w:val="0"/>
              <w:spacing w:before="0" w:after="283"/>
              <w:jc w:val="left"/>
              <w:rPr/>
            </w:pPr>
            <w:r>
              <w:rPr/>
              <w:t>03/16/2026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Seshadri Neervannan</w:t>
              <w:br/>
              <w:t>15440 Laguna Canyon Road</w:t>
              <w:br/>
              <w:t>Suite 160</w:t>
              <w:br/>
              <w:t>Irvine   CA   92618</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03/04/2026</w:t>
            </w:r>
          </w:p>
        </w:tc>
        <w:tc>
          <w:tcPr>
            <w:tcW w:w="1554" w:type="dxa"/>
            <w:tcBorders/>
            <w:vAlign w:val="center"/>
          </w:tcPr>
          <w:p>
            <w:pPr>
              <w:pStyle w:val="TableContents"/>
              <w:bidi w:val="0"/>
              <w:spacing w:before="0" w:after="283"/>
              <w:jc w:val="left"/>
              <w:rPr/>
            </w:pPr>
            <w:r>
              <w:rPr/>
              <w:t>8366</w:t>
            </w:r>
          </w:p>
        </w:tc>
        <w:tc>
          <w:tcPr>
            <w:tcW w:w="1750" w:type="dxa"/>
            <w:tcBorders/>
            <w:vAlign w:val="center"/>
          </w:tcPr>
          <w:p>
            <w:pPr>
              <w:pStyle w:val="TableContents"/>
              <w:bidi w:val="0"/>
              <w:spacing w:before="0" w:after="283"/>
              <w:jc w:val="left"/>
              <w:rPr/>
            </w:pPr>
            <w:r>
              <w:rPr/>
              <w:t>641421.22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Daniel Tucci, as a duly authorized representative of Fidelity Brokerage Services LLC, as attorney-in-fact for Seshadri Neervannan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3271</Characters>
  <CharactersWithSpaces>3846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